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F3814">
      <w:pPr>
        <w:divId w:val="1498570495"/>
        <w:rPr>
          <w:rFonts w:eastAsia="Times New Roman"/>
          <w:vanish/>
        </w:rPr>
      </w:pPr>
      <w:r>
        <w:rPr>
          <w:rFonts w:eastAsia="Times New Roman"/>
          <w:vanish/>
        </w:rPr>
        <w:t>false2021Q2000092762812/313.80.02500009276282021-01-012021-06-300000927628us-gaap:CommonStockMember2021-01-012021-06-300000927628us-gaap:SeriesGPreferredStockMember2021-01-012021-06-300000927628</w:t>
      </w:r>
      <w:r>
        <w:rPr>
          <w:rFonts w:eastAsia="Times New Roman"/>
          <w:vanish/>
        </w:rPr>
        <w:t>us-gaap:SeriesHPreferredStockMember2021-01-012021-06-300000927628cof:SeriesIPreferredStockMember2021-01-012021-06-300000927628cof:SeriesJPreferredStockMember2021-01-012021-06-300000927628cof:SeriesKPreferredStockMember2021-01-012021-06-300000927628cof:Seri</w:t>
      </w:r>
      <w:r>
        <w:rPr>
          <w:rFonts w:eastAsia="Times New Roman"/>
          <w:vanish/>
        </w:rPr>
        <w:t>esLPreferredStockMember2021-01-012021-06-300000927628cof:SeriesNPreferredStockMember2021-01-012021-06-300000927628cof:SeniorNotesDue2024Member2021-01-012021-06-300000927628cof:SeniorNotesDue2029Member2021-01-012021-06-30xbrli:shares00009276282021-06-30iso4</w:t>
      </w:r>
      <w:r>
        <w:rPr>
          <w:rFonts w:eastAsia="Times New Roman"/>
          <w:vanish/>
        </w:rPr>
        <w:t>217:USD00009276282021-04-012021-06-3000009276282020-04-012020-06-3000009276282020-01-012020-06-30iso4217:USDxbrli:shares00009276282020-12-310000927628srt:ParentCompanyMember2021-06-300000927628srt:ParentCompanyMember2020-12-310000927628us-gaap:VariableInte</w:t>
      </w:r>
      <w:r>
        <w:rPr>
          <w:rFonts w:eastAsia="Times New Roman"/>
          <w:vanish/>
        </w:rPr>
        <w:t>restEntityPrimaryBeneficiaryMember2021-06-300000927628us-gaap:VariableInterestEntityPrimaryBeneficiaryMember2020-12-310000927628us-gaap:PreferredStockMember2020-12-310000927628us-gaap:CommonStockMember2020-12-310000927628us-gaap:AdditionalPaidInCapitalMemb</w:t>
      </w:r>
      <w:r>
        <w:rPr>
          <w:rFonts w:eastAsia="Times New Roman"/>
          <w:vanish/>
        </w:rPr>
        <w:t>er2020-12-310000927628us-gaap:RetainedEarningsMember2020-12-310000927628us-gaap:AccumulatedOtherComprehensiveIncomeMember2020-12-310000927628us-gaap:TreasuryStockMember2020-12-310000927628us-gaap:RetainedEarningsMember2021-01-012021-03-310000927628us-gaap:</w:t>
      </w:r>
      <w:r>
        <w:rPr>
          <w:rFonts w:eastAsia="Times New Roman"/>
          <w:vanish/>
        </w:rPr>
        <w:t>AccumulatedOtherComprehensiveIncomeMember2021-01-012021-03-3100009276282021-01-012021-03-310000927628us-gaap:CommonStockMember2021-01-012021-03-310000927628us-gaap:AdditionalPaidInCapitalMember2021-01-012021-03-310000927628us-gaap:TreasuryStockMember2021-0</w:t>
      </w:r>
      <w:r>
        <w:rPr>
          <w:rFonts w:eastAsia="Times New Roman"/>
          <w:vanish/>
        </w:rPr>
        <w:t>1-012021-03-310000927628us-gaap:PreferredStockMember2021-03-310000927628us-gaap:CommonStockMember2021-03-310000927628us-gaap:AdditionalPaidInCapitalMember2021-03-310000927628us-gaap:RetainedEarningsMember2021-03-310000927628us-gaap:AccumulatedOtherComprehe</w:t>
      </w:r>
      <w:r>
        <w:rPr>
          <w:rFonts w:eastAsia="Times New Roman"/>
          <w:vanish/>
        </w:rPr>
        <w:t>nsiveIncomeMember2021-03-310000927628us-gaap:TreasuryStockMember2021-03-3100009276282021-03-310000927628us-gaap:RetainedEarningsMember2021-04-012021-06-300000927628us-gaap:AccumulatedOtherComprehensiveIncomeMember2021-04-012021-06-300000927628us-gaap:Commo</w:t>
      </w:r>
      <w:r>
        <w:rPr>
          <w:rFonts w:eastAsia="Times New Roman"/>
          <w:vanish/>
        </w:rPr>
        <w:t>nStockMember2021-04-012021-06-300000927628us-gaap:AdditionalPaidInCapitalMember2021-04-012021-06-300000927628us-gaap:TreasuryStockMember2021-04-012021-06-300000927628us-gaap:PreferredStockMember2021-04-012021-06-300000927628us-gaap:PreferredStockMember2021</w:t>
      </w:r>
      <w:r>
        <w:rPr>
          <w:rFonts w:eastAsia="Times New Roman"/>
          <w:vanish/>
        </w:rPr>
        <w:t>-06-300000927628us-gaap:CommonStockMember2021-06-300000927628us-gaap:AdditionalPaidInCapitalMember2021-06-300000927628us-gaap:RetainedEarningsMember2021-06-300000927628us-gaap:AccumulatedOtherComprehensiveIncomeMember2021-06-300000927628us-gaap:TreasurySto</w:t>
      </w:r>
      <w:r>
        <w:rPr>
          <w:rFonts w:eastAsia="Times New Roman"/>
          <w:vanish/>
        </w:rPr>
        <w:t>ckMember2021-06-300000927628us-gaap:PreferredStockMember2019-12-310000927628us-gaap:CommonStockMember2019-12-310000927628us-gaap:AdditionalPaidInCapitalMember2019-12-310000927628us-gaap:RetainedEarningsMember2019-12-310000927628us-gaap:AccumulatedOtherComp</w:t>
      </w:r>
      <w:r>
        <w:rPr>
          <w:rFonts w:eastAsia="Times New Roman"/>
          <w:vanish/>
        </w:rPr>
        <w:t>rehensiveIncomeMember2019-12-310000927628us-gaap:TreasuryStockMember2019-12-3100009276282019-12-310000927628us-gaap:RetainedEarningsMembersrt:CumulativeEffectPeriodOfAdoptionAdjustmentMember2019-12-310000927628us-gaap:AccumulatedOtherComprehensiveIncomeMem</w:t>
      </w:r>
      <w:r>
        <w:rPr>
          <w:rFonts w:eastAsia="Times New Roman"/>
          <w:vanish/>
        </w:rPr>
        <w:t>bersrt:CumulativeEffectPeriodOfAdoptionAdjustmentMember2019-12-310000927628srt:CumulativeEffectPeriodOfAdoptionAdjustmentMember2019-12-310000927628us-gaap:RetainedEarningsMember2020-01-012020-03-310000927628us-gaap:AccumulatedOtherComprehensiveIncomeMember</w:t>
      </w:r>
      <w:r>
        <w:rPr>
          <w:rFonts w:eastAsia="Times New Roman"/>
          <w:vanish/>
        </w:rPr>
        <w:t>2020-01-012020-03-3100009276282020-01-012020-03-310000927628us-gaap:CommonStockMember2020-01-012020-03-310000927628us-gaap:AdditionalPaidInCapitalMember2020-01-012020-03-310000927628us-gaap:TreasuryStockMember2020-01-012020-03-310000927628us-gaap:Preferred</w:t>
      </w:r>
      <w:r>
        <w:rPr>
          <w:rFonts w:eastAsia="Times New Roman"/>
          <w:vanish/>
        </w:rPr>
        <w:t>StockMember2020-01-012020-03-310000927628us-gaap:PreferredStockMember2020-03-310000927628us-gaap:CommonStockMember2020-03-310000927628us-gaap:AdditionalPaidInCapitalMember2020-03-310000927628us-gaap:RetainedEarningsMember2020-03-310000927628us-gaap:Accumul</w:t>
      </w:r>
      <w:r>
        <w:rPr>
          <w:rFonts w:eastAsia="Times New Roman"/>
          <w:vanish/>
        </w:rPr>
        <w:t>atedOtherComprehensiveIncomeMember2020-03-310000927628us-gaap:TreasuryStockMember2020-03-3100009276282020-03-310000927628us-gaap:RetainedEarningsMember2020-04-012020-06-300000927628us-gaap:AccumulatedOtherComprehensiveIncomeMember2020-04-012020-06-30000092</w:t>
      </w:r>
      <w:r>
        <w:rPr>
          <w:rFonts w:eastAsia="Times New Roman"/>
          <w:vanish/>
        </w:rPr>
        <w:t>7628us-gaap:CommonStockMember2020-04-012020-06-300000927628us-gaap:AdditionalPaidInCapitalMember2020-04-012020-06-300000927628us-gaap:TreasuryStockMember2020-04-012020-06-300000927628us-gaap:PreferredStockMember2020-06-300000927628us-gaap:CommonStockMember</w:t>
      </w:r>
      <w:r>
        <w:rPr>
          <w:rFonts w:eastAsia="Times New Roman"/>
          <w:vanish/>
        </w:rPr>
        <w:t>2020-06-300000927628us-gaap:AdditionalPaidInCapitalMember2020-06-300000927628us-gaap:RetainedEarningsMember2020-06-300000927628us-gaap:AccumulatedOtherComprehensiveIncomeMember2020-06-300000927628us-gaap:TreasuryStockMember2020-06-3000009276282020-06-30cof</w:t>
      </w:r>
      <w:r>
        <w:rPr>
          <w:rFonts w:eastAsia="Times New Roman"/>
          <w:vanish/>
        </w:rPr>
        <w:t>:segmentxbrli:pure0000927628us-gaap:AvailableforsaleSecuritiesMemberus-gaap:USTreasuryAndGovernmentMemberus-gaap:GovernmentContractsConcentrationRiskMember2020-12-312020-12-310000927628us-gaap:AvailableforsaleSecuritiesMemberus-gaap:USTreasuryAndGovernment</w:t>
      </w:r>
      <w:r>
        <w:rPr>
          <w:rFonts w:eastAsia="Times New Roman"/>
          <w:vanish/>
        </w:rPr>
        <w:t>Memberus-gaap:GovernmentContractsConcentrationRiskMember2021-06-302021-06-3000009276282020-01-012020-12-310000927628us-gaap:USTreasurySecuritiesMember2021-06-300000927628cof:ResidentialMortgageBackedSecuritiesAgencyMember2021-06-300000927628cof:Residential</w:t>
      </w:r>
      <w:r>
        <w:rPr>
          <w:rFonts w:eastAsia="Times New Roman"/>
          <w:vanish/>
        </w:rPr>
        <w:t>MortgageBackedSecuritiesNonagencyMember2021-06-300000927628us-gaap:ResidentialMortgageBackedSecuritiesMember2021-06-300000927628cof:CommercialMortgageBackedSecuritiesAgencyMember2021-06-300000927628us-gaap:OtherDebtSecuritiesMember2021-06-300000927628us-ga</w:t>
      </w:r>
      <w:r>
        <w:rPr>
          <w:rFonts w:eastAsia="Times New Roman"/>
          <w:vanish/>
        </w:rPr>
        <w:t>ap:USTreasurySecuritiesMember2020-12-310000927628cof:ResidentialMortgageBackedSecuritiesAgencyMember2020-12-310000927628cof:ResidentialMortgageBackedSecuritiesNonagencyMember2020-12-310000927628us-gaap:ResidentialMortgageBackedSecuritiesMember2020-12-31000</w:t>
      </w:r>
      <w:r>
        <w:rPr>
          <w:rFonts w:eastAsia="Times New Roman"/>
          <w:vanish/>
        </w:rPr>
        <w:t>0927628cof:CommercialMortgageBackedSecuritiesAgencyMember2020-12-310000927628us-gaap:OtherDebtSecuritiesMember2020-12-310000927628us-gaap:AssetBackedSecuritiesMember2021-06-300000927628us-gaap:AssetBackedSecuritiesMember2020-12-31cof:security0000927628us-g</w:t>
      </w:r>
      <w:r>
        <w:rPr>
          <w:rFonts w:eastAsia="Times New Roman"/>
          <w:vanish/>
        </w:rPr>
        <w:t>aap:ResidentialMortgageBackedSecuritiesMember2021-01-012021-06-300000927628cof:CommercialMortgageBackedSecuritiesAgencyMember2021-01-012021-06-300000927628us-gaap:GeographicDistributionDomesticMembercof:CreditCardPortfolioSegmentMember2021-06-300000927628u</w:t>
      </w:r>
      <w:r>
        <w:rPr>
          <w:rFonts w:eastAsia="Times New Roman"/>
          <w:vanish/>
        </w:rPr>
        <w:t>s-gaap:FinancingReceivables30To59DaysPastDueMemberus-gaap:GeographicDistributionDomesticMembercof:CreditCardPortfolioSegmentMember2021-06-300000927628us-gaap:GeographicDistributionDomesticMembercof:CreditCardPortfolioSegmentMemberus-gaap:FinancingReceivabl</w:t>
      </w:r>
      <w:r>
        <w:rPr>
          <w:rFonts w:eastAsia="Times New Roman"/>
          <w:vanish/>
        </w:rPr>
        <w:t>es60To89DaysPastDueMember2021-06-300000927628us-gaap:GeographicDistributionDomesticMemberus-gaap:FinancingReceivablesEqualToGreaterThan90DaysPastDueMembercof:CreditCardPortfolioSegmentMember2021-06-300000927628us-gaap:GeographicDistributionForeignMembercof</w:t>
      </w:r>
      <w:r>
        <w:rPr>
          <w:rFonts w:eastAsia="Times New Roman"/>
          <w:vanish/>
        </w:rPr>
        <w:t>:CreditCardPortfolioSegmentMember2021-06-300000927628us-gaap:FinancingReceivables30To59DaysPastDueMemberus-gaap:GeographicDistributionForeignMembercof:CreditCardPortfolioSegmentMember2021-06-300000927628us-gaap:GeographicDistributionForeignMembercof:Credit</w:t>
      </w:r>
      <w:r>
        <w:rPr>
          <w:rFonts w:eastAsia="Times New Roman"/>
          <w:vanish/>
        </w:rPr>
        <w:t>CardPortfolioSegmentMemberus-gaap:FinancingReceivables60To89DaysPastDueMember2021-06-300000927628us-gaap:GeographicDistributionForeignMemberus-gaap:FinancingReceivablesEqualToGreaterThan90DaysPastDueMembercof:CreditCardPortfolioSegmentMember2021-06-3000009</w:t>
      </w:r>
      <w:r>
        <w:rPr>
          <w:rFonts w:eastAsia="Times New Roman"/>
          <w:vanish/>
        </w:rPr>
        <w:t>27628cof:CreditCardPortfolioSegmentMember2021-06-300000927628us-gaap:FinancingReceivables30To59DaysPastDueMembercof:CreditCardPortfolioSegmentMember2021-06-300000927628cof:CreditCardPortfolioSegmentMemberus-gaap:FinancingReceivables60To89DaysPastDueMember2</w:t>
      </w:r>
      <w:r>
        <w:rPr>
          <w:rFonts w:eastAsia="Times New Roman"/>
          <w:vanish/>
        </w:rPr>
        <w:t>021-06-300000927628us-gaap:FinancingReceivablesEqualToGreaterThan90DaysPastDueMembercof:CreditCardPortfolioSegmentMember2021-06-300000927628us-gaap:ConsumerPortfolioSegmentMemberus-gaap:AutomobileLoanMember2021-06-300000927628us-gaap:ConsumerPortfolioSegme</w:t>
      </w:r>
      <w:r>
        <w:rPr>
          <w:rFonts w:eastAsia="Times New Roman"/>
          <w:vanish/>
        </w:rPr>
        <w:t>ntMemberus-gaap:FinancingReceivables30To59DaysPastDueMemberus-gaap:AutomobileLoanMember2021-06-300000927628us-gaap:ConsumerPortfolioSegmentMemberus-gaap:FinancingReceivables60To89DaysPastDueMemberus-gaap:AutomobileLoanMember2021-06-300000927628us-gaap:Cons</w:t>
      </w:r>
      <w:r>
        <w:rPr>
          <w:rFonts w:eastAsia="Times New Roman"/>
          <w:vanish/>
        </w:rPr>
        <w:t>umerPortfolioSegmentMemberus-gaap:FinancingReceivablesEqualToGreaterThan90DaysPastDueMemberus-gaap:AutomobileLoanMember2021-06-300000927628us-gaap:ConsumerPortfolioSegmentMembercof:RetailBankingMember2021-06-300000927628us-gaap:ConsumerPortfolioSegmentMemb</w:t>
      </w:r>
      <w:r>
        <w:rPr>
          <w:rFonts w:eastAsia="Times New Roman"/>
          <w:vanish/>
        </w:rPr>
        <w:t>ercof:RetailBankingMemberus-gaap:FinancingReceivables30To59DaysPastDueMember2021-06-300000927628us-gaap:ConsumerPortfolioSegmentMembercof:RetailBankingMemberus-gaap:FinancingReceivables60To89DaysPastDueMember2021-06-300000927628us-gaap:ConsumerPortfolioSeg</w:t>
      </w:r>
      <w:r>
        <w:rPr>
          <w:rFonts w:eastAsia="Times New Roman"/>
          <w:vanish/>
        </w:rPr>
        <w:t>mentMembercof:RetailBankingMemberus-gaap:FinancingReceivablesEqualToGreaterThan90DaysPastDueMember2021-06-300000927628us-gaap:ConsumerPortfolioSegmentMember2021-06-300000927628us-gaap:ConsumerPortfolioSegmentMemberus-gaap:FinancingReceivables30To59DaysPast</w:t>
      </w:r>
      <w:r>
        <w:rPr>
          <w:rFonts w:eastAsia="Times New Roman"/>
          <w:vanish/>
        </w:rPr>
        <w:t>DueMember2021-06-300000927628us-gaap:ConsumerPortfolioSegmentMemberus-gaap:FinancingReceivables60To89DaysPastDueMember2021-06-300000927628us-gaap:ConsumerPortfolioSegmentMemberus-gaap:FinancingReceivablesEqualToGreaterThan90DaysPastDueMember2021-06-3000009</w:t>
      </w:r>
      <w:r>
        <w:rPr>
          <w:rFonts w:eastAsia="Times New Roman"/>
          <w:vanish/>
        </w:rPr>
        <w:t>27628cof:CommercialAndMultifamilyRealEstateMemberus-gaap:CommercialPortfolioSegmentMember2021-06-300000927628us-gaap:FinancingReceivables30To59DaysPastDueMembercof:CommercialAndMultifamilyRealEstateMemberus-gaap:CommercialPortfolioSegmentMember2021-06-3000</w:t>
      </w:r>
      <w:r>
        <w:rPr>
          <w:rFonts w:eastAsia="Times New Roman"/>
          <w:vanish/>
        </w:rPr>
        <w:t>00927628cof:CommercialAndMultifamilyRealEstateMemberus-gaap:CommercialPortfolioSegmentMemberus-gaap:FinancingReceivables60To89DaysPastDueMember2021-06-300000927628cof:CommercialAndMultifamilyRealEstateMemberus-gaap:FinancingReceivablesEqualToGreaterThan90D</w:t>
      </w:r>
      <w:r>
        <w:rPr>
          <w:rFonts w:eastAsia="Times New Roman"/>
          <w:vanish/>
        </w:rPr>
        <w:t>aysPastDueMemberus-gaap:CommercialPortfolioSegmentMember2021-06-300000927628cof:CommercialAndIndustrialMemberus-gaap:CommercialPortfolioSegmentMember2021-06-300000927628us-gaap:FinancingReceivables30To59DaysPastDueMembercof:CommercialAndIndustrialMemberus-</w:t>
      </w:r>
      <w:r>
        <w:rPr>
          <w:rFonts w:eastAsia="Times New Roman"/>
          <w:vanish/>
        </w:rPr>
        <w:t>gaap:CommercialPortfolioSegmentMember2021-06-300000927628cof:CommercialAndIndustrialMemberus-gaap:CommercialPortfolioSegmentMemberus-gaap:FinancingReceivables60To89DaysPastDueMember2021-06-300000927628cof:CommercialAndIndustrialMemberus-gaap:FinancingRecei</w:t>
      </w:r>
      <w:r>
        <w:rPr>
          <w:rFonts w:eastAsia="Times New Roman"/>
          <w:vanish/>
        </w:rPr>
        <w:t>vablesEqualToGreaterThan90DaysPastDueMemberus-gaap:CommercialPortfolioSegmentMember2021-06-300000927628us-gaap:CommercialPortfolioSegmentMember2021-06-300000927628us-gaap:FinancingReceivables30To59DaysPastDueMemberus-gaap:CommercialPortfolioSegmentMember20</w:t>
      </w:r>
      <w:r>
        <w:rPr>
          <w:rFonts w:eastAsia="Times New Roman"/>
          <w:vanish/>
        </w:rPr>
        <w:t>21-06-300000927628us-gaap:CommercialPortfolioSegmentMemberus-gaap:FinancingReceivables60To89DaysPastDueMember2021-06-300000927628us-gaap:FinancingReceivablesEqualToGreaterThan90DaysPastDueMemberus-gaap:CommercialPortfolioSegmentMember2021-06-300000927628us</w:t>
      </w:r>
      <w:r>
        <w:rPr>
          <w:rFonts w:eastAsia="Times New Roman"/>
          <w:vanish/>
        </w:rPr>
        <w:t>-gaap:FinancingReceivables30To59DaysPastDueMember2021-06-300000927628us-gaap:FinancingReceivables60To89DaysPastDueMember2021-06-300000927628us-gaap:FinancingReceivablesEqualToGreaterThan90DaysPastDueMember2021-06-300000927628us-gaap:GeographicDistributionD</w:t>
      </w:r>
      <w:r>
        <w:rPr>
          <w:rFonts w:eastAsia="Times New Roman"/>
          <w:vanish/>
        </w:rPr>
        <w:t>omesticMembercof:CreditCardPortfolioSegmentMember2020-12-310000927628us-gaap:FinancingReceivables30To59DaysPastDueMemberus-gaap:GeographicDistributionDomesticMembercof:CreditCardPortfolioSegmentMember2020-12-310000927628us-gaap:GeographicDistributionDomest</w:t>
      </w:r>
      <w:r>
        <w:rPr>
          <w:rFonts w:eastAsia="Times New Roman"/>
          <w:vanish/>
        </w:rPr>
        <w:t>icMembercof:CreditCardPortfolioSegmentMemberus-gaap:FinancingReceivables60To89DaysPastDueMember2020-12-310000927628us-gaap:GeographicDistributionDomesticMemberus-gaap:FinancingReceivablesEqualToGreaterThan90DaysPastDueMembercof:CreditCardPortfolioSegmentMe</w:t>
      </w:r>
      <w:r>
        <w:rPr>
          <w:rFonts w:eastAsia="Times New Roman"/>
          <w:vanish/>
        </w:rPr>
        <w:t>mber2020-12-310000927628us-gaap:GeographicDistributionForeignMembercof:CreditCardPortfolioSegmentMember2020-12-310000927628us-gaap:FinancingReceivables30To59DaysPastDueMemberus-gaap:GeographicDistributionForeignMembercof:CreditCardPortfolioSegmentMember202</w:t>
      </w:r>
      <w:r>
        <w:rPr>
          <w:rFonts w:eastAsia="Times New Roman"/>
          <w:vanish/>
        </w:rPr>
        <w:t>0-12-310000927628us-gaap:GeographicDistributionForeignMembercof:CreditCardPortfolioSegmentMemberus-gaap:FinancingReceivables60To89DaysPastDueMember2020-12-310000927628us-gaap:GeographicDistributionForeignMemberus-gaap:FinancingReceivablesEqualToGreaterThan</w:t>
      </w:r>
      <w:r>
        <w:rPr>
          <w:rFonts w:eastAsia="Times New Roman"/>
          <w:vanish/>
        </w:rPr>
        <w:t>90DaysPastDueMembercof:CreditCardPortfolioSegmentMember2020-12-310000927628cof:CreditCardPortfolioSegmentMember2020-12-310000927628us-gaap:FinancingReceivables30To59DaysPastDueMembercof:CreditCardPortfolioSegmentMember2020-12-310000927628cof:CreditCardPort</w:t>
      </w:r>
      <w:r>
        <w:rPr>
          <w:rFonts w:eastAsia="Times New Roman"/>
          <w:vanish/>
        </w:rPr>
        <w:t>folioSegmentMemberus-gaap:FinancingReceivables60To89DaysPastDueMember2020-12-310000927628us-gaap:FinancingReceivablesEqualToGreaterThan90DaysPastDueMembercof:CreditCardPortfolioSegmentMember2020-12-310000927628us-gaap:ConsumerPortfolioSegmentMemberus-gaap:</w:t>
      </w:r>
      <w:r>
        <w:rPr>
          <w:rFonts w:eastAsia="Times New Roman"/>
          <w:vanish/>
        </w:rPr>
        <w:t>AutomobileLoanMember2020-12-310000927628us-gaap:ConsumerPortfolioSegmentMemberus-gaap:FinancingReceivables30To59DaysPastDueMemberus-gaap:AutomobileLoanMember2020-12-310000927628us-gaap:ConsumerPortfolioSegmentMemberus-gaap:FinancingReceivables60To89DaysPas</w:t>
      </w:r>
      <w:r>
        <w:rPr>
          <w:rFonts w:eastAsia="Times New Roman"/>
          <w:vanish/>
        </w:rPr>
        <w:t>tDueMemberus-gaap:AutomobileLoanMember2020-12-310000927628us-gaap:ConsumerPortfolioSegmentMemberus-gaap:FinancingReceivablesEqualToGreaterThan90DaysPastDueMemberus-gaap:AutomobileLoanMember2020-12-310000927628us-gaap:ConsumerPortfolioSegmentMembercof:Retai</w:t>
      </w:r>
      <w:r>
        <w:rPr>
          <w:rFonts w:eastAsia="Times New Roman"/>
          <w:vanish/>
        </w:rPr>
        <w:t>lBankingMember2020-12-310000927628us-gaap:ConsumerPortfolioSegmentMembercof:RetailBankingMemberus-gaap:FinancingReceivables30To59DaysPastDueMember2020-12-310000927628us-gaap:ConsumerPortfolioSegmentMembercof:RetailBankingMemberus-gaap:FinancingReceivables6</w:t>
      </w:r>
      <w:r>
        <w:rPr>
          <w:rFonts w:eastAsia="Times New Roman"/>
          <w:vanish/>
        </w:rPr>
        <w:t>0To89DaysPastDueMember2020-12-310000927628us-gaap:ConsumerPortfolioSegmentMembercof:RetailBankingMemberus-gaap:FinancingReceivablesEqualToGreaterThan90DaysPastDueMember2020-12-310000927628us-gaap:ConsumerPortfolioSegmentMember2020-12-310000927628us-gaap:Co</w:t>
      </w:r>
      <w:r>
        <w:rPr>
          <w:rFonts w:eastAsia="Times New Roman"/>
          <w:vanish/>
        </w:rPr>
        <w:t>nsumerPortfolioSegmentMemberus-gaap:FinancingReceivables30To59DaysPastDueMember2020-12-310000927628us-gaap:ConsumerPortfolioSegmentMemberus-gaap:FinancingReceivables60To89DaysPastDueMember2020-12-310000927628us-gaap:ConsumerPortfolioSegmentMemberus-gaap:Fi</w:t>
      </w:r>
      <w:r>
        <w:rPr>
          <w:rFonts w:eastAsia="Times New Roman"/>
          <w:vanish/>
        </w:rPr>
        <w:t>nancingReceivablesEqualToGreaterThan90DaysPastDueMember2020-12-310000927628cof:CommercialAndMultifamilyRealEstateMemberus-gaap:CommercialPortfolioSegmentMember2020-12-310000927628us-gaap:FinancingReceivables30To59DaysPastDueMembercof:CommercialAndMultifami</w:t>
      </w:r>
      <w:r>
        <w:rPr>
          <w:rFonts w:eastAsia="Times New Roman"/>
          <w:vanish/>
        </w:rPr>
        <w:t>lyRealEstateMemberus-gaap:CommercialPortfolioSegmentMember2020-12-310000927628cof:CommercialAndMultifamilyRealEstateMemberus-gaap:CommercialPortfolioSegmentMemberus-gaap:FinancingReceivables60To89DaysPastDueMember2020-12-310000927628cof:CommercialAndMultif</w:t>
      </w:r>
      <w:r>
        <w:rPr>
          <w:rFonts w:eastAsia="Times New Roman"/>
          <w:vanish/>
        </w:rPr>
        <w:t>amilyRealEstateMemberus-gaap:FinancingReceivablesEqualToGreaterThan90DaysPastDueMemberus-gaap:CommercialPortfolioSegmentMember2020-12-310000927628cof:CommercialAndIndustrialMemberus-gaap:CommercialPortfolioSegmentMember2020-12-310000927628us-gaap:Financing</w:t>
      </w:r>
      <w:r>
        <w:rPr>
          <w:rFonts w:eastAsia="Times New Roman"/>
          <w:vanish/>
        </w:rPr>
        <w:t>Receivables30To59DaysPastDueMembercof:CommercialAndIndustrialMemberus-gaap:CommercialPortfolioSegmentMember2020-12-310000927628cof:CommercialAndIndustrialMemberus-gaap:CommercialPortfolioSegmentMemberus-gaap:FinancingReceivables60To89DaysPastDueMember2020-</w:t>
      </w:r>
      <w:r>
        <w:rPr>
          <w:rFonts w:eastAsia="Times New Roman"/>
          <w:vanish/>
        </w:rPr>
        <w:t>12-310000927628cof:CommercialAndIndustrialMemberus-gaap:FinancingReceivablesEqualToGreaterThan90DaysPastDueMemberus-gaap:CommercialPortfolioSegmentMember2020-12-310000927628us-gaap:CommercialPortfolioSegmentMember2020-12-310000927628us-gaap:FinancingReceiv</w:t>
      </w:r>
      <w:r>
        <w:rPr>
          <w:rFonts w:eastAsia="Times New Roman"/>
          <w:vanish/>
        </w:rPr>
        <w:t>ables30To59DaysPastDueMemberus-gaap:CommercialPortfolioSegmentMember2020-12-310000927628us-gaap:CommercialPortfolioSegmentMemberus-gaap:FinancingReceivables60To89DaysPastDueMember2020-12-310000927628us-gaap:FinancingReceivablesEqualToGreaterThan90DaysPastD</w:t>
      </w:r>
      <w:r>
        <w:rPr>
          <w:rFonts w:eastAsia="Times New Roman"/>
          <w:vanish/>
        </w:rPr>
        <w:t>ueMemberus-gaap:CommercialPortfolioSegmentMember2020-12-310000927628us-gaap:FinancingReceivables30To59DaysPastDueMember2020-12-310000927628us-gaap:FinancingReceivables60To89DaysPastDueMember2020-12-310000927628us-gaap:FinancingReceivablesEqualToGreaterThan</w:t>
      </w:r>
      <w:r>
        <w:rPr>
          <w:rFonts w:eastAsia="Times New Roman"/>
          <w:vanish/>
        </w:rPr>
        <w:t>90DaysPastDueMember2020-12-310000927628cof:CreditCardPortfolioSegmentMember2021-01-012021-06-300000927628cof:FinancialAssetCurrentAndLessThan30DaysPastDueMemberus-gaap:GeographicDistributionDomesticMembercof:CreditCardPortfolioSegmentMember2021-06-30000092</w:t>
      </w:r>
      <w:r>
        <w:rPr>
          <w:rFonts w:eastAsia="Times New Roman"/>
          <w:vanish/>
        </w:rPr>
        <w:t>7628cof:FinancialAssetCurrentAndLessThan30DaysPastDueMemberus-gaap:GeographicDistributionDomesticMembercof:CreditCardPortfolioSegmentMember2020-12-310000927628cof:FinancialAssetCurrentAndLessThan30DaysPastDueMemberus-gaap:GeographicDistributionForeignMembe</w:t>
      </w:r>
      <w:r>
        <w:rPr>
          <w:rFonts w:eastAsia="Times New Roman"/>
          <w:vanish/>
        </w:rPr>
        <w:t>rcof:CreditCardPortfolioSegmentMember2021-06-300000927628cof:FinancialAssetCurrentAndLessThan30DaysPastDueMemberus-gaap:GeographicDistributionForeignMembercof:CreditCardPortfolioSegmentMember2020-12-310000927628us-gaap:ConsumerPortfolioSegmentMember2021-01</w:t>
      </w:r>
      <w:r>
        <w:rPr>
          <w:rFonts w:eastAsia="Times New Roman"/>
          <w:vanish/>
        </w:rPr>
        <w:t>-012021-06-300000927628us-gaap:ConsumerPortfolioSegmentMembercof:FICOScoreGreaterThan660Memberus-gaap:AutomobileLoanMember2021-06-300000927628us-gaap:ConsumerPortfolioSegmentMembercof:FICOScore621To660Memberus-gaap:AutomobileLoanMember2021-06-300000927628u</w:t>
      </w:r>
      <w:r>
        <w:rPr>
          <w:rFonts w:eastAsia="Times New Roman"/>
          <w:vanish/>
        </w:rPr>
        <w:t>s-gaap:ConsumerPortfolioSegmentMembercof:FICOScoreLessThan620Memberus-gaap:AutomobileLoanMember2021-06-300000927628us-gaap:ConsumerPortfolioSegmentMembercof:RetailBankingMembercof:FinancialAssetCurrentAndLessThan30DaysPastDueMember2021-06-300000927628us-ga</w:t>
      </w:r>
      <w:r>
        <w:rPr>
          <w:rFonts w:eastAsia="Times New Roman"/>
          <w:vanish/>
        </w:rPr>
        <w:t>ap:ConsumerPortfolioSegmentMembercof:FICOScoreGreaterThan660Memberus-gaap:AutomobileLoanMember2020-12-310000927628us-gaap:ConsumerPortfolioSegmentMembercof:FICOScore621To660Memberus-gaap:AutomobileLoanMember2020-12-310000927628us-gaap:ConsumerPortfolioSegm</w:t>
      </w:r>
      <w:r>
        <w:rPr>
          <w:rFonts w:eastAsia="Times New Roman"/>
          <w:vanish/>
        </w:rPr>
        <w:t>entMembercof:FICOScoreLessThan620Memberus-gaap:AutomobileLoanMember2020-12-310000927628us-gaap:ConsumerPortfolioSegmentMembercof:RetailBankingMembercof:FinancialAssetCurrentAndLessThan30DaysPastDueMember2020-12-310000927628us-gaap:CommercialPortfolioSegmen</w:t>
      </w:r>
      <w:r>
        <w:rPr>
          <w:rFonts w:eastAsia="Times New Roman"/>
          <w:vanish/>
        </w:rPr>
        <w:t>tMember2021-01-012021-06-300000927628cof:CommercialAndMultifamilyRealEstateMemberus-gaap:PassMemberus-gaap:CommercialPortfolioSegmentMember2021-06-300000927628cof:CommercialAndMultifamilyRealEstateMemberus-gaap:PerformingFinancingReceivableMemberus-gaap:Cr</w:t>
      </w:r>
      <w:r>
        <w:rPr>
          <w:rFonts w:eastAsia="Times New Roman"/>
          <w:vanish/>
        </w:rPr>
        <w:t>iticizedMemberus-gaap:CommercialPortfolioSegmentMember2021-06-300000927628cof:CommercialAndMultifamilyRealEstateMemberus-gaap:NonperformingFinancingReceivableMemberus-gaap:CriticizedMemberus-gaap:CommercialPortfolioSegmentMember2021-06-300000927628cof:Comm</w:t>
      </w:r>
      <w:r>
        <w:rPr>
          <w:rFonts w:eastAsia="Times New Roman"/>
          <w:vanish/>
        </w:rPr>
        <w:t>ercialAndIndustrialMemberus-gaap:PassMemberus-gaap:CommercialPortfolioSegmentMember2021-06-300000927628cof:CommercialAndIndustrialMemberus-gaap:PerformingFinancingReceivableMemberus-gaap:CriticizedMemberus-gaap:CommercialPortfolioSegmentMember2021-06-30000</w:t>
      </w:r>
      <w:r>
        <w:rPr>
          <w:rFonts w:eastAsia="Times New Roman"/>
          <w:vanish/>
        </w:rPr>
        <w:t>0927628us-gaap:NonperformingFinancingReceivableMembercof:CommercialAndIndustrialMemberus-gaap:CriticizedMemberus-gaap:CommercialPortfolioSegmentMember2021-06-300000927628cof:CommercialAndMultifamilyRealEstateMemberus-gaap:PassMemberus-gaap:CommercialPortfo</w:t>
      </w:r>
      <w:r>
        <w:rPr>
          <w:rFonts w:eastAsia="Times New Roman"/>
          <w:vanish/>
        </w:rPr>
        <w:t>lioSegmentMember2020-12-310000927628cof:CommercialAndMultifamilyRealEstateMemberus-gaap:PerformingFinancingReceivableMemberus-gaap:CriticizedMemberus-gaap:CommercialPortfolioSegmentMember2020-12-310000927628cof:CommercialAndMultifamilyRealEstateMemberus-ga</w:t>
      </w:r>
      <w:r>
        <w:rPr>
          <w:rFonts w:eastAsia="Times New Roman"/>
          <w:vanish/>
        </w:rPr>
        <w:t>ap:NonperformingFinancingReceivableMemberus-gaap:CriticizedMemberus-gaap:CommercialPortfolioSegmentMember2020-12-310000927628cof:CommercialAndIndustrialMemberus-gaap:PassMemberus-gaap:CommercialPortfolioSegmentMember2020-12-310000927628cof:CommercialAndInd</w:t>
      </w:r>
      <w:r>
        <w:rPr>
          <w:rFonts w:eastAsia="Times New Roman"/>
          <w:vanish/>
        </w:rPr>
        <w:t>ustrialMemberus-gaap:PerformingFinancingReceivableMemberus-gaap:CriticizedMemberus-gaap:CommercialPortfolioSegmentMember2020-12-310000927628us-gaap:NonperformingFinancingReceivableMembercof:CommercialAndIndustrialMemberus-gaap:CriticizedMemberus-gaap:Comme</w:t>
      </w:r>
      <w:r>
        <w:rPr>
          <w:rFonts w:eastAsia="Times New Roman"/>
          <w:vanish/>
        </w:rPr>
        <w:t>rcialPortfolioSegmentMember2020-12-310000927628cof:CreditCardandConsumerPortfoliosMemberus-gaap:PerformingFinancingReceivableMember2021-06-300000927628cof:CreditCardandConsumerPortfoliosMemberus-gaap:PerformingFinancingReceivableMember2020-12-310000927628u</w:t>
      </w:r>
      <w:r>
        <w:rPr>
          <w:rFonts w:eastAsia="Times New Roman"/>
          <w:vanish/>
        </w:rPr>
        <w:t>s-gaap:PerformingFinancingReceivableMemberus-gaap:CommercialPortfolioSegmentMember2021-06-300000927628us-gaap:PerformingFinancingReceivableMemberus-gaap:CommercialPortfolioSegmentMember2020-12-310000927628us-gaap:GeographicDistributionDomesticMembercof:Cre</w:t>
      </w:r>
      <w:r>
        <w:rPr>
          <w:rFonts w:eastAsia="Times New Roman"/>
          <w:vanish/>
        </w:rPr>
        <w:t>ditCardPortfolioSegmentMember2021-04-012021-06-300000927628us-gaap:ContractualInterestRateReductionMemberus-gaap:GeographicDistributionDomesticMembercof:CreditCardPortfolioSegmentMember2021-04-012021-06-300000927628us-gaap:GeographicDistributionDomesticMem</w:t>
      </w:r>
      <w:r>
        <w:rPr>
          <w:rFonts w:eastAsia="Times New Roman"/>
          <w:vanish/>
        </w:rPr>
        <w:t>bercof:CreditCardPortfolioSegmentMemberus-gaap:ExtendedMaturityMember2021-04-012021-06-300000927628us-gaap:GeographicDistributionForeignMembercof:CreditCardPortfolioSegmentMember2021-04-012021-06-300000927628us-gaap:ContractualInterestRateReductionMemberus</w:t>
      </w:r>
      <w:r>
        <w:rPr>
          <w:rFonts w:eastAsia="Times New Roman"/>
          <w:vanish/>
        </w:rPr>
        <w:t>-gaap:GeographicDistributionForeignMembercof:CreditCardPortfolioSegmentMember2021-04-012021-06-300000927628us-gaap:GeographicDistributionForeignMembercof:CreditCardPortfolioSegmentMemberus-gaap:ExtendedMaturityMember2021-04-012021-06-300000927628cof:Credit</w:t>
      </w:r>
      <w:r>
        <w:rPr>
          <w:rFonts w:eastAsia="Times New Roman"/>
          <w:vanish/>
        </w:rPr>
        <w:t>CardPortfolioSegmentMember2021-04-012021-06-300000927628us-gaap:ContractualInterestRateReductionMembercof:CreditCardPortfolioSegmentMember2021-04-012021-06-300000927628cof:CreditCardPortfolioSegmentMemberus-gaap:ExtendedMaturityMember2021-04-012021-06-3000</w:t>
      </w:r>
      <w:r>
        <w:rPr>
          <w:rFonts w:eastAsia="Times New Roman"/>
          <w:vanish/>
        </w:rPr>
        <w:t>00927628us-gaap:ConsumerPortfolioSegmentMemberus-gaap:AutomobileLoanMember2021-04-012021-06-300000927628us-gaap:ConsumerPortfolioSegmentMemberus-gaap:ContractualInterestRateReductionMemberus-gaap:AutomobileLoanMember2021-04-012021-06-300000927628us-gaap:Co</w:t>
      </w:r>
      <w:r>
        <w:rPr>
          <w:rFonts w:eastAsia="Times New Roman"/>
          <w:vanish/>
        </w:rPr>
        <w:t>nsumerPortfolioSegmentMemberus-gaap:ExtendedMaturityMemberus-gaap:AutomobileLoanMember2021-04-012021-06-300000927628us-gaap:ConsumerPortfolioSegmentMembercof:RetailBankingMember2021-04-012021-06-300000927628us-gaap:ConsumerPortfolioSegmentMemberus-gaap:Con</w:t>
      </w:r>
      <w:r>
        <w:rPr>
          <w:rFonts w:eastAsia="Times New Roman"/>
          <w:vanish/>
        </w:rPr>
        <w:t>tractualInterestRateReductionMembercof:RetailBankingMember2021-04-012021-06-300000927628us-gaap:ConsumerPortfolioSegmentMembercof:RetailBankingMemberus-gaap:ExtendedMaturityMember2021-04-012021-06-300000927628us-gaap:ConsumerPortfolioSegmentMember2021-04-0</w:t>
      </w:r>
      <w:r>
        <w:rPr>
          <w:rFonts w:eastAsia="Times New Roman"/>
          <w:vanish/>
        </w:rPr>
        <w:t>12021-06-300000927628us-gaap:ConsumerPortfolioSegmentMemberus-gaap:ContractualInterestRateReductionMember2021-04-012021-06-300000927628us-gaap:ConsumerPortfolioSegmentMemberus-gaap:ExtendedMaturityMember2021-04-012021-06-300000927628cof:CommercialAndMultif</w:t>
      </w:r>
      <w:r>
        <w:rPr>
          <w:rFonts w:eastAsia="Times New Roman"/>
          <w:vanish/>
        </w:rPr>
        <w:t>amilyRealEstateMemberus-gaap:CommercialPortfolioSegmentMember2021-04-012021-06-300000927628us-gaap:ContractualInterestRateReductionMembercof:CommercialAndMultifamilyRealEstateMemberus-gaap:CommercialPortfolioSegmentMember2021-04-012021-06-300000927628cof:C</w:t>
      </w:r>
      <w:r>
        <w:rPr>
          <w:rFonts w:eastAsia="Times New Roman"/>
          <w:vanish/>
        </w:rPr>
        <w:t>ommercialAndMultifamilyRealEstateMemberus-gaap:ExtendedMaturityMemberus-gaap:CommercialPortfolioSegmentMember2021-04-012021-06-300000927628cof:CommercialAndIndustrialMemberus-gaap:CommercialPortfolioSegmentMember2021-04-012021-06-300000927628us-gaap:Contra</w:t>
      </w:r>
      <w:r>
        <w:rPr>
          <w:rFonts w:eastAsia="Times New Roman"/>
          <w:vanish/>
        </w:rPr>
        <w:t>ctualInterestRateReductionMembercof:CommercialAndIndustrialMemberus-gaap:CommercialPortfolioSegmentMember2021-04-012021-06-300000927628cof:CommercialAndIndustrialMemberus-gaap:ExtendedMaturityMemberus-gaap:CommercialPortfolioSegmentMember2021-04-012021-06-</w:t>
      </w:r>
      <w:r>
        <w:rPr>
          <w:rFonts w:eastAsia="Times New Roman"/>
          <w:vanish/>
        </w:rPr>
        <w:t>300000927628us-gaap:CommercialPortfolioSegmentMember2021-04-012021-06-300000927628us-gaap:ContractualInterestRateReductionMemberus-gaap:CommercialPortfolioSegmentMember2021-04-012021-06-300000927628us-gaap:ExtendedMaturityMemberus-gaap:CommercialPortfolioS</w:t>
      </w:r>
      <w:r>
        <w:rPr>
          <w:rFonts w:eastAsia="Times New Roman"/>
          <w:vanish/>
        </w:rPr>
        <w:t>egmentMember2021-04-012021-06-300000927628us-gaap:ContractualInterestRateReductionMember2021-04-012021-06-300000927628us-gaap:ExtendedMaturityMember2021-04-012021-06-300000927628us-gaap:GeographicDistributionDomesticMembercof:CreditCardPortfolioSegmentMemb</w:t>
      </w:r>
      <w:r>
        <w:rPr>
          <w:rFonts w:eastAsia="Times New Roman"/>
          <w:vanish/>
        </w:rPr>
        <w:t>er2021-01-012021-06-300000927628us-gaap:ContractualInterestRateReductionMemberus-gaap:GeographicDistributionDomesticMembercof:CreditCardPortfolioSegmentMember2021-01-012021-06-300000927628us-gaap:GeographicDistributionDomesticMembercof:CreditCardPortfolioS</w:t>
      </w:r>
      <w:r>
        <w:rPr>
          <w:rFonts w:eastAsia="Times New Roman"/>
          <w:vanish/>
        </w:rPr>
        <w:t>egmentMemberus-gaap:ExtendedMaturityMember2021-01-012021-06-300000927628us-gaap:GeographicDistributionForeignMembercof:CreditCardPortfolioSegmentMember2021-01-012021-06-300000927628us-gaap:ContractualInterestRateReductionMemberus-gaap:GeographicDistributio</w:t>
      </w:r>
      <w:r>
        <w:rPr>
          <w:rFonts w:eastAsia="Times New Roman"/>
          <w:vanish/>
        </w:rPr>
        <w:t>nForeignMembercof:CreditCardPortfolioSegmentMember2021-01-012021-06-300000927628us-gaap:GeographicDistributionForeignMembercof:CreditCardPortfolioSegmentMemberus-gaap:ExtendedMaturityMember2021-01-012021-06-300000927628us-gaap:ContractualInterestRateReduct</w:t>
      </w:r>
      <w:r>
        <w:rPr>
          <w:rFonts w:eastAsia="Times New Roman"/>
          <w:vanish/>
        </w:rPr>
        <w:t>ionMembercof:CreditCardPortfolioSegmentMember2021-01-012021-06-300000927628cof:CreditCardPortfolioSegmentMemberus-gaap:ExtendedMaturityMember2021-01-012021-06-300000927628us-gaap:ConsumerPortfolioSegmentMemberus-gaap:AutomobileLoanMember2021-01-012021-06-3</w:t>
      </w:r>
      <w:r>
        <w:rPr>
          <w:rFonts w:eastAsia="Times New Roman"/>
          <w:vanish/>
        </w:rPr>
        <w:t>00000927628us-gaap:ConsumerPortfolioSegmentMemberus-gaap:ContractualInterestRateReductionMemberus-gaap:AutomobileLoanMember2021-01-012021-06-300000927628us-gaap:ConsumerPortfolioSegmentMemberus-gaap:ExtendedMaturityMemberus-gaap:AutomobileLoanMember2021-01</w:t>
      </w:r>
      <w:r>
        <w:rPr>
          <w:rFonts w:eastAsia="Times New Roman"/>
          <w:vanish/>
        </w:rPr>
        <w:t>-012021-06-300000927628us-gaap:ConsumerPortfolioSegmentMembercof:RetailBankingMember2021-01-012021-06-300000927628us-gaap:ConsumerPortfolioSegmentMemberus-gaap:ContractualInterestRateReductionMembercof:RetailBankingMember2021-01-012021-06-300000927628us-ga</w:t>
      </w:r>
      <w:r>
        <w:rPr>
          <w:rFonts w:eastAsia="Times New Roman"/>
          <w:vanish/>
        </w:rPr>
        <w:t>ap:ConsumerPortfolioSegmentMembercof:RetailBankingMemberus-gaap:ExtendedMaturityMember2021-01-012021-06-300000927628us-gaap:ConsumerPortfolioSegmentMemberus-gaap:ContractualInterestRateReductionMember2021-01-012021-06-300000927628us-gaap:ConsumerPortfolioS</w:t>
      </w:r>
      <w:r>
        <w:rPr>
          <w:rFonts w:eastAsia="Times New Roman"/>
          <w:vanish/>
        </w:rPr>
        <w:t>egmentMemberus-gaap:ExtendedMaturityMember2021-01-012021-06-300000927628cof:CommercialAndMultifamilyRealEstateMemberus-gaap:CommercialPortfolioSegmentMember2021-01-012021-06-300000927628us-gaap:ContractualInterestRateReductionMembercof:CommercialAndMultifa</w:t>
      </w:r>
      <w:r>
        <w:rPr>
          <w:rFonts w:eastAsia="Times New Roman"/>
          <w:vanish/>
        </w:rPr>
        <w:t>milyRealEstateMemberus-gaap:CommercialPortfolioSegmentMember2021-01-012021-06-300000927628cof:CommercialAndMultifamilyRealEstateMemberus-gaap:ExtendedMaturityMemberus-gaap:CommercialPortfolioSegmentMember2021-01-012021-06-300000927628cof:CommercialAndIndus</w:t>
      </w:r>
      <w:r>
        <w:rPr>
          <w:rFonts w:eastAsia="Times New Roman"/>
          <w:vanish/>
        </w:rPr>
        <w:t>trialMemberus-gaap:CommercialPortfolioSegmentMember2021-01-012021-06-300000927628us-gaap:ContractualInterestRateReductionMembercof:CommercialAndIndustrialMemberus-gaap:CommercialPortfolioSegmentMember2021-01-012021-06-300000927628cof:CommercialAndIndustria</w:t>
      </w:r>
      <w:r>
        <w:rPr>
          <w:rFonts w:eastAsia="Times New Roman"/>
          <w:vanish/>
        </w:rPr>
        <w:t>lMemberus-gaap:ExtendedMaturityMemberus-gaap:CommercialPortfolioSegmentMember2021-01-012021-06-300000927628us-gaap:ContractualInterestRateReductionMemberus-gaap:CommercialPortfolioSegmentMember2021-01-012021-06-300000927628us-gaap:ExtendedMaturityMemberus-</w:t>
      </w:r>
      <w:r>
        <w:rPr>
          <w:rFonts w:eastAsia="Times New Roman"/>
          <w:vanish/>
        </w:rPr>
        <w:t>gaap:CommercialPortfolioSegmentMember2021-01-012021-06-300000927628us-gaap:ContractualInterestRateReductionMember2021-01-012021-06-300000927628us-gaap:ExtendedMaturityMember2021-01-012021-06-300000927628us-gaap:GeographicDistributionDomesticMembercof:Credi</w:t>
      </w:r>
      <w:r>
        <w:rPr>
          <w:rFonts w:eastAsia="Times New Roman"/>
          <w:vanish/>
        </w:rPr>
        <w:t>tCardPortfolioSegmentMember2020-04-012020-06-300000927628us-gaap:ContractualInterestRateReductionMemberus-gaap:GeographicDistributionDomesticMembercof:CreditCardPortfolioSegmentMember2020-04-012020-06-300000927628us-gaap:GeographicDistributionDomesticMembe</w:t>
      </w:r>
      <w:r>
        <w:rPr>
          <w:rFonts w:eastAsia="Times New Roman"/>
          <w:vanish/>
        </w:rPr>
        <w:t>rcof:CreditCardPortfolioSegmentMemberus-gaap:ExtendedMaturityMember2020-04-012020-06-300000927628us-gaap:PrincipalForgivenessMemberus-gaap:GeographicDistributionDomesticMembercof:CreditCardPortfolioSegmentMember2020-04-012020-06-300000927628us-gaap:Geograp</w:t>
      </w:r>
      <w:r>
        <w:rPr>
          <w:rFonts w:eastAsia="Times New Roman"/>
          <w:vanish/>
        </w:rPr>
        <w:t>hicDistributionForeignMembercof:CreditCardPortfolioSegmentMember2020-04-012020-06-300000927628us-gaap:ContractualInterestRateReductionMemberus-gaap:GeographicDistributionForeignMembercof:CreditCardPortfolioSegmentMember2020-04-012020-06-300000927628us-gaap</w:t>
      </w:r>
      <w:r>
        <w:rPr>
          <w:rFonts w:eastAsia="Times New Roman"/>
          <w:vanish/>
        </w:rPr>
        <w:t>:GeographicDistributionForeignMembercof:CreditCardPortfolioSegmentMemberus-gaap:ExtendedMaturityMember2020-04-012020-06-300000927628us-gaap:PrincipalForgivenessMemberus-gaap:GeographicDistributionForeignMembercof:CreditCardPortfolioSegmentMember2020-04-012</w:t>
      </w:r>
      <w:r>
        <w:rPr>
          <w:rFonts w:eastAsia="Times New Roman"/>
          <w:vanish/>
        </w:rPr>
        <w:t>020-06-300000927628cof:CreditCardPortfolioSegmentMember2020-04-012020-06-300000927628us-gaap:ContractualInterestRateReductionMembercof:CreditCardPortfolioSegmentMember2020-04-012020-06-300000927628cof:CreditCardPortfolioSegmentMemberus-gaap:ExtendedMaturit</w:t>
      </w:r>
      <w:r>
        <w:rPr>
          <w:rFonts w:eastAsia="Times New Roman"/>
          <w:vanish/>
        </w:rPr>
        <w:t>yMember2020-04-012020-06-300000927628us-gaap:PrincipalForgivenessMembercof:CreditCardPortfolioSegmentMember2020-04-012020-06-300000927628us-gaap:ConsumerPortfolioSegmentMemberus-gaap:AutomobileLoanMember2020-04-012020-06-300000927628us-gaap:ConsumerPortfol</w:t>
      </w:r>
      <w:r>
        <w:rPr>
          <w:rFonts w:eastAsia="Times New Roman"/>
          <w:vanish/>
        </w:rPr>
        <w:t>ioSegmentMemberus-gaap:ContractualInterestRateReductionMemberus-gaap:AutomobileLoanMember2020-04-012020-06-300000927628us-gaap:ConsumerPortfolioSegmentMemberus-gaap:ExtendedMaturityMemberus-gaap:AutomobileLoanMember2020-04-012020-06-300000927628us-gaap:Con</w:t>
      </w:r>
      <w:r>
        <w:rPr>
          <w:rFonts w:eastAsia="Times New Roman"/>
          <w:vanish/>
        </w:rPr>
        <w:t>sumerPortfolioSegmentMemberus-gaap:PrincipalForgivenessMemberus-gaap:AutomobileLoanMember2020-04-012020-06-300000927628us-gaap:ConsumerPortfolioSegmentMembercof:RetailBankingMember2020-04-012020-06-300000927628us-gaap:ConsumerPortfolioSegmentMemberus-gaap:</w:t>
      </w:r>
      <w:r>
        <w:rPr>
          <w:rFonts w:eastAsia="Times New Roman"/>
          <w:vanish/>
        </w:rPr>
        <w:t>ContractualInterestRateReductionMembercof:RetailBankingMember2020-04-012020-06-300000927628us-gaap:ConsumerPortfolioSegmentMembercof:RetailBankingMemberus-gaap:ExtendedMaturityMember2020-04-012020-06-300000927628us-gaap:ConsumerPortfolioSegmentMembercof:Re</w:t>
      </w:r>
      <w:r>
        <w:rPr>
          <w:rFonts w:eastAsia="Times New Roman"/>
          <w:vanish/>
        </w:rPr>
        <w:t>tailBankingMemberus-gaap:PrincipalForgivenessMember2020-04-012020-06-300000927628us-gaap:ConsumerPortfolioSegmentMember2020-04-012020-06-300000927628us-gaap:ConsumerPortfolioSegmentMemberus-gaap:ContractualInterestRateReductionMember2020-04-012020-06-30000</w:t>
      </w:r>
      <w:r>
        <w:rPr>
          <w:rFonts w:eastAsia="Times New Roman"/>
          <w:vanish/>
        </w:rPr>
        <w:t>0927628us-gaap:ConsumerPortfolioSegmentMemberus-gaap:ExtendedMaturityMember2020-04-012020-06-300000927628us-gaap:ConsumerPortfolioSegmentMemberus-gaap:PrincipalForgivenessMember2020-04-012020-06-300000927628cof:CommercialAndMultifamilyRealEstateMemberus-ga</w:t>
      </w:r>
      <w:r>
        <w:rPr>
          <w:rFonts w:eastAsia="Times New Roman"/>
          <w:vanish/>
        </w:rPr>
        <w:t>ap:CommercialPortfolioSegmentMember2020-04-012020-06-300000927628us-gaap:ContractualInterestRateReductionMembercof:CommercialAndMultifamilyRealEstateMemberus-gaap:CommercialPortfolioSegmentMember2020-04-012020-06-300000927628cof:CommercialAndMultifamilyRea</w:t>
      </w:r>
      <w:r>
        <w:rPr>
          <w:rFonts w:eastAsia="Times New Roman"/>
          <w:vanish/>
        </w:rPr>
        <w:t>lEstateMemberus-gaap:ExtendedMaturityMemberus-gaap:CommercialPortfolioSegmentMember2020-04-012020-06-300000927628us-gaap:PrincipalForgivenessMembercof:CommercialAndMultifamilyRealEstateMemberus-gaap:CommercialPortfolioSegmentMember2020-04-012020-06-3000009</w:t>
      </w:r>
      <w:r>
        <w:rPr>
          <w:rFonts w:eastAsia="Times New Roman"/>
          <w:vanish/>
        </w:rPr>
        <w:t>27628cof:CommercialAndIndustrialMemberus-gaap:CommercialPortfolioSegmentMember2020-04-012020-06-300000927628us-gaap:ContractualInterestRateReductionMembercof:CommercialAndIndustrialMemberus-gaap:CommercialPortfolioSegmentMember2020-04-012020-06-30000092762</w:t>
      </w:r>
      <w:r>
        <w:rPr>
          <w:rFonts w:eastAsia="Times New Roman"/>
          <w:vanish/>
        </w:rPr>
        <w:t>8cof:CommercialAndIndustrialMemberus-gaap:ExtendedMaturityMemberus-gaap:CommercialPortfolioSegmentMember2020-04-012020-06-300000927628us-gaap:PrincipalForgivenessMembercof:CommercialAndIndustrialMemberus-gaap:CommercialPortfolioSegmentMember2020-04-012020-</w:t>
      </w:r>
      <w:r>
        <w:rPr>
          <w:rFonts w:eastAsia="Times New Roman"/>
          <w:vanish/>
        </w:rPr>
        <w:t>06-300000927628us-gaap:CommercialPortfolioSegmentMember2020-04-012020-06-300000927628us-gaap:ContractualInterestRateReductionMemberus-gaap:CommercialPortfolioSegmentMember2020-04-012020-06-300000927628us-gaap:ExtendedMaturityMemberus-gaap:CommercialPortfol</w:t>
      </w:r>
      <w:r>
        <w:rPr>
          <w:rFonts w:eastAsia="Times New Roman"/>
          <w:vanish/>
        </w:rPr>
        <w:t>ioSegmentMember2020-04-012020-06-300000927628us-gaap:PrincipalForgivenessMemberus-gaap:CommercialPortfolioSegmentMember2020-04-012020-06-300000927628us-gaap:ContractualInterestRateReductionMember2020-04-012020-06-300000927628us-gaap:ExtendedMaturityMember2</w:t>
      </w:r>
      <w:r>
        <w:rPr>
          <w:rFonts w:eastAsia="Times New Roman"/>
          <w:vanish/>
        </w:rPr>
        <w:t>020-04-012020-06-300000927628us-gaap:PrincipalForgivenessMember2020-04-012020-06-300000927628us-gaap:GeographicDistributionDomesticMembercof:CreditCardPortfolioSegmentMember2020-01-012020-06-300000927628us-gaap:ContractualInterestRateReductionMemberus-gaap</w:t>
      </w:r>
      <w:r>
        <w:rPr>
          <w:rFonts w:eastAsia="Times New Roman"/>
          <w:vanish/>
        </w:rPr>
        <w:t>:GeographicDistributionDomesticMembercof:CreditCardPortfolioSegmentMember2020-01-012020-06-300000927628us-gaap:GeographicDistributionDomesticMembercof:CreditCardPortfolioSegmentMemberus-gaap:ExtendedMaturityMember2020-01-012020-06-300000927628us-gaap:Princ</w:t>
      </w:r>
      <w:r>
        <w:rPr>
          <w:rFonts w:eastAsia="Times New Roman"/>
          <w:vanish/>
        </w:rPr>
        <w:t>ipalForgivenessMemberus-gaap:GeographicDistributionDomesticMembercof:CreditCardPortfolioSegmentMember2020-01-012020-06-300000927628us-gaap:GeographicDistributionForeignMembercof:CreditCardPortfolioSegmentMember2020-01-012020-06-300000927628us-gaap:Contract</w:t>
      </w:r>
      <w:r>
        <w:rPr>
          <w:rFonts w:eastAsia="Times New Roman"/>
          <w:vanish/>
        </w:rPr>
        <w:t>ualInterestRateReductionMemberus-gaap:GeographicDistributionForeignMembercof:CreditCardPortfolioSegmentMember2020-01-012020-06-300000927628us-gaap:GeographicDistributionForeignMembercof:CreditCardPortfolioSegmentMemberus-gaap:ExtendedMaturityMember2020-01-</w:t>
      </w:r>
      <w:r>
        <w:rPr>
          <w:rFonts w:eastAsia="Times New Roman"/>
          <w:vanish/>
        </w:rPr>
        <w:t>012020-06-300000927628us-gaap:PrincipalForgivenessMemberus-gaap:GeographicDistributionForeignMembercof:CreditCardPortfolioSegmentMember2020-01-012020-06-300000927628cof:CreditCardPortfolioSegmentMember2020-01-012020-06-300000927628us-gaap:ContractualIntere</w:t>
      </w:r>
      <w:r>
        <w:rPr>
          <w:rFonts w:eastAsia="Times New Roman"/>
          <w:vanish/>
        </w:rPr>
        <w:t>stRateReductionMembercof:CreditCardPortfolioSegmentMember2020-01-012020-06-300000927628cof:CreditCardPortfolioSegmentMemberus-gaap:ExtendedMaturityMember2020-01-012020-06-300000927628us-gaap:PrincipalForgivenessMembercof:CreditCardPortfolioSegmentMember202</w:t>
      </w:r>
      <w:r>
        <w:rPr>
          <w:rFonts w:eastAsia="Times New Roman"/>
          <w:vanish/>
        </w:rPr>
        <w:t>0-01-012020-06-300000927628us-gaap:ConsumerPortfolioSegmentMemberus-gaap:AutomobileLoanMember2020-01-012020-06-300000927628us-gaap:ConsumerPortfolioSegmentMemberus-gaap:ContractualInterestRateReductionMemberus-gaap:AutomobileLoanMember2020-01-012020-06-300</w:t>
      </w:r>
      <w:r>
        <w:rPr>
          <w:rFonts w:eastAsia="Times New Roman"/>
          <w:vanish/>
        </w:rPr>
        <w:t>000927628us-gaap:ConsumerPortfolioSegmentMemberus-gaap:ExtendedMaturityMemberus-gaap:AutomobileLoanMember2020-01-012020-06-300000927628us-gaap:ConsumerPortfolioSegmentMemberus-gaap:PrincipalForgivenessMemberus-gaap:AutomobileLoanMember2020-01-012020-06-300</w:t>
      </w:r>
      <w:r>
        <w:rPr>
          <w:rFonts w:eastAsia="Times New Roman"/>
          <w:vanish/>
        </w:rPr>
        <w:t>000927628us-gaap:ConsumerPortfolioSegmentMembercof:RetailBankingMember2020-01-012020-06-300000927628us-gaap:ConsumerPortfolioSegmentMemberus-gaap:ContractualInterestRateReductionMembercof:RetailBankingMember2020-01-012020-06-300000927628us-gaap:ConsumerPor</w:t>
      </w:r>
      <w:r>
        <w:rPr>
          <w:rFonts w:eastAsia="Times New Roman"/>
          <w:vanish/>
        </w:rPr>
        <w:t>tfolioSegmentMembercof:RetailBankingMemberus-gaap:ExtendedMaturityMember2020-01-012020-06-300000927628us-gaap:ConsumerPortfolioSegmentMembercof:RetailBankingMemberus-gaap:PrincipalForgivenessMember2020-01-012020-06-300000927628us-gaap:ConsumerPortfolioSegm</w:t>
      </w:r>
      <w:r>
        <w:rPr>
          <w:rFonts w:eastAsia="Times New Roman"/>
          <w:vanish/>
        </w:rPr>
        <w:t>entMember2020-01-012020-06-300000927628us-gaap:ConsumerPortfolioSegmentMemberus-gaap:ContractualInterestRateReductionMember2020-01-012020-06-300000927628us-gaap:ConsumerPortfolioSegmentMemberus-gaap:ExtendedMaturityMember2020-01-012020-06-300000927628us-ga</w:t>
      </w:r>
      <w:r>
        <w:rPr>
          <w:rFonts w:eastAsia="Times New Roman"/>
          <w:vanish/>
        </w:rPr>
        <w:t>ap:ConsumerPortfolioSegmentMemberus-gaap:PrincipalForgivenessMember2020-01-012020-06-300000927628cof:CommercialAndMultifamilyRealEstateMemberus-gaap:CommercialPortfolioSegmentMember2020-01-012020-06-300000927628us-gaap:ContractualInterestRateReductionMembe</w:t>
      </w:r>
      <w:r>
        <w:rPr>
          <w:rFonts w:eastAsia="Times New Roman"/>
          <w:vanish/>
        </w:rPr>
        <w:t>rcof:CommercialAndMultifamilyRealEstateMemberus-gaap:CommercialPortfolioSegmentMember2020-01-012020-06-300000927628cof:CommercialAndMultifamilyRealEstateMemberus-gaap:ExtendedMaturityMemberus-gaap:CommercialPortfolioSegmentMember2020-01-012020-06-300000927</w:t>
      </w:r>
      <w:r>
        <w:rPr>
          <w:rFonts w:eastAsia="Times New Roman"/>
          <w:vanish/>
        </w:rPr>
        <w:t>628us-gaap:PrincipalForgivenessMembercof:CommercialAndMultifamilyRealEstateMemberus-gaap:CommercialPortfolioSegmentMember2020-01-012020-06-300000927628cof:CommercialAndIndustrialMemberus-gaap:CommercialPortfolioSegmentMember2020-01-012020-06-300000927628us</w:t>
      </w:r>
      <w:r>
        <w:rPr>
          <w:rFonts w:eastAsia="Times New Roman"/>
          <w:vanish/>
        </w:rPr>
        <w:t>-gaap:ContractualInterestRateReductionMembercof:CommercialAndIndustrialMemberus-gaap:CommercialPortfolioSegmentMember2020-01-012020-06-300000927628cof:CommercialAndIndustrialMemberus-gaap:ExtendedMaturityMemberus-gaap:CommercialPortfolioSegmentMember2020-0</w:t>
      </w:r>
      <w:r>
        <w:rPr>
          <w:rFonts w:eastAsia="Times New Roman"/>
          <w:vanish/>
        </w:rPr>
        <w:t>1-012020-06-300000927628us-gaap:PrincipalForgivenessMembercof:CommercialAndIndustrialMemberus-gaap:CommercialPortfolioSegmentMember2020-01-012020-06-300000927628us-gaap:CommercialPortfolioSegmentMember2020-01-012020-06-300000927628us-gaap:ContractualIntere</w:t>
      </w:r>
      <w:r>
        <w:rPr>
          <w:rFonts w:eastAsia="Times New Roman"/>
          <w:vanish/>
        </w:rPr>
        <w:t>stRateReductionMemberus-gaap:CommercialPortfolioSegmentMember2020-01-012020-06-300000927628us-gaap:ExtendedMaturityMemberus-gaap:CommercialPortfolioSegmentMember2020-01-012020-06-300000927628us-gaap:PrincipalForgivenessMemberus-gaap:CommercialPortfolioSegm</w:t>
      </w:r>
      <w:r>
        <w:rPr>
          <w:rFonts w:eastAsia="Times New Roman"/>
          <w:vanish/>
        </w:rPr>
        <w:t>entMember2020-01-012020-06-300000927628us-gaap:ContractualInterestRateReductionMember2020-01-012020-06-300000927628us-gaap:ExtendedMaturityMember2020-01-012020-06-300000927628us-gaap:PrincipalForgivenessMember2020-01-012020-06-30cof:contract0000927628cof:F</w:t>
      </w:r>
      <w:r>
        <w:rPr>
          <w:rFonts w:eastAsia="Times New Roman"/>
          <w:vanish/>
        </w:rPr>
        <w:t>ederalHomeLoanbanksMember2021-06-300000927628cof:FederalHomeLoanbanksMember2020-12-310000927628cof:FederalReserveDiscountWindowMember2021-06-300000927628cof:FederalReserveDiscountWindowMember2020-12-310000927628us-gaap:AllowanceForLoanAndLeaseLossesMember2</w:t>
      </w:r>
      <w:r>
        <w:rPr>
          <w:rFonts w:eastAsia="Times New Roman"/>
          <w:vanish/>
        </w:rPr>
        <w:t>021-01-012021-06-300000927628us-gaap:AllowanceForLoanAndLeaseLossesMember2021-06-300000927628us-gaap:AllowanceForLoanAndLeaseLossesMembercof:CreditCardPortfolioSegmentMember2021-03-310000927628us-gaap:ConsumerPortfolioSegmentMemberus-gaap:AllowanceForLoanA</w:t>
      </w:r>
      <w:r>
        <w:rPr>
          <w:rFonts w:eastAsia="Times New Roman"/>
          <w:vanish/>
        </w:rPr>
        <w:t>ndLeaseLossesMember2021-03-310000927628us-gaap:AllowanceForLoanAndLeaseLossesMemberus-gaap:CommercialPortfolioSegmentMember2021-03-310000927628us-gaap:AllowanceForLoanAndLeaseLossesMember2021-03-310000927628us-gaap:AllowanceForLoanAndLeaseLossesMembercof:C</w:t>
      </w:r>
      <w:r>
        <w:rPr>
          <w:rFonts w:eastAsia="Times New Roman"/>
          <w:vanish/>
        </w:rPr>
        <w:t>reditCardPortfolioSegmentMember2021-04-012021-06-300000927628us-gaap:ConsumerPortfolioSegmentMemberus-gaap:AllowanceForLoanAndLeaseLossesMember2021-04-012021-06-300000927628us-gaap:AllowanceForLoanAndLeaseLossesMemberus-gaap:CommercialPortfolioSegmentMembe</w:t>
      </w:r>
      <w:r>
        <w:rPr>
          <w:rFonts w:eastAsia="Times New Roman"/>
          <w:vanish/>
        </w:rPr>
        <w:t>r2021-04-012021-06-300000927628us-gaap:AllowanceForLoanAndLeaseLossesMember2021-04-012021-06-300000927628us-gaap:AllowanceForLoanAndLeaseLossesMembercof:CreditCardPortfolioSegmentMember2021-06-300000927628us-gaap:ConsumerPortfolioSegmentMemberus-gaap:Allow</w:t>
      </w:r>
      <w:r>
        <w:rPr>
          <w:rFonts w:eastAsia="Times New Roman"/>
          <w:vanish/>
        </w:rPr>
        <w:t>anceForLoanAndLeaseLossesMember2021-06-300000927628us-gaap:AllowanceForLoanAndLeaseLossesMemberus-gaap:CommercialPortfolioSegmentMember2021-06-300000927628cof:CreditCardPortfolioSegmentMemberus-gaap:UnfundedLoanCommitmentMember2021-03-310000927628us-gaap:C</w:t>
      </w:r>
      <w:r>
        <w:rPr>
          <w:rFonts w:eastAsia="Times New Roman"/>
          <w:vanish/>
        </w:rPr>
        <w:t>onsumerPortfolioSegmentMemberus-gaap:UnfundedLoanCommitmentMember2021-03-310000927628us-gaap:UnfundedLoanCommitmentMemberus-gaap:CommercialPortfolioSegmentMember2021-03-310000927628us-gaap:UnfundedLoanCommitmentMember2021-03-310000927628cof:CreditCardPortf</w:t>
      </w:r>
      <w:r>
        <w:rPr>
          <w:rFonts w:eastAsia="Times New Roman"/>
          <w:vanish/>
        </w:rPr>
        <w:t>olioSegmentMemberus-gaap:UnfundedLoanCommitmentMember2021-04-012021-06-300000927628us-gaap:ConsumerPortfolioSegmentMemberus-gaap:UnfundedLoanCommitmentMember2021-04-012021-06-300000927628us-gaap:UnfundedLoanCommitmentMemberus-gaap:CommercialPortfolioSegmen</w:t>
      </w:r>
      <w:r>
        <w:rPr>
          <w:rFonts w:eastAsia="Times New Roman"/>
          <w:vanish/>
        </w:rPr>
        <w:t>tMember2021-04-012021-06-300000927628us-gaap:UnfundedLoanCommitmentMember2021-04-012021-06-300000927628cof:CreditCardPortfolioSegmentMemberus-gaap:UnfundedLoanCommitmentMember2021-06-300000927628us-gaap:ConsumerPortfolioSegmentMemberus-gaap:UnfundedLoanCom</w:t>
      </w:r>
      <w:r>
        <w:rPr>
          <w:rFonts w:eastAsia="Times New Roman"/>
          <w:vanish/>
        </w:rPr>
        <w:t>mitmentMember2021-06-300000927628us-gaap:UnfundedLoanCommitmentMemberus-gaap:CommercialPortfolioSegmentMember2021-06-300000927628us-gaap:UnfundedLoanCommitmentMember2021-06-300000927628cof:CreditCardPortfolioSegmentMembercof:CombinedAllowanceAndUnfundedRes</w:t>
      </w:r>
      <w:r>
        <w:rPr>
          <w:rFonts w:eastAsia="Times New Roman"/>
          <w:vanish/>
        </w:rPr>
        <w:t>erveMember2021-06-300000927628us-gaap:ConsumerPortfolioSegmentMembercof:CombinedAllowanceAndUnfundedReserveMember2021-06-300000927628us-gaap:CommercialPortfolioSegmentMembercof:CombinedAllowanceAndUnfundedReserveMember2021-06-300000927628cof:CombinedAllowa</w:t>
      </w:r>
      <w:r>
        <w:rPr>
          <w:rFonts w:eastAsia="Times New Roman"/>
          <w:vanish/>
        </w:rPr>
        <w:t>nceAndUnfundedReserveMember2021-06-300000927628us-gaap:AllowanceForLoanAndLeaseLossesMembercof:CreditCardPortfolioSegmentMember2020-12-310000927628us-gaap:ConsumerPortfolioSegmentMemberus-gaap:AllowanceForLoanAndLeaseLossesMember2020-12-310000927628us-gaap</w:t>
      </w:r>
      <w:r>
        <w:rPr>
          <w:rFonts w:eastAsia="Times New Roman"/>
          <w:vanish/>
        </w:rPr>
        <w:t>:AllowanceForLoanAndLeaseLossesMemberus-gaap:CommercialPortfolioSegmentMember2020-12-310000927628us-gaap:AllowanceForLoanAndLeaseLossesMember2020-12-310000927628us-gaap:AllowanceForLoanAndLeaseLossesMembercof:CreditCardPortfolioSegmentMember2021-01-012021-</w:t>
      </w:r>
      <w:r>
        <w:rPr>
          <w:rFonts w:eastAsia="Times New Roman"/>
          <w:vanish/>
        </w:rPr>
        <w:t>06-300000927628us-gaap:ConsumerPortfolioSegmentMemberus-gaap:AllowanceForLoanAndLeaseLossesMember2021-01-012021-06-300000927628us-gaap:AllowanceForLoanAndLeaseLossesMemberus-gaap:CommercialPortfolioSegmentMember2021-01-012021-06-300000927628cof:CreditCardP</w:t>
      </w:r>
      <w:r>
        <w:rPr>
          <w:rFonts w:eastAsia="Times New Roman"/>
          <w:vanish/>
        </w:rPr>
        <w:t>ortfolioSegmentMemberus-gaap:UnfundedLoanCommitmentMember2020-12-310000927628us-gaap:ConsumerPortfolioSegmentMemberus-gaap:UnfundedLoanCommitmentMember2020-12-310000927628us-gaap:UnfundedLoanCommitmentMemberus-gaap:CommercialPortfolioSegmentMember2020-12-3</w:t>
      </w:r>
      <w:r>
        <w:rPr>
          <w:rFonts w:eastAsia="Times New Roman"/>
          <w:vanish/>
        </w:rPr>
        <w:t>10000927628us-gaap:UnfundedLoanCommitmentMember2020-12-310000927628cof:CreditCardPortfolioSegmentMemberus-gaap:UnfundedLoanCommitmentMember2021-01-012021-06-300000927628us-gaap:ConsumerPortfolioSegmentMemberus-gaap:UnfundedLoanCommitmentMember2021-01-01202</w:t>
      </w:r>
      <w:r>
        <w:rPr>
          <w:rFonts w:eastAsia="Times New Roman"/>
          <w:vanish/>
        </w:rPr>
        <w:t>1-06-300000927628us-gaap:UnfundedLoanCommitmentMemberus-gaap:CommercialPortfolioSegmentMember2021-01-012021-06-300000927628us-gaap:UnfundedLoanCommitmentMember2021-01-012021-06-300000927628us-gaap:AllowanceForLoanAndLeaseLossesMembercof:CreditCardPortfolio</w:t>
      </w:r>
      <w:r>
        <w:rPr>
          <w:rFonts w:eastAsia="Times New Roman"/>
          <w:vanish/>
        </w:rPr>
        <w:t>SegmentMember2020-03-310000927628us-gaap:ConsumerPortfolioSegmentMemberus-gaap:AllowanceForLoanAndLeaseLossesMember2020-03-310000927628us-gaap:AllowanceForLoanAndLeaseLossesMemberus-gaap:CommercialPortfolioSegmentMember2020-03-310000927628us-gaap:Allowance</w:t>
      </w:r>
      <w:r>
        <w:rPr>
          <w:rFonts w:eastAsia="Times New Roman"/>
          <w:vanish/>
        </w:rPr>
        <w:t>ForLoanAndLeaseLossesMember2020-03-310000927628us-gaap:AllowanceForLoanAndLeaseLossesMembercof:CreditCardPortfolioSegmentMember2020-04-012020-06-300000927628us-gaap:ConsumerPortfolioSegmentMemberus-gaap:AllowanceForLoanAndLeaseLossesMember2020-04-012020-06</w:t>
      </w:r>
      <w:r>
        <w:rPr>
          <w:rFonts w:eastAsia="Times New Roman"/>
          <w:vanish/>
        </w:rPr>
        <w:t>-300000927628us-gaap:AllowanceForLoanAndLeaseLossesMemberus-gaap:CommercialPortfolioSegmentMember2020-04-012020-06-300000927628us-gaap:AllowanceForLoanAndLeaseLossesMember2020-04-012020-06-300000927628us-gaap:AllowanceForLoanAndLeaseLossesMembercof:CreditC</w:t>
      </w:r>
      <w:r>
        <w:rPr>
          <w:rFonts w:eastAsia="Times New Roman"/>
          <w:vanish/>
        </w:rPr>
        <w:t>ardPortfolioSegmentMember2020-06-300000927628us-gaap:ConsumerPortfolioSegmentMemberus-gaap:AllowanceForLoanAndLeaseLossesMember2020-06-300000927628us-gaap:AllowanceForLoanAndLeaseLossesMemberus-gaap:CommercialPortfolioSegmentMember2020-06-300000927628us-ga</w:t>
      </w:r>
      <w:r>
        <w:rPr>
          <w:rFonts w:eastAsia="Times New Roman"/>
          <w:vanish/>
        </w:rPr>
        <w:t>ap:AllowanceForLoanAndLeaseLossesMember2020-06-300000927628cof:CreditCardPortfolioSegmentMemberus-gaap:UnfundedLoanCommitmentMember2020-03-310000927628us-gaap:ConsumerPortfolioSegmentMemberus-gaap:UnfundedLoanCommitmentMember2020-03-310000927628us-gaap:Unf</w:t>
      </w:r>
      <w:r>
        <w:rPr>
          <w:rFonts w:eastAsia="Times New Roman"/>
          <w:vanish/>
        </w:rPr>
        <w:t>undedLoanCommitmentMemberus-gaap:CommercialPortfolioSegmentMember2020-03-310000927628us-gaap:UnfundedLoanCommitmentMember2020-03-310000927628cof:CreditCardPortfolioSegmentMemberus-gaap:UnfundedLoanCommitmentMember2020-04-012020-06-300000927628us-gaap:Consu</w:t>
      </w:r>
      <w:r>
        <w:rPr>
          <w:rFonts w:eastAsia="Times New Roman"/>
          <w:vanish/>
        </w:rPr>
        <w:t>merPortfolioSegmentMemberus-gaap:UnfundedLoanCommitmentMember2020-04-012020-06-300000927628us-gaap:UnfundedLoanCommitmentMemberus-gaap:CommercialPortfolioSegmentMember2020-04-012020-06-300000927628us-gaap:UnfundedLoanCommitmentMember2020-04-012020-06-30000</w:t>
      </w:r>
      <w:r>
        <w:rPr>
          <w:rFonts w:eastAsia="Times New Roman"/>
          <w:vanish/>
        </w:rPr>
        <w:t>0927628cof:CreditCardPortfolioSegmentMemberus-gaap:UnfundedLoanCommitmentMember2020-06-300000927628us-gaap:ConsumerPortfolioSegmentMemberus-gaap:UnfundedLoanCommitmentMember2020-06-300000927628us-gaap:UnfundedLoanCommitmentMemberus-gaap:CommercialPortfolio</w:t>
      </w:r>
      <w:r>
        <w:rPr>
          <w:rFonts w:eastAsia="Times New Roman"/>
          <w:vanish/>
        </w:rPr>
        <w:t>SegmentMember2020-06-300000927628us-gaap:UnfundedLoanCommitmentMember2020-06-300000927628cof:CreditCardPortfolioSegmentMembercof:CombinedAllowanceAndUnfundedReserveMember2020-06-300000927628us-gaap:ConsumerPortfolioSegmentMembercof:CombinedAllowanceAndUnfu</w:t>
      </w:r>
      <w:r>
        <w:rPr>
          <w:rFonts w:eastAsia="Times New Roman"/>
          <w:vanish/>
        </w:rPr>
        <w:t>ndedReserveMember2020-06-300000927628us-gaap:CommercialPortfolioSegmentMembercof:CombinedAllowanceAndUnfundedReserveMember2020-06-300000927628cof:CombinedAllowanceAndUnfundedReserveMember2020-06-300000927628us-gaap:AllowanceForLoanAndLeaseLossesMembercof:C</w:t>
      </w:r>
      <w:r>
        <w:rPr>
          <w:rFonts w:eastAsia="Times New Roman"/>
          <w:vanish/>
        </w:rPr>
        <w:t>reditCardPortfolioSegmentMember2019-12-310000927628us-gaap:ConsumerPortfolioSegmentMemberus-gaap:AllowanceForLoanAndLeaseLossesMember2019-12-310000927628us-gaap:AllowanceForLoanAndLeaseLossesMemberus-gaap:CommercialPortfolioSegmentMember2019-12-31000092762</w:t>
      </w:r>
      <w:r>
        <w:rPr>
          <w:rFonts w:eastAsia="Times New Roman"/>
          <w:vanish/>
        </w:rPr>
        <w:t>8us-gaap:AllowanceForLoanAndLeaseLossesMember2019-12-310000927628us-gaap:AllowanceForLoanAndLeaseLossesMembercof:CreditCardPortfolioSegmentMembersrt:CumulativeEffectPeriodOfAdoptionAdjustmentMember2019-12-310000927628us-gaap:ConsumerPortfolioSegmentMemberu</w:t>
      </w:r>
      <w:r>
        <w:rPr>
          <w:rFonts w:eastAsia="Times New Roman"/>
          <w:vanish/>
        </w:rPr>
        <w:t>s-gaap:AllowanceForLoanAndLeaseLossesMembersrt:CumulativeEffectPeriodOfAdoptionAdjustmentMember2019-12-310000927628us-gaap:AllowanceForLoanAndLeaseLossesMembersrt:CumulativeEffectPeriodOfAdoptionAdjustmentMemberus-gaap:CommercialPortfolioSegmentMember2019-</w:t>
      </w:r>
      <w:r>
        <w:rPr>
          <w:rFonts w:eastAsia="Times New Roman"/>
          <w:vanish/>
        </w:rPr>
        <w:t>12-310000927628us-gaap:AllowanceForLoanAndLeaseLossesMembersrt:CumulativeEffectPeriodOfAdoptionAdjustmentMember2019-12-310000927628us-gaap:AllowanceForLoanAndLeaseLossesMembercof:CreditCardPortfolioSegmentMemberus-gaap:ReclassificationOtherMember2019-12-31</w:t>
      </w:r>
      <w:r>
        <w:rPr>
          <w:rFonts w:eastAsia="Times New Roman"/>
          <w:vanish/>
        </w:rPr>
        <w:t>0000927628us-gaap:ConsumerPortfolioSegmentMemberus-gaap:AllowanceForLoanAndLeaseLossesMemberus-gaap:ReclassificationOtherMember2019-12-310000927628us-gaap:AllowanceForLoanAndLeaseLossesMemberus-gaap:ReclassificationOtherMemberus-gaap:CommercialPortfolioSeg</w:t>
      </w:r>
      <w:r>
        <w:rPr>
          <w:rFonts w:eastAsia="Times New Roman"/>
          <w:vanish/>
        </w:rPr>
        <w:t>mentMember2019-12-310000927628us-gaap:AllowanceForLoanAndLeaseLossesMemberus-gaap:ReclassificationOtherMember2019-12-310000927628us-gaap:AllowanceForLoanAndLeaseLossesMembersrt:CumulativeEffectPeriodOfAdoptionAdjustedBalanceMembercof:CreditCardPortfolioSeg</w:t>
      </w:r>
      <w:r>
        <w:rPr>
          <w:rFonts w:eastAsia="Times New Roman"/>
          <w:vanish/>
        </w:rPr>
        <w:t>mentMember2019-12-310000927628us-gaap:ConsumerPortfolioSegmentMemberus-gaap:AllowanceForLoanAndLeaseLossesMembersrt:CumulativeEffectPeriodOfAdoptionAdjustedBalanceMember2019-12-310000927628us-gaap:AllowanceForLoanAndLeaseLossesMembersrt:CumulativeEffectPer</w:t>
      </w:r>
      <w:r>
        <w:rPr>
          <w:rFonts w:eastAsia="Times New Roman"/>
          <w:vanish/>
        </w:rPr>
        <w:t>iodOfAdoptionAdjustedBalanceMemberus-gaap:CommercialPortfolioSegmentMember2019-12-310000927628us-gaap:AllowanceForLoanAndLeaseLossesMembersrt:CumulativeEffectPeriodOfAdoptionAdjustedBalanceMember2019-12-310000927628us-gaap:AllowanceForLoanAndLeaseLossesMem</w:t>
      </w:r>
      <w:r>
        <w:rPr>
          <w:rFonts w:eastAsia="Times New Roman"/>
          <w:vanish/>
        </w:rPr>
        <w:t>bercof:CreditCardPortfolioSegmentMember2020-01-012020-06-300000927628us-gaap:ConsumerPortfolioSegmentMemberus-gaap:AllowanceForLoanAndLeaseLossesMember2020-01-012020-06-300000927628us-gaap:AllowanceForLoanAndLeaseLossesMemberus-gaap:CommercialPortfolioSegm</w:t>
      </w:r>
      <w:r>
        <w:rPr>
          <w:rFonts w:eastAsia="Times New Roman"/>
          <w:vanish/>
        </w:rPr>
        <w:t>entMember2020-01-012020-06-300000927628us-gaap:AllowanceForLoanAndLeaseLossesMember2020-01-012020-06-300000927628cof:CreditCardPortfolioSegmentMemberus-gaap:UnfundedLoanCommitmentMember2019-12-310000927628us-gaap:ConsumerPortfolioSegmentMemberus-gaap:Unfun</w:t>
      </w:r>
      <w:r>
        <w:rPr>
          <w:rFonts w:eastAsia="Times New Roman"/>
          <w:vanish/>
        </w:rPr>
        <w:t>dedLoanCommitmentMember2019-12-310000927628us-gaap:UnfundedLoanCommitmentMemberus-gaap:CommercialPortfolioSegmentMember2019-12-310000927628us-gaap:UnfundedLoanCommitmentMember2019-12-310000927628cof:CreditCardPortfolioSegmentMembersrt:CumulativeEffectPerio</w:t>
      </w:r>
      <w:r>
        <w:rPr>
          <w:rFonts w:eastAsia="Times New Roman"/>
          <w:vanish/>
        </w:rPr>
        <w:t>dOfAdoptionAdjustmentMemberus-gaap:UnfundedLoanCommitmentMember2019-12-310000927628us-gaap:ConsumerPortfolioSegmentMembersrt:CumulativeEffectPeriodOfAdoptionAdjustmentMemberus-gaap:UnfundedLoanCommitmentMember2019-12-310000927628srt:CumulativeEffectPeriodO</w:t>
      </w:r>
      <w:r>
        <w:rPr>
          <w:rFonts w:eastAsia="Times New Roman"/>
          <w:vanish/>
        </w:rPr>
        <w:t>fAdoptionAdjustmentMemberus-gaap:UnfundedLoanCommitmentMemberus-gaap:CommercialPortfolioSegmentMember2019-12-310000927628srt:CumulativeEffectPeriodOfAdoptionAdjustmentMemberus-gaap:UnfundedLoanCommitmentMember2019-12-310000927628srt:CumulativeEffectPeriodO</w:t>
      </w:r>
      <w:r>
        <w:rPr>
          <w:rFonts w:eastAsia="Times New Roman"/>
          <w:vanish/>
        </w:rPr>
        <w:t>fAdoptionAdjustedBalanceMembercof:CreditCardPortfolioSegmentMemberus-gaap:UnfundedLoanCommitmentMember2019-12-310000927628us-gaap:ConsumerPortfolioSegmentMembersrt:CumulativeEffectPeriodOfAdoptionAdjustedBalanceMemberus-gaap:UnfundedLoanCommitmentMember201</w:t>
      </w:r>
      <w:r>
        <w:rPr>
          <w:rFonts w:eastAsia="Times New Roman"/>
          <w:vanish/>
        </w:rPr>
        <w:t>9-12-310000927628srt:CumulativeEffectPeriodOfAdoptionAdjustedBalanceMemberus-gaap:UnfundedLoanCommitmentMemberus-gaap:CommercialPortfolioSegmentMember2019-12-310000927628srt:CumulativeEffectPeriodOfAdoptionAdjustedBalanceMemberus-gaap:UnfundedLoanCommitmen</w:t>
      </w:r>
      <w:r>
        <w:rPr>
          <w:rFonts w:eastAsia="Times New Roman"/>
          <w:vanish/>
        </w:rPr>
        <w:t>tMember2019-12-310000927628cof:CreditCardPortfolioSegmentMemberus-gaap:UnfundedLoanCommitmentMember2020-01-012020-06-300000927628us-gaap:ConsumerPortfolioSegmentMemberus-gaap:UnfundedLoanCommitmentMember2020-01-012020-06-300000927628us-gaap:UnfundedLoanCom</w:t>
      </w:r>
      <w:r>
        <w:rPr>
          <w:rFonts w:eastAsia="Times New Roman"/>
          <w:vanish/>
        </w:rPr>
        <w:t>mitmentMemberus-gaap:CommercialPortfolioSegmentMember2020-01-012020-06-300000927628us-gaap:UnfundedLoanCommitmentMember2020-01-012020-06-300000927628cof:LossSharingAgreementMember2021-03-310000927628cof:LossSharingAgreementMember2020-03-310000927628cof:Los</w:t>
      </w:r>
      <w:r>
        <w:rPr>
          <w:rFonts w:eastAsia="Times New Roman"/>
          <w:vanish/>
        </w:rPr>
        <w:t>sSharingAgreementMember2021-04-012021-06-300000927628cof:LossSharingAgreementMember2020-04-012020-06-300000927628cof:LossSharingAgreementMember2021-06-300000927628cof:LossSharingAgreementMember2020-06-300000927628cof:LossSharingAgreementMember2020-12-31000</w:t>
      </w:r>
      <w:r>
        <w:rPr>
          <w:rFonts w:eastAsia="Times New Roman"/>
          <w:vanish/>
        </w:rPr>
        <w:t>0927628cof:LossSharingAgreementMember2019-12-310000927628cof:LossSharingAgreementMember2021-01-012021-06-300000927628cof:LossSharingAgreementMember2020-01-012020-06-300000927628us-gaap:VariableInterestEntityPrimaryBeneficiaryMemberus-gaap:CreditCardReceiva</w:t>
      </w:r>
      <w:r>
        <w:rPr>
          <w:rFonts w:eastAsia="Times New Roman"/>
          <w:vanish/>
        </w:rPr>
        <w:t>blesMember2021-06-300000927628us-gaap:VariableInterestEntityNotPrimaryBeneficiaryMemberus-gaap:CreditCardReceivablesMember2021-06-300000927628us-gaap:CreditCardReceivablesMember2021-06-300000927628us-gaap:CollateralizedAutoLoansMemberus-gaap:VariableIntere</w:t>
      </w:r>
      <w:r>
        <w:rPr>
          <w:rFonts w:eastAsia="Times New Roman"/>
          <w:vanish/>
        </w:rPr>
        <w:t>stEntityPrimaryBeneficiaryMember2021-06-300000927628us-gaap:CollateralizedAutoLoansMemberus-gaap:VariableInterestEntityNotPrimaryBeneficiaryMember2021-06-300000927628us-gaap:CollateralizedAutoLoansMember2021-06-300000927628us-gaap:VariableInterestEntityPri</w:t>
      </w:r>
      <w:r>
        <w:rPr>
          <w:rFonts w:eastAsia="Times New Roman"/>
          <w:vanish/>
        </w:rPr>
        <w:t>maryBeneficiaryMembercof:SecuritizationRelatedVariableInterestEntitiesMember2021-06-300000927628us-gaap:VariableInterestEntityNotPrimaryBeneficiaryMembercof:SecuritizationRelatedVariableInterestEntitiesMember2021-06-300000927628cof:SecuritizationRelatedVar</w:t>
      </w:r>
      <w:r>
        <w:rPr>
          <w:rFonts w:eastAsia="Times New Roman"/>
          <w:vanish/>
        </w:rPr>
        <w:t>iableInterestEntitiesMember2021-06-300000927628cof:AffordableHousingEntitiesMemberus-gaap:VariableInterestEntityPrimaryBeneficiaryMember2021-06-300000927628cof:AffordableHousingEntitiesMemberus-gaap:VariableInterestEntityNotPrimaryBeneficiaryMember2021-06-</w:t>
      </w:r>
      <w:r>
        <w:rPr>
          <w:rFonts w:eastAsia="Times New Roman"/>
          <w:vanish/>
        </w:rPr>
        <w:t>300000927628cof:AffordableHousingEntitiesMember2021-06-300000927628cof:InvestmentCompaniesProvidingCapitaltoLowIncomeandRuralCommunitiesMemberus-gaap:VariableInterestEntityPrimaryBeneficiaryMember2021-06-300000927628cof:InvestmentCompaniesProvidingCapitalt</w:t>
      </w:r>
      <w:r>
        <w:rPr>
          <w:rFonts w:eastAsia="Times New Roman"/>
          <w:vanish/>
        </w:rPr>
        <w:t>oLowIncomeandRuralCommunitiesMemberus-gaap:VariableInterestEntityNotPrimaryBeneficiaryMember2021-06-300000927628cof:InvestmentCompaniesProvidingCapitaltoLowIncomeandRuralCommunitiesMember2021-06-300000927628us-gaap:OtherInvestmentsMemberus-gaap:VariableInt</w:t>
      </w:r>
      <w:r>
        <w:rPr>
          <w:rFonts w:eastAsia="Times New Roman"/>
          <w:vanish/>
        </w:rPr>
        <w:t>erestEntityPrimaryBeneficiaryMember2021-06-300000927628us-gaap:OtherInvestmentsMemberus-gaap:VariableInterestEntityNotPrimaryBeneficiaryMember2021-06-300000927628us-gaap:OtherInvestmentsMember2021-06-300000927628us-gaap:VariableInterestEntityPrimaryBenefic</w:t>
      </w:r>
      <w:r>
        <w:rPr>
          <w:rFonts w:eastAsia="Times New Roman"/>
          <w:vanish/>
        </w:rPr>
        <w:t>iaryMembercof:NonsecuritizationRelatedVariableInterestEntitiesMember2021-06-300000927628us-gaap:VariableInterestEntityNotPrimaryBeneficiaryMembercof:NonsecuritizationRelatedVariableInterestEntitiesMember2021-06-300000927628cof:NonsecuritizationRelatedVaria</w:t>
      </w:r>
      <w:r>
        <w:rPr>
          <w:rFonts w:eastAsia="Times New Roman"/>
          <w:vanish/>
        </w:rPr>
        <w:t>bleInterestEntitiesMember2021-06-300000927628us-gaap:VariableInterestEntityNotPrimaryBeneficiaryMember2021-06-300000927628us-gaap:VariableInterestEntityPrimaryBeneficiaryMemberus-gaap:CreditCardReceivablesMember2020-12-310000927628us-gaap:VariableInterestE</w:t>
      </w:r>
      <w:r>
        <w:rPr>
          <w:rFonts w:eastAsia="Times New Roman"/>
          <w:vanish/>
        </w:rPr>
        <w:t>ntityNotPrimaryBeneficiaryMemberus-gaap:CreditCardReceivablesMember2020-12-310000927628us-gaap:CreditCardReceivablesMember2020-12-310000927628us-gaap:CollateralizedAutoLoansMemberus-gaap:VariableInterestEntityPrimaryBeneficiaryMember2020-12-310000927628us-</w:t>
      </w:r>
      <w:r>
        <w:rPr>
          <w:rFonts w:eastAsia="Times New Roman"/>
          <w:vanish/>
        </w:rPr>
        <w:t>gaap:CollateralizedAutoLoansMemberus-gaap:VariableInterestEntityNotPrimaryBeneficiaryMember2020-12-310000927628us-gaap:CollateralizedAutoLoansMember2020-12-310000927628us-gaap:VariableInterestEntityPrimaryBeneficiaryMembercof:SecuritizationRelatedVariableI</w:t>
      </w:r>
      <w:r>
        <w:rPr>
          <w:rFonts w:eastAsia="Times New Roman"/>
          <w:vanish/>
        </w:rPr>
        <w:t>nterestEntitiesMember2020-12-310000927628us-gaap:VariableInterestEntityNotPrimaryBeneficiaryMembercof:SecuritizationRelatedVariableInterestEntitiesMember2020-12-310000927628cof:SecuritizationRelatedVariableInterestEntitiesMember2020-12-310000927628cof:Affo</w:t>
      </w:r>
      <w:r>
        <w:rPr>
          <w:rFonts w:eastAsia="Times New Roman"/>
          <w:vanish/>
        </w:rPr>
        <w:t>rdableHousingEntitiesMemberus-gaap:VariableInterestEntityPrimaryBeneficiaryMember2020-12-310000927628cof:AffordableHousingEntitiesMemberus-gaap:VariableInterestEntityNotPrimaryBeneficiaryMember2020-12-310000927628cof:AffordableHousingEntitiesMember2020-12-</w:t>
      </w:r>
      <w:r>
        <w:rPr>
          <w:rFonts w:eastAsia="Times New Roman"/>
          <w:vanish/>
        </w:rPr>
        <w:t>310000927628cof:InvestmentCompaniesProvidingCapitaltoLowIncomeandRuralCommunitiesMemberus-gaap:VariableInterestEntityPrimaryBeneficiaryMember2020-12-310000927628cof:InvestmentCompaniesProvidingCapitaltoLowIncomeandRuralCommunitiesMemberus-gaap:VariableInte</w:t>
      </w:r>
      <w:r>
        <w:rPr>
          <w:rFonts w:eastAsia="Times New Roman"/>
          <w:vanish/>
        </w:rPr>
        <w:t>restEntityNotPrimaryBeneficiaryMember2020-12-310000927628cof:InvestmentCompaniesProvidingCapitaltoLowIncomeandRuralCommunitiesMember2020-12-310000927628us-gaap:OtherInvestmentsMemberus-gaap:VariableInterestEntityPrimaryBeneficiaryMember2020-12-310000927628</w:t>
      </w:r>
      <w:r>
        <w:rPr>
          <w:rFonts w:eastAsia="Times New Roman"/>
          <w:vanish/>
        </w:rPr>
        <w:t>us-gaap:OtherInvestmentsMemberus-gaap:VariableInterestEntityNotPrimaryBeneficiaryMember2020-12-310000927628us-gaap:OtherInvestmentsMember2020-12-310000927628us-gaap:VariableInterestEntityPrimaryBeneficiaryMembercof:NonsecuritizationRelatedVariableInterestE</w:t>
      </w:r>
      <w:r>
        <w:rPr>
          <w:rFonts w:eastAsia="Times New Roman"/>
          <w:vanish/>
        </w:rPr>
        <w:t>ntitiesMember2020-12-310000927628us-gaap:VariableInterestEntityNotPrimaryBeneficiaryMembercof:NonsecuritizationRelatedVariableInterestEntitiesMember2020-12-310000927628cof:NonsecuritizationRelatedVariableInterestEntitiesMember2020-12-310000927628us-gaap:Va</w:t>
      </w:r>
      <w:r>
        <w:rPr>
          <w:rFonts w:eastAsia="Times New Roman"/>
          <w:vanish/>
        </w:rPr>
        <w:t>riableInterestEntityNotPrimaryBeneficiaryMember2020-12-310000927628us-gaap:CustomerRelationshipsMember2021-06-300000927628us-gaap:OtherIntangibleAssetsMember2021-06-300000927628us-gaap:CustomerRelationshipsMember2020-12-310000927628us-gaap:OtherIntangibleA</w:t>
      </w:r>
      <w:r>
        <w:rPr>
          <w:rFonts w:eastAsia="Times New Roman"/>
          <w:vanish/>
        </w:rPr>
        <w:t>ssetsMember2020-12-310000927628cof:CreditCardSegmentMember2020-12-310000927628cof:ConsumerBankingSegmentMember2020-12-310000927628cof:CommercialBankingSegmentMember2020-12-310000927628cof:CreditCardSegmentMember2021-01-012021-06-300000927628cof:ConsumerBan</w:t>
      </w:r>
      <w:r>
        <w:rPr>
          <w:rFonts w:eastAsia="Times New Roman"/>
          <w:vanish/>
        </w:rPr>
        <w:t>kingSegmentMember2021-01-012021-06-300000927628cof:CommercialBankingSegmentMember2021-01-012021-06-300000927628cof:CreditCardSegmentMember2021-06-300000927628cof:ConsumerBankingSegmentMember2021-06-300000927628cof:CommercialBankingSegmentMember2021-06-3000</w:t>
      </w:r>
      <w:r>
        <w:rPr>
          <w:rFonts w:eastAsia="Times New Roman"/>
          <w:vanish/>
        </w:rPr>
        <w:t>00927628us-gaap:FederalFundsPurchasedAndSecuritiesSoldUnderAgreementsToRepurchaseMember2021-06-300000927628us-gaap:FederalFundsPurchasedAndSecuritiesSoldUnderAgreementsToRepurchaseMember2020-12-310000927628us-gaap:SecuredDebtMembersrt:MinimumMember2021-06-</w:t>
      </w:r>
      <w:r>
        <w:rPr>
          <w:rFonts w:eastAsia="Times New Roman"/>
          <w:vanish/>
        </w:rPr>
        <w:t>300000927628us-gaap:SecuredDebtMembersrt:MaximumMember2021-06-300000927628us-gaap:SecuredDebtMember2021-06-300000927628us-gaap:SecuredDebtMember2020-12-310000927628cof:FixedUnsecuredSeniorDebtMembersrt:MinimumMemberus-gaap:SeniorNotesMember2021-06-30000092</w:t>
      </w:r>
      <w:r>
        <w:rPr>
          <w:rFonts w:eastAsia="Times New Roman"/>
          <w:vanish/>
        </w:rPr>
        <w:t>7628cof:FixedUnsecuredSeniorDebtMemberus-gaap:SeniorNotesMembersrt:MaximumMember2021-06-300000927628cof:FixedUnsecuredSeniorDebtMemberus-gaap:SeniorNotesMember2021-06-300000927628cof:FixedUnsecuredSeniorDebtMemberus-gaap:SeniorNotesMember2020-12-3100009276</w:t>
      </w:r>
      <w:r>
        <w:rPr>
          <w:rFonts w:eastAsia="Times New Roman"/>
          <w:vanish/>
        </w:rPr>
        <w:t>28cof:FloatingUnsecuredSeniorDebtMembersrt:MinimumMemberus-gaap:SeniorNotesMember2021-06-300000927628cof:FloatingUnsecuredSeniorDebtMemberus-gaap:SeniorNotesMembersrt:MaximumMember2021-06-300000927628cof:FloatingUnsecuredSeniorDebtMemberus-gaap:SeniorNotes</w:t>
      </w:r>
      <w:r>
        <w:rPr>
          <w:rFonts w:eastAsia="Times New Roman"/>
          <w:vanish/>
        </w:rPr>
        <w:t>Member2021-06-300000927628cof:FloatingUnsecuredSeniorDebtMemberus-gaap:SeniorNotesMember2020-12-310000927628cof:UnsecuredSeniorDebtMemberus-gaap:SeniorNotesMember2021-06-300000927628cof:UnsecuredSeniorDebtMemberus-gaap:SeniorNotesMember2020-12-310000927628</w:t>
      </w:r>
      <w:r>
        <w:rPr>
          <w:rFonts w:eastAsia="Times New Roman"/>
          <w:vanish/>
        </w:rPr>
        <w:t>srt:MinimumMemberus-gaap:SubordinatedDebtMembercof:FixedUnsecuredSubordinatedDebtMember2021-06-300000927628us-gaap:SubordinatedDebtMembersrt:MaximumMembercof:FixedUnsecuredSubordinatedDebtMember2021-06-300000927628us-gaap:SubordinatedDebtMembercof:FixedUns</w:t>
      </w:r>
      <w:r>
        <w:rPr>
          <w:rFonts w:eastAsia="Times New Roman"/>
          <w:vanish/>
        </w:rPr>
        <w:t>ecuredSubordinatedDebtMember2021-06-300000927628us-gaap:SubordinatedDebtMembercof:FixedUnsecuredSubordinatedDebtMember2020-12-310000927628cof:SeniorAndSubordinatedNotesMember2021-06-300000927628cof:SeniorAndSubordinatedNotesMember2020-12-310000927628us-gaa</w:t>
      </w:r>
      <w:r>
        <w:rPr>
          <w:rFonts w:eastAsia="Times New Roman"/>
          <w:vanish/>
        </w:rPr>
        <w:t>p:CapitalLeaseObligationsMembersrt:MinimumMember2021-06-300000927628us-gaap:CapitalLeaseObligationsMembersrt:MaximumMember2021-06-300000927628us-gaap:CapitalLeaseObligationsMember2021-06-300000927628us-gaap:CapitalLeaseObligationsMember2020-12-310000927628</w:t>
      </w:r>
      <w:r>
        <w:rPr>
          <w:rFonts w:eastAsia="Times New Roman"/>
          <w:vanish/>
        </w:rPr>
        <w:t>cof:FHLBAdvanceCapitalLeaseObligationandGPMHMember2021-06-300000927628cof:FHLBAdvanceCapitalLeaseObligationandGPMHMember2020-12-310000927628currency:EUR2021-06-300000927628currency:EUR2020-12-310000927628us-gaap:DesignatedAsHedgingInstrumentMemberus-gaap:I</w:t>
      </w:r>
      <w:r>
        <w:rPr>
          <w:rFonts w:eastAsia="Times New Roman"/>
          <w:vanish/>
        </w:rPr>
        <w:t>nterestRateContractMemberus-gaap:FairValueHedgingMember2021-06-300000927628us-gaap:DesignatedAsHedgingInstrumentMemberus-gaap:InterestRateContractMemberus-gaap:FairValueHedgingMember2020-12-310000927628us-gaap:DesignatedAsHedgingInstrumentMemberus-gaap:Cas</w:t>
      </w:r>
      <w:r>
        <w:rPr>
          <w:rFonts w:eastAsia="Times New Roman"/>
          <w:vanish/>
        </w:rPr>
        <w:t>hFlowHedgingMemberus-gaap:InterestRateContractMember2021-06-300000927628us-gaap:DesignatedAsHedgingInstrumentMemberus-gaap:CashFlowHedgingMemberus-gaap:InterestRateContractMember2020-12-310000927628us-gaap:DesignatedAsHedgingInstrumentMemberus-gaap:Interes</w:t>
      </w:r>
      <w:r>
        <w:rPr>
          <w:rFonts w:eastAsia="Times New Roman"/>
          <w:vanish/>
        </w:rPr>
        <w:t>tRateContractMember2021-06-300000927628us-gaap:DesignatedAsHedgingInstrumentMemberus-gaap:InterestRateContractMember2020-12-310000927628us-gaap:DesignatedAsHedgingInstrumentMemberus-gaap:ForeignExchangeContractMemberus-gaap:FairValueHedgingMember2021-06-30</w:t>
      </w:r>
      <w:r>
        <w:rPr>
          <w:rFonts w:eastAsia="Times New Roman"/>
          <w:vanish/>
        </w:rPr>
        <w:t>0000927628us-gaap:DesignatedAsHedgingInstrumentMemberus-gaap:ForeignExchangeContractMemberus-gaap:FairValueHedgingMember2020-12-310000927628us-gaap:DesignatedAsHedgingInstrumentMemberus-gaap:CashFlowHedgingMemberus-gaap:ForeignExchangeContractMember2021-06</w:t>
      </w:r>
      <w:r>
        <w:rPr>
          <w:rFonts w:eastAsia="Times New Roman"/>
          <w:vanish/>
        </w:rPr>
        <w:t>-300000927628us-gaap:DesignatedAsHedgingInstrumentMemberus-gaap:CashFlowHedgingMemberus-gaap:ForeignExchangeContractMember2020-12-310000927628us-gaap:DesignatedAsHedgingInstrumentMemberus-gaap:NetInvestmentHedgingMemberus-gaap:ForeignExchangeContractMember</w:t>
      </w:r>
      <w:r>
        <w:rPr>
          <w:rFonts w:eastAsia="Times New Roman"/>
          <w:vanish/>
        </w:rPr>
        <w:t>2021-06-300000927628us-gaap:DesignatedAsHedgingInstrumentMemberus-gaap:NetInvestmentHedgingMemberus-gaap:ForeignExchangeContractMember2020-12-310000927628us-gaap:DesignatedAsHedgingInstrumentMemberus-gaap:ForeignExchangeContractMember2021-06-300000927628us</w:t>
      </w:r>
      <w:r>
        <w:rPr>
          <w:rFonts w:eastAsia="Times New Roman"/>
          <w:vanish/>
        </w:rPr>
        <w:t>-gaap:DesignatedAsHedgingInstrumentMemberus-gaap:ForeignExchangeContractMember2020-12-310000927628us-gaap:DesignatedAsHedgingInstrumentMember2021-06-300000927628us-gaap:DesignatedAsHedgingInstrumentMember2020-12-310000927628cof:CustomerAccommodationMemberu</w:t>
      </w:r>
      <w:r>
        <w:rPr>
          <w:rFonts w:eastAsia="Times New Roman"/>
          <w:vanish/>
        </w:rPr>
        <w:t>s-gaap:InterestRateContractMemberus-gaap:NondesignatedMember2021-06-300000927628cof:CustomerAccommodationMemberus-gaap:InterestRateContractMemberus-gaap:NondesignatedMember2020-12-310000927628us-gaap:CommodityContractMembercof:CustomerAccommodationMemberus</w:t>
      </w:r>
      <w:r>
        <w:rPr>
          <w:rFonts w:eastAsia="Times New Roman"/>
          <w:vanish/>
        </w:rPr>
        <w:t>-gaap:NondesignatedMember2021-06-300000927628us-gaap:CommodityContractMembercof:CustomerAccommodationMemberus-gaap:NondesignatedMember2020-12-310000927628cof:CustomerAccommodationMemberus-gaap:ForeignExchangeContractMemberus-gaap:NondesignatedMember2021-06</w:t>
      </w:r>
      <w:r>
        <w:rPr>
          <w:rFonts w:eastAsia="Times New Roman"/>
          <w:vanish/>
        </w:rPr>
        <w:t>-300000927628cof:CustomerAccommodationMemberus-gaap:ForeignExchangeContractMemberus-gaap:NondesignatedMember2020-12-310000927628cof:CustomerAccommodationMemberus-gaap:NondesignatedMember2021-06-300000927628cof:CustomerAccommodationMemberus-gaap:Nondesignat</w:t>
      </w:r>
      <w:r>
        <w:rPr>
          <w:rFonts w:eastAsia="Times New Roman"/>
          <w:vanish/>
        </w:rPr>
        <w:t>edMember2020-12-310000927628cof:OtherInterestRateExposuresMemberus-gaap:InterestRateContractMemberus-gaap:NondesignatedMember2021-06-300000927628cof:OtherInterestRateExposuresMemberus-gaap:InterestRateContractMemberus-gaap:NondesignatedMember2020-12-310000</w:t>
      </w:r>
      <w:r>
        <w:rPr>
          <w:rFonts w:eastAsia="Times New Roman"/>
          <w:vanish/>
        </w:rPr>
        <w:t>927628us-gaap:OtherContractMemberus-gaap:NondesignatedMember2021-06-300000927628us-gaap:OtherContractMemberus-gaap:NondesignatedMember2020-12-310000927628us-gaap:NondesignatedMember2021-06-300000927628us-gaap:NondesignatedMember2020-12-310000927628us-gaap:</w:t>
      </w:r>
      <w:r>
        <w:rPr>
          <w:rFonts w:eastAsia="Times New Roman"/>
          <w:vanish/>
        </w:rPr>
        <w:t>AvailableforsaleSecuritiesMember2021-06-300000927628us-gaap:AvailableforsaleSecuritiesMember2020-12-310000927628us-gaap:InterestBearingDepositsMember2021-06-300000927628us-gaap:InterestBearingDepositsMember2020-12-310000927628cof:SecuritizedDebtObligations</w:t>
      </w:r>
      <w:r>
        <w:rPr>
          <w:rFonts w:eastAsia="Times New Roman"/>
          <w:vanish/>
        </w:rPr>
        <w:t>Member2021-06-300000927628cof:SecuritizedDebtObligationsMember2020-12-310000927628cof:SeniorAndSubordinatedNotesMember2021-06-300000927628cof:SeniorAndSubordinatedNotesMember2020-12-310000927628cof:InterestincomeInvestmentsecuritiesMemberus-gaap:InterestRa</w:t>
      </w:r>
      <w:r>
        <w:rPr>
          <w:rFonts w:eastAsia="Times New Roman"/>
          <w:vanish/>
        </w:rPr>
        <w:t>teContractMemberus-gaap:FairValueHedgingMember2021-04-012021-06-300000927628us-gaap:InterestRateContractMembercof:InterestincomeLoansMemberus-gaap:FairValueHedgingMember2021-04-012021-06-300000927628us-gaap:InterestRateContractMembercof:InterestincomeOther</w:t>
      </w:r>
      <w:r>
        <w:rPr>
          <w:rFonts w:eastAsia="Times New Roman"/>
          <w:vanish/>
        </w:rPr>
        <w:t>Memberus-gaap:FairValueHedgingMember2021-04-012021-06-300000927628us-gaap:InterestRateContractMembercof:InterestexpenseDepositsMemberus-gaap:FairValueHedgingMember2021-04-012021-06-300000927628us-gaap:InterestRateContractMemberus-gaap:FairValueHedgingMembe</w:t>
      </w:r>
      <w:r>
        <w:rPr>
          <w:rFonts w:eastAsia="Times New Roman"/>
          <w:vanish/>
        </w:rPr>
        <w:t>rcof:InterestexpenseSecuritizedDebtObligationMember2021-04-012021-06-300000927628us-gaap:InterestRateContractMembercof:InterestexpenseSeniorandSubordinatedDebtMemberus-gaap:FairValueHedgingMember2021-04-012021-06-300000927628us-gaap:InterestRateContractMem</w:t>
      </w:r>
      <w:r>
        <w:rPr>
          <w:rFonts w:eastAsia="Times New Roman"/>
          <w:vanish/>
        </w:rPr>
        <w:t>berus-gaap:FairValueHedgingMembercof:NonInterestIncomeOtherMember2021-04-012021-06-300000927628cof:InterestincomeInvestmentsecuritiesMemberus-gaap:FairValueHedgingMember2021-04-012021-06-300000927628cof:InterestincomeLoansMemberus-gaap:FairValueHedgingMemb</w:t>
      </w:r>
      <w:r>
        <w:rPr>
          <w:rFonts w:eastAsia="Times New Roman"/>
          <w:vanish/>
        </w:rPr>
        <w:t>er2021-04-012021-06-300000927628cof:InterestincomeOtherMemberus-gaap:FairValueHedgingMember2021-04-012021-06-300000927628cof:InterestexpenseDepositsMemberus-gaap:FairValueHedgingMember2021-04-012021-06-300000927628us-gaap:FairValueHedgingMembercof:Interest</w:t>
      </w:r>
      <w:r>
        <w:rPr>
          <w:rFonts w:eastAsia="Times New Roman"/>
          <w:vanish/>
        </w:rPr>
        <w:t>expenseSecuritizedDebtObligationMember2021-04-012021-06-300000927628cof:InterestexpenseSeniorandSubordinatedDebtMemberus-gaap:FairValueHedgingMember2021-04-012021-06-300000927628us-gaap:FairValueHedgingMembercof:NonInterestIncomeOtherMember2021-04-012021-0</w:t>
      </w:r>
      <w:r>
        <w:rPr>
          <w:rFonts w:eastAsia="Times New Roman"/>
          <w:vanish/>
        </w:rPr>
        <w:t>6-300000927628cof:InterestincomeInvestmentsecuritiesMemberus-gaap:CashFlowHedgingMemberus-gaap:InterestRateContractMember2021-04-012021-06-300000927628us-gaap:CashFlowHedgingMemberus-gaap:InterestRateContractMembercof:InterestincomeLoansMember2021-04-01202</w:t>
      </w:r>
      <w:r>
        <w:rPr>
          <w:rFonts w:eastAsia="Times New Roman"/>
          <w:vanish/>
        </w:rPr>
        <w:t>1-06-300000927628us-gaap:CashFlowHedgingMemberus-gaap:InterestRateContractMembercof:InterestincomeOtherMember2021-04-012021-06-300000927628us-gaap:CashFlowHedgingMemberus-gaap:InterestRateContractMembercof:InterestexpenseDepositsMember2021-04-012021-06-300</w:t>
      </w:r>
      <w:r>
        <w:rPr>
          <w:rFonts w:eastAsia="Times New Roman"/>
          <w:vanish/>
        </w:rPr>
        <w:t>000927628us-gaap:CashFlowHedgingMemberus-gaap:InterestRateContractMembercof:InterestexpenseSecuritizedDebtObligationMember2021-04-012021-06-300000927628us-gaap:CashFlowHedgingMemberus-gaap:InterestRateContractMembercof:InterestexpenseSeniorandSubordinatedD</w:t>
      </w:r>
      <w:r>
        <w:rPr>
          <w:rFonts w:eastAsia="Times New Roman"/>
          <w:vanish/>
        </w:rPr>
        <w:t>ebtMember2021-04-012021-06-300000927628us-gaap:CashFlowHedgingMemberus-gaap:InterestRateContractMembercof:NonInterestIncomeOtherMember2021-04-012021-06-300000927628cof:InterestincomeInvestmentsecuritiesMemberus-gaap:CashFlowHedgingMemberus-gaap:ForeignExch</w:t>
      </w:r>
      <w:r>
        <w:rPr>
          <w:rFonts w:eastAsia="Times New Roman"/>
          <w:vanish/>
        </w:rPr>
        <w:t>angeContractMember2021-04-012021-06-300000927628us-gaap:CashFlowHedgingMemberus-gaap:ForeignExchangeContractMembercof:InterestincomeLoansMember2021-04-012021-06-300000927628us-gaap:CashFlowHedgingMemberus-gaap:ForeignExchangeContractMembercof:Interestincom</w:t>
      </w:r>
      <w:r>
        <w:rPr>
          <w:rFonts w:eastAsia="Times New Roman"/>
          <w:vanish/>
        </w:rPr>
        <w:t>eOtherMember2021-04-012021-06-300000927628us-gaap:CashFlowHedgingMemberus-gaap:ForeignExchangeContractMembercof:InterestexpenseDepositsMember2021-04-012021-06-300000927628us-gaap:CashFlowHedgingMemberus-gaap:ForeignExchangeContractMembercof:Interestexpense</w:t>
      </w:r>
      <w:r>
        <w:rPr>
          <w:rFonts w:eastAsia="Times New Roman"/>
          <w:vanish/>
        </w:rPr>
        <w:t>SecuritizedDebtObligationMember2021-04-012021-06-300000927628us-gaap:CashFlowHedgingMemberus-gaap:ForeignExchangeContractMembercof:InterestexpenseSeniorandSubordinatedDebtMember2021-04-012021-06-300000927628us-gaap:CashFlowHedgingMemberus-gaap:ForeignExcha</w:t>
      </w:r>
      <w:r>
        <w:rPr>
          <w:rFonts w:eastAsia="Times New Roman"/>
          <w:vanish/>
        </w:rPr>
        <w:t>ngeContractMembercof:NonInterestIncomeOtherMember2021-04-012021-06-300000927628cof:InterestincomeInvestmentsecuritiesMemberus-gaap:CashFlowHedgingMember2021-04-012021-06-300000927628us-gaap:CashFlowHedgingMembercof:InterestincomeLoansMember2021-04-012021-0</w:t>
      </w:r>
      <w:r>
        <w:rPr>
          <w:rFonts w:eastAsia="Times New Roman"/>
          <w:vanish/>
        </w:rPr>
        <w:t>6-300000927628us-gaap:CashFlowHedgingMembercof:InterestincomeOtherMember2021-04-012021-06-300000927628us-gaap:CashFlowHedgingMembercof:InterestexpenseDepositsMember2021-04-012021-06-300000927628us-gaap:CashFlowHedgingMembercof:InterestexpenseSecuritizedDeb</w:t>
      </w:r>
      <w:r>
        <w:rPr>
          <w:rFonts w:eastAsia="Times New Roman"/>
          <w:vanish/>
        </w:rPr>
        <w:t>tObligationMember2021-04-012021-06-300000927628us-gaap:CashFlowHedgingMembercof:InterestexpenseSeniorandSubordinatedDebtMember2021-04-012021-06-300000927628us-gaap:CashFlowHedgingMembercof:NonInterestIncomeOtherMember2021-04-012021-06-300000927628cof:Inter</w:t>
      </w:r>
      <w:r>
        <w:rPr>
          <w:rFonts w:eastAsia="Times New Roman"/>
          <w:vanish/>
        </w:rPr>
        <w:t>estincomeInvestmentsecuritiesMemberus-gaap:InterestRateContractMemberus-gaap:FairValueHedgingMember2021-01-012021-06-300000927628us-gaap:InterestRateContractMembercof:InterestincomeLoansMemberus-gaap:FairValueHedgingMember2021-01-012021-06-300000927628us-g</w:t>
      </w:r>
      <w:r>
        <w:rPr>
          <w:rFonts w:eastAsia="Times New Roman"/>
          <w:vanish/>
        </w:rPr>
        <w:t>aap:InterestRateContractMembercof:InterestincomeOtherMemberus-gaap:FairValueHedgingMember2021-01-012021-06-300000927628us-gaap:InterestRateContractMembercof:InterestexpenseDepositsMemberus-gaap:FairValueHedgingMember2021-01-012021-06-300000927628us-gaap:In</w:t>
      </w:r>
      <w:r>
        <w:rPr>
          <w:rFonts w:eastAsia="Times New Roman"/>
          <w:vanish/>
        </w:rPr>
        <w:t>terestRateContractMemberus-gaap:FairValueHedgingMembercof:InterestexpenseSecuritizedDebtObligationMember2021-01-012021-06-300000927628us-gaap:InterestRateContractMembercof:InterestexpenseSeniorandSubordinatedDebtMemberus-gaap:FairValueHedgingMember2021-01-</w:t>
      </w:r>
      <w:r>
        <w:rPr>
          <w:rFonts w:eastAsia="Times New Roman"/>
          <w:vanish/>
        </w:rPr>
        <w:t>012021-06-300000927628us-gaap:InterestRateContractMemberus-gaap:FairValueHedgingMembercof:NonInterestIncomeOtherMember2021-01-012021-06-300000927628cof:InterestincomeInvestmentsecuritiesMemberus-gaap:FairValueHedgingMember2021-01-012021-06-300000927628cof:</w:t>
      </w:r>
      <w:r>
        <w:rPr>
          <w:rFonts w:eastAsia="Times New Roman"/>
          <w:vanish/>
        </w:rPr>
        <w:t>InterestincomeLoansMemberus-gaap:FairValueHedgingMember2021-01-012021-06-300000927628cof:InterestincomeOtherMemberus-gaap:FairValueHedgingMember2021-01-012021-06-300000927628cof:InterestexpenseDepositsMemberus-gaap:FairValueHedgingMember2021-01-012021-06-3</w:t>
      </w:r>
      <w:r>
        <w:rPr>
          <w:rFonts w:eastAsia="Times New Roman"/>
          <w:vanish/>
        </w:rPr>
        <w:t>00000927628us-gaap:FairValueHedgingMembercof:InterestexpenseSecuritizedDebtObligationMember2021-01-012021-06-300000927628cof:InterestexpenseSeniorandSubordinatedDebtMemberus-gaap:FairValueHedgingMember2021-01-012021-06-300000927628us-gaap:FairValueHedgingM</w:t>
      </w:r>
      <w:r>
        <w:rPr>
          <w:rFonts w:eastAsia="Times New Roman"/>
          <w:vanish/>
        </w:rPr>
        <w:t>embercof:NonInterestIncomeOtherMember2021-01-012021-06-300000927628cof:InterestincomeInvestmentsecuritiesMemberus-gaap:CashFlowHedgingMemberus-gaap:InterestRateContractMember2021-01-012021-06-300000927628us-gaap:CashFlowHedgingMemberus-gaap:InterestRateCon</w:t>
      </w:r>
      <w:r>
        <w:rPr>
          <w:rFonts w:eastAsia="Times New Roman"/>
          <w:vanish/>
        </w:rPr>
        <w:t>tractMembercof:InterestincomeLoansMember2021-01-012021-06-300000927628us-gaap:CashFlowHedgingMemberus-gaap:InterestRateContractMembercof:InterestincomeOtherMember2021-01-012021-06-300000927628us-gaap:CashFlowHedgingMemberus-gaap:InterestRateContractMemberc</w:t>
      </w:r>
      <w:r>
        <w:rPr>
          <w:rFonts w:eastAsia="Times New Roman"/>
          <w:vanish/>
        </w:rPr>
        <w:t>of:InterestexpenseDepositsMember2021-01-012021-06-300000927628us-gaap:CashFlowHedgingMemberus-gaap:InterestRateContractMembercof:InterestexpenseSecuritizedDebtObligationMember2021-01-012021-06-300000927628us-gaap:CashFlowHedgingMemberus-gaap:InterestRateCo</w:t>
      </w:r>
      <w:r>
        <w:rPr>
          <w:rFonts w:eastAsia="Times New Roman"/>
          <w:vanish/>
        </w:rPr>
        <w:t>ntractMembercof:InterestexpenseSeniorandSubordinatedDebtMember2021-01-012021-06-300000927628us-gaap:CashFlowHedgingMemberus-gaap:InterestRateContractMembercof:NonInterestIncomeOtherMember2021-01-012021-06-300000927628cof:InterestincomeInvestmentsecuritiesM</w:t>
      </w:r>
      <w:r>
        <w:rPr>
          <w:rFonts w:eastAsia="Times New Roman"/>
          <w:vanish/>
        </w:rPr>
        <w:t>emberus-gaap:CashFlowHedgingMemberus-gaap:ForeignExchangeContractMember2021-01-012021-06-300000927628us-gaap:CashFlowHedgingMemberus-gaap:ForeignExchangeContractMembercof:InterestincomeLoansMember2021-01-012021-06-300000927628us-gaap:CashFlowHedgingMemberu</w:t>
      </w:r>
      <w:r>
        <w:rPr>
          <w:rFonts w:eastAsia="Times New Roman"/>
          <w:vanish/>
        </w:rPr>
        <w:t>s-gaap:ForeignExchangeContractMembercof:InterestincomeOtherMember2021-01-012021-06-300000927628us-gaap:CashFlowHedgingMemberus-gaap:ForeignExchangeContractMembercof:InterestexpenseDepositsMember2021-01-012021-06-300000927628us-gaap:CashFlowHedgingMemberus-</w:t>
      </w:r>
      <w:r>
        <w:rPr>
          <w:rFonts w:eastAsia="Times New Roman"/>
          <w:vanish/>
        </w:rPr>
        <w:t>gaap:ForeignExchangeContractMembercof:InterestexpenseSecuritizedDebtObligationMember2021-01-012021-06-300000927628us-gaap:CashFlowHedgingMemberus-gaap:ForeignExchangeContractMembercof:InterestexpenseSeniorandSubordinatedDebtMember2021-01-012021-06-30000092</w:t>
      </w:r>
      <w:r>
        <w:rPr>
          <w:rFonts w:eastAsia="Times New Roman"/>
          <w:vanish/>
        </w:rPr>
        <w:t>7628us-gaap:CashFlowHedgingMemberus-gaap:ForeignExchangeContractMembercof:NonInterestIncomeOtherMember2021-01-012021-06-300000927628cof:InterestincomeInvestmentsecuritiesMemberus-gaap:CashFlowHedgingMember2021-01-012021-06-300000927628us-gaap:CashFlowHedgi</w:t>
      </w:r>
      <w:r>
        <w:rPr>
          <w:rFonts w:eastAsia="Times New Roman"/>
          <w:vanish/>
        </w:rPr>
        <w:t>ngMembercof:InterestincomeLoansMember2021-01-012021-06-300000927628us-gaap:CashFlowHedgingMembercof:InterestincomeOtherMember2021-01-012021-06-300000927628us-gaap:CashFlowHedgingMembercof:InterestexpenseDepositsMember2021-01-012021-06-300000927628us-gaap:C</w:t>
      </w:r>
      <w:r>
        <w:rPr>
          <w:rFonts w:eastAsia="Times New Roman"/>
          <w:vanish/>
        </w:rPr>
        <w:t>ashFlowHedgingMembercof:InterestexpenseSecuritizedDebtObligationMember2021-01-012021-06-300000927628us-gaap:CashFlowHedgingMembercof:InterestexpenseSeniorandSubordinatedDebtMember2021-01-012021-06-300000927628us-gaap:CashFlowHedgingMembercof:NonInterestInc</w:t>
      </w:r>
      <w:r>
        <w:rPr>
          <w:rFonts w:eastAsia="Times New Roman"/>
          <w:vanish/>
        </w:rPr>
        <w:t>omeOtherMember2021-01-012021-06-300000927628cof:InterestincomeInvestmentsecuritiesMemberus-gaap:InterestRateContractMemberus-gaap:FairValueHedgingMember2020-04-012020-06-300000927628us-gaap:InterestRateContractMembercof:InterestincomeLoansMemberus-gaap:Fai</w:t>
      </w:r>
      <w:r>
        <w:rPr>
          <w:rFonts w:eastAsia="Times New Roman"/>
          <w:vanish/>
        </w:rPr>
        <w:t>rValueHedgingMember2020-04-012020-06-300000927628us-gaap:InterestRateContractMembercof:InterestincomeOtherMemberus-gaap:FairValueHedgingMember2020-04-012020-06-300000927628us-gaap:InterestRateContractMembercof:InterestexpenseDepositsMemberus-gaap:FairValue</w:t>
      </w:r>
      <w:r>
        <w:rPr>
          <w:rFonts w:eastAsia="Times New Roman"/>
          <w:vanish/>
        </w:rPr>
        <w:t>HedgingMember2020-04-012020-06-300000927628us-gaap:InterestRateContractMemberus-gaap:FairValueHedgingMembercof:InterestexpenseSecuritizedDebtObligationMember2020-04-012020-06-300000927628us-gaap:InterestRateContractMembercof:InterestexpenseSeniorandSubordi</w:t>
      </w:r>
      <w:r>
        <w:rPr>
          <w:rFonts w:eastAsia="Times New Roman"/>
          <w:vanish/>
        </w:rPr>
        <w:t>natedDebtMemberus-gaap:FairValueHedgingMember2020-04-012020-06-300000927628us-gaap:InterestRateContractMemberus-gaap:FairValueHedgingMembercof:NonInterestIncomeOtherMember2020-04-012020-06-300000927628cof:InterestincomeInvestmentsecuritiesMemberus-gaap:Fai</w:t>
      </w:r>
      <w:r>
        <w:rPr>
          <w:rFonts w:eastAsia="Times New Roman"/>
          <w:vanish/>
        </w:rPr>
        <w:t>rValueHedgingMember2020-04-012020-06-300000927628cof:InterestincomeLoansMemberus-gaap:FairValueHedgingMember2020-04-012020-06-300000927628cof:InterestincomeOtherMemberus-gaap:FairValueHedgingMember2020-04-012020-06-300000927628cof:InterestexpenseDepositsMe</w:t>
      </w:r>
      <w:r>
        <w:rPr>
          <w:rFonts w:eastAsia="Times New Roman"/>
          <w:vanish/>
        </w:rPr>
        <w:t>mberus-gaap:FairValueHedgingMember2020-04-012020-06-300000927628us-gaap:FairValueHedgingMembercof:InterestexpenseSecuritizedDebtObligationMember2020-04-012020-06-300000927628cof:InterestexpenseSeniorandSubordinatedDebtMemberus-gaap:FairValueHedgingMember20</w:t>
      </w:r>
      <w:r>
        <w:rPr>
          <w:rFonts w:eastAsia="Times New Roman"/>
          <w:vanish/>
        </w:rPr>
        <w:t>20-04-012020-06-300000927628us-gaap:FairValueHedgingMembercof:NonInterestIncomeOtherMember2020-04-012020-06-300000927628cof:InterestincomeInvestmentsecuritiesMemberus-gaap:CashFlowHedgingMemberus-gaap:InterestRateContractMember2020-04-012020-06-30000092762</w:t>
      </w:r>
      <w:r>
        <w:rPr>
          <w:rFonts w:eastAsia="Times New Roman"/>
          <w:vanish/>
        </w:rPr>
        <w:t>8us-gaap:CashFlowHedgingMemberus-gaap:InterestRateContractMembercof:InterestincomeLoansMember2020-04-012020-06-300000927628us-gaap:CashFlowHedgingMemberus-gaap:InterestRateContractMembercof:InterestincomeOtherMember2020-04-012020-06-300000927628us-gaap:Cas</w:t>
      </w:r>
      <w:r>
        <w:rPr>
          <w:rFonts w:eastAsia="Times New Roman"/>
          <w:vanish/>
        </w:rPr>
        <w:t>hFlowHedgingMemberus-gaap:InterestRateContractMembercof:InterestexpenseDepositsMember2020-04-012020-06-300000927628us-gaap:CashFlowHedgingMemberus-gaap:InterestRateContractMembercof:InterestexpenseSecuritizedDebtObligationMember2020-04-012020-06-3000009276</w:t>
      </w:r>
      <w:r>
        <w:rPr>
          <w:rFonts w:eastAsia="Times New Roman"/>
          <w:vanish/>
        </w:rPr>
        <w:t>28us-gaap:CashFlowHedgingMemberus-gaap:InterestRateContractMembercof:InterestexpenseSeniorandSubordinatedDebtMember2020-04-012020-06-300000927628us-gaap:CashFlowHedgingMemberus-gaap:InterestRateContractMembercof:NonInterestIncomeOtherMember2020-04-012020-0</w:t>
      </w:r>
      <w:r>
        <w:rPr>
          <w:rFonts w:eastAsia="Times New Roman"/>
          <w:vanish/>
        </w:rPr>
        <w:t>6-300000927628cof:InterestincomeInvestmentsecuritiesMemberus-gaap:CashFlowHedgingMemberus-gaap:ForeignExchangeContractMember2020-04-012020-06-300000927628us-gaap:CashFlowHedgingMemberus-gaap:ForeignExchangeContractMembercof:InterestincomeLoansMember2020-04</w:t>
      </w:r>
      <w:r>
        <w:rPr>
          <w:rFonts w:eastAsia="Times New Roman"/>
          <w:vanish/>
        </w:rPr>
        <w:t>-012020-06-300000927628us-gaap:CashFlowHedgingMemberus-gaap:ForeignExchangeContractMembercof:InterestincomeOtherMember2020-04-012020-06-300000927628us-gaap:CashFlowHedgingMemberus-gaap:ForeignExchangeContractMembercof:InterestexpenseDepositsMember2020-04-0</w:t>
      </w:r>
      <w:r>
        <w:rPr>
          <w:rFonts w:eastAsia="Times New Roman"/>
          <w:vanish/>
        </w:rPr>
        <w:t>12020-06-300000927628us-gaap:CashFlowHedgingMemberus-gaap:ForeignExchangeContractMembercof:InterestexpenseSecuritizedDebtObligationMember2020-04-012020-06-300000927628us-gaap:CashFlowHedgingMemberus-gaap:ForeignExchangeContractMembercof:InterestexpenseSeni</w:t>
      </w:r>
      <w:r>
        <w:rPr>
          <w:rFonts w:eastAsia="Times New Roman"/>
          <w:vanish/>
        </w:rPr>
        <w:t>orandSubordinatedDebtMember2020-04-012020-06-300000927628us-gaap:CashFlowHedgingMemberus-gaap:ForeignExchangeContractMembercof:NonInterestIncomeOtherMember2020-04-012020-06-300000927628cof:InterestincomeInvestmentsecuritiesMemberus-gaap:CashFlowHedgingMemb</w:t>
      </w:r>
      <w:r>
        <w:rPr>
          <w:rFonts w:eastAsia="Times New Roman"/>
          <w:vanish/>
        </w:rPr>
        <w:t>er2020-04-012020-06-300000927628us-gaap:CashFlowHedgingMembercof:InterestincomeLoansMember2020-04-012020-06-300000927628us-gaap:CashFlowHedgingMembercof:InterestincomeOtherMember2020-04-012020-06-300000927628us-gaap:CashFlowHedgingMembercof:Interestexpense</w:t>
      </w:r>
      <w:r>
        <w:rPr>
          <w:rFonts w:eastAsia="Times New Roman"/>
          <w:vanish/>
        </w:rPr>
        <w:t>DepositsMember2020-04-012020-06-300000927628us-gaap:CashFlowHedgingMembercof:InterestexpenseSecuritizedDebtObligationMember2020-04-012020-06-300000927628us-gaap:CashFlowHedgingMembercof:InterestexpenseSeniorandSubordinatedDebtMember2020-04-012020-06-300000</w:t>
      </w:r>
      <w:r>
        <w:rPr>
          <w:rFonts w:eastAsia="Times New Roman"/>
          <w:vanish/>
        </w:rPr>
        <w:t>927628us-gaap:CashFlowHedgingMembercof:NonInterestIncomeOtherMember2020-04-012020-06-300000927628cof:InterestincomeInvestmentsecuritiesMemberus-gaap:InterestRateContractMemberus-gaap:FairValueHedgingMember2020-01-012020-06-300000927628us-gaap:InterestRateC</w:t>
      </w:r>
      <w:r>
        <w:rPr>
          <w:rFonts w:eastAsia="Times New Roman"/>
          <w:vanish/>
        </w:rPr>
        <w:t>ontractMembercof:InterestincomeLoansMemberus-gaap:FairValueHedgingMember2020-01-012020-06-300000927628us-gaap:InterestRateContractMembercof:InterestincomeOtherMemberus-gaap:FairValueHedgingMember2020-01-012020-06-300000927628us-gaap:InterestRateContractMem</w:t>
      </w:r>
      <w:r>
        <w:rPr>
          <w:rFonts w:eastAsia="Times New Roman"/>
          <w:vanish/>
        </w:rPr>
        <w:t>bercof:InterestexpenseDepositsMemberus-gaap:FairValueHedgingMember2020-01-012020-06-300000927628us-gaap:InterestRateContractMemberus-gaap:FairValueHedgingMembercof:InterestexpenseSecuritizedDebtObligationMember2020-01-012020-06-300000927628us-gaap:Interest</w:t>
      </w:r>
      <w:r>
        <w:rPr>
          <w:rFonts w:eastAsia="Times New Roman"/>
          <w:vanish/>
        </w:rPr>
        <w:t>RateContractMembercof:InterestexpenseSeniorandSubordinatedDebtMemberus-gaap:FairValueHedgingMember2020-01-012020-06-300000927628us-gaap:InterestRateContractMemberus-gaap:FairValueHedgingMembercof:NonInterestIncomeOtherMember2020-01-012020-06-300000927628co</w:t>
      </w:r>
      <w:r>
        <w:rPr>
          <w:rFonts w:eastAsia="Times New Roman"/>
          <w:vanish/>
        </w:rPr>
        <w:t>f:InterestincomeInvestmentsecuritiesMemberus-gaap:FairValueHedgingMember2020-01-012020-06-300000927628cof:InterestincomeLoansMemberus-gaap:FairValueHedgingMember2020-01-012020-06-300000927628cof:InterestincomeOtherMemberus-gaap:FairValueHedgingMember2020-0</w:t>
      </w:r>
      <w:r>
        <w:rPr>
          <w:rFonts w:eastAsia="Times New Roman"/>
          <w:vanish/>
        </w:rPr>
        <w:t>1-012020-06-300000927628cof:InterestexpenseDepositsMemberus-gaap:FairValueHedgingMember2020-01-012020-06-300000927628us-gaap:FairValueHedgingMembercof:InterestexpenseSecuritizedDebtObligationMember2020-01-012020-06-300000927628cof:InterestexpenseSeniorandS</w:t>
      </w:r>
      <w:r>
        <w:rPr>
          <w:rFonts w:eastAsia="Times New Roman"/>
          <w:vanish/>
        </w:rPr>
        <w:t>ubordinatedDebtMemberus-gaap:FairValueHedgingMember2020-01-012020-06-300000927628us-gaap:FairValueHedgingMembercof:NonInterestIncomeOtherMember2020-01-012020-06-300000927628cof:InterestincomeInvestmentsecuritiesMemberus-gaap:CashFlowHedgingMemberus-gaap:In</w:t>
      </w:r>
      <w:r>
        <w:rPr>
          <w:rFonts w:eastAsia="Times New Roman"/>
          <w:vanish/>
        </w:rPr>
        <w:t>terestRateContractMember2020-01-012020-06-300000927628us-gaap:CashFlowHedgingMemberus-gaap:InterestRateContractMembercof:InterestincomeLoansMember2020-01-012020-06-300000927628us-gaap:CashFlowHedgingMemberus-gaap:InterestRateContractMembercof:Interestincom</w:t>
      </w:r>
      <w:r>
        <w:rPr>
          <w:rFonts w:eastAsia="Times New Roman"/>
          <w:vanish/>
        </w:rPr>
        <w:t>eOtherMember2020-01-012020-06-300000927628us-gaap:CashFlowHedgingMemberus-gaap:InterestRateContractMembercof:InterestexpenseDepositsMember2020-01-012020-06-300000927628us-gaap:CashFlowHedgingMemberus-gaap:InterestRateContractMembercof:InterestexpenseSecuri</w:t>
      </w:r>
      <w:r>
        <w:rPr>
          <w:rFonts w:eastAsia="Times New Roman"/>
          <w:vanish/>
        </w:rPr>
        <w:t>tizedDebtObligationMember2020-01-012020-06-300000927628us-gaap:CashFlowHedgingMemberus-gaap:InterestRateContractMembercof:InterestexpenseSeniorandSubordinatedDebtMember2020-01-012020-06-300000927628us-gaap:CashFlowHedgingMemberus-gaap:InterestRateContractM</w:t>
      </w:r>
      <w:r>
        <w:rPr>
          <w:rFonts w:eastAsia="Times New Roman"/>
          <w:vanish/>
        </w:rPr>
        <w:t>embercof:NonInterestIncomeOtherMember2020-01-012020-06-300000927628cof:InterestincomeInvestmentsecuritiesMemberus-gaap:CashFlowHedgingMemberus-gaap:ForeignExchangeContractMember2020-01-012020-06-300000927628us-gaap:CashFlowHedgingMemberus-gaap:ForeignExcha</w:t>
      </w:r>
      <w:r>
        <w:rPr>
          <w:rFonts w:eastAsia="Times New Roman"/>
          <w:vanish/>
        </w:rPr>
        <w:t>ngeContractMembercof:InterestincomeLoansMember2020-01-012020-06-300000927628us-gaap:CashFlowHedgingMemberus-gaap:ForeignExchangeContractMembercof:InterestincomeOtherMember2020-01-012020-06-300000927628us-gaap:CashFlowHedgingMemberus-gaap:ForeignExchangeCon</w:t>
      </w:r>
      <w:r>
        <w:rPr>
          <w:rFonts w:eastAsia="Times New Roman"/>
          <w:vanish/>
        </w:rPr>
        <w:t>tractMembercof:InterestexpenseDepositsMember2020-01-012020-06-300000927628us-gaap:CashFlowHedgingMemberus-gaap:ForeignExchangeContractMembercof:InterestexpenseSecuritizedDebtObligationMember2020-01-012020-06-300000927628us-gaap:CashFlowHedgingMemberus-gaap</w:t>
      </w:r>
      <w:r>
        <w:rPr>
          <w:rFonts w:eastAsia="Times New Roman"/>
          <w:vanish/>
        </w:rPr>
        <w:t>:ForeignExchangeContractMembercof:InterestexpenseSeniorandSubordinatedDebtMember2020-01-012020-06-300000927628us-gaap:CashFlowHedgingMemberus-gaap:ForeignExchangeContractMembercof:NonInterestIncomeOtherMember2020-01-012020-06-300000927628cof:Interestincome</w:t>
      </w:r>
      <w:r>
        <w:rPr>
          <w:rFonts w:eastAsia="Times New Roman"/>
          <w:vanish/>
        </w:rPr>
        <w:t>InvestmentsecuritiesMemberus-gaap:CashFlowHedgingMember2020-01-012020-06-300000927628us-gaap:CashFlowHedgingMembercof:InterestincomeLoansMember2020-01-012020-06-300000927628us-gaap:CashFlowHedgingMembercof:InterestincomeOtherMember2020-01-012020-06-3000009</w:t>
      </w:r>
      <w:r>
        <w:rPr>
          <w:rFonts w:eastAsia="Times New Roman"/>
          <w:vanish/>
        </w:rPr>
        <w:t>27628us-gaap:CashFlowHedgingMembercof:InterestexpenseDepositsMember2020-01-012020-06-300000927628us-gaap:CashFlowHedgingMembercof:InterestexpenseSecuritizedDebtObligationMember2020-01-012020-06-300000927628us-gaap:CashFlowHedgingMembercof:InterestexpenseSe</w:t>
      </w:r>
      <w:r>
        <w:rPr>
          <w:rFonts w:eastAsia="Times New Roman"/>
          <w:vanish/>
        </w:rPr>
        <w:t>niorandSubordinatedDebtMember2020-01-012020-06-300000927628us-gaap:CashFlowHedgingMembercof:NonInterestIncomeOtherMember2020-01-012020-06-300000927628cof:NonInterestIncomeOtherMember2021-04-012021-06-300000927628cof:NonInterestIncomeOtherMember2021-01-0120</w:t>
      </w:r>
      <w:r>
        <w:rPr>
          <w:rFonts w:eastAsia="Times New Roman"/>
          <w:vanish/>
        </w:rPr>
        <w:t>21-06-300000927628cof:NonInterestIncomeOtherMember2020-04-012020-06-300000927628cof:NonInterestIncomeOtherMember2020-01-012020-06-300000927628cof:OtherNonInterestIncomeMembercof:CustomerAccommodationMemberus-gaap:InterestRateContractMember2021-04-012021-06</w:t>
      </w:r>
      <w:r>
        <w:rPr>
          <w:rFonts w:eastAsia="Times New Roman"/>
          <w:vanish/>
        </w:rPr>
        <w:t>-300000927628cof:OtherNonInterestIncomeMembercof:CustomerAccommodationMemberus-gaap:InterestRateContractMember2020-04-012020-06-300000927628cof:OtherNonInterestIncomeMembercof:CustomerAccommodationMemberus-gaap:InterestRateContractMember2021-01-012021-06-3</w:t>
      </w:r>
      <w:r>
        <w:rPr>
          <w:rFonts w:eastAsia="Times New Roman"/>
          <w:vanish/>
        </w:rPr>
        <w:t>00000927628cof:OtherNonInterestIncomeMembercof:CustomerAccommodationMemberus-gaap:InterestRateContractMember2020-01-012020-06-300000927628us-gaap:CommodityContractMembercof:OtherNonInterestIncomeMembercof:CustomerAccommodationMember2021-04-012021-06-300000</w:t>
      </w:r>
      <w:r>
        <w:rPr>
          <w:rFonts w:eastAsia="Times New Roman"/>
          <w:vanish/>
        </w:rPr>
        <w:t>927628us-gaap:CommodityContractMembercof:OtherNonInterestIncomeMembercof:CustomerAccommodationMember2020-04-012020-06-300000927628us-gaap:CommodityContractMembercof:OtherNonInterestIncomeMembercof:CustomerAccommodationMember2021-01-012021-06-300000927628us</w:t>
      </w:r>
      <w:r>
        <w:rPr>
          <w:rFonts w:eastAsia="Times New Roman"/>
          <w:vanish/>
        </w:rPr>
        <w:t>-gaap:CommodityContractMembercof:OtherNonInterestIncomeMembercof:CustomerAccommodationMember2020-01-012020-06-300000927628cof:OtherNonInterestIncomeMembercof:CustomerAccommodationMemberus-gaap:ForeignExchangeContractMember2021-04-012021-06-300000927628cof:</w:t>
      </w:r>
      <w:r>
        <w:rPr>
          <w:rFonts w:eastAsia="Times New Roman"/>
          <w:vanish/>
        </w:rPr>
        <w:t>OtherNonInterestIncomeMembercof:CustomerAccommodationMemberus-gaap:ForeignExchangeContractMember2020-04-012020-06-300000927628cof:OtherNonInterestIncomeMembercof:CustomerAccommodationMemberus-gaap:ForeignExchangeContractMember2021-01-012021-06-300000927628</w:t>
      </w:r>
      <w:r>
        <w:rPr>
          <w:rFonts w:eastAsia="Times New Roman"/>
          <w:vanish/>
        </w:rPr>
        <w:t>cof:OtherNonInterestIncomeMembercof:CustomerAccommodationMemberus-gaap:ForeignExchangeContractMember2020-01-012020-06-300000927628cof:OtherNonInterestIncomeMemberus-gaap:InterestRateContractMember2021-04-012021-06-300000927628cof:OtherNonInterestIncomeMemb</w:t>
      </w:r>
      <w:r>
        <w:rPr>
          <w:rFonts w:eastAsia="Times New Roman"/>
          <w:vanish/>
        </w:rPr>
        <w:t>erus-gaap:InterestRateContractMember2020-04-012020-06-300000927628cof:OtherNonInterestIncomeMemberus-gaap:InterestRateContractMember2021-01-012021-06-300000927628cof:OtherNonInterestIncomeMemberus-gaap:InterestRateContractMember2020-01-012020-06-3000009276</w:t>
      </w:r>
      <w:r>
        <w:rPr>
          <w:rFonts w:eastAsia="Times New Roman"/>
          <w:vanish/>
        </w:rPr>
        <w:t>28cof:OtherNonInterestIncomeMembercof:OtherInterestRateExposuresMemberus-gaap:InterestRateContractMember2021-04-012021-06-300000927628cof:OtherNonInterestIncomeMembercof:OtherInterestRateExposuresMemberus-gaap:InterestRateContractMember2020-04-012020-06-30</w:t>
      </w:r>
      <w:r>
        <w:rPr>
          <w:rFonts w:eastAsia="Times New Roman"/>
          <w:vanish/>
        </w:rPr>
        <w:t>0000927628cof:OtherNonInterestIncomeMembercof:OtherInterestRateExposuresMemberus-gaap:InterestRateContractMember2021-01-012021-06-300000927628cof:OtherNonInterestIncomeMembercof:OtherInterestRateExposuresMemberus-gaap:InterestRateContractMember2020-01-0120</w:t>
      </w:r>
      <w:r>
        <w:rPr>
          <w:rFonts w:eastAsia="Times New Roman"/>
          <w:vanish/>
        </w:rPr>
        <w:t>20-06-300000927628cof:OtherNonInterestIncomeMemberus-gaap:OtherContractMember2021-04-012021-06-300000927628cof:OtherNonInterestIncomeMemberus-gaap:OtherContractMember2020-04-012020-06-300000927628cof:OtherNonInterestIncomeMemberus-gaap:OtherContractMember2</w:t>
      </w:r>
      <w:r>
        <w:rPr>
          <w:rFonts w:eastAsia="Times New Roman"/>
          <w:vanish/>
        </w:rPr>
        <w:t>021-01-012021-06-300000927628cof:OtherNonInterestIncomeMemberus-gaap:OtherContractMember2020-01-012020-06-300000927628cof:OtherNonInterestIncomeMember2021-04-012021-06-300000927628cof:OtherNonInterestIncomeMember2020-04-012020-06-300000927628cof:OtherNonIn</w:t>
      </w:r>
      <w:r>
        <w:rPr>
          <w:rFonts w:eastAsia="Times New Roman"/>
          <w:vanish/>
        </w:rPr>
        <w:t>terestIncomeMember2021-01-012021-06-300000927628cof:OtherNonInterestIncomeMember2020-01-012020-06-300000927628us-gaap:SeriesEPreferredStockMember2021-01-012021-06-300000927628us-gaap:SeriesEPreferredStockMember2021-06-300000927628us-gaap:SeriesEPreferredSt</w:t>
      </w:r>
      <w:r>
        <w:rPr>
          <w:rFonts w:eastAsia="Times New Roman"/>
          <w:vanish/>
        </w:rPr>
        <w:t>ockMember2020-12-310000927628us-gaap:SeriesGPreferredStockMember2021-06-300000927628us-gaap:SeriesGPreferredStockMember2020-12-310000927628us-gaap:SeriesHPreferredStockMember2021-06-300000927628us-gaap:SeriesHPreferredStockMember2020-12-310000927628cof:Ser</w:t>
      </w:r>
      <w:r>
        <w:rPr>
          <w:rFonts w:eastAsia="Times New Roman"/>
          <w:vanish/>
        </w:rPr>
        <w:t>iesIPreferredStockMember2021-06-300000927628cof:SeriesIPreferredStockMember2020-12-310000927628cof:SeriesJPreferredStockMember2021-06-300000927628cof:SeriesJPreferredStockMember2020-12-310000927628cof:SeriesKPreferredStockMember2021-06-300000927628cof:Seri</w:t>
      </w:r>
      <w:r>
        <w:rPr>
          <w:rFonts w:eastAsia="Times New Roman"/>
          <w:vanish/>
        </w:rPr>
        <w:t>esKPreferredStockMember2020-12-310000927628cof:SeriesLPreferredStockMember2021-06-300000927628cof:SeriesLPreferredStockMember2020-12-310000927628cof:SeriesMPreferredStockMember2021-01-012021-06-300000927628cof:SeriesMPreferredStockMember2021-06-30000092762</w:t>
      </w:r>
      <w:r>
        <w:rPr>
          <w:rFonts w:eastAsia="Times New Roman"/>
          <w:vanish/>
        </w:rPr>
        <w:t>8cof:SeriesMPreferredStockMember2020-12-310000927628us-gaap:AccumulatedNetUnrealizedInvestmentGainLossMember2021-03-310000927628us-gaap:AccumulatedNetGainLossFromDesignatedOrQualifyingCashFlowHedgesMember2021-03-310000927628us-gaap:AccumulatedTranslationAd</w:t>
      </w:r>
      <w:r>
        <w:rPr>
          <w:rFonts w:eastAsia="Times New Roman"/>
          <w:vanish/>
        </w:rPr>
        <w:t>justmentMember2021-03-310000927628cof:AccumulatedOtherComprehensiveIncomeLossOtherComponentMember2021-03-310000927628us-gaap:AccumulatedNetUnrealizedInvestmentGainLossMember2021-04-012021-06-300000927628us-gaap:AccumulatedNetGainLossFromDesignatedOrQualify</w:t>
      </w:r>
      <w:r>
        <w:rPr>
          <w:rFonts w:eastAsia="Times New Roman"/>
          <w:vanish/>
        </w:rPr>
        <w:t>ingCashFlowHedgesMember2021-04-012021-06-300000927628us-gaap:AccumulatedTranslationAdjustmentMember2021-04-012021-06-300000927628cof:AccumulatedOtherComprehensiveIncomeLossOtherComponentMember2021-04-012021-06-300000927628us-gaap:AccumulatedNetUnrealizedIn</w:t>
      </w:r>
      <w:r>
        <w:rPr>
          <w:rFonts w:eastAsia="Times New Roman"/>
          <w:vanish/>
        </w:rPr>
        <w:t>vestmentGainLossMember2021-06-300000927628us-gaap:AccumulatedNetGainLossFromDesignatedOrQualifyingCashFlowHedgesMember2021-06-300000927628us-gaap:AccumulatedTranslationAdjustmentMember2021-06-300000927628cof:AccumulatedOtherComprehensiveIncomeLossOtherComp</w:t>
      </w:r>
      <w:r>
        <w:rPr>
          <w:rFonts w:eastAsia="Times New Roman"/>
          <w:vanish/>
        </w:rPr>
        <w:t>onentMember2021-06-300000927628us-gaap:AccumulatedNetUnrealizedInvestmentGainLossMember2020-12-310000927628us-gaap:AccumulatedNetGainLossFromDesignatedOrQualifyingCashFlowHedgesMember2020-12-310000927628us-gaap:AccumulatedTranslationAdjustmentMember2020-12</w:t>
      </w:r>
      <w:r>
        <w:rPr>
          <w:rFonts w:eastAsia="Times New Roman"/>
          <w:vanish/>
        </w:rPr>
        <w:t>-310000927628cof:AccumulatedOtherComprehensiveIncomeLossOtherComponentMember2020-12-310000927628us-gaap:AccumulatedNetUnrealizedInvestmentGainLossMember2021-01-012021-06-300000927628us-gaap:AccumulatedNetGainLossFromDesignatedOrQualifyingCashFlowHedgesMemb</w:t>
      </w:r>
      <w:r>
        <w:rPr>
          <w:rFonts w:eastAsia="Times New Roman"/>
          <w:vanish/>
        </w:rPr>
        <w:t>er2021-01-012021-06-300000927628us-gaap:AccumulatedTranslationAdjustmentMember2021-01-012021-06-300000927628cof:AccumulatedOtherComprehensiveIncomeLossOtherComponentMember2021-01-012021-06-300000927628us-gaap:AccumulatedOtherComprehensiveIncomeMember2021-0</w:t>
      </w:r>
      <w:r>
        <w:rPr>
          <w:rFonts w:eastAsia="Times New Roman"/>
          <w:vanish/>
        </w:rPr>
        <w:t>1-012021-06-300000927628us-gaap:AccumulatedNetUnrealizedInvestmentGainLossMember2020-03-310000927628us-gaap:AccumulatedNetGainLossFromDesignatedOrQualifyingCashFlowHedgesMember2020-03-310000927628us-gaap:AccumulatedTranslationAdjustmentMember2020-03-310000</w:t>
      </w:r>
      <w:r>
        <w:rPr>
          <w:rFonts w:eastAsia="Times New Roman"/>
          <w:vanish/>
        </w:rPr>
        <w:t>927628cof:AccumulatedOtherComprehensiveIncomeLossOtherComponentMember2020-03-310000927628us-gaap:AccumulatedNetUnrealizedInvestmentGainLossMember2020-04-012020-06-300000927628us-gaap:AccumulatedNetGainLossFromDesignatedOrQualifyingCashFlowHedgesMember2020-</w:t>
      </w:r>
      <w:r>
        <w:rPr>
          <w:rFonts w:eastAsia="Times New Roman"/>
          <w:vanish/>
        </w:rPr>
        <w:t>04-012020-06-300000927628us-gaap:AccumulatedTranslationAdjustmentMember2020-04-012020-06-300000927628cof:AccumulatedOtherComprehensiveIncomeLossOtherComponentMember2020-04-012020-06-300000927628us-gaap:AccumulatedNetUnrealizedInvestmentGainLossMember2020-0</w:t>
      </w:r>
      <w:r>
        <w:rPr>
          <w:rFonts w:eastAsia="Times New Roman"/>
          <w:vanish/>
        </w:rPr>
        <w:t>6-300000927628us-gaap:AccumulatedNetGainLossFromDesignatedOrQualifyingCashFlowHedgesMember2020-06-300000927628us-gaap:AccumulatedTranslationAdjustmentMember2020-06-300000927628cof:AccumulatedOtherComprehensiveIncomeLossOtherComponentMember2020-06-300000927</w:t>
      </w:r>
      <w:r>
        <w:rPr>
          <w:rFonts w:eastAsia="Times New Roman"/>
          <w:vanish/>
        </w:rPr>
        <w:t>628us-gaap:AccumulatedNetUnrealizedInvestmentGainLossMember2019-12-310000927628us-gaap:AccumulatedNetGainLossFromDesignatedOrQualifyingCashFlowHedgesMember2019-12-310000927628us-gaap:AccumulatedTranslationAdjustmentMember2019-12-310000927628cof:Accumulated</w:t>
      </w:r>
      <w:r>
        <w:rPr>
          <w:rFonts w:eastAsia="Times New Roman"/>
          <w:vanish/>
        </w:rPr>
        <w:t>OtherComprehensiveIncomeLossOtherComponentMember2019-12-310000927628srt:CumulativeEffectPeriodOfAdoptionAdjustmentMemberus-gaap:AccumulatedNetUnrealizedInvestmentGainLossMember2019-12-310000927628srt:CumulativeEffectPeriodOfAdoptionAdjustmentMemberus-gaap:</w:t>
      </w:r>
      <w:r>
        <w:rPr>
          <w:rFonts w:eastAsia="Times New Roman"/>
          <w:vanish/>
        </w:rPr>
        <w:t>AccumulatedNetGainLossFromDesignatedOrQualifyingCashFlowHedgesMember2019-12-310000927628us-gaap:AccumulatedTranslationAdjustmentMembersrt:CumulativeEffectPeriodOfAdoptionAdjustmentMember2019-12-310000927628srt:CumulativeEffectPeriodOfAdoptionAdjustmentMemb</w:t>
      </w:r>
      <w:r>
        <w:rPr>
          <w:rFonts w:eastAsia="Times New Roman"/>
          <w:vanish/>
        </w:rPr>
        <w:t>ercof:AccumulatedOtherComprehensiveIncomeLossOtherComponentMember2019-12-310000927628us-gaap:AccumulatedNetUnrealizedInvestmentGainLossMember2020-01-012020-06-300000927628us-gaap:AccumulatedNetGainLossFromDesignatedOrQualifyingCashFlowHedgesMember2020-01-0</w:t>
      </w:r>
      <w:r>
        <w:rPr>
          <w:rFonts w:eastAsia="Times New Roman"/>
          <w:vanish/>
        </w:rPr>
        <w:t>12020-06-300000927628us-gaap:AccumulatedTranslationAdjustmentMember2020-01-012020-06-300000927628cof:AccumulatedOtherComprehensiveIncomeLossOtherComponentMember2020-01-012020-06-300000927628us-gaap:AccumulatedOtherComprehensiveIncomeMember2020-01-012020-06</w:t>
      </w:r>
      <w:r>
        <w:rPr>
          <w:rFonts w:eastAsia="Times New Roman"/>
          <w:vanish/>
        </w:rPr>
        <w:t>-300000927628us-gaap:NetInvestmentHedgingMember2021-04-012021-06-300000927628us-gaap:NetInvestmentHedgingMember2021-01-012021-06-300000927628us-gaap:NetInvestmentHedgingMember2020-04-012020-06-300000927628us-gaap:NetInvestmentHedgingMember2020-01-012020-06</w:t>
      </w:r>
      <w:r>
        <w:rPr>
          <w:rFonts w:eastAsia="Times New Roman"/>
          <w:vanish/>
        </w:rPr>
        <w:t>-300000927628us-gaap:ReclassificationOutOfAccumulatedOtherComprehensiveIncomeMemberus-gaap:AccumulatedNetUnrealizedInvestmentGainLossMember2021-04-012021-06-300000927628us-gaap:ReclassificationOutOfAccumulatedOtherComprehensiveIncomeMemberus-gaap:Accumulat</w:t>
      </w:r>
      <w:r>
        <w:rPr>
          <w:rFonts w:eastAsia="Times New Roman"/>
          <w:vanish/>
        </w:rPr>
        <w:t>edNetUnrealizedInvestmentGainLossMember2020-04-012020-06-300000927628us-gaap:ReclassificationOutOfAccumulatedOtherComprehensiveIncomeMemberus-gaap:AccumulatedNetUnrealizedInvestmentGainLossMember2021-01-012021-06-300000927628us-gaap:ReclassificationOutOfAc</w:t>
      </w:r>
      <w:r>
        <w:rPr>
          <w:rFonts w:eastAsia="Times New Roman"/>
          <w:vanish/>
        </w:rPr>
        <w:t>cumulatedOtherComprehensiveIncomeMemberus-gaap:AccumulatedNetUnrealizedInvestmentGainLossMember2020-01-012020-06-300000927628us-gaap:ReclassificationOutOfAccumulatedOtherComprehensiveIncomeMemberus-gaap:InterestRateContractMemberus-gaap:AccumulatedNetGainL</w:t>
      </w:r>
      <w:r>
        <w:rPr>
          <w:rFonts w:eastAsia="Times New Roman"/>
          <w:vanish/>
        </w:rPr>
        <w:t>ossFromDesignatedOrQualifyingCashFlowHedgesMember2021-04-012021-06-300000927628us-gaap:ReclassificationOutOfAccumulatedOtherComprehensiveIncomeMemberus-gaap:InterestRateContractMemberus-gaap:AccumulatedNetGainLossFromDesignatedOrQualifyingCashFlowHedgesMem</w:t>
      </w:r>
      <w:r>
        <w:rPr>
          <w:rFonts w:eastAsia="Times New Roman"/>
          <w:vanish/>
        </w:rPr>
        <w:t>ber2020-04-012020-06-300000927628us-gaap:ReclassificationOutOfAccumulatedOtherComprehensiveIncomeMemberus-gaap:InterestRateContractMemberus-gaap:AccumulatedNetGainLossFromDesignatedOrQualifyingCashFlowHedgesMember2021-01-012021-06-300000927628us-gaap:Recla</w:t>
      </w:r>
      <w:r>
        <w:rPr>
          <w:rFonts w:eastAsia="Times New Roman"/>
          <w:vanish/>
        </w:rPr>
        <w:t>ssificationOutOfAccumulatedOtherComprehensiveIncomeMemberus-gaap:InterestRateContractMemberus-gaap:AccumulatedNetGainLossFromDesignatedOrQualifyingCashFlowHedgesMember2020-01-012020-06-300000927628us-gaap:ReclassificationOutOfAccumulatedOtherComprehensiveI</w:t>
      </w:r>
      <w:r>
        <w:rPr>
          <w:rFonts w:eastAsia="Times New Roman"/>
          <w:vanish/>
        </w:rPr>
        <w:t>ncomeMemberus-gaap:ForeignExchangeContractMemberus-gaap:AccumulatedNetGainLossFromDesignatedOrQualifyingCashFlowHedgesMember2021-04-012021-06-300000927628us-gaap:ReclassificationOutOfAccumulatedOtherComprehensiveIncomeMemberus-gaap:ForeignExchangeContractM</w:t>
      </w:r>
      <w:r>
        <w:rPr>
          <w:rFonts w:eastAsia="Times New Roman"/>
          <w:vanish/>
        </w:rPr>
        <w:t>emberus-gaap:AccumulatedNetGainLossFromDesignatedOrQualifyingCashFlowHedgesMember2020-04-012020-06-300000927628us-gaap:ReclassificationOutOfAccumulatedOtherComprehensiveIncomeMemberus-gaap:ForeignExchangeContractMemberus-gaap:AccumulatedNetGainLossFromDesi</w:t>
      </w:r>
      <w:r>
        <w:rPr>
          <w:rFonts w:eastAsia="Times New Roman"/>
          <w:vanish/>
        </w:rPr>
        <w:t>gnatedOrQualifyingCashFlowHedgesMember2021-01-012021-06-300000927628us-gaap:ReclassificationOutOfAccumulatedOtherComprehensiveIncomeMemberus-gaap:ForeignExchangeContractMemberus-gaap:AccumulatedNetGainLossFromDesignatedOrQualifyingCashFlowHedgesMember2020-</w:t>
      </w:r>
      <w:r>
        <w:rPr>
          <w:rFonts w:eastAsia="Times New Roman"/>
          <w:vanish/>
        </w:rPr>
        <w:t>01-012020-06-300000927628us-gaap:ReclassificationOutOfAccumulatedOtherComprehensiveIncomeMembercof:AccumulatedOtherComprehensiveIncomeLossOtherComponentMember2021-04-012021-06-300000927628us-gaap:ReclassificationOutOfAccumulatedOtherComprehensiveIncomeMemb</w:t>
      </w:r>
      <w:r>
        <w:rPr>
          <w:rFonts w:eastAsia="Times New Roman"/>
          <w:vanish/>
        </w:rPr>
        <w:t>ercof:AccumulatedOtherComprehensiveIncomeLossOtherComponentMember2020-04-012020-06-300000927628us-gaap:ReclassificationOutOfAccumulatedOtherComprehensiveIncomeMembercof:AccumulatedOtherComprehensiveIncomeLossOtherComponentMember2021-01-012021-06-3000009276</w:t>
      </w:r>
      <w:r>
        <w:rPr>
          <w:rFonts w:eastAsia="Times New Roman"/>
          <w:vanish/>
        </w:rPr>
        <w:t>28us-gaap:ReclassificationOutOfAccumulatedOtherComprehensiveIncomeMembercof:AccumulatedOtherComprehensiveIncomeLossOtherComponentMember2020-01-012020-06-300000927628us-gaap:ReclassificationOutOfAccumulatedOtherComprehensiveIncomeMember2021-04-012021-06-300</w:t>
      </w:r>
      <w:r>
        <w:rPr>
          <w:rFonts w:eastAsia="Times New Roman"/>
          <w:vanish/>
        </w:rPr>
        <w:t>000927628us-gaap:ReclassificationOutOfAccumulatedOtherComprehensiveIncomeMember2020-04-012020-06-300000927628us-gaap:ReclassificationOutOfAccumulatedOtherComprehensiveIncomeMember2021-01-012021-06-300000927628us-gaap:ReclassificationOutOfAccumulatedOtherCo</w:t>
      </w:r>
      <w:r>
        <w:rPr>
          <w:rFonts w:eastAsia="Times New Roman"/>
          <w:vanish/>
        </w:rPr>
        <w:t>mprehensiveIncomeMember2020-01-012020-06-300000927628us-gaap:StockCompensationPlanMember2021-04-012021-06-300000927628us-gaap:StockCompensationPlanMember2021-01-012021-06-300000927628us-gaap:StockCompensationPlanMember2020-04-012020-06-300000927628us-gaap:</w:t>
      </w:r>
      <w:r>
        <w:rPr>
          <w:rFonts w:eastAsia="Times New Roman"/>
          <w:vanish/>
        </w:rPr>
        <w:t>EmployeeStockOptionMember2020-04-012020-06-300000927628us-gaap:StockCompensationPlanMember2020-01-012020-06-300000927628us-gaap:EmployeeStockOptionMember2020-01-012020-06-300000927628us-gaap:FairValueMeasurementsRecurringMemberus-gaap:USTreasurySecuritiesM</w:t>
      </w:r>
      <w:r>
        <w:rPr>
          <w:rFonts w:eastAsia="Times New Roman"/>
          <w:vanish/>
        </w:rPr>
        <w:t>emberus-gaap:FairValueInputsLevel1Member2021-06-300000927628us-gaap:FairValueMeasurementsRecurringMemberus-gaap:USTreasurySecuritiesMemberus-gaap:FairValueInputsLevel2Member2021-06-300000927628us-gaap:FairValueInputsLevel3Memberus-gaap:FairValueMeasurement</w:t>
      </w:r>
      <w:r>
        <w:rPr>
          <w:rFonts w:eastAsia="Times New Roman"/>
          <w:vanish/>
        </w:rPr>
        <w:t>sRecurringMemberus-gaap:USTreasurySecuritiesMember2021-06-300000927628us-gaap:FairValueMeasurementsRecurringMemberus-gaap:USTreasurySecuritiesMember2021-06-300000927628us-gaap:FairValueMeasurementsRecurringMemberus-gaap:ResidentialMortgageBackedSecuritiesM</w:t>
      </w:r>
      <w:r>
        <w:rPr>
          <w:rFonts w:eastAsia="Times New Roman"/>
          <w:vanish/>
        </w:rPr>
        <w:t>emberus-gaap:FairValueInputsLevel1Member2021-06-300000927628us-gaap:FairValueMeasurementsRecurringMemberus-gaap:ResidentialMortgageBackedSecuritiesMemberus-gaap:FairValueInputsLevel2Member2021-06-300000927628us-gaap:FairValueInputsLevel3Memberus-gaap:FairV</w:t>
      </w:r>
      <w:r>
        <w:rPr>
          <w:rFonts w:eastAsia="Times New Roman"/>
          <w:vanish/>
        </w:rPr>
        <w:t>alueMeasurementsRecurringMemberus-gaap:ResidentialMortgageBackedSecuritiesMember2021-06-300000927628us-gaap:FairValueMeasurementsRecurringMemberus-gaap:ResidentialMortgageBackedSecuritiesMember2021-06-300000927628us-gaap:CommercialMortgageBackedSecuritiesM</w:t>
      </w:r>
      <w:r>
        <w:rPr>
          <w:rFonts w:eastAsia="Times New Roman"/>
          <w:vanish/>
        </w:rPr>
        <w:t>emberus-gaap:FairValueMeasurementsRecurringMemberus-gaap:FairValueInputsLevel1Member2021-06-300000927628us-gaap:CommercialMortgageBackedSecuritiesMemberus-gaap:FairValueMeasurementsRecurringMemberus-gaap:FairValueInputsLevel2Member2021-06-300000927628us-ga</w:t>
      </w:r>
      <w:r>
        <w:rPr>
          <w:rFonts w:eastAsia="Times New Roman"/>
          <w:vanish/>
        </w:rPr>
        <w:t>ap:CommercialMortgageBackedSecuritiesMemberus-gaap:FairValueInputsLevel3Memberus-gaap:FairValueMeasurementsRecurringMember2021-06-300000927628us-gaap:CommercialMortgageBackedSecuritiesMemberus-gaap:FairValueMeasurementsRecurringMember2021-06-300000927628us</w:t>
      </w:r>
      <w:r>
        <w:rPr>
          <w:rFonts w:eastAsia="Times New Roman"/>
          <w:vanish/>
        </w:rPr>
        <w:t>-gaap:FairValueMeasurementsRecurringMemberus-gaap:FairValueInputsLevel1Memberus-gaap:OtherDebtSecuritiesMember2021-06-300000927628us-gaap:FairValueMeasurementsRecurringMemberus-gaap:FairValueInputsLevel2Memberus-gaap:OtherDebtSecuritiesMember2021-06-300000</w:t>
      </w:r>
      <w:r>
        <w:rPr>
          <w:rFonts w:eastAsia="Times New Roman"/>
          <w:vanish/>
        </w:rPr>
        <w:t>927628us-gaap:FairValueInputsLevel3Memberus-gaap:FairValueMeasurementsRecurringMemberus-gaap:OtherDebtSecuritiesMember2021-06-300000927628us-gaap:FairValueMeasurementsRecurringMemberus-gaap:OtherDebtSecuritiesMember2021-06-300000927628us-gaap:FairValueMeas</w:t>
      </w:r>
      <w:r>
        <w:rPr>
          <w:rFonts w:eastAsia="Times New Roman"/>
          <w:vanish/>
        </w:rPr>
        <w:t>urementsRecurringMemberus-gaap:FairValueInputsLevel1Member2021-06-300000927628us-gaap:FairValueMeasurementsRecurringMemberus-gaap:FairValueInputsLevel2Member2021-06-300000927628us-gaap:FairValueInputsLevel3Memberus-gaap:FairValueMeasurementsRecurringMember</w:t>
      </w:r>
      <w:r>
        <w:rPr>
          <w:rFonts w:eastAsia="Times New Roman"/>
          <w:vanish/>
        </w:rPr>
        <w:t>2021-06-300000927628us-gaap:FairValueMeasurementsRecurringMember2021-06-300000927628us-gaap:FairValueMeasurementsRecurringMemberus-gaap:USTreasurySecuritiesMemberus-gaap:FairValueInputsLevel1Member2020-12-310000927628us-gaap:FairValueMeasurementsRecurringM</w:t>
      </w:r>
      <w:r>
        <w:rPr>
          <w:rFonts w:eastAsia="Times New Roman"/>
          <w:vanish/>
        </w:rPr>
        <w:t>emberus-gaap:USTreasurySecuritiesMemberus-gaap:FairValueInputsLevel2Member2020-12-310000927628us-gaap:FairValueInputsLevel3Memberus-gaap:FairValueMeasurementsRecurringMemberus-gaap:USTreasurySecuritiesMember2020-12-310000927628us-gaap:FairValueMeasurements</w:t>
      </w:r>
      <w:r>
        <w:rPr>
          <w:rFonts w:eastAsia="Times New Roman"/>
          <w:vanish/>
        </w:rPr>
        <w:t>RecurringMemberus-gaap:USTreasurySecuritiesMember2020-12-310000927628us-gaap:FairValueMeasurementsRecurringMemberus-gaap:ResidentialMortgageBackedSecuritiesMemberus-gaap:FairValueInputsLevel1Member2020-12-310000927628us-gaap:FairValueMeasurementsRecurringM</w:t>
      </w:r>
      <w:r>
        <w:rPr>
          <w:rFonts w:eastAsia="Times New Roman"/>
          <w:vanish/>
        </w:rPr>
        <w:t>emberus-gaap:ResidentialMortgageBackedSecuritiesMemberus-gaap:FairValueInputsLevel2Member2020-12-310000927628us-gaap:FairValueInputsLevel3Memberus-gaap:FairValueMeasurementsRecurringMemberus-gaap:ResidentialMortgageBackedSecuritiesMember2020-12-31000092762</w:t>
      </w:r>
      <w:r>
        <w:rPr>
          <w:rFonts w:eastAsia="Times New Roman"/>
          <w:vanish/>
        </w:rPr>
        <w:t>8us-gaap:FairValueMeasurementsRecurringMemberus-gaap:ResidentialMortgageBackedSecuritiesMember2020-12-310000927628us-gaap:CommercialMortgageBackedSecuritiesMemberus-gaap:FairValueMeasurementsRecurringMemberus-gaap:FairValueInputsLevel1Member2020-12-3100009</w:t>
      </w:r>
      <w:r>
        <w:rPr>
          <w:rFonts w:eastAsia="Times New Roman"/>
          <w:vanish/>
        </w:rPr>
        <w:t>27628us-gaap:CommercialMortgageBackedSecuritiesMemberus-gaap:FairValueMeasurementsRecurringMemberus-gaap:FairValueInputsLevel2Member2020-12-310000927628us-gaap:CommercialMortgageBackedSecuritiesMemberus-gaap:FairValueInputsLevel3Memberus-gaap:FairValueMeas</w:t>
      </w:r>
      <w:r>
        <w:rPr>
          <w:rFonts w:eastAsia="Times New Roman"/>
          <w:vanish/>
        </w:rPr>
        <w:t>urementsRecurringMember2020-12-310000927628us-gaap:CommercialMortgageBackedSecuritiesMemberus-gaap:FairValueMeasurementsRecurringMember2020-12-310000927628us-gaap:FairValueMeasurementsRecurringMemberus-gaap:FairValueInputsLevel1Memberus-gaap:OtherDebtSecur</w:t>
      </w:r>
      <w:r>
        <w:rPr>
          <w:rFonts w:eastAsia="Times New Roman"/>
          <w:vanish/>
        </w:rPr>
        <w:t>itiesMember2020-12-310000927628us-gaap:FairValueMeasurementsRecurringMemberus-gaap:FairValueInputsLevel2Memberus-gaap:OtherDebtSecuritiesMember2020-12-310000927628us-gaap:FairValueInputsLevel3Memberus-gaap:FairValueMeasurementsRecurringMemberus-gaap:OtherD</w:t>
      </w:r>
      <w:r>
        <w:rPr>
          <w:rFonts w:eastAsia="Times New Roman"/>
          <w:vanish/>
        </w:rPr>
        <w:t>ebtSecuritiesMember2020-12-310000927628us-gaap:FairValueMeasurementsRecurringMemberus-gaap:OtherDebtSecuritiesMember2020-12-310000927628us-gaap:FairValueMeasurementsRecurringMemberus-gaap:FairValueInputsLevel1Member2020-12-310000927628us-gaap:FairValueMeas</w:t>
      </w:r>
      <w:r>
        <w:rPr>
          <w:rFonts w:eastAsia="Times New Roman"/>
          <w:vanish/>
        </w:rPr>
        <w:t>urementsRecurringMemberus-gaap:FairValueInputsLevel2Member2020-12-310000927628us-gaap:FairValueInputsLevel3Memberus-gaap:FairValueMeasurementsRecurringMember2020-12-310000927628us-gaap:FairValueMeasurementsRecurringMember2020-12-310000927628us-gaap:FairVal</w:t>
      </w:r>
      <w:r>
        <w:rPr>
          <w:rFonts w:eastAsia="Times New Roman"/>
          <w:vanish/>
        </w:rPr>
        <w:t>ueMeasurementsRecurringMembercof:FairValueInputsLevel1AndLevel2Member2021-06-300000927628us-gaap:FairValueMeasurementsRecurringMembercof:FairValueInputsLevel1AndLevel2Member2020-12-310000927628us-gaap:FairValueMeasurementsRecurringMembercof:FairValueInputs</w:t>
      </w:r>
      <w:r>
        <w:rPr>
          <w:rFonts w:eastAsia="Times New Roman"/>
          <w:vanish/>
        </w:rPr>
        <w:t>Level1AndLevel2Member2021-01-012021-06-300000927628us-gaap:FairValueMeasurementsRecurringMembercof:FairValueInputsLevel1AndLevel2Member2020-01-012020-12-310000927628us-gaap:FairValueInputsLevel3Memberus-gaap:FairValueMeasurementsRecurringMemberus-gaap:Resi</w:t>
      </w:r>
      <w:r>
        <w:rPr>
          <w:rFonts w:eastAsia="Times New Roman"/>
          <w:vanish/>
        </w:rPr>
        <w:t>dentialMortgageBackedSecuritiesMember2021-03-310000927628us-gaap:FairValueInputsLevel3Memberus-gaap:FairValueMeasurementsRecurringMemberus-gaap:ResidentialMortgageBackedSecuritiesMember2021-04-012021-06-300000927628us-gaap:CommercialMortgageBackedSecuritie</w:t>
      </w:r>
      <w:r>
        <w:rPr>
          <w:rFonts w:eastAsia="Times New Roman"/>
          <w:vanish/>
        </w:rPr>
        <w:t>sMemberus-gaap:FairValueInputsLevel3Memberus-gaap:FairValueMeasurementsRecurringMember2021-03-310000927628us-gaap:CommercialMortgageBackedSecuritiesMemberus-gaap:FairValueInputsLevel3Memberus-gaap:FairValueMeasurementsRecurringMember2021-04-012021-06-30000</w:t>
      </w:r>
      <w:r>
        <w:rPr>
          <w:rFonts w:eastAsia="Times New Roman"/>
          <w:vanish/>
        </w:rPr>
        <w:t>0927628us-gaap:FairValueInputsLevel3Memberus-gaap:FairValueMeasurementsRecurringMemberus-gaap:AvailableforsaleSecuritiesMember2021-03-310000927628us-gaap:FairValueInputsLevel3Memberus-gaap:FairValueMeasurementsRecurringMemberus-gaap:AvailableforsaleSecurit</w:t>
      </w:r>
      <w:r>
        <w:rPr>
          <w:rFonts w:eastAsia="Times New Roman"/>
          <w:vanish/>
        </w:rPr>
        <w:t>iesMember2021-04-012021-06-300000927628us-gaap:FairValueInputsLevel3Memberus-gaap:FairValueMeasurementsRecurringMemberus-gaap:AvailableforsaleSecuritiesMember2021-06-300000927628us-gaap:FairValueInputsLevel3Memberus-gaap:FairValueMeasurementsRecurringMembe</w:t>
      </w:r>
      <w:r>
        <w:rPr>
          <w:rFonts w:eastAsia="Times New Roman"/>
          <w:vanish/>
        </w:rPr>
        <w:t>rus-gaap:RetainedInterestMember2021-03-310000927628us-gaap:FairValueInputsLevel3Memberus-gaap:FairValueMeasurementsRecurringMemberus-gaap:RetainedInterestMember2021-04-012021-06-300000927628us-gaap:FairValueInputsLevel3Memberus-gaap:FairValueMeasurementsRe</w:t>
      </w:r>
      <w:r>
        <w:rPr>
          <w:rFonts w:eastAsia="Times New Roman"/>
          <w:vanish/>
        </w:rPr>
        <w:t>curringMemberus-gaap:RetainedInterestMember2021-06-300000927628us-gaap:FairValueInputsLevel3Memberus-gaap:FairValueMeasurementsRecurringMember2021-03-310000927628us-gaap:FairValueInputsLevel3Memberus-gaap:FairValueMeasurementsRecurringMember2021-04-012021-</w:t>
      </w:r>
      <w:r>
        <w:rPr>
          <w:rFonts w:eastAsia="Times New Roman"/>
          <w:vanish/>
        </w:rPr>
        <w:t>06-300000927628cof:NetDerivativeAssetsLiabilitiesMemberus-gaap:FairValueInputsLevel3Memberus-gaap:FairValueMeasurementsRecurringMember2021-04-012021-06-300000927628us-gaap:FairValueInputsLevel3Memberus-gaap:FairValueMeasurementsRecurringMemberus-gaap:Resid</w:t>
      </w:r>
      <w:r>
        <w:rPr>
          <w:rFonts w:eastAsia="Times New Roman"/>
          <w:vanish/>
        </w:rPr>
        <w:t>entialMortgageBackedSecuritiesMember2021-01-012021-06-300000927628us-gaap:CommercialMortgageBackedSecuritiesMemberus-gaap:FairValueInputsLevel3Memberus-gaap:FairValueMeasurementsRecurringMember2021-01-012021-06-300000927628us-gaap:FairValueInputsLevel3Memb</w:t>
      </w:r>
      <w:r>
        <w:rPr>
          <w:rFonts w:eastAsia="Times New Roman"/>
          <w:vanish/>
        </w:rPr>
        <w:t>erus-gaap:FairValueMeasurementsRecurringMemberus-gaap:AvailableforsaleSecuritiesMember2020-12-310000927628us-gaap:FairValueInputsLevel3Memberus-gaap:FairValueMeasurementsRecurringMemberus-gaap:AvailableforsaleSecuritiesMember2021-01-012021-06-300000927628u</w:t>
      </w:r>
      <w:r>
        <w:rPr>
          <w:rFonts w:eastAsia="Times New Roman"/>
          <w:vanish/>
        </w:rPr>
        <w:t>s-gaap:FairValueInputsLevel3Memberus-gaap:FairValueMeasurementsRecurringMemberus-gaap:RetainedInterestMember2020-12-310000927628us-gaap:FairValueInputsLevel3Memberus-gaap:FairValueMeasurementsRecurringMemberus-gaap:RetainedInterestMember2021-01-012021-06-3</w:t>
      </w:r>
      <w:r>
        <w:rPr>
          <w:rFonts w:eastAsia="Times New Roman"/>
          <w:vanish/>
        </w:rPr>
        <w:t>00000927628us-gaap:FairValueInputsLevel3Memberus-gaap:FairValueMeasurementsRecurringMember2021-01-012021-06-300000927628cof:NetDerivativeAssetsLiabilitiesMemberus-gaap:FairValueInputsLevel3Memberus-gaap:FairValueMeasurementsRecurringMember2021-01-012021-06</w:t>
      </w:r>
      <w:r>
        <w:rPr>
          <w:rFonts w:eastAsia="Times New Roman"/>
          <w:vanish/>
        </w:rPr>
        <w:t>-300000927628us-gaap:FairValueInputsLevel3Memberus-gaap:FairValueMeasurementsRecurringMemberus-gaap:ResidentialMortgageBackedSecuritiesMember2020-03-310000927628us-gaap:FairValueInputsLevel3Memberus-gaap:FairValueMeasurementsRecurringMemberus-gaap:Resident</w:t>
      </w:r>
      <w:r>
        <w:rPr>
          <w:rFonts w:eastAsia="Times New Roman"/>
          <w:vanish/>
        </w:rPr>
        <w:t>ialMortgageBackedSecuritiesMember2020-04-012020-06-300000927628us-gaap:FairValueInputsLevel3Memberus-gaap:FairValueMeasurementsRecurringMemberus-gaap:ResidentialMortgageBackedSecuritiesMember2020-06-300000927628us-gaap:CommercialMortgageBackedSecuritiesMem</w:t>
      </w:r>
      <w:r>
        <w:rPr>
          <w:rFonts w:eastAsia="Times New Roman"/>
          <w:vanish/>
        </w:rPr>
        <w:t>berus-gaap:FairValueInputsLevel3Memberus-gaap:FairValueMeasurementsRecurringMember2020-03-310000927628us-gaap:CommercialMortgageBackedSecuritiesMemberus-gaap:FairValueInputsLevel3Memberus-gaap:FairValueMeasurementsRecurringMember2020-04-012020-06-300000927</w:t>
      </w:r>
      <w:r>
        <w:rPr>
          <w:rFonts w:eastAsia="Times New Roman"/>
          <w:vanish/>
        </w:rPr>
        <w:t>628us-gaap:CommercialMortgageBackedSecuritiesMemberus-gaap:FairValueInputsLevel3Memberus-gaap:FairValueMeasurementsRecurringMember2020-06-300000927628us-gaap:FairValueInputsLevel3Memberus-gaap:FairValueMeasurementsRecurringMemberus-gaap:AvailableforsaleSec</w:t>
      </w:r>
      <w:r>
        <w:rPr>
          <w:rFonts w:eastAsia="Times New Roman"/>
          <w:vanish/>
        </w:rPr>
        <w:t>uritiesMember2020-03-310000927628us-gaap:FairValueInputsLevel3Memberus-gaap:FairValueMeasurementsRecurringMemberus-gaap:AvailableforsaleSecuritiesMember2020-04-012020-06-300000927628us-gaap:FairValueInputsLevel3Memberus-gaap:FairValueMeasurementsRecurringM</w:t>
      </w:r>
      <w:r>
        <w:rPr>
          <w:rFonts w:eastAsia="Times New Roman"/>
          <w:vanish/>
        </w:rPr>
        <w:t>emberus-gaap:AvailableforsaleSecuritiesMember2020-06-300000927628us-gaap:FairValueInputsLevel3Memberus-gaap:FairValueMeasurementsRecurringMemberus-gaap:RetainedInterestMember2020-03-310000927628us-gaap:FairValueInputsLevel3Memberus-gaap:FairValueMeasuremen</w:t>
      </w:r>
      <w:r>
        <w:rPr>
          <w:rFonts w:eastAsia="Times New Roman"/>
          <w:vanish/>
        </w:rPr>
        <w:t>tsRecurringMemberus-gaap:RetainedInterestMember2020-04-012020-06-300000927628us-gaap:FairValueInputsLevel3Memberus-gaap:FairValueMeasurementsRecurringMemberus-gaap:RetainedInterestMember2020-06-300000927628us-gaap:FairValueInputsLevel3Memberus-gaap:FairVal</w:t>
      </w:r>
      <w:r>
        <w:rPr>
          <w:rFonts w:eastAsia="Times New Roman"/>
          <w:vanish/>
        </w:rPr>
        <w:t>ueMeasurementsRecurringMember2020-03-310000927628us-gaap:FairValueInputsLevel3Memberus-gaap:FairValueMeasurementsRecurringMember2020-04-012020-06-300000927628us-gaap:FairValueInputsLevel3Memberus-gaap:FairValueMeasurementsRecurringMember2020-06-30000092762</w:t>
      </w:r>
      <w:r>
        <w:rPr>
          <w:rFonts w:eastAsia="Times New Roman"/>
          <w:vanish/>
        </w:rPr>
        <w:t>8cof:NetDerivativeAssetsLiabilitiesMemberus-gaap:FairValueInputsLevel3Memberus-gaap:FairValueMeasurementsRecurringMember2020-04-012020-06-300000927628us-gaap:FairValueInputsLevel3Memberus-gaap:FairValueMeasurementsRecurringMemberus-gaap:ResidentialMortgage</w:t>
      </w:r>
      <w:r>
        <w:rPr>
          <w:rFonts w:eastAsia="Times New Roman"/>
          <w:vanish/>
        </w:rPr>
        <w:t>BackedSecuritiesMember2019-12-310000927628us-gaap:FairValueInputsLevel3Memberus-gaap:FairValueMeasurementsRecurringMemberus-gaap:ResidentialMortgageBackedSecuritiesMember2020-01-012020-06-300000927628us-gaap:CommercialMortgageBackedSecuritiesMemberus-gaap:</w:t>
      </w:r>
      <w:r>
        <w:rPr>
          <w:rFonts w:eastAsia="Times New Roman"/>
          <w:vanish/>
        </w:rPr>
        <w:t>FairValueInputsLevel3Memberus-gaap:FairValueMeasurementsRecurringMember2019-12-310000927628us-gaap:CommercialMortgageBackedSecuritiesMemberus-gaap:FairValueInputsLevel3Memberus-gaap:FairValueMeasurementsRecurringMember2020-01-012020-06-300000927628us-gaap:</w:t>
      </w:r>
      <w:r>
        <w:rPr>
          <w:rFonts w:eastAsia="Times New Roman"/>
          <w:vanish/>
        </w:rPr>
        <w:t>FairValueInputsLevel3Memberus-gaap:FairValueMeasurementsRecurringMemberus-gaap:AvailableforsaleSecuritiesMember2019-12-310000927628us-gaap:FairValueInputsLevel3Memberus-gaap:FairValueMeasurementsRecurringMemberus-gaap:AvailableforsaleSecuritiesMember2020-0</w:t>
      </w:r>
      <w:r>
        <w:rPr>
          <w:rFonts w:eastAsia="Times New Roman"/>
          <w:vanish/>
        </w:rPr>
        <w:t>1-012020-06-300000927628us-gaap:FairValueInputsLevel3Memberus-gaap:FairValueMeasurementsRecurringMemberus-gaap:RetainedInterestMember2019-12-310000927628us-gaap:FairValueInputsLevel3Memberus-gaap:FairValueMeasurementsRecurringMemberus-gaap:RetainedInterest</w:t>
      </w:r>
      <w:r>
        <w:rPr>
          <w:rFonts w:eastAsia="Times New Roman"/>
          <w:vanish/>
        </w:rPr>
        <w:t>Member2020-01-012020-06-300000927628us-gaap:FairValueInputsLevel3Memberus-gaap:FairValueMeasurementsRecurringMember2019-12-310000927628us-gaap:FairValueInputsLevel3Memberus-gaap:FairValueMeasurementsRecurringMember2020-01-012020-06-300000927628cof:NetDeriv</w:t>
      </w:r>
      <w:r>
        <w:rPr>
          <w:rFonts w:eastAsia="Times New Roman"/>
          <w:vanish/>
        </w:rPr>
        <w:t>ativeAssetsLiabilitiesMemberus-gaap:FairValueInputsLevel3Memberus-gaap:FairValueMeasurementsRecurringMember2020-01-012020-06-3000009276282020-01-010000927628us-gaap:FairValueInputsLevel3Memberus-gaap:ResidentialMortgageBackedSecuritiesMemberus-gaap:FairVal</w:t>
      </w:r>
      <w:r>
        <w:rPr>
          <w:rFonts w:eastAsia="Times New Roman"/>
          <w:vanish/>
        </w:rPr>
        <w:t>ueMeasurementsRecurringMembersrt:MinimumMembercof:MeasurementInputYieldMemberus-gaap:ValuationTechniqueDiscountedCashFlowMember2021-06-300000927628us-gaap:FairValueInputsLevel3Memberus-gaap:ResidentialMortgageBackedSecuritiesMemberus-gaap:FairValueMeasurem</w:t>
      </w:r>
      <w:r>
        <w:rPr>
          <w:rFonts w:eastAsia="Times New Roman"/>
          <w:vanish/>
        </w:rPr>
        <w:t>entsRecurringMembercof:MeasurementInputYieldMembersrt:MaximumMemberus-gaap:ValuationTechniqueDiscountedCashFlowMember2021-06-300000927628us-gaap:MeasurementInputConstantPrepaymentRateMemberus-gaap:FairValueInputsLevel3Memberus-gaap:ResidentialMortgageBacke</w:t>
      </w:r>
      <w:r>
        <w:rPr>
          <w:rFonts w:eastAsia="Times New Roman"/>
          <w:vanish/>
        </w:rPr>
        <w:t>dSecuritiesMemberus-gaap:FairValueMeasurementsRecurringMembersrt:MinimumMemberus-gaap:ValuationTechniqueDiscountedCashFlowMember2021-06-300000927628us-gaap:MeasurementInputConstantPrepaymentRateMemberus-gaap:FairValueInputsLevel3Memberus-gaap:ResidentialMo</w:t>
      </w:r>
      <w:r>
        <w:rPr>
          <w:rFonts w:eastAsia="Times New Roman"/>
          <w:vanish/>
        </w:rPr>
        <w:t>rtgageBackedSecuritiesMemberus-gaap:FairValueMeasurementsRecurringMembersrt:MaximumMemberus-gaap:ValuationTechniqueDiscountedCashFlowMember2021-06-300000927628us-gaap:MeasurementInputDefaultRateMemberus-gaap:FairValueInputsLevel3Memberus-gaap:ResidentialMo</w:t>
      </w:r>
      <w:r>
        <w:rPr>
          <w:rFonts w:eastAsia="Times New Roman"/>
          <w:vanish/>
        </w:rPr>
        <w:t>rtgageBackedSecuritiesMemberus-gaap:FairValueMeasurementsRecurringMembersrt:MinimumMemberus-gaap:ValuationTechniqueDiscountedCashFlowMember2021-06-300000927628us-gaap:MeasurementInputDefaultRateMemberus-gaap:FairValueInputsLevel3Memberus-gaap:ResidentialMo</w:t>
      </w:r>
      <w:r>
        <w:rPr>
          <w:rFonts w:eastAsia="Times New Roman"/>
          <w:vanish/>
        </w:rPr>
        <w:t>rtgageBackedSecuritiesMemberus-gaap:FairValueMeasurementsRecurringMembersrt:MaximumMemberus-gaap:ValuationTechniqueDiscountedCashFlowMember2021-06-300000927628us-gaap:MeasurementInputLossSeverityMemberus-gaap:FairValueInputsLevel3Memberus-gaap:ResidentialM</w:t>
      </w:r>
      <w:r>
        <w:rPr>
          <w:rFonts w:eastAsia="Times New Roman"/>
          <w:vanish/>
        </w:rPr>
        <w:t>ortgageBackedSecuritiesMemberus-gaap:FairValueMeasurementsRecurringMembersrt:MinimumMemberus-gaap:ValuationTechniqueDiscountedCashFlowMember2021-06-300000927628us-gaap:MeasurementInputLossSeverityMemberus-gaap:FairValueInputsLevel3Memberus-gaap:Residential</w:t>
      </w:r>
      <w:r>
        <w:rPr>
          <w:rFonts w:eastAsia="Times New Roman"/>
          <w:vanish/>
        </w:rPr>
        <w:t>MortgageBackedSecuritiesMemberus-gaap:FairValueMeasurementsRecurringMembersrt:MaximumMemberus-gaap:ValuationTechniqueDiscountedCashFlowMember2021-06-300000927628us-gaap:FairValueInputsLevel3Memberus-gaap:ResidentialMortgageBackedSecuritiesMemberus-gaap:Fai</w:t>
      </w:r>
      <w:r>
        <w:rPr>
          <w:rFonts w:eastAsia="Times New Roman"/>
          <w:vanish/>
        </w:rPr>
        <w:t>rValueMeasurementsRecurringMembercof:MeasurementInputYieldMembersrt:WeightedAverageMemberus-gaap:ValuationTechniqueDiscountedCashFlowMember2021-06-300000927628us-gaap:MeasurementInputConstantPrepaymentRateMemberus-gaap:FairValueInputsLevel3Memberus-gaap:Re</w:t>
      </w:r>
      <w:r>
        <w:rPr>
          <w:rFonts w:eastAsia="Times New Roman"/>
          <w:vanish/>
        </w:rPr>
        <w:t>sidentialMortgageBackedSecuritiesMemberus-gaap:FairValueMeasurementsRecurringMembersrt:WeightedAverageMemberus-gaap:ValuationTechniqueDiscountedCashFlowMember2021-06-300000927628us-gaap:MeasurementInputDefaultRateMemberus-gaap:FairValueInputsLevel3Memberus</w:t>
      </w:r>
      <w:r>
        <w:rPr>
          <w:rFonts w:eastAsia="Times New Roman"/>
          <w:vanish/>
        </w:rPr>
        <w:t>-gaap:ResidentialMortgageBackedSecuritiesMemberus-gaap:FairValueMeasurementsRecurringMembersrt:WeightedAverageMemberus-gaap:ValuationTechniqueDiscountedCashFlowMember2021-06-300000927628us-gaap:MeasurementInputLossSeverityMemberus-gaap:FairValueInputsLevel</w:t>
      </w:r>
      <w:r>
        <w:rPr>
          <w:rFonts w:eastAsia="Times New Roman"/>
          <w:vanish/>
        </w:rPr>
        <w:t>3Memberus-gaap:ResidentialMortgageBackedSecuritiesMemberus-gaap:FairValueMeasurementsRecurringMembersrt:WeightedAverageMemberus-gaap:ValuationTechniqueDiscountedCashFlowMember2021-06-300000927628us-gaap:CommercialMortgageBackedSecuritiesMemberus-gaap:FairV</w:t>
      </w:r>
      <w:r>
        <w:rPr>
          <w:rFonts w:eastAsia="Times New Roman"/>
          <w:vanish/>
        </w:rPr>
        <w:t>alueInputsLevel3Memberus-gaap:FairValueMeasurementsRecurringMembersrt:MinimumMembercof:MeasurementInputYieldMemberus-gaap:ValuationTechniqueDiscountedCashFlowMember2021-06-300000927628us-gaap:CommercialMortgageBackedSecuritiesMemberus-gaap:FairValueInputsL</w:t>
      </w:r>
      <w:r>
        <w:rPr>
          <w:rFonts w:eastAsia="Times New Roman"/>
          <w:vanish/>
        </w:rPr>
        <w:t>evel3Memberus-gaap:FairValueMeasurementsRecurringMembercof:MeasurementInputYieldMembersrt:MaximumMemberus-gaap:ValuationTechniqueDiscountedCashFlowMember2021-06-300000927628us-gaap:CommercialMortgageBackedSecuritiesMemberus-gaap:FairValueInputsLevel3Member</w:t>
      </w:r>
      <w:r>
        <w:rPr>
          <w:rFonts w:eastAsia="Times New Roman"/>
          <w:vanish/>
        </w:rPr>
        <w:t>us-gaap:FairValueMeasurementsRecurringMembercof:MeasurementInputYieldMembersrt:WeightedAverageMemberus-gaap:ValuationTechniqueDiscountedCashFlowMember2021-06-300000927628us-gaap:FairValueInputsLevel3Memberus-gaap:FairValueMeasurementsRecurringMembersrt:Min</w:t>
      </w:r>
      <w:r>
        <w:rPr>
          <w:rFonts w:eastAsia="Times New Roman"/>
          <w:vanish/>
        </w:rPr>
        <w:t>imumMembercof:MeasurementInputLifeofReceivablesMemberus-gaap:ValuationTechniqueDiscountedCashFlowMember2021-01-012021-06-300000927628us-gaap:FairValueInputsLevel3Memberus-gaap:FairValueMeasurementsRecurringMembercof:MeasurementInputLifeofReceivablesMembers</w:t>
      </w:r>
      <w:r>
        <w:rPr>
          <w:rFonts w:eastAsia="Times New Roman"/>
          <w:vanish/>
        </w:rPr>
        <w:t>rt:MaximumMemberus-gaap:ValuationTechniqueDiscountedCashFlowMember2021-01-012021-06-300000927628us-gaap:MeasurementInputConstantPrepaymentRateMemberus-gaap:FairValueInputsLevel3Memberus-gaap:FairValueMeasurementsRecurringMembersrt:MinimumMemberus-gaap:Valu</w:t>
      </w:r>
      <w:r>
        <w:rPr>
          <w:rFonts w:eastAsia="Times New Roman"/>
          <w:vanish/>
        </w:rPr>
        <w:t>ationTechniqueDiscountedCashFlowMember2021-06-300000927628us-gaap:MeasurementInputConstantPrepaymentRateMemberus-gaap:FairValueInputsLevel3Memberus-gaap:FairValueMeasurementsRecurringMembersrt:MaximumMemberus-gaap:ValuationTechniqueDiscountedCashFlowMember</w:t>
      </w:r>
      <w:r>
        <w:rPr>
          <w:rFonts w:eastAsia="Times New Roman"/>
          <w:vanish/>
        </w:rPr>
        <w:t>2021-06-300000927628us-gaap:FairValueInputsLevel3Memberus-gaap:MeasurementInputDiscountRateMemberus-gaap:FairValueMeasurementsRecurringMembersrt:MinimumMemberus-gaap:ValuationTechniqueDiscountedCashFlowMember2021-06-300000927628us-gaap:FairValueInputsLevel</w:t>
      </w:r>
      <w:r>
        <w:rPr>
          <w:rFonts w:eastAsia="Times New Roman"/>
          <w:vanish/>
        </w:rPr>
        <w:t>3Memberus-gaap:MeasurementInputDiscountRateMemberus-gaap:FairValueMeasurementsRecurringMembersrt:MaximumMemberus-gaap:ValuationTechniqueDiscountedCashFlowMember2021-06-300000927628us-gaap:MeasurementInputDefaultRateMemberus-gaap:FairValueInputsLevel3Member</w:t>
      </w:r>
      <w:r>
        <w:rPr>
          <w:rFonts w:eastAsia="Times New Roman"/>
          <w:vanish/>
        </w:rPr>
        <w:t>us-gaap:FairValueMeasurementsRecurringMembersrt:MinimumMemberus-gaap:ValuationTechniqueDiscountedCashFlowMember2021-06-300000927628us-gaap:MeasurementInputDefaultRateMemberus-gaap:FairValueInputsLevel3Memberus-gaap:FairValueMeasurementsRecurringMembersrt:M</w:t>
      </w:r>
      <w:r>
        <w:rPr>
          <w:rFonts w:eastAsia="Times New Roman"/>
          <w:vanish/>
        </w:rPr>
        <w:t>aximumMemberus-gaap:ValuationTechniqueDiscountedCashFlowMember2021-06-300000927628us-gaap:MeasurementInputLossSeverityMemberus-gaap:FairValueInputsLevel3Memberus-gaap:FairValueMeasurementsRecurringMembersrt:MinimumMemberus-gaap:ValuationTechniqueDiscounted</w:t>
      </w:r>
      <w:r>
        <w:rPr>
          <w:rFonts w:eastAsia="Times New Roman"/>
          <w:vanish/>
        </w:rPr>
        <w:t>CashFlowMember2021-06-300000927628us-gaap:MeasurementInputLossSeverityMemberus-gaap:FairValueInputsLevel3Memberus-gaap:FairValueMeasurementsRecurringMembersrt:MaximumMemberus-gaap:ValuationTechniqueDiscountedCashFlowMember2021-06-300000927628cof:Measuremen</w:t>
      </w:r>
      <w:r>
        <w:rPr>
          <w:rFonts w:eastAsia="Times New Roman"/>
          <w:vanish/>
        </w:rPr>
        <w:t>tInputSwapRatesMemberus-gaap:FairValueInputsLevel3Memberus-gaap:FairValueMeasurementsRecurringMembersrt:MinimumMemberus-gaap:ValuationTechniqueDiscountedCashFlowMember2021-06-300000927628cof:MeasurementInputSwapRatesMemberus-gaap:FairValueInputsLevel3Membe</w:t>
      </w:r>
      <w:r>
        <w:rPr>
          <w:rFonts w:eastAsia="Times New Roman"/>
          <w:vanish/>
        </w:rPr>
        <w:t>rus-gaap:FairValueMeasurementsRecurringMembersrt:MaximumMemberus-gaap:ValuationTechniqueDiscountedCashFlowMember2021-06-300000927628cof:MeasurementInputSwapRatesMemberus-gaap:FairValueInputsLevel3Memberus-gaap:FairValueMeasurementsRecurringMembersrt:Weight</w:t>
      </w:r>
      <w:r>
        <w:rPr>
          <w:rFonts w:eastAsia="Times New Roman"/>
          <w:vanish/>
        </w:rPr>
        <w:t>edAverageMemberus-gaap:ValuationTechniqueDiscountedCashFlowMember2021-06-300000927628us-gaap:FairValueInputsLevel3Memberus-gaap:ResidentialMortgageBackedSecuritiesMemberus-gaap:FairValueMeasurementsRecurringMembersrt:MinimumMembercof:MeasurementInputYieldM</w:t>
      </w:r>
      <w:r>
        <w:rPr>
          <w:rFonts w:eastAsia="Times New Roman"/>
          <w:vanish/>
        </w:rPr>
        <w:t>emberus-gaap:ValuationTechniqueDiscountedCashFlowMember2020-12-310000927628us-gaap:FairValueInputsLevel3Memberus-gaap:ResidentialMortgageBackedSecuritiesMemberus-gaap:FairValueMeasurementsRecurringMembercof:MeasurementInputYieldMembersrt:MaximumMemberus-ga</w:t>
      </w:r>
      <w:r>
        <w:rPr>
          <w:rFonts w:eastAsia="Times New Roman"/>
          <w:vanish/>
        </w:rPr>
        <w:t>ap:ValuationTechniqueDiscountedCashFlowMember2020-12-310000927628us-gaap:MeasurementInputConstantPrepaymentRateMemberus-gaap:FairValueInputsLevel3Memberus-gaap:ResidentialMortgageBackedSecuritiesMemberus-gaap:FairValueMeasurementsRecurringMembersrt:Minimum</w:t>
      </w:r>
      <w:r>
        <w:rPr>
          <w:rFonts w:eastAsia="Times New Roman"/>
          <w:vanish/>
        </w:rPr>
        <w:t>Memberus-gaap:ValuationTechniqueDiscountedCashFlowMember2020-12-310000927628us-gaap:MeasurementInputConstantPrepaymentRateMemberus-gaap:FairValueInputsLevel3Memberus-gaap:ResidentialMortgageBackedSecuritiesMemberus-gaap:FairValueMeasurementsRecurringMember</w:t>
      </w:r>
      <w:r>
        <w:rPr>
          <w:rFonts w:eastAsia="Times New Roman"/>
          <w:vanish/>
        </w:rPr>
        <w:t>srt:MaximumMemberus-gaap:ValuationTechniqueDiscountedCashFlowMember2020-12-310000927628us-gaap:MeasurementInputDefaultRateMemberus-gaap:FairValueInputsLevel3Memberus-gaap:ResidentialMortgageBackedSecuritiesMemberus-gaap:FairValueMeasurementsRecurringMember</w:t>
      </w:r>
      <w:r>
        <w:rPr>
          <w:rFonts w:eastAsia="Times New Roman"/>
          <w:vanish/>
        </w:rPr>
        <w:t>srt:MinimumMemberus-gaap:ValuationTechniqueDiscountedCashFlowMember2020-12-310000927628us-gaap:MeasurementInputDefaultRateMemberus-gaap:FairValueInputsLevel3Memberus-gaap:ResidentialMortgageBackedSecuritiesMemberus-gaap:FairValueMeasurementsRecurringMember</w:t>
      </w:r>
      <w:r>
        <w:rPr>
          <w:rFonts w:eastAsia="Times New Roman"/>
          <w:vanish/>
        </w:rPr>
        <w:t>srt:MaximumMemberus-gaap:ValuationTechniqueDiscountedCashFlowMember2020-12-310000927628us-gaap:MeasurementInputLossSeverityMemberus-gaap:FairValueInputsLevel3Memberus-gaap:ResidentialMortgageBackedSecuritiesMemberus-gaap:FairValueMeasurementsRecurringMembe</w:t>
      </w:r>
      <w:r>
        <w:rPr>
          <w:rFonts w:eastAsia="Times New Roman"/>
          <w:vanish/>
        </w:rPr>
        <w:t>rsrt:MinimumMemberus-gaap:ValuationTechniqueDiscountedCashFlowMember2020-12-310000927628us-gaap:MeasurementInputLossSeverityMemberus-gaap:FairValueInputsLevel3Memberus-gaap:ResidentialMortgageBackedSecuritiesMemberus-gaap:FairValueMeasurementsRecurringMemb</w:t>
      </w:r>
      <w:r>
        <w:rPr>
          <w:rFonts w:eastAsia="Times New Roman"/>
          <w:vanish/>
        </w:rPr>
        <w:t>ersrt:MaximumMemberus-gaap:ValuationTechniqueDiscountedCashFlowMember2020-12-310000927628us-gaap:FairValueInputsLevel3Memberus-gaap:ResidentialMortgageBackedSecuritiesMemberus-gaap:FairValueMeasurementsRecurringMembercof:MeasurementInputYieldMembersrt:Weig</w:t>
      </w:r>
      <w:r>
        <w:rPr>
          <w:rFonts w:eastAsia="Times New Roman"/>
          <w:vanish/>
        </w:rPr>
        <w:t>htedAverageMemberus-gaap:ValuationTechniqueDiscountedCashFlowMember2020-12-310000927628us-gaap:MeasurementInputConstantPrepaymentRateMemberus-gaap:FairValueInputsLevel3Memberus-gaap:ResidentialMortgageBackedSecuritiesMemberus-gaap:FairValueMeasurementsRecu</w:t>
      </w:r>
      <w:r>
        <w:rPr>
          <w:rFonts w:eastAsia="Times New Roman"/>
          <w:vanish/>
        </w:rPr>
        <w:t>rringMembersrt:WeightedAverageMemberus-gaap:ValuationTechniqueDiscountedCashFlowMember2020-12-310000927628us-gaap:MeasurementInputDefaultRateMemberus-gaap:FairValueInputsLevel3Memberus-gaap:ResidentialMortgageBackedSecuritiesMemberus-gaap:FairValueMeasurem</w:t>
      </w:r>
      <w:r>
        <w:rPr>
          <w:rFonts w:eastAsia="Times New Roman"/>
          <w:vanish/>
        </w:rPr>
        <w:t>entsRecurringMembersrt:WeightedAverageMemberus-gaap:ValuationTechniqueDiscountedCashFlowMember2020-12-310000927628us-gaap:MeasurementInputLossSeverityMemberus-gaap:FairValueInputsLevel3Memberus-gaap:ResidentialMortgageBackedSecuritiesMemberus-gaap:FairValu</w:t>
      </w:r>
      <w:r>
        <w:rPr>
          <w:rFonts w:eastAsia="Times New Roman"/>
          <w:vanish/>
        </w:rPr>
        <w:t>eMeasurementsRecurringMembersrt:WeightedAverageMemberus-gaap:ValuationTechniqueDiscountedCashFlowMember2020-12-310000927628us-gaap:CommercialMortgageBackedSecuritiesMemberus-gaap:FairValueInputsLevel3Memberus-gaap:FairValueMeasurementsRecurringMembersrt:Mi</w:t>
      </w:r>
      <w:r>
        <w:rPr>
          <w:rFonts w:eastAsia="Times New Roman"/>
          <w:vanish/>
        </w:rPr>
        <w:t>nimumMembercof:MeasurementInputYieldMemberus-gaap:ValuationTechniqueDiscountedCashFlowMember2020-12-310000927628us-gaap:CommercialMortgageBackedSecuritiesMemberus-gaap:FairValueInputsLevel3Memberus-gaap:FairValueMeasurementsRecurringMembercof:MeasurementIn</w:t>
      </w:r>
      <w:r>
        <w:rPr>
          <w:rFonts w:eastAsia="Times New Roman"/>
          <w:vanish/>
        </w:rPr>
        <w:t>putYieldMembersrt:MaximumMemberus-gaap:ValuationTechniqueDiscountedCashFlowMember2020-12-310000927628us-gaap:CommercialMortgageBackedSecuritiesMemberus-gaap:FairValueInputsLevel3Memberus-gaap:FairValueMeasurementsRecurringMembercof:MeasurementInputYieldMem</w:t>
      </w:r>
      <w:r>
        <w:rPr>
          <w:rFonts w:eastAsia="Times New Roman"/>
          <w:vanish/>
        </w:rPr>
        <w:t>bersrt:WeightedAverageMemberus-gaap:ValuationTechniqueDiscountedCashFlowMember2020-12-310000927628us-gaap:FairValueInputsLevel3Memberus-gaap:FairValueMeasurementsRecurringMembersrt:MinimumMembercof:MeasurementInputLifeofReceivablesMemberus-gaap:ValuationTe</w:t>
      </w:r>
      <w:r>
        <w:rPr>
          <w:rFonts w:eastAsia="Times New Roman"/>
          <w:vanish/>
        </w:rPr>
        <w:t>chniqueDiscountedCashFlowMember2020-01-012020-12-310000927628us-gaap:FairValueInputsLevel3Memberus-gaap:FairValueMeasurementsRecurringMembercof:MeasurementInputLifeofReceivablesMembersrt:MaximumMemberus-gaap:ValuationTechniqueDiscountedCashFlowMember2020-0</w:t>
      </w:r>
      <w:r>
        <w:rPr>
          <w:rFonts w:eastAsia="Times New Roman"/>
          <w:vanish/>
        </w:rPr>
        <w:t>1-012020-12-310000927628us-gaap:MeasurementInputConstantPrepaymentRateMemberus-gaap:FairValueInputsLevel3Memberus-gaap:FairValueMeasurementsRecurringMembersrt:MinimumMemberus-gaap:ValuationTechniqueDiscountedCashFlowMember2020-12-310000927628us-gaap:Measur</w:t>
      </w:r>
      <w:r>
        <w:rPr>
          <w:rFonts w:eastAsia="Times New Roman"/>
          <w:vanish/>
        </w:rPr>
        <w:t>ementInputConstantPrepaymentRateMemberus-gaap:FairValueInputsLevel3Memberus-gaap:FairValueMeasurementsRecurringMembersrt:MaximumMemberus-gaap:ValuationTechniqueDiscountedCashFlowMember2020-12-310000927628us-gaap:FairValueInputsLevel3Memberus-gaap:Measureme</w:t>
      </w:r>
      <w:r>
        <w:rPr>
          <w:rFonts w:eastAsia="Times New Roman"/>
          <w:vanish/>
        </w:rPr>
        <w:t>ntInputDiscountRateMemberus-gaap:FairValueMeasurementsRecurringMembersrt:MinimumMemberus-gaap:ValuationTechniqueDiscountedCashFlowMember2020-12-310000927628us-gaap:FairValueInputsLevel3Memberus-gaap:MeasurementInputDiscountRateMemberus-gaap:FairValueMeasur</w:t>
      </w:r>
      <w:r>
        <w:rPr>
          <w:rFonts w:eastAsia="Times New Roman"/>
          <w:vanish/>
        </w:rPr>
        <w:t>ementsRecurringMembersrt:MaximumMemberus-gaap:ValuationTechniqueDiscountedCashFlowMember2020-12-310000927628us-gaap:MeasurementInputDefaultRateMemberus-gaap:FairValueInputsLevel3Memberus-gaap:FairValueMeasurementsRecurringMembersrt:MinimumMemberus-gaap:Val</w:t>
      </w:r>
      <w:r>
        <w:rPr>
          <w:rFonts w:eastAsia="Times New Roman"/>
          <w:vanish/>
        </w:rPr>
        <w:t>uationTechniqueDiscountedCashFlowMember2020-12-310000927628us-gaap:MeasurementInputDefaultRateMemberus-gaap:FairValueInputsLevel3Memberus-gaap:FairValueMeasurementsRecurringMembersrt:MaximumMemberus-gaap:ValuationTechniqueDiscountedCashFlowMember2020-12-31</w:t>
      </w:r>
      <w:r>
        <w:rPr>
          <w:rFonts w:eastAsia="Times New Roman"/>
          <w:vanish/>
        </w:rPr>
        <w:t>0000927628us-gaap:MeasurementInputLossSeverityMemberus-gaap:FairValueInputsLevel3Memberus-gaap:FairValueMeasurementsRecurringMembersrt:MinimumMemberus-gaap:ValuationTechniqueDiscountedCashFlowMember2020-12-310000927628us-gaap:MeasurementInputLossSeverityMe</w:t>
      </w:r>
      <w:r>
        <w:rPr>
          <w:rFonts w:eastAsia="Times New Roman"/>
          <w:vanish/>
        </w:rPr>
        <w:t>mberus-gaap:FairValueInputsLevel3Memberus-gaap:FairValueMeasurementsRecurringMembersrt:MaximumMemberus-gaap:ValuationTechniqueDiscountedCashFlowMember2020-12-310000927628cof:MeasurementInputSwapRatesMemberus-gaap:FairValueInputsLevel3Memberus-gaap:FairValu</w:t>
      </w:r>
      <w:r>
        <w:rPr>
          <w:rFonts w:eastAsia="Times New Roman"/>
          <w:vanish/>
        </w:rPr>
        <w:t>eMeasurementsRecurringMembersrt:MaximumMemberus-gaap:ValuationTechniqueDiscountedCashFlowMember2020-12-310000927628cof:MeasurementInputSwapRatesMemberus-gaap:FairValueInputsLevel3Memberus-gaap:FairValueMeasurementsRecurringMembersrt:MinimumMemberus-gaap:Va</w:t>
      </w:r>
      <w:r>
        <w:rPr>
          <w:rFonts w:eastAsia="Times New Roman"/>
          <w:vanish/>
        </w:rPr>
        <w:t>luationTechniqueDiscountedCashFlowMember2020-12-310000927628cof:MeasurementInputSwapRatesMemberus-gaap:FairValueInputsLevel3Memberus-gaap:FairValueMeasurementsRecurringMembersrt:WeightedAverageMemberus-gaap:ValuationTechniqueDiscountedCashFlowMember2020-12</w:t>
      </w:r>
      <w:r>
        <w:rPr>
          <w:rFonts w:eastAsia="Times New Roman"/>
          <w:vanish/>
        </w:rPr>
        <w:t>-310000927628us-gaap:FairValueInputsLevel2Memberus-gaap:FairValueMeasurementsNonrecurringMember2021-06-300000927628us-gaap:FairValueInputsLevel3Memberus-gaap:FairValueMeasurementsNonrecurringMember2021-06-300000927628us-gaap:FairValueMeasurementsNonrecurri</w:t>
      </w:r>
      <w:r>
        <w:rPr>
          <w:rFonts w:eastAsia="Times New Roman"/>
          <w:vanish/>
        </w:rPr>
        <w:t>ngMember2021-06-300000927628us-gaap:FairValueInputsLevel2Memberus-gaap:FairValueMeasurementsNonrecurringMember2020-12-310000927628us-gaap:FairValueInputsLevel3Memberus-gaap:FairValueMeasurementsNonrecurringMember2020-12-310000927628us-gaap:FairValueMeasure</w:t>
      </w:r>
      <w:r>
        <w:rPr>
          <w:rFonts w:eastAsia="Times New Roman"/>
          <w:vanish/>
        </w:rPr>
        <w:t>mentsNonrecurringMember2020-12-310000927628cof:NonRecoverableRateMemberus-gaap:FairValueInputsLevel3Membersrt:MinimumMembercof:AppraisalValueMember2021-06-300000927628cof:NonRecoverableRateMemberus-gaap:FairValueInputsLevel3Membersrt:MaximumMembercof:Appra</w:t>
      </w:r>
      <w:r>
        <w:rPr>
          <w:rFonts w:eastAsia="Times New Roman"/>
          <w:vanish/>
        </w:rPr>
        <w:t>isalValueMember2021-06-300000927628cof:NonRecoverableRateMemberus-gaap:FairValueInputsLevel3Membersrt:WeightedAverageMembercof:AppraisalValueMember2021-06-300000927628cof:NonRecoverableRateMemberus-gaap:FairValueInputsLevel3Membersrt:MinimumMembercof:Appra</w:t>
      </w:r>
      <w:r>
        <w:rPr>
          <w:rFonts w:eastAsia="Times New Roman"/>
          <w:vanish/>
        </w:rPr>
        <w:t>isalValueMember2020-12-310000927628cof:NonRecoverableRateMemberus-gaap:FairValueInputsLevel3Membersrt:MaximumMembercof:AppraisalValueMember2020-12-310000927628cof:NonRecoverableRateMemberus-gaap:FairValueInputsLevel3Membersrt:WeightedAverageMembercof:Appra</w:t>
      </w:r>
      <w:r>
        <w:rPr>
          <w:rFonts w:eastAsia="Times New Roman"/>
          <w:vanish/>
        </w:rPr>
        <w:t>isalValueMember2020-12-310000927628us-gaap:FairValueMeasurementsNonrecurringMember2021-01-012021-06-300000927628us-gaap:FairValueMeasurementsNonrecurringMember2020-01-012020-06-300000927628us-gaap:CarryingReportedAmountFairValueDisclosureMember2021-06-3000</w:t>
      </w:r>
      <w:r>
        <w:rPr>
          <w:rFonts w:eastAsia="Times New Roman"/>
          <w:vanish/>
        </w:rPr>
        <w:t>00927628us-gaap:EstimateOfFairValueFairValueDisclosureMember2021-06-300000927628us-gaap:FairValueInputsLevel1Member2021-06-300000927628us-gaap:FairValueInputsLevel2Member2021-06-300000927628us-gaap:FairValueInputsLevel3Member2021-06-300000927628us-gaap:Car</w:t>
      </w:r>
      <w:r>
        <w:rPr>
          <w:rFonts w:eastAsia="Times New Roman"/>
          <w:vanish/>
        </w:rPr>
        <w:t>ryingReportedAmountFairValueDisclosureMember2020-12-310000927628us-gaap:EstimateOfFairValueFairValueDisclosureMember2020-12-310000927628us-gaap:FairValueInputsLevel1Member2020-12-310000927628us-gaap:FairValueInputsLevel2Member2020-12-310000927628us-gaap:Fa</w:t>
      </w:r>
      <w:r>
        <w:rPr>
          <w:rFonts w:eastAsia="Times New Roman"/>
          <w:vanish/>
        </w:rPr>
        <w:t>irValueInputsLevel3Member2020-12-310000927628us-gaap:OperatingSegmentsMembercof:CreditCardSegmentMember2021-04-012021-06-300000927628cof:ConsumerBankingSegmentMemberus-gaap:OperatingSegmentsMember2021-04-012021-06-300000927628us-gaap:OperatingSegmentsMembe</w:t>
      </w:r>
      <w:r>
        <w:rPr>
          <w:rFonts w:eastAsia="Times New Roman"/>
          <w:vanish/>
        </w:rPr>
        <w:t>rcof:CommercialBankingSegmentMember2021-04-012021-06-300000927628us-gaap:CorporateNonSegmentMember2021-04-012021-06-300000927628us-gaap:OperatingSegmentsMembercof:CreditCardSegmentMember2021-06-300000927628cof:ConsumerBankingSegmentMemberus-gaap:OperatingS</w:t>
      </w:r>
      <w:r>
        <w:rPr>
          <w:rFonts w:eastAsia="Times New Roman"/>
          <w:vanish/>
        </w:rPr>
        <w:t>egmentsMember2021-06-300000927628us-gaap:OperatingSegmentsMembercof:CommercialBankingSegmentMember2021-06-300000927628us-gaap:CorporateNonSegmentMember2021-06-300000927628us-gaap:OperatingSegmentsMembercof:CreditCardSegmentMember2021-01-012021-06-300000927</w:t>
      </w:r>
      <w:r>
        <w:rPr>
          <w:rFonts w:eastAsia="Times New Roman"/>
          <w:vanish/>
        </w:rPr>
        <w:t>628cof:ConsumerBankingSegmentMemberus-gaap:OperatingSegmentsMember2021-01-012021-06-300000927628us-gaap:OperatingSegmentsMembercof:CommercialBankingSegmentMember2021-01-012021-06-300000927628us-gaap:CorporateNonSegmentMember2021-01-012021-06-300000927628us</w:t>
      </w:r>
      <w:r>
        <w:rPr>
          <w:rFonts w:eastAsia="Times New Roman"/>
          <w:vanish/>
        </w:rPr>
        <w:t>-gaap:OperatingSegmentsMembercof:CreditCardSegmentMember2020-04-012020-06-300000927628cof:ConsumerBankingSegmentMemberus-gaap:OperatingSegmentsMember2020-04-012020-06-300000927628us-gaap:OperatingSegmentsMembercof:CommercialBankingSegmentMember2020-04-0120</w:t>
      </w:r>
      <w:r>
        <w:rPr>
          <w:rFonts w:eastAsia="Times New Roman"/>
          <w:vanish/>
        </w:rPr>
        <w:t>20-06-300000927628us-gaap:CorporateNonSegmentMember2020-04-012020-06-300000927628us-gaap:OperatingSegmentsMembercof:CreditCardSegmentMember2020-06-300000927628cof:ConsumerBankingSegmentMemberus-gaap:OperatingSegmentsMember2020-06-300000927628us-gaap:Operat</w:t>
      </w:r>
      <w:r>
        <w:rPr>
          <w:rFonts w:eastAsia="Times New Roman"/>
          <w:vanish/>
        </w:rPr>
        <w:t>ingSegmentsMembercof:CommercialBankingSegmentMember2020-06-300000927628us-gaap:CorporateNonSegmentMember2020-06-300000927628us-gaap:OperatingSegmentsMembercof:CreditCardSegmentMember2020-01-012020-06-300000927628cof:ConsumerBankingSegmentMemberus-gaap:Oper</w:t>
      </w:r>
      <w:r>
        <w:rPr>
          <w:rFonts w:eastAsia="Times New Roman"/>
          <w:vanish/>
        </w:rPr>
        <w:t>atingSegmentsMember2020-01-012020-06-300000927628us-gaap:OperatingSegmentsMembercof:CommercialBankingSegmentMember2020-01-012020-06-300000927628us-gaap:CorporateNonSegmentMember2020-01-012020-06-300000927628us-gaap:OperatingSegmentsMembercof:CreditCardSegm</w:t>
      </w:r>
      <w:r>
        <w:rPr>
          <w:rFonts w:eastAsia="Times New Roman"/>
          <w:vanish/>
        </w:rPr>
        <w:t>entMembercof:InterchangeFeesContractsMember2021-04-012021-06-300000927628cof:ConsumerBankingSegmentMemberus-gaap:OperatingSegmentsMembercof:InterchangeFeesContractsMember2021-04-012021-06-300000927628us-gaap:OperatingSegmentsMembercof:CommercialBankingSegm</w:t>
      </w:r>
      <w:r>
        <w:rPr>
          <w:rFonts w:eastAsia="Times New Roman"/>
          <w:vanish/>
        </w:rPr>
        <w:t>entMembercof:InterchangeFeesContractsMember2021-04-012021-06-300000927628us-gaap:CorporateNonSegmentMembercof:InterchangeFeesContractsMember2021-04-012021-06-300000927628cof:InterchangeFeesContractsMember2021-04-012021-06-300000927628us-gaap:OperatingSegme</w:t>
      </w:r>
      <w:r>
        <w:rPr>
          <w:rFonts w:eastAsia="Times New Roman"/>
          <w:vanish/>
        </w:rPr>
        <w:t>ntsMembercof:CreditCardSegmentMembercof:ServiceChargesAndOtherCustomerFeesContractsMember2021-04-012021-06-300000927628cof:ConsumerBankingSegmentMemberus-gaap:OperatingSegmentsMembercof:ServiceChargesAndOtherCustomerFeesContractsMember2021-04-012021-06-300</w:t>
      </w:r>
      <w:r>
        <w:rPr>
          <w:rFonts w:eastAsia="Times New Roman"/>
          <w:vanish/>
        </w:rPr>
        <w:t>000927628us-gaap:OperatingSegmentsMembercof:CommercialBankingSegmentMembercof:ServiceChargesAndOtherCustomerFeesContractsMember2021-04-012021-06-300000927628us-gaap:CorporateNonSegmentMembercof:ServiceChargesAndOtherCustomerFeesContractsMember2021-04-01202</w:t>
      </w:r>
      <w:r>
        <w:rPr>
          <w:rFonts w:eastAsia="Times New Roman"/>
          <w:vanish/>
        </w:rPr>
        <w:t>1-06-300000927628cof:ServiceChargesAndOtherCustomerFeesContractsMember2021-04-012021-06-300000927628cof:OtherContractRevenueMemberus-gaap:OperatingSegmentsMembercof:CreditCardSegmentMember2021-04-012021-06-300000927628cof:ConsumerBankingSegmentMembercof:Ot</w:t>
      </w:r>
      <w:r>
        <w:rPr>
          <w:rFonts w:eastAsia="Times New Roman"/>
          <w:vanish/>
        </w:rPr>
        <w:t>herContractRevenueMemberus-gaap:OperatingSegmentsMember2021-04-012021-06-300000927628cof:OtherContractRevenueMemberus-gaap:OperatingSegmentsMembercof:CommercialBankingSegmentMember2021-04-012021-06-300000927628cof:OtherContractRevenueMemberus-gaap:Corporat</w:t>
      </w:r>
      <w:r>
        <w:rPr>
          <w:rFonts w:eastAsia="Times New Roman"/>
          <w:vanish/>
        </w:rPr>
        <w:t>eNonSegmentMember2021-04-012021-06-300000927628cof:OtherContractRevenueMember2021-04-012021-06-300000927628us-gaap:OperatingSegmentsMembercof:CreditCardSegmentMembercof:InterchangeFeesContractsMember2021-01-012021-06-300000927628cof:ConsumerBankingSegmentM</w:t>
      </w:r>
      <w:r>
        <w:rPr>
          <w:rFonts w:eastAsia="Times New Roman"/>
          <w:vanish/>
        </w:rPr>
        <w:t>emberus-gaap:OperatingSegmentsMembercof:InterchangeFeesContractsMember2021-01-012021-06-300000927628us-gaap:OperatingSegmentsMembercof:CommercialBankingSegmentMembercof:InterchangeFeesContractsMember2021-01-012021-06-300000927628us-gaap:CorporateNonSegment</w:t>
      </w:r>
      <w:r>
        <w:rPr>
          <w:rFonts w:eastAsia="Times New Roman"/>
          <w:vanish/>
        </w:rPr>
        <w:t>Membercof:InterchangeFeesContractsMember2021-01-012021-06-300000927628cof:InterchangeFeesContractsMember2021-01-012021-06-300000927628us-gaap:OperatingSegmentsMembercof:CreditCardSegmentMembercof:ServiceChargesAndOtherCustomerFeesContractsMember2021-01-012</w:t>
      </w:r>
      <w:r>
        <w:rPr>
          <w:rFonts w:eastAsia="Times New Roman"/>
          <w:vanish/>
        </w:rPr>
        <w:t>021-06-300000927628cof:ConsumerBankingSegmentMemberus-gaap:OperatingSegmentsMembercof:ServiceChargesAndOtherCustomerFeesContractsMember2021-01-012021-06-300000927628us-gaap:OperatingSegmentsMembercof:CommercialBankingSegmentMembercof:ServiceChargesAndOther</w:t>
      </w:r>
      <w:r>
        <w:rPr>
          <w:rFonts w:eastAsia="Times New Roman"/>
          <w:vanish/>
        </w:rPr>
        <w:t>CustomerFeesContractsMember2021-01-012021-06-300000927628us-gaap:CorporateNonSegmentMembercof:ServiceChargesAndOtherCustomerFeesContractsMember2021-01-012021-06-300000927628cof:ServiceChargesAndOtherCustomerFeesContractsMember2021-01-012021-06-300000927628</w:t>
      </w:r>
      <w:r>
        <w:rPr>
          <w:rFonts w:eastAsia="Times New Roman"/>
          <w:vanish/>
        </w:rPr>
        <w:t>cof:OtherContractRevenueMemberus-gaap:OperatingSegmentsMembercof:CreditCardSegmentMember2021-01-012021-06-300000927628cof:ConsumerBankingSegmentMembercof:OtherContractRevenueMemberus-gaap:OperatingSegmentsMember2021-01-012021-06-300000927628cof:OtherContra</w:t>
      </w:r>
      <w:r>
        <w:rPr>
          <w:rFonts w:eastAsia="Times New Roman"/>
          <w:vanish/>
        </w:rPr>
        <w:t>ctRevenueMemberus-gaap:OperatingSegmentsMembercof:CommercialBankingSegmentMember2021-01-012021-06-300000927628cof:OtherContractRevenueMemberus-gaap:CorporateNonSegmentMember2021-01-012021-06-300000927628cof:OtherContractRevenueMember2021-01-012021-06-30000</w:t>
      </w:r>
      <w:r>
        <w:rPr>
          <w:rFonts w:eastAsia="Times New Roman"/>
          <w:vanish/>
        </w:rPr>
        <w:t>0927628us-gaap:OperatingSegmentsMembercof:CreditCardSegmentMembercof:InterchangeFeesContractsMember2020-04-012020-06-300000927628cof:ConsumerBankingSegmentMemberus-gaap:OperatingSegmentsMembercof:InterchangeFeesContractsMember2020-04-012020-06-300000927628</w:t>
      </w:r>
      <w:r>
        <w:rPr>
          <w:rFonts w:eastAsia="Times New Roman"/>
          <w:vanish/>
        </w:rPr>
        <w:t>us-gaap:OperatingSegmentsMembercof:CommercialBankingSegmentMembercof:InterchangeFeesContractsMember2020-04-012020-06-300000927628us-gaap:CorporateNonSegmentMembercof:InterchangeFeesContractsMember2020-04-012020-06-300000927628cof:InterchangeFeesContractsMe</w:t>
      </w:r>
      <w:r>
        <w:rPr>
          <w:rFonts w:eastAsia="Times New Roman"/>
          <w:vanish/>
        </w:rPr>
        <w:t>mber2020-04-012020-06-300000927628us-gaap:OperatingSegmentsMembercof:CreditCardSegmentMembercof:ServiceChargesAndOtherCustomerFeesContractsMember2020-04-012020-06-300000927628cof:ConsumerBankingSegmentMemberus-gaap:OperatingSegmentsMembercof:ServiceCharges</w:t>
      </w:r>
      <w:r>
        <w:rPr>
          <w:rFonts w:eastAsia="Times New Roman"/>
          <w:vanish/>
        </w:rPr>
        <w:t>AndOtherCustomerFeesContractsMember2020-04-012020-06-300000927628us-gaap:OperatingSegmentsMembercof:CommercialBankingSegmentMembercof:ServiceChargesAndOtherCustomerFeesContractsMember2020-04-012020-06-300000927628us-gaap:CorporateNonSegmentMembercof:Servic</w:t>
      </w:r>
      <w:r>
        <w:rPr>
          <w:rFonts w:eastAsia="Times New Roman"/>
          <w:vanish/>
        </w:rPr>
        <w:t>eChargesAndOtherCustomerFeesContractsMember2020-04-012020-06-300000927628cof:ServiceChargesAndOtherCustomerFeesContractsMember2020-04-012020-06-300000927628cof:OtherContractRevenueMemberus-gaap:OperatingSegmentsMembercof:CreditCardSegmentMember2020-04-0120</w:t>
      </w:r>
      <w:r>
        <w:rPr>
          <w:rFonts w:eastAsia="Times New Roman"/>
          <w:vanish/>
        </w:rPr>
        <w:t>20-06-300000927628cof:ConsumerBankingSegmentMembercof:OtherContractRevenueMemberus-gaap:OperatingSegmentsMember2020-04-012020-06-300000927628cof:OtherContractRevenueMemberus-gaap:OperatingSegmentsMembercof:CommercialBankingSegmentMember2020-04-012020-06-30</w:t>
      </w:r>
      <w:r>
        <w:rPr>
          <w:rFonts w:eastAsia="Times New Roman"/>
          <w:vanish/>
        </w:rPr>
        <w:t>0000927628cof:OtherContractRevenueMemberus-gaap:CorporateNonSegmentMember2020-04-012020-06-300000927628cof:OtherContractRevenueMember2020-04-012020-06-300000927628us-gaap:OperatingSegmentsMembercof:CreditCardSegmentMembercof:InterchangeFeesContractsMember2</w:t>
      </w:r>
      <w:r>
        <w:rPr>
          <w:rFonts w:eastAsia="Times New Roman"/>
          <w:vanish/>
        </w:rPr>
        <w:t>020-01-012020-06-300000927628cof:ConsumerBankingSegmentMemberus-gaap:OperatingSegmentsMembercof:InterchangeFeesContractsMember2020-01-012020-06-300000927628us-gaap:OperatingSegmentsMembercof:CommercialBankingSegmentMembercof:InterchangeFeesContractsMember2</w:t>
      </w:r>
      <w:r>
        <w:rPr>
          <w:rFonts w:eastAsia="Times New Roman"/>
          <w:vanish/>
        </w:rPr>
        <w:t>020-01-012020-06-300000927628us-gaap:CorporateNonSegmentMembercof:InterchangeFeesContractsMember2020-01-012020-06-300000927628cof:InterchangeFeesContractsMember2020-01-012020-06-300000927628us-gaap:OperatingSegmentsMembercof:CreditCardSegmentMembercof:Serv</w:t>
      </w:r>
      <w:r>
        <w:rPr>
          <w:rFonts w:eastAsia="Times New Roman"/>
          <w:vanish/>
        </w:rPr>
        <w:t>iceChargesAndOtherCustomerFeesContractsMember2020-01-012020-06-300000927628cof:ConsumerBankingSegmentMemberus-gaap:OperatingSegmentsMembercof:ServiceChargesAndOtherCustomerFeesContractsMember2020-01-012020-06-300000927628us-gaap:OperatingSegmentsMembercof:</w:t>
      </w:r>
      <w:r>
        <w:rPr>
          <w:rFonts w:eastAsia="Times New Roman"/>
          <w:vanish/>
        </w:rPr>
        <w:t>CommercialBankingSegmentMembercof:ServiceChargesAndOtherCustomerFeesContractsMember2020-01-012020-06-300000927628us-gaap:CorporateNonSegmentMembercof:ServiceChargesAndOtherCustomerFeesContractsMember2020-01-012020-06-300000927628cof:ServiceChargesAndOtherC</w:t>
      </w:r>
      <w:r>
        <w:rPr>
          <w:rFonts w:eastAsia="Times New Roman"/>
          <w:vanish/>
        </w:rPr>
        <w:t>ustomerFeesContractsMember2020-01-012020-06-300000927628cof:OtherContractRevenueMemberus-gaap:OperatingSegmentsMembercof:CreditCardSegmentMember2020-01-012020-06-300000927628cof:ConsumerBankingSegmentMembercof:OtherContractRevenueMemberus-gaap:OperatingSeg</w:t>
      </w:r>
      <w:r>
        <w:rPr>
          <w:rFonts w:eastAsia="Times New Roman"/>
          <w:vanish/>
        </w:rPr>
        <w:t>mentsMember2020-01-012020-06-300000927628cof:OtherContractRevenueMemberus-gaap:OperatingSegmentsMembercof:CommercialBankingSegmentMember2020-01-012020-06-300000927628cof:OtherContractRevenueMemberus-gaap:CorporateNonSegmentMember2020-01-012020-06-300000927</w:t>
      </w:r>
      <w:r>
        <w:rPr>
          <w:rFonts w:eastAsia="Times New Roman"/>
          <w:vanish/>
        </w:rPr>
        <w:t>628cof:OtherContractRevenueMember2020-01-012020-06-300000927628cof:OtherPortfolioSegmentsExcludingCreditCardMember2021-06-300000927628cof:OtherPortfolioSegmentsExcludingCreditCardMember2020-12-310000927628us-gaap:LetterOfCreditMember2021-06-300000927628us-</w:t>
      </w:r>
      <w:r>
        <w:rPr>
          <w:rFonts w:eastAsia="Times New Roman"/>
          <w:vanish/>
        </w:rPr>
        <w:t>gaap:LetterOfCreditMember2020-12-310000927628cof:LossSharingAgreementMember2021-06-300000927628cof:LossSharingAgreementMember2020-12-310000927628us-gaap:PendingLitigationMembercof:InterchangeLitigationMember2021-01-012021-06-30cof:claim0000927628cof:Cybers</w:t>
      </w:r>
      <w:r>
        <w:rPr>
          <w:rFonts w:eastAsia="Times New Roman"/>
          <w:vanish/>
        </w:rPr>
        <w:t>ecurityIncidentMember2021-06-300000927628cof:CybersecurityIncidentMembercountry:US2021-06-300000927628country:CAcof:CybersecurityIncidentMember2021-06-30</w:t>
      </w:r>
    </w:p>
    <w:p w:rsidR="00000000" w:rsidRDefault="00AF3814">
      <w:pPr>
        <w:jc w:val="both"/>
        <w:divId w:val="1950700405"/>
        <w:rPr>
          <w:rFonts w:eastAsia="Times New Roman"/>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trPr>
          <w:jc w:val="center"/>
        </w:trPr>
        <w:tc>
          <w:tcPr>
            <w:tcW w:w="50" w:type="pct"/>
            <w:vAlign w:val="center"/>
            <w:hideMark/>
          </w:tcPr>
          <w:p w:rsidR="00000000" w:rsidRDefault="00AF3814">
            <w:pPr>
              <w:jc w:val="both"/>
              <w:rPr>
                <w:rFonts w:eastAsia="Times New Roman"/>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p w:rsidR="00000000" w:rsidRDefault="00AF3814">
      <w:pPr>
        <w:jc w:val="center"/>
        <w:divId w:val="332495063"/>
        <w:rPr>
          <w:rFonts w:eastAsia="Times New Roman"/>
        </w:rPr>
      </w:pPr>
      <w:r>
        <w:rPr>
          <w:rFonts w:eastAsia="Times New Roman"/>
          <w:b/>
          <w:bCs/>
          <w:color w:val="000000"/>
          <w:sz w:val="22"/>
          <w:szCs w:val="22"/>
        </w:rPr>
        <w:t>UNITED STATES</w:t>
      </w:r>
    </w:p>
    <w:p w:rsidR="00000000" w:rsidRDefault="00AF3814">
      <w:pPr>
        <w:jc w:val="center"/>
        <w:rPr>
          <w:rFonts w:eastAsia="Times New Roman"/>
        </w:rPr>
      </w:pPr>
      <w:r>
        <w:rPr>
          <w:rFonts w:eastAsia="Times New Roman"/>
          <w:b/>
          <w:bCs/>
          <w:color w:val="000000"/>
          <w:sz w:val="22"/>
          <w:szCs w:val="22"/>
        </w:rPr>
        <w:t>SECURITIES AND EXCHANGE COMMISSION</w:t>
      </w:r>
    </w:p>
    <w:p w:rsidR="00000000" w:rsidRDefault="00AF3814">
      <w:pPr>
        <w:jc w:val="center"/>
        <w:rPr>
          <w:rFonts w:eastAsia="Times New Roman"/>
        </w:rPr>
      </w:pPr>
      <w:r>
        <w:rPr>
          <w:rFonts w:eastAsia="Times New Roman"/>
          <w:b/>
          <w:bCs/>
          <w:color w:val="000000"/>
          <w:sz w:val="18"/>
          <w:szCs w:val="18"/>
        </w:rPr>
        <w:t>Washington, D.C. 20549</w:t>
      </w:r>
    </w:p>
    <w:p w:rsidR="00000000" w:rsidRDefault="00AF3814">
      <w:pPr>
        <w:jc w:val="center"/>
        <w:rPr>
          <w:rFonts w:eastAsia="Times New Roman"/>
        </w:rPr>
      </w:pPr>
      <w:r>
        <w:rPr>
          <w:rFonts w:eastAsia="Times New Roman"/>
          <w:color w:val="000000"/>
          <w:sz w:val="12"/>
          <w:szCs w:val="12"/>
        </w:rPr>
        <w:t>____________________________________</w:t>
      </w:r>
    </w:p>
    <w:p w:rsidR="00000000" w:rsidRDefault="00AF3814">
      <w:pPr>
        <w:jc w:val="center"/>
        <w:divId w:val="1771899098"/>
        <w:rPr>
          <w:rFonts w:eastAsia="Times New Roman"/>
        </w:rPr>
      </w:pPr>
      <w:r>
        <w:rPr>
          <w:rFonts w:eastAsia="Times New Roman"/>
          <w:b/>
          <w:bCs/>
          <w:color w:val="000000"/>
          <w:sz w:val="28"/>
          <w:szCs w:val="28"/>
        </w:rPr>
        <w:t xml:space="preserve">FORM 10-Q </w:t>
      </w:r>
    </w:p>
    <w:p w:rsidR="00000000" w:rsidRDefault="00AF3814">
      <w:pPr>
        <w:jc w:val="center"/>
        <w:rPr>
          <w:rFonts w:eastAsia="Times New Roman"/>
        </w:rPr>
      </w:pPr>
      <w:r>
        <w:rPr>
          <w:rFonts w:eastAsia="Times New Roman"/>
          <w:color w:val="000000"/>
          <w:sz w:val="12"/>
          <w:szCs w:val="12"/>
        </w:rPr>
        <w:t>____________________________________</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jc w:val="center"/>
        </w:trPr>
        <w:tc>
          <w:tcPr>
            <w:tcW w:w="50" w:type="pct"/>
            <w:vAlign w:val="center"/>
            <w:hideMark/>
          </w:tcPr>
          <w:p w:rsidR="00000000" w:rsidRDefault="00AF3814">
            <w:pPr>
              <w:jc w:val="center"/>
              <w:rPr>
                <w:rFonts w:eastAsia="Times New Roman"/>
              </w:rPr>
            </w:pPr>
          </w:p>
        </w:tc>
        <w:tc>
          <w:tcPr>
            <w:tcW w:w="1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9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7"/>
                <w:szCs w:val="17"/>
              </w:rPr>
              <w:t xml:space="preserve">QUARTERLY </w:t>
            </w:r>
            <w:r>
              <w:rPr>
                <w:rFonts w:eastAsia="Times New Roman"/>
                <w:b/>
                <w:bCs/>
                <w:color w:val="000000"/>
                <w:sz w:val="17"/>
                <w:szCs w:val="17"/>
              </w:rPr>
              <w:t>REPORT PURSUANT TO SECTION 13 OR 15(d) OF THE SECURITIES EXCHANGE ACT OF 1934</w:t>
            </w:r>
          </w:p>
        </w:tc>
      </w:tr>
    </w:tbl>
    <w:p w:rsidR="00000000" w:rsidRDefault="00AF3814">
      <w:pPr>
        <w:jc w:val="center"/>
        <w:divId w:val="527068241"/>
        <w:rPr>
          <w:rFonts w:eastAsia="Times New Roman"/>
        </w:rPr>
      </w:pPr>
      <w:r>
        <w:rPr>
          <w:rFonts w:eastAsia="Times New Roman"/>
          <w:b/>
          <w:bCs/>
          <w:color w:val="000000"/>
          <w:sz w:val="18"/>
          <w:szCs w:val="18"/>
        </w:rPr>
        <w:t xml:space="preserve">For the quarterly period ended June 30, 2021 </w:t>
      </w:r>
    </w:p>
    <w:p w:rsidR="00000000" w:rsidRDefault="00AF3814">
      <w:pPr>
        <w:jc w:val="center"/>
        <w:divId w:val="120656787"/>
        <w:rPr>
          <w:rFonts w:eastAsia="Times New Roman"/>
        </w:rPr>
      </w:pPr>
      <w:r>
        <w:rPr>
          <w:rFonts w:eastAsia="Times New Roman"/>
          <w:b/>
          <w:bCs/>
          <w:color w:val="000000"/>
          <w:sz w:val="15"/>
          <w:szCs w:val="15"/>
        </w:rPr>
        <w:t>OR</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jc w:val="center"/>
        </w:trPr>
        <w:tc>
          <w:tcPr>
            <w:tcW w:w="50" w:type="pct"/>
            <w:vAlign w:val="center"/>
            <w:hideMark/>
          </w:tcPr>
          <w:p w:rsidR="00000000" w:rsidRDefault="00AF3814">
            <w:pPr>
              <w:jc w:val="center"/>
              <w:rPr>
                <w:rFonts w:eastAsia="Times New Roman"/>
              </w:rPr>
            </w:pPr>
          </w:p>
        </w:tc>
        <w:tc>
          <w:tcPr>
            <w:tcW w:w="1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9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7"/>
                <w:szCs w:val="17"/>
              </w:rPr>
              <w:t>TRANSITION REPORT PURSUANT TO SECTION 13 OR 15(d) OF THE SECURITIES EXCHANGE ACT OF 1934</w:t>
            </w:r>
          </w:p>
        </w:tc>
      </w:tr>
    </w:tbl>
    <w:p w:rsidR="00000000" w:rsidRDefault="00AF3814">
      <w:pPr>
        <w:jc w:val="center"/>
        <w:rPr>
          <w:rFonts w:eastAsia="Times New Roman"/>
        </w:rPr>
      </w:pPr>
      <w:r>
        <w:rPr>
          <w:rFonts w:eastAsia="Times New Roman"/>
          <w:b/>
          <w:bCs/>
          <w:color w:val="000000"/>
          <w:sz w:val="18"/>
          <w:szCs w:val="18"/>
        </w:rPr>
        <w:t xml:space="preserve">For the transition period from </w:t>
      </w:r>
      <w:r>
        <w:rPr>
          <w:rFonts w:eastAsia="Times New Roman"/>
          <w:b/>
          <w:bCs/>
          <w:color w:val="000000"/>
          <w:sz w:val="18"/>
          <w:szCs w:val="18"/>
          <w:u w:val="single"/>
        </w:rPr>
        <w:t>            </w:t>
      </w:r>
      <w:r>
        <w:rPr>
          <w:rFonts w:eastAsia="Times New Roman"/>
          <w:b/>
          <w:bCs/>
          <w:color w:val="000000"/>
          <w:sz w:val="18"/>
          <w:szCs w:val="18"/>
        </w:rPr>
        <w:t xml:space="preserve"> to </w:t>
      </w:r>
      <w:r>
        <w:rPr>
          <w:rFonts w:eastAsia="Times New Roman"/>
          <w:b/>
          <w:bCs/>
          <w:color w:val="000000"/>
          <w:sz w:val="18"/>
          <w:szCs w:val="18"/>
          <w:u w:val="single"/>
        </w:rPr>
        <w:t>            </w:t>
      </w:r>
    </w:p>
    <w:p w:rsidR="00000000" w:rsidRDefault="00AF3814">
      <w:pPr>
        <w:jc w:val="center"/>
        <w:divId w:val="12583884"/>
        <w:rPr>
          <w:rFonts w:eastAsia="Times New Roman"/>
        </w:rPr>
      </w:pPr>
      <w:r>
        <w:rPr>
          <w:rFonts w:eastAsia="Times New Roman"/>
          <w:b/>
          <w:bCs/>
          <w:color w:val="000000"/>
          <w:sz w:val="18"/>
          <w:szCs w:val="18"/>
        </w:rPr>
        <w:t xml:space="preserve">Commission File No. 001-13300 </w:t>
      </w:r>
    </w:p>
    <w:p w:rsidR="00000000" w:rsidRDefault="00AF3814">
      <w:pPr>
        <w:jc w:val="center"/>
        <w:rPr>
          <w:rFonts w:eastAsia="Times New Roman"/>
        </w:rPr>
      </w:pPr>
      <w:r>
        <w:rPr>
          <w:rFonts w:eastAsia="Times New Roman"/>
          <w:color w:val="000000"/>
          <w:sz w:val="12"/>
          <w:szCs w:val="12"/>
        </w:rPr>
        <w:t>____________________________________</w:t>
      </w:r>
    </w:p>
    <w:p w:rsidR="00000000" w:rsidRDefault="00AF3814">
      <w:pPr>
        <w:jc w:val="center"/>
        <w:divId w:val="985888734"/>
        <w:rPr>
          <w:rFonts w:eastAsia="Times New Roman"/>
        </w:rPr>
      </w:pPr>
      <w:r>
        <w:rPr>
          <w:rFonts w:eastAsia="Times New Roman"/>
          <w:b/>
          <w:bCs/>
          <w:color w:val="000000"/>
          <w:sz w:val="32"/>
          <w:szCs w:val="32"/>
        </w:rPr>
        <w:t>CAPITAL ONE FINANCIAL CORP</w:t>
      </w:r>
      <w:r>
        <w:rPr>
          <w:rFonts w:eastAsia="Times New Roman"/>
          <w:b/>
          <w:bCs/>
          <w:color w:val="000000"/>
          <w:sz w:val="32"/>
          <w:szCs w:val="32"/>
        </w:rPr>
        <w:t>ORATION</w:t>
      </w:r>
    </w:p>
    <w:p w:rsidR="00000000" w:rsidRDefault="00AF3814">
      <w:pPr>
        <w:jc w:val="center"/>
        <w:divId w:val="669136697"/>
        <w:rPr>
          <w:rFonts w:eastAsia="Times New Roman"/>
        </w:rPr>
      </w:pPr>
      <w:r>
        <w:rPr>
          <w:rFonts w:eastAsia="Times New Roman"/>
          <w:b/>
          <w:bCs/>
          <w:color w:val="000000"/>
          <w:sz w:val="16"/>
          <w:szCs w:val="16"/>
        </w:rPr>
        <w:t>(Exact name of registrant as specified in its charter)</w:t>
      </w:r>
      <w:r>
        <w:rPr>
          <w:rFonts w:eastAsia="Times New Roman"/>
          <w:color w:val="000000"/>
          <w:sz w:val="16"/>
          <w:szCs w:val="16"/>
        </w:rPr>
        <w:t> </w:t>
      </w:r>
    </w:p>
    <w:p w:rsidR="00000000" w:rsidRDefault="00AF3814">
      <w:pPr>
        <w:jc w:val="center"/>
        <w:rPr>
          <w:rFonts w:eastAsia="Times New Roman"/>
        </w:rPr>
      </w:pPr>
      <w:r>
        <w:rPr>
          <w:rFonts w:eastAsia="Times New Roman"/>
          <w:color w:val="000000"/>
          <w:sz w:val="12"/>
          <w:szCs w:val="12"/>
        </w:rPr>
        <w:t>____________________________________</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361"/>
        <w:gridCol w:w="39"/>
        <w:gridCol w:w="69"/>
        <w:gridCol w:w="2361"/>
        <w:gridCol w:w="37"/>
        <w:gridCol w:w="69"/>
        <w:gridCol w:w="173"/>
        <w:gridCol w:w="36"/>
        <w:gridCol w:w="69"/>
        <w:gridCol w:w="2975"/>
        <w:gridCol w:w="36"/>
      </w:tblGrid>
      <w:tr w:rsidR="00000000">
        <w:trPr>
          <w:divId w:val="507445986"/>
          <w:jc w:val="center"/>
        </w:trPr>
        <w:tc>
          <w:tcPr>
            <w:tcW w:w="50" w:type="pct"/>
            <w:vAlign w:val="center"/>
            <w:hideMark/>
          </w:tcPr>
          <w:p w:rsidR="00000000" w:rsidRDefault="00AF3814">
            <w:pPr>
              <w:jc w:val="center"/>
              <w:rPr>
                <w:rFonts w:eastAsia="Times New Roman"/>
              </w:rPr>
            </w:pPr>
          </w:p>
        </w:tc>
        <w:tc>
          <w:tcPr>
            <w:tcW w:w="14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4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80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07445986"/>
          <w:jc w:val="center"/>
        </w:trPr>
        <w:tc>
          <w:tcPr>
            <w:tcW w:w="0" w:type="auto"/>
            <w:gridSpan w:val="6"/>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16"/>
                <w:szCs w:val="16"/>
              </w:rPr>
              <w:t>54-1719854</w:t>
            </w:r>
          </w:p>
        </w:tc>
      </w:tr>
      <w:tr w:rsidR="00000000">
        <w:trPr>
          <w:divId w:val="507445986"/>
          <w:jc w:val="center"/>
        </w:trPr>
        <w:tc>
          <w:tcPr>
            <w:tcW w:w="0" w:type="auto"/>
            <w:gridSpan w:val="6"/>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(I.R.S. Employer Identification No.)</w:t>
            </w:r>
          </w:p>
        </w:tc>
      </w:tr>
      <w:tr w:rsidR="00000000">
        <w:trPr>
          <w:divId w:val="507445986"/>
          <w:jc w:val="center"/>
        </w:trPr>
        <w:tc>
          <w:tcPr>
            <w:tcW w:w="0" w:type="auto"/>
            <w:gridSpan w:val="6"/>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1680 Capital One Drive,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507445986"/>
          <w:jc w:val="center"/>
        </w:trPr>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6"/>
                <w:szCs w:val="16"/>
              </w:rPr>
              <w:t>McLean,</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Virginia</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22102</w:t>
            </w:r>
          </w:p>
        </w:tc>
      </w:tr>
      <w:tr w:rsidR="00000000">
        <w:trPr>
          <w:divId w:val="507445986"/>
          <w:jc w:val="center"/>
        </w:trPr>
        <w:tc>
          <w:tcPr>
            <w:tcW w:w="0" w:type="auto"/>
            <w:gridSpan w:val="6"/>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16"/>
                <w:szCs w:val="16"/>
              </w:rPr>
              <w:t>(Zip Code)</w:t>
            </w:r>
          </w:p>
        </w:tc>
      </w:tr>
    </w:tbl>
    <w:p w:rsidR="00000000" w:rsidRDefault="00AF3814">
      <w:pPr>
        <w:jc w:val="center"/>
        <w:rPr>
          <w:rFonts w:eastAsia="Times New Roman"/>
        </w:rPr>
      </w:pPr>
      <w:r>
        <w:rPr>
          <w:rFonts w:eastAsia="Times New Roman"/>
          <w:b/>
          <w:bCs/>
          <w:color w:val="000000"/>
          <w:sz w:val="16"/>
          <w:szCs w:val="16"/>
        </w:rPr>
        <w:t>Registrant’s telephone number, including area code: (703) 720-1000</w:t>
      </w:r>
    </w:p>
    <w:p w:rsidR="00000000" w:rsidRDefault="00AF3814">
      <w:pPr>
        <w:jc w:val="center"/>
        <w:rPr>
          <w:rFonts w:eastAsia="Times New Roman"/>
        </w:rPr>
      </w:pPr>
      <w:r>
        <w:rPr>
          <w:rFonts w:eastAsia="Times New Roman"/>
          <w:b/>
          <w:bCs/>
          <w:color w:val="000000"/>
          <w:sz w:val="16"/>
          <w:szCs w:val="16"/>
        </w:rPr>
        <w:t>(Not Applicable)</w:t>
      </w:r>
    </w:p>
    <w:p w:rsidR="00000000" w:rsidRDefault="00AF3814">
      <w:pPr>
        <w:jc w:val="center"/>
        <w:rPr>
          <w:rFonts w:eastAsia="Times New Roman"/>
        </w:rPr>
      </w:pPr>
      <w:r>
        <w:rPr>
          <w:rFonts w:eastAsia="Times New Roman"/>
          <w:b/>
          <w:bCs/>
          <w:color w:val="000000"/>
          <w:sz w:val="16"/>
          <w:szCs w:val="16"/>
        </w:rPr>
        <w:t>(Former name, former address and former fiscal year, if changed since last report)</w:t>
      </w:r>
    </w:p>
    <w:p w:rsidR="00000000" w:rsidRDefault="00AF3814">
      <w:pPr>
        <w:jc w:val="center"/>
        <w:rPr>
          <w:rFonts w:eastAsia="Times New Roman"/>
        </w:rPr>
      </w:pPr>
      <w:r>
        <w:rPr>
          <w:rFonts w:eastAsia="Times New Roman"/>
          <w:color w:val="000000"/>
          <w:sz w:val="12"/>
          <w:szCs w:val="12"/>
        </w:rPr>
        <w:t>____________________________________</w:t>
      </w:r>
    </w:p>
    <w:p w:rsidR="00000000" w:rsidRDefault="00AF3814">
      <w:pPr>
        <w:jc w:val="center"/>
        <w:divId w:val="580019235"/>
        <w:rPr>
          <w:rFonts w:eastAsia="Times New Roman"/>
        </w:rPr>
      </w:pPr>
      <w:r>
        <w:rPr>
          <w:rFonts w:eastAsia="Times New Roman"/>
          <w:b/>
          <w:bCs/>
          <w:color w:val="000000"/>
          <w:sz w:val="16"/>
          <w:szCs w:val="16"/>
        </w:rPr>
        <w:t>Securities registered pursuant to Section 12(b) of the Act:</w:t>
      </w:r>
    </w:p>
    <w:tbl>
      <w:tblPr>
        <w:tblW w:w="4993" w:type="pct"/>
        <w:jc w:val="center"/>
        <w:tblCellMar>
          <w:top w:w="15" w:type="dxa"/>
          <w:left w:w="15" w:type="dxa"/>
          <w:bottom w:w="15" w:type="dxa"/>
          <w:right w:w="15" w:type="dxa"/>
        </w:tblCellMar>
        <w:tblLook w:val="04A0" w:firstRow="1" w:lastRow="0" w:firstColumn="1" w:lastColumn="0" w:noHBand="0" w:noVBand="1"/>
      </w:tblPr>
      <w:tblGrid>
        <w:gridCol w:w="50"/>
        <w:gridCol w:w="5201"/>
        <w:gridCol w:w="38"/>
        <w:gridCol w:w="89"/>
        <w:gridCol w:w="628"/>
        <w:gridCol w:w="36"/>
        <w:gridCol w:w="50"/>
        <w:gridCol w:w="2166"/>
        <w:gridCol w:w="36"/>
      </w:tblGrid>
      <w:tr w:rsidR="00000000">
        <w:trPr>
          <w:jc w:val="center"/>
        </w:trPr>
        <w:tc>
          <w:tcPr>
            <w:tcW w:w="50" w:type="pct"/>
            <w:vAlign w:val="center"/>
            <w:hideMark/>
          </w:tcPr>
          <w:p w:rsidR="00000000" w:rsidRDefault="00AF3814">
            <w:pPr>
              <w:jc w:val="center"/>
              <w:rPr>
                <w:rFonts w:eastAsia="Times New Roman"/>
              </w:rPr>
            </w:pPr>
          </w:p>
        </w:tc>
        <w:tc>
          <w:tcPr>
            <w:tcW w:w="31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32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Trading Symbol(s)</w:t>
            </w: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Name of Each Exchange on Which Registered</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Common Stock (par value $.01 per share)</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COF</w:t>
            </w:r>
          </w:p>
        </w:tc>
        <w:tc>
          <w:tcPr>
            <w:tcW w:w="0" w:type="auto"/>
            <w:gridSpan w:val="3"/>
            <w:tcMar>
              <w:top w:w="30" w:type="dxa"/>
              <w:left w:w="20" w:type="dxa"/>
              <w:bottom w:w="30" w:type="dxa"/>
              <w:right w:w="20" w:type="dxa"/>
            </w:tcMar>
            <w:hideMark/>
          </w:tcPr>
          <w:p w:rsidR="00000000" w:rsidRDefault="00AF3814">
            <w:pPr>
              <w:spacing w:after="100"/>
              <w:jc w:val="center"/>
              <w:divId w:val="980840977"/>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G</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COF PRG</w:t>
            </w:r>
          </w:p>
        </w:tc>
        <w:tc>
          <w:tcPr>
            <w:tcW w:w="0" w:type="auto"/>
            <w:gridSpan w:val="3"/>
            <w:tcMar>
              <w:top w:w="30" w:type="dxa"/>
              <w:left w:w="20" w:type="dxa"/>
              <w:bottom w:w="30" w:type="dxa"/>
              <w:right w:w="20" w:type="dxa"/>
            </w:tcMar>
            <w:hideMark/>
          </w:tcPr>
          <w:p w:rsidR="00000000" w:rsidRDefault="00AF3814">
            <w:pPr>
              <w:spacing w:after="100"/>
              <w:jc w:val="center"/>
              <w:divId w:val="293289655"/>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H</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COF PRH</w:t>
            </w:r>
          </w:p>
        </w:tc>
        <w:tc>
          <w:tcPr>
            <w:tcW w:w="0" w:type="auto"/>
            <w:gridSpan w:val="3"/>
            <w:tcMar>
              <w:top w:w="30" w:type="dxa"/>
              <w:left w:w="20" w:type="dxa"/>
              <w:bottom w:w="30" w:type="dxa"/>
              <w:right w:w="20" w:type="dxa"/>
            </w:tcMar>
            <w:hideMark/>
          </w:tcPr>
          <w:p w:rsidR="00000000" w:rsidRDefault="00AF3814">
            <w:pPr>
              <w:spacing w:after="100"/>
              <w:jc w:val="center"/>
              <w:divId w:val="27339114"/>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I</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COF PRI</w:t>
            </w:r>
          </w:p>
        </w:tc>
        <w:tc>
          <w:tcPr>
            <w:tcW w:w="0" w:type="auto"/>
            <w:gridSpan w:val="3"/>
            <w:tcMar>
              <w:top w:w="30" w:type="dxa"/>
              <w:left w:w="20" w:type="dxa"/>
              <w:bottom w:w="30" w:type="dxa"/>
              <w:right w:w="20" w:type="dxa"/>
            </w:tcMar>
            <w:hideMark/>
          </w:tcPr>
          <w:p w:rsidR="00000000" w:rsidRDefault="00AF3814">
            <w:pPr>
              <w:spacing w:after="100"/>
              <w:jc w:val="center"/>
              <w:divId w:val="1709065970"/>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J</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COF PRJ</w:t>
            </w:r>
          </w:p>
        </w:tc>
        <w:tc>
          <w:tcPr>
            <w:tcW w:w="0" w:type="auto"/>
            <w:gridSpan w:val="3"/>
            <w:tcMar>
              <w:top w:w="30" w:type="dxa"/>
              <w:left w:w="20" w:type="dxa"/>
              <w:bottom w:w="30" w:type="dxa"/>
              <w:right w:w="20" w:type="dxa"/>
            </w:tcMar>
            <w:hideMark/>
          </w:tcPr>
          <w:p w:rsidR="00000000" w:rsidRDefault="00AF3814">
            <w:pPr>
              <w:spacing w:after="100"/>
              <w:jc w:val="center"/>
              <w:divId w:val="1403328491"/>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Depositary Shares, Each Representing a 1/40th Interest in a</w:t>
            </w:r>
            <w:r>
              <w:rPr>
                <w:rFonts w:eastAsia="Times New Roman"/>
                <w:color w:val="000000"/>
                <w:sz w:val="16"/>
                <w:szCs w:val="16"/>
              </w:rPr>
              <w:t xml:space="preserve"> Share of Fixed Rate Non-Cumulative Perpetual Preferred Stock, Series K</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COF PRK</w:t>
            </w:r>
          </w:p>
        </w:tc>
        <w:tc>
          <w:tcPr>
            <w:tcW w:w="0" w:type="auto"/>
            <w:gridSpan w:val="3"/>
            <w:tcMar>
              <w:top w:w="30" w:type="dxa"/>
              <w:left w:w="20" w:type="dxa"/>
              <w:bottom w:w="30" w:type="dxa"/>
              <w:right w:w="20" w:type="dxa"/>
            </w:tcMar>
            <w:hideMark/>
          </w:tcPr>
          <w:p w:rsidR="00000000" w:rsidRDefault="00AF3814">
            <w:pPr>
              <w:spacing w:after="100"/>
              <w:jc w:val="center"/>
              <w:divId w:val="780995593"/>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L</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COF PRL</w:t>
            </w:r>
          </w:p>
        </w:tc>
        <w:tc>
          <w:tcPr>
            <w:tcW w:w="0" w:type="auto"/>
            <w:gridSpan w:val="3"/>
            <w:tcMar>
              <w:top w:w="30" w:type="dxa"/>
              <w:left w:w="20" w:type="dxa"/>
              <w:bottom w:w="30" w:type="dxa"/>
              <w:right w:w="20" w:type="dxa"/>
            </w:tcMar>
            <w:hideMark/>
          </w:tcPr>
          <w:p w:rsidR="00000000" w:rsidRDefault="00AF3814">
            <w:pPr>
              <w:spacing w:after="100"/>
              <w:jc w:val="center"/>
              <w:divId w:val="1036193896"/>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N</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COF PRN</w:t>
            </w:r>
          </w:p>
        </w:tc>
        <w:tc>
          <w:tcPr>
            <w:tcW w:w="0" w:type="auto"/>
            <w:gridSpan w:val="3"/>
            <w:tcMar>
              <w:top w:w="30" w:type="dxa"/>
              <w:left w:w="20" w:type="dxa"/>
              <w:bottom w:w="30" w:type="dxa"/>
              <w:right w:w="20" w:type="dxa"/>
            </w:tcMar>
            <w:hideMark/>
          </w:tcPr>
          <w:p w:rsidR="00000000" w:rsidRDefault="00AF3814">
            <w:pPr>
              <w:spacing w:after="100"/>
              <w:jc w:val="center"/>
              <w:divId w:val="1880581487"/>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0.800% Senior Notes Due 2024</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COF24</w:t>
            </w:r>
          </w:p>
        </w:tc>
        <w:tc>
          <w:tcPr>
            <w:tcW w:w="0" w:type="auto"/>
            <w:gridSpan w:val="3"/>
            <w:tcMar>
              <w:top w:w="30" w:type="dxa"/>
              <w:left w:w="20" w:type="dxa"/>
              <w:bottom w:w="30" w:type="dxa"/>
              <w:right w:w="20" w:type="dxa"/>
            </w:tcMar>
            <w:hideMark/>
          </w:tcPr>
          <w:p w:rsidR="00000000" w:rsidRDefault="00AF3814">
            <w:pPr>
              <w:spacing w:after="100"/>
              <w:jc w:val="center"/>
              <w:divId w:val="1724907995"/>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1.650% Senior Notes Due 2029</w:t>
            </w:r>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6"/>
                <w:szCs w:val="16"/>
              </w:rPr>
              <w:t>COF29</w:t>
            </w:r>
          </w:p>
        </w:tc>
        <w:tc>
          <w:tcPr>
            <w:tcW w:w="0" w:type="auto"/>
            <w:gridSpan w:val="3"/>
            <w:tcMar>
              <w:top w:w="30" w:type="dxa"/>
              <w:left w:w="20" w:type="dxa"/>
              <w:bottom w:w="30" w:type="dxa"/>
              <w:right w:w="20" w:type="dxa"/>
            </w:tcMar>
            <w:hideMark/>
          </w:tcPr>
          <w:p w:rsidR="00000000" w:rsidRDefault="00AF3814">
            <w:pPr>
              <w:spacing w:after="100"/>
              <w:jc w:val="center"/>
              <w:divId w:val="658509669"/>
              <w:rPr>
                <w:rFonts w:eastAsia="Times New Roman"/>
              </w:rPr>
            </w:pPr>
            <w:r>
              <w:rPr>
                <w:rFonts w:eastAsia="Times New Roman"/>
                <w:color w:val="000000"/>
                <w:sz w:val="16"/>
                <w:szCs w:val="16"/>
              </w:rPr>
              <w:t>New York Stock Exchange</w:t>
            </w:r>
          </w:p>
        </w:tc>
      </w:tr>
    </w:tbl>
    <w:p w:rsidR="00000000" w:rsidRDefault="00AF3814">
      <w:pPr>
        <w:jc w:val="both"/>
        <w:divId w:val="1192064326"/>
        <w:rPr>
          <w:rFonts w:eastAsia="Times New Roman"/>
        </w:rPr>
      </w:pPr>
      <w:r>
        <w:rPr>
          <w:rFonts w:eastAsia="Times New Roman"/>
          <w:color w:val="000000"/>
          <w:sz w:val="16"/>
          <w:szCs w:val="16"/>
        </w:rPr>
        <w:lastRenderedPageBreak/>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6"/>
          <w:szCs w:val="16"/>
        </w:rPr>
        <w:t>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AF3814">
      <w:pPr>
        <w:jc w:val="both"/>
        <w:divId w:val="987786833"/>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6"/>
          <w:szCs w:val="16"/>
        </w:rPr>
        <w:t>t the registrant was required to submit such files).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AF3814">
      <w:pPr>
        <w:jc w:val="both"/>
        <w:divId w:val="1234201709"/>
        <w:rPr>
          <w:rFonts w:eastAsia="Times New Roman"/>
        </w:rPr>
      </w:pPr>
      <w:r>
        <w:rPr>
          <w:rFonts w:eastAsia="Times New Roman"/>
          <w:color w:val="000000"/>
          <w:sz w:val="15"/>
          <w:szCs w:val="15"/>
        </w:rPr>
        <w:t>Indicate by check mark whether the registrant is a large accelerated filer, an accelerated filer, a non-accelerated filer, a smaller reporting company, or an emerging growth company. See the d</w:t>
      </w:r>
      <w:r>
        <w:rPr>
          <w:rFonts w:eastAsia="Times New Roman"/>
          <w:color w:val="000000"/>
          <w:sz w:val="15"/>
          <w:szCs w:val="15"/>
        </w:rPr>
        <w:t>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5"/>
        <w:gridCol w:w="1703"/>
        <w:gridCol w:w="36"/>
        <w:gridCol w:w="36"/>
        <w:gridCol w:w="156"/>
        <w:gridCol w:w="36"/>
        <w:gridCol w:w="45"/>
        <w:gridCol w:w="3756"/>
        <w:gridCol w:w="36"/>
        <w:gridCol w:w="37"/>
        <w:gridCol w:w="136"/>
        <w:gridCol w:w="36"/>
        <w:gridCol w:w="87"/>
        <w:gridCol w:w="1696"/>
        <w:gridCol w:w="36"/>
        <w:gridCol w:w="36"/>
        <w:gridCol w:w="136"/>
        <w:gridCol w:w="36"/>
        <w:gridCol w:w="56"/>
        <w:gridCol w:w="129"/>
        <w:gridCol w:w="36"/>
      </w:tblGrid>
      <w:tr w:rsidR="00000000">
        <w:tc>
          <w:tcPr>
            <w:tcW w:w="50" w:type="pct"/>
            <w:vAlign w:val="center"/>
            <w:hideMark/>
          </w:tcPr>
          <w:p w:rsidR="00000000" w:rsidRDefault="00AF3814">
            <w:pPr>
              <w:jc w:val="both"/>
              <w:rPr>
                <w:rFonts w:eastAsia="Times New Roman"/>
              </w:rPr>
            </w:pPr>
          </w:p>
        </w:tc>
        <w:tc>
          <w:tcPr>
            <w:tcW w:w="10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28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0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8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0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F3814">
            <w:pPr>
              <w:spacing w:after="100"/>
              <w:divId w:val="937905105"/>
              <w:rPr>
                <w:rFonts w:eastAsia="Times New Roman"/>
              </w:rPr>
            </w:pPr>
            <w:r>
              <w:rPr>
                <w:rFonts w:ascii="Segoe UI Symbol" w:eastAsia="Times New Roman" w:hAnsi="Segoe UI Symbol" w:cs="Segoe UI Symbol"/>
                <w:color w:val="000000"/>
                <w:sz w:val="16"/>
                <w:szCs w:val="16"/>
              </w:rPr>
              <w:t>☐</w:t>
            </w: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F3814">
            <w:pPr>
              <w:spacing w:after="100"/>
              <w:divId w:val="1106537493"/>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Smaller reporting company</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392126070"/>
              <w:rPr>
                <w:rFonts w:eastAsia="Times New Roman"/>
              </w:rPr>
            </w:pPr>
            <w:r>
              <w:rPr>
                <w:rFonts w:ascii="Segoe UI Symbol" w:eastAsia="Times New Roman" w:hAnsi="Segoe UI Symbol" w:cs="Segoe UI Symbol"/>
                <w:color w:val="000000"/>
                <w:sz w:val="16"/>
                <w:szCs w:val="16"/>
              </w:rPr>
              <w:t>☐</w:t>
            </w: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Emerging growth company</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740441725"/>
              <w:rPr>
                <w:rFonts w:eastAsia="Times New Roman"/>
              </w:rPr>
            </w:pPr>
            <w:r>
              <w:rPr>
                <w:rFonts w:ascii="Segoe UI Symbol" w:eastAsia="Times New Roman" w:hAnsi="Segoe UI Symbol" w:cs="Segoe UI Symbol"/>
                <w:color w:val="000000"/>
                <w:sz w:val="16"/>
                <w:szCs w:val="16"/>
              </w:rPr>
              <w:t>☐</w:t>
            </w:r>
          </w:p>
        </w:tc>
      </w:tr>
    </w:tbl>
    <w:p w:rsidR="00000000" w:rsidRDefault="00AF3814">
      <w:pPr>
        <w:jc w:val="both"/>
        <w:divId w:val="872227678"/>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rsidR="00000000" w:rsidRDefault="00AF3814">
      <w:pPr>
        <w:jc w:val="both"/>
        <w:divId w:val="1515533077"/>
        <w:rPr>
          <w:rFonts w:eastAsia="Times New Roman"/>
        </w:rPr>
      </w:pPr>
      <w:r>
        <w:rPr>
          <w:rFonts w:eastAsia="Times New Roman"/>
          <w:color w:val="000000"/>
          <w:sz w:val="16"/>
          <w:szCs w:val="16"/>
        </w:rPr>
        <w:t>Ind</w:t>
      </w:r>
      <w:r>
        <w:rPr>
          <w:rFonts w:eastAsia="Times New Roman"/>
          <w:color w:val="000000"/>
          <w:sz w:val="16"/>
          <w:szCs w:val="16"/>
        </w:rPr>
        <w:t xml:space="preserve">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rsidR="00000000" w:rsidRDefault="00AF3814">
      <w:pPr>
        <w:jc w:val="both"/>
        <w:divId w:val="990057239"/>
        <w:rPr>
          <w:rFonts w:eastAsia="Times New Roman"/>
        </w:rPr>
      </w:pPr>
      <w:r>
        <w:rPr>
          <w:rFonts w:eastAsia="Times New Roman"/>
          <w:color w:val="000000"/>
          <w:sz w:val="16"/>
          <w:szCs w:val="16"/>
        </w:rPr>
        <w:t>As of June 30, 2021, there were 446,113,769 shares of the registrant’s Common Stock outstanding.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6"/>
        <w:gridCol w:w="178"/>
        <w:gridCol w:w="36"/>
        <w:gridCol w:w="55"/>
        <w:gridCol w:w="7965"/>
        <w:gridCol w:w="36"/>
      </w:tblGrid>
      <w:tr w:rsidR="00000000">
        <w:trPr>
          <w:jc w:val="center"/>
        </w:trPr>
        <w:tc>
          <w:tcPr>
            <w:tcW w:w="5" w:type="pct"/>
            <w:vAlign w:val="center"/>
            <w:hideMark/>
          </w:tcPr>
          <w:p w:rsidR="00000000" w:rsidRDefault="00AF3814">
            <w:pPr>
              <w:jc w:val="both"/>
              <w:rPr>
                <w:rFonts w:eastAsia="Times New Roman"/>
              </w:rPr>
            </w:pPr>
          </w:p>
        </w:tc>
        <w:tc>
          <w:tcPr>
            <w:tcW w:w="12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81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p w:rsidR="00000000" w:rsidRDefault="00AF3814">
      <w:pPr>
        <w:jc w:val="center"/>
        <w:rPr>
          <w:rFonts w:eastAsia="Times New Roman"/>
          <w:vanish/>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trPr>
          <w:jc w:val="center"/>
        </w:trPr>
        <w:tc>
          <w:tcPr>
            <w:tcW w:w="50" w:type="pct"/>
            <w:vAlign w:val="center"/>
            <w:hideMark/>
          </w:tcPr>
          <w:p w:rsidR="00000000" w:rsidRDefault="00AF3814">
            <w:pPr>
              <w:jc w:val="center"/>
              <w:rPr>
                <w:rFonts w:eastAsia="Times New Roman"/>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p w:rsidR="00000000" w:rsidRDefault="00AF3814">
      <w:pPr>
        <w:jc w:val="both"/>
        <w:divId w:val="705761543"/>
        <w:rPr>
          <w:rFonts w:eastAsia="Times New Roman"/>
        </w:rPr>
      </w:pPr>
    </w:p>
    <w:p w:rsidR="00000000" w:rsidRDefault="00AF3814">
      <w:pPr>
        <w:rPr>
          <w:rFonts w:eastAsia="Times New Roman"/>
        </w:rPr>
      </w:pPr>
      <w:r>
        <w:rPr>
          <w:rFonts w:eastAsia="Times New Roman"/>
        </w:rPr>
        <w:pict>
          <v:rect id="_x0000_i1025" style="width:0;height:1.5pt" o:hralign="center" o:hrstd="t" o:hr="t" fillcolor="#a0a0a0" stroked="f"/>
        </w:pict>
      </w:r>
    </w:p>
    <w:p w:rsidR="00000000" w:rsidRDefault="00AF3814">
      <w:pPr>
        <w:jc w:val="both"/>
        <w:divId w:val="1536851592"/>
        <w:rPr>
          <w:rFonts w:eastAsia="Times New Roman"/>
        </w:rPr>
      </w:pPr>
    </w:p>
    <w:p w:rsidR="00000000" w:rsidRDefault="00AF3814">
      <w:pPr>
        <w:jc w:val="center"/>
        <w:divId w:val="756705035"/>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5"/>
        <w:gridCol w:w="568"/>
        <w:gridCol w:w="37"/>
        <w:gridCol w:w="69"/>
        <w:gridCol w:w="6842"/>
        <w:gridCol w:w="36"/>
        <w:gridCol w:w="69"/>
        <w:gridCol w:w="574"/>
        <w:gridCol w:w="36"/>
      </w:tblGrid>
      <w:tr w:rsidR="00000000">
        <w:trPr>
          <w:divId w:val="1635331775"/>
        </w:trPr>
        <w:tc>
          <w:tcPr>
            <w:tcW w:w="50" w:type="pct"/>
            <w:vAlign w:val="center"/>
            <w:hideMark/>
          </w:tcPr>
          <w:p w:rsidR="00000000" w:rsidRDefault="00AF3814">
            <w:pPr>
              <w:jc w:val="center"/>
              <w:rPr>
                <w:rFonts w:eastAsia="Times New Roman"/>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20"/>
                <w:szCs w:val="20"/>
              </w:rPr>
              <w:t>Page</w:t>
            </w:r>
          </w:p>
        </w:tc>
      </w:tr>
      <w:tr w:rsidR="00000000">
        <w:trPr>
          <w:divId w:val="1635331775"/>
        </w:trPr>
        <w:tc>
          <w:tcPr>
            <w:tcW w:w="0" w:type="auto"/>
            <w:gridSpan w:val="6"/>
            <w:tcMar>
              <w:top w:w="30" w:type="dxa"/>
              <w:left w:w="20" w:type="dxa"/>
              <w:bottom w:w="30" w:type="dxa"/>
              <w:right w:w="20" w:type="dxa"/>
            </w:tcMar>
            <w:vAlign w:val="bottom"/>
            <w:hideMark/>
          </w:tcPr>
          <w:p w:rsidR="00000000" w:rsidRDefault="00AF3814">
            <w:pPr>
              <w:spacing w:after="100"/>
              <w:divId w:val="898439038"/>
              <w:rPr>
                <w:rFonts w:eastAsia="Times New Roman"/>
              </w:rPr>
            </w:pPr>
            <w:hyperlink w:anchor="id204df94663d4fc396719e5188ae3420_64" w:history="1">
              <w:r>
                <w:rPr>
                  <w:rStyle w:val="a3"/>
                  <w:rFonts w:eastAsia="Times New Roman"/>
                  <w:b/>
                  <w:bCs/>
                  <w:color w:val="000000"/>
                  <w:sz w:val="20"/>
                  <w:szCs w:val="20"/>
                  <w:u w:val="none"/>
                </w:rPr>
                <w:t>PART I—FINANCIAL INFORMATION</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64" w:history="1">
              <w:r>
                <w:rPr>
                  <w:rStyle w:val="a3"/>
                  <w:rFonts w:eastAsia="Times New Roman"/>
                  <w:b/>
                  <w:bCs/>
                  <w:color w:val="000000"/>
                  <w:sz w:val="20"/>
                  <w:szCs w:val="20"/>
                  <w:u w:val="none"/>
                </w:rPr>
                <w:t>4</w:t>
              </w:r>
            </w:hyperlink>
          </w:p>
        </w:tc>
      </w:tr>
      <w:tr w:rsidR="00000000">
        <w:trPr>
          <w:divId w:val="1635331775"/>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tcMar>
              <w:top w:w="30" w:type="dxa"/>
              <w:left w:w="20" w:type="dxa"/>
              <w:bottom w:w="30" w:type="dxa"/>
              <w:right w:w="20" w:type="dxa"/>
            </w:tcMar>
            <w:vAlign w:val="center"/>
            <w:hideMark/>
          </w:tcPr>
          <w:p w:rsidR="00000000" w:rsidRDefault="00AF3814">
            <w:pPr>
              <w:spacing w:after="100"/>
              <w:divId w:val="1448768608"/>
              <w:rPr>
                <w:rFonts w:eastAsia="Times New Roman"/>
              </w:rPr>
            </w:pPr>
            <w:hyperlink w:anchor="id204df94663d4fc396719e5188ae3420_328"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AF3814">
            <w:pPr>
              <w:spacing w:after="100"/>
              <w:divId w:val="929582360"/>
              <w:rPr>
                <w:rFonts w:eastAsia="Times New Roman"/>
              </w:rPr>
            </w:pPr>
            <w:hyperlink w:anchor="id204df94663d4fc396719e5188ae3420_328" w:history="1">
              <w:r>
                <w:rPr>
                  <w:rStyle w:val="a3"/>
                  <w:rFonts w:eastAsia="Times New Roman"/>
                  <w:color w:val="000000"/>
                  <w:sz w:val="20"/>
                  <w:szCs w:val="20"/>
                  <w:u w:val="none"/>
                </w:rPr>
                <w:t>Financial Statements and Notes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28" w:history="1">
              <w:r>
                <w:rPr>
                  <w:rStyle w:val="a3"/>
                  <w:rFonts w:eastAsia="Times New Roman"/>
                  <w:color w:val="000000"/>
                  <w:sz w:val="20"/>
                  <w:szCs w:val="20"/>
                  <w:u w:val="none"/>
                </w:rPr>
                <w:t>67</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907571741"/>
              <w:rPr>
                <w:rFonts w:eastAsia="Times New Roman"/>
              </w:rPr>
            </w:pPr>
            <w:hyperlink w:anchor="id204df94663d4fc396719e5188ae3420_343"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43" w:history="1">
              <w:r>
                <w:rPr>
                  <w:rStyle w:val="a3"/>
                  <w:rFonts w:eastAsia="Times New Roman"/>
                  <w:color w:val="000000"/>
                  <w:sz w:val="20"/>
                  <w:szCs w:val="20"/>
                  <w:u w:val="none"/>
                </w:rPr>
                <w:t>68</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783644762"/>
              <w:rPr>
                <w:rFonts w:eastAsia="Times New Roman"/>
              </w:rPr>
            </w:pPr>
            <w:hyperlink w:anchor="id204df94663d4fc396719e5188ae3420_346"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46" w:history="1">
              <w:r>
                <w:rPr>
                  <w:rStyle w:val="a3"/>
                  <w:rFonts w:eastAsia="Times New Roman"/>
                  <w:color w:val="000000"/>
                  <w:sz w:val="20"/>
                  <w:szCs w:val="20"/>
                  <w:u w:val="none"/>
                </w:rPr>
                <w:t>69</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545333757"/>
              <w:rPr>
                <w:rFonts w:eastAsia="Times New Roman"/>
              </w:rPr>
            </w:pPr>
            <w:hyperlink w:anchor="id204df94663d4fc396719e5188ae3420_349"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49" w:history="1">
              <w:r>
                <w:rPr>
                  <w:rStyle w:val="a3"/>
                  <w:rFonts w:eastAsia="Times New Roman"/>
                  <w:color w:val="000000"/>
                  <w:sz w:val="20"/>
                  <w:szCs w:val="20"/>
                  <w:u w:val="none"/>
                </w:rPr>
                <w:t>70</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932162099"/>
              <w:rPr>
                <w:rFonts w:eastAsia="Times New Roman"/>
              </w:rPr>
            </w:pPr>
            <w:hyperlink w:anchor="id204df94663d4fc396719e5188ae3420_352"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52" w:history="1">
              <w:r>
                <w:rPr>
                  <w:rStyle w:val="a3"/>
                  <w:rFonts w:eastAsia="Times New Roman"/>
                  <w:color w:val="000000"/>
                  <w:sz w:val="20"/>
                  <w:szCs w:val="20"/>
                  <w:u w:val="none"/>
                </w:rPr>
                <w:t>71</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82186301"/>
              <w:rPr>
                <w:rFonts w:eastAsia="Times New Roman"/>
              </w:rPr>
            </w:pPr>
            <w:hyperlink w:anchor="id204df94663d4fc396719e5188ae3420_355"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55" w:history="1">
              <w:r>
                <w:rPr>
                  <w:rStyle w:val="a3"/>
                  <w:rFonts w:eastAsia="Times New Roman"/>
                  <w:color w:val="000000"/>
                  <w:sz w:val="20"/>
                  <w:szCs w:val="20"/>
                  <w:u w:val="none"/>
                </w:rPr>
                <w:t>73</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2042052771"/>
              <w:rPr>
                <w:rFonts w:eastAsia="Times New Roman"/>
              </w:rPr>
            </w:pPr>
            <w:hyperlink w:anchor="id204df94663d4fc396719e5188ae3420_361" w:history="1">
              <w:r>
                <w:rPr>
                  <w:rStyle w:val="a3"/>
                  <w:rFonts w:eastAsia="Times New Roman"/>
                  <w:color w:val="000000"/>
                  <w:sz w:val="20"/>
                  <w:szCs w:val="20"/>
                  <w:u w:val="none"/>
                </w:rPr>
                <w:t>Notes to Consolidated F</w:t>
              </w:r>
              <w:r>
                <w:rPr>
                  <w:rStyle w:val="a3"/>
                  <w:rFonts w:eastAsia="Times New Roman"/>
                  <w:color w:val="000000"/>
                  <w:sz w:val="20"/>
                  <w:szCs w:val="20"/>
                  <w:u w:val="none"/>
                </w:rPr>
                <w:t>inancial Statements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61" w:history="1">
              <w:r>
                <w:rPr>
                  <w:rStyle w:val="a3"/>
                  <w:rFonts w:eastAsia="Times New Roman"/>
                  <w:color w:val="000000"/>
                  <w:sz w:val="20"/>
                  <w:szCs w:val="20"/>
                  <w:u w:val="none"/>
                </w:rPr>
                <w:t>75</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100376473"/>
              <w:rPr>
                <w:rFonts w:eastAsia="Times New Roman"/>
              </w:rPr>
            </w:pPr>
            <w:hyperlink w:anchor="id204df94663d4fc396719e5188ae3420_361"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61" w:history="1">
              <w:r>
                <w:rPr>
                  <w:rStyle w:val="a3"/>
                  <w:rFonts w:eastAsia="Times New Roman"/>
                  <w:color w:val="000000"/>
                  <w:sz w:val="20"/>
                  <w:szCs w:val="20"/>
                  <w:u w:val="none"/>
                </w:rPr>
                <w:t>75</w:t>
              </w:r>
            </w:hyperlink>
          </w:p>
        </w:tc>
      </w:tr>
      <w:tr w:rsidR="00000000">
        <w:trPr>
          <w:divId w:val="1635331775"/>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divId w:val="983006455"/>
              <w:rPr>
                <w:rFonts w:eastAsia="Times New Roman"/>
              </w:rPr>
            </w:pPr>
            <w:hyperlink w:anchor="id204df94663d4fc396719e5188ae3420_364"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64" w:history="1">
              <w:r>
                <w:rPr>
                  <w:rStyle w:val="a3"/>
                  <w:rFonts w:eastAsia="Times New Roman"/>
                  <w:color w:val="000000"/>
                  <w:sz w:val="20"/>
                  <w:szCs w:val="20"/>
                  <w:u w:val="none"/>
                </w:rPr>
                <w:t>77</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277059820"/>
              <w:rPr>
                <w:rFonts w:eastAsia="Times New Roman"/>
              </w:rPr>
            </w:pPr>
            <w:hyperlink w:anchor="id204df94663d4fc396719e5188ae3420_367"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67" w:history="1">
              <w:r>
                <w:rPr>
                  <w:rStyle w:val="a3"/>
                  <w:rFonts w:eastAsia="Times New Roman"/>
                  <w:color w:val="000000"/>
                  <w:sz w:val="20"/>
                  <w:szCs w:val="20"/>
                  <w:u w:val="none"/>
                </w:rPr>
                <w:t>80</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441148130"/>
              <w:rPr>
                <w:rFonts w:eastAsia="Times New Roman"/>
              </w:rPr>
            </w:pPr>
            <w:hyperlink w:anchor="id204df94663d4fc396719e5188ae3420_391"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91" w:history="1">
              <w:r>
                <w:rPr>
                  <w:rStyle w:val="a3"/>
                  <w:rFonts w:eastAsia="Times New Roman"/>
                  <w:color w:val="000000"/>
                  <w:sz w:val="20"/>
                  <w:szCs w:val="20"/>
                  <w:u w:val="none"/>
                </w:rPr>
                <w:t>90</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655110457"/>
              <w:rPr>
                <w:rFonts w:eastAsia="Times New Roman"/>
              </w:rPr>
            </w:pPr>
            <w:hyperlink w:anchor="id204df94663d4fc396719e5188ae3420_394"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94" w:history="1">
              <w:r>
                <w:rPr>
                  <w:rStyle w:val="a3"/>
                  <w:rFonts w:eastAsia="Times New Roman"/>
                  <w:color w:val="000000"/>
                  <w:sz w:val="20"/>
                  <w:szCs w:val="20"/>
                  <w:u w:val="none"/>
                </w:rPr>
                <w:t>94</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833524351"/>
              <w:rPr>
                <w:rFonts w:eastAsia="Times New Roman"/>
              </w:rPr>
            </w:pPr>
            <w:hyperlink w:anchor="id204df94663d4fc396719e5188ae3420_397" w:history="1">
              <w:r>
                <w:rPr>
                  <w:rStyle w:val="a3"/>
                  <w:rFonts w:eastAsia="Times New Roman"/>
                  <w:color w:val="000000"/>
                  <w:sz w:val="20"/>
                  <w:szCs w:val="20"/>
                  <w:u w:val="none"/>
                </w:rPr>
                <w:t>Note 6—Good</w:t>
              </w:r>
              <w:r>
                <w:rPr>
                  <w:rStyle w:val="a3"/>
                  <w:rFonts w:eastAsia="Times New Roman"/>
                  <w:color w:val="000000"/>
                  <w:sz w:val="20"/>
                  <w:szCs w:val="20"/>
                  <w:u w:val="none"/>
                </w:rPr>
                <w:t>will and Intangible Assets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97" w:history="1">
              <w:r>
                <w:rPr>
                  <w:rStyle w:val="a3"/>
                  <w:rFonts w:eastAsia="Times New Roman"/>
                  <w:color w:val="000000"/>
                  <w:sz w:val="20"/>
                  <w:szCs w:val="20"/>
                  <w:u w:val="none"/>
                </w:rPr>
                <w:t>98</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313486652"/>
              <w:rPr>
                <w:rFonts w:eastAsia="Times New Roman"/>
              </w:rPr>
            </w:pPr>
            <w:hyperlink w:anchor="id204df94663d4fc396719e5188ae3420_403"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03" w:history="1">
              <w:r>
                <w:rPr>
                  <w:rStyle w:val="a3"/>
                  <w:rFonts w:eastAsia="Times New Roman"/>
                  <w:color w:val="000000"/>
                  <w:sz w:val="20"/>
                  <w:szCs w:val="20"/>
                  <w:u w:val="none"/>
                </w:rPr>
                <w:t>99</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280144347"/>
              <w:rPr>
                <w:rFonts w:eastAsia="Times New Roman"/>
              </w:rPr>
            </w:pPr>
            <w:hyperlink w:anchor="id204df94663d4fc396719e5188ae3420_406" w:history="1">
              <w:r>
                <w:rPr>
                  <w:rStyle w:val="a3"/>
                  <w:rFonts w:eastAsia="Times New Roman"/>
                  <w:color w:val="000000"/>
                  <w:sz w:val="20"/>
                  <w:szCs w:val="20"/>
                  <w:u w:val="none"/>
                </w:rPr>
                <w:t>Note 8—Derivative Instruments and Hedging Activities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06" w:history="1">
              <w:r>
                <w:rPr>
                  <w:rStyle w:val="a3"/>
                  <w:rFonts w:eastAsia="Times New Roman"/>
                  <w:color w:val="000000"/>
                  <w:sz w:val="20"/>
                  <w:szCs w:val="20"/>
                  <w:u w:val="none"/>
                </w:rPr>
                <w:t>100</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953288746"/>
              <w:rPr>
                <w:rFonts w:eastAsia="Times New Roman"/>
              </w:rPr>
            </w:pPr>
            <w:hyperlink w:anchor="id204df94663d4fc396719e5188ae3420_409"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09" w:history="1">
              <w:r>
                <w:rPr>
                  <w:rStyle w:val="a3"/>
                  <w:rFonts w:eastAsia="Times New Roman"/>
                  <w:color w:val="000000"/>
                  <w:sz w:val="20"/>
                  <w:szCs w:val="20"/>
                  <w:u w:val="none"/>
                </w:rPr>
                <w:t>110</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807481567"/>
              <w:rPr>
                <w:rFonts w:eastAsia="Times New Roman"/>
              </w:rPr>
            </w:pPr>
            <w:hyperlink w:anchor="id204df94663d4fc396719e5188ae3420_418"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18" w:history="1">
              <w:r>
                <w:rPr>
                  <w:rStyle w:val="a3"/>
                  <w:rFonts w:eastAsia="Times New Roman"/>
                  <w:color w:val="000000"/>
                  <w:sz w:val="20"/>
                  <w:szCs w:val="20"/>
                  <w:u w:val="none"/>
                </w:rPr>
                <w:t>114</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624001040"/>
              <w:rPr>
                <w:rFonts w:eastAsia="Times New Roman"/>
              </w:rPr>
            </w:pPr>
            <w:hyperlink w:anchor="id204df94663d4fc396719e5188ae3420_430"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30" w:history="1">
              <w:r>
                <w:rPr>
                  <w:rStyle w:val="a3"/>
                  <w:rFonts w:eastAsia="Times New Roman"/>
                  <w:color w:val="000000"/>
                  <w:sz w:val="20"/>
                  <w:szCs w:val="20"/>
                  <w:u w:val="none"/>
                </w:rPr>
                <w:t>115</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701279032"/>
              <w:rPr>
                <w:rFonts w:eastAsia="Times New Roman"/>
              </w:rPr>
            </w:pPr>
            <w:hyperlink w:anchor="id204df94663d4fc396719e5188ae3420_433" w:history="1">
              <w:r>
                <w:rPr>
                  <w:rStyle w:val="a3"/>
                  <w:rFonts w:eastAsia="Times New Roman"/>
                  <w:color w:val="000000"/>
                  <w:sz w:val="20"/>
                  <w:szCs w:val="20"/>
                  <w:u w:val="none"/>
                </w:rPr>
                <w:t>Note 12—</w:t>
              </w:r>
              <w:r>
                <w:rPr>
                  <w:rStyle w:val="a3"/>
                  <w:rFonts w:eastAsia="Times New Roman"/>
                  <w:color w:val="000000"/>
                  <w:sz w:val="20"/>
                  <w:szCs w:val="20"/>
                  <w:u w:val="none"/>
                </w:rPr>
                <w:t>Business Segments and Revenue from Contracts with Customers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33" w:history="1">
              <w:r>
                <w:rPr>
                  <w:rStyle w:val="a3"/>
                  <w:rFonts w:eastAsia="Times New Roman"/>
                  <w:color w:val="000000"/>
                  <w:sz w:val="20"/>
                  <w:szCs w:val="20"/>
                  <w:u w:val="none"/>
                </w:rPr>
                <w:t>122</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484516830"/>
              <w:rPr>
                <w:rFonts w:eastAsia="Times New Roman"/>
              </w:rPr>
            </w:pPr>
            <w:hyperlink w:anchor="id204df94663d4fc396719e5188ae3420_436" w:history="1">
              <w:r>
                <w:rPr>
                  <w:rStyle w:val="a3"/>
                  <w:rFonts w:eastAsia="Times New Roman"/>
                  <w:color w:val="000000"/>
                  <w:sz w:val="20"/>
                  <w:szCs w:val="20"/>
                  <w:u w:val="none"/>
                </w:rPr>
                <w:t>Note 13—Commitments, Contingencies, Guarantees and Others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36" w:history="1">
              <w:r>
                <w:rPr>
                  <w:rStyle w:val="a3"/>
                  <w:rFonts w:eastAsia="Times New Roman"/>
                  <w:color w:val="000000"/>
                  <w:sz w:val="20"/>
                  <w:szCs w:val="20"/>
                  <w:u w:val="none"/>
                </w:rPr>
                <w:t>126</w:t>
              </w:r>
            </w:hyperlink>
          </w:p>
        </w:tc>
      </w:tr>
      <w:tr w:rsidR="00000000">
        <w:trPr>
          <w:divId w:val="1635331775"/>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Height w:val="28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635331775"/>
        </w:trPr>
        <w:tc>
          <w:tcPr>
            <w:tcW w:w="0" w:type="auto"/>
            <w:gridSpan w:val="3"/>
            <w:tcMar>
              <w:top w:w="30" w:type="dxa"/>
              <w:left w:w="20" w:type="dxa"/>
              <w:bottom w:w="30" w:type="dxa"/>
              <w:right w:w="20" w:type="dxa"/>
            </w:tcMar>
            <w:vAlign w:val="center"/>
            <w:hideMark/>
          </w:tcPr>
          <w:p w:rsidR="00000000" w:rsidRDefault="00AF3814">
            <w:pPr>
              <w:spacing w:after="100"/>
              <w:divId w:val="2117627471"/>
              <w:rPr>
                <w:rFonts w:eastAsia="Times New Roman"/>
              </w:rPr>
            </w:pPr>
            <w:hyperlink w:anchor="id204df94663d4fc396719e5188ae3420_76"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AF3814">
            <w:pPr>
              <w:spacing w:after="100"/>
              <w:divId w:val="49888031"/>
              <w:rPr>
                <w:rFonts w:eastAsia="Times New Roman"/>
              </w:rPr>
            </w:pPr>
            <w:hyperlink w:anchor="id204df94663d4fc396719e5188ae3420_76" w:history="1">
              <w:r>
                <w:rPr>
                  <w:rStyle w:val="a3"/>
                  <w:rFonts w:eastAsia="Times New Roman"/>
                  <w:color w:val="000000"/>
                  <w:sz w:val="20"/>
                  <w:szCs w:val="20"/>
                  <w:u w:val="none"/>
                </w:rPr>
                <w:t>Management’s Discussion and Analysis of Financial Condition and Results of Operations (“MD&amp;A”)</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76" w:history="1">
              <w:r>
                <w:rPr>
                  <w:rStyle w:val="a3"/>
                  <w:rFonts w:eastAsia="Times New Roman"/>
                  <w:color w:val="000000"/>
                  <w:sz w:val="20"/>
                  <w:szCs w:val="20"/>
                  <w:u w:val="none"/>
                </w:rPr>
                <w:t>4</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748311392"/>
              <w:rPr>
                <w:rFonts w:eastAsia="Times New Roman"/>
              </w:rPr>
            </w:pPr>
            <w:hyperlink w:anchor="id204df94663d4fc396719e5188ae3420_79" w:history="1">
              <w:r>
                <w:rPr>
                  <w:rStyle w:val="a3"/>
                  <w:rFonts w:eastAsia="Times New Roman"/>
                  <w:color w:val="000000"/>
                  <w:sz w:val="20"/>
                  <w:szCs w:val="20"/>
                  <w:u w:val="none"/>
                </w:rPr>
                <w:t>Introduction</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79" w:history="1">
              <w:r>
                <w:rPr>
                  <w:rStyle w:val="a3"/>
                  <w:rFonts w:eastAsia="Times New Roman"/>
                  <w:color w:val="000000"/>
                  <w:sz w:val="20"/>
                  <w:szCs w:val="20"/>
                  <w:u w:val="none"/>
                </w:rPr>
                <w:t>4</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006783039"/>
              <w:rPr>
                <w:rFonts w:eastAsia="Times New Roman"/>
              </w:rPr>
            </w:pPr>
            <w:hyperlink w:anchor="id204df94663d4fc396719e5188ae3420_88" w:history="1">
              <w:r>
                <w:rPr>
                  <w:rStyle w:val="a3"/>
                  <w:rFonts w:eastAsia="Times New Roman"/>
                  <w:color w:val="000000"/>
                  <w:sz w:val="20"/>
                  <w:szCs w:val="20"/>
                  <w:u w:val="none"/>
                </w:rPr>
                <w:t>Selected Financial Data</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88" w:history="1">
              <w:r>
                <w:rPr>
                  <w:rStyle w:val="a3"/>
                  <w:rFonts w:eastAsia="Times New Roman"/>
                  <w:color w:val="000000"/>
                  <w:sz w:val="20"/>
                  <w:szCs w:val="20"/>
                  <w:u w:val="none"/>
                </w:rPr>
                <w:t>6</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2131196985"/>
              <w:rPr>
                <w:rFonts w:eastAsia="Times New Roman"/>
              </w:rPr>
            </w:pPr>
            <w:hyperlink w:anchor="id204df94663d4fc396719e5188ae3420_94" w:history="1">
              <w:r>
                <w:rPr>
                  <w:rStyle w:val="a3"/>
                  <w:rFonts w:eastAsia="Times New Roman"/>
                  <w:color w:val="000000"/>
                  <w:sz w:val="20"/>
                  <w:szCs w:val="20"/>
                  <w:u w:val="none"/>
                </w:rPr>
                <w:t>Executive Summary and Business Outlook</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94" w:history="1">
              <w:r>
                <w:rPr>
                  <w:rStyle w:val="a3"/>
                  <w:rFonts w:eastAsia="Times New Roman"/>
                  <w:color w:val="000000"/>
                  <w:sz w:val="20"/>
                  <w:szCs w:val="20"/>
                  <w:u w:val="none"/>
                </w:rPr>
                <w:t>9</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253391676"/>
              <w:rPr>
                <w:rFonts w:eastAsia="Times New Roman"/>
              </w:rPr>
            </w:pPr>
            <w:hyperlink w:anchor="id204df94663d4fc396719e5188ae3420_103" w:history="1">
              <w:r>
                <w:rPr>
                  <w:rStyle w:val="a3"/>
                  <w:rFonts w:eastAsia="Times New Roman"/>
                  <w:color w:val="000000"/>
                  <w:sz w:val="20"/>
                  <w:szCs w:val="20"/>
                  <w:u w:val="none"/>
                </w:rPr>
                <w:t>Consolidated Results of Operations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03" w:history="1">
              <w:r>
                <w:rPr>
                  <w:rStyle w:val="a3"/>
                  <w:rFonts w:eastAsia="Times New Roman"/>
                  <w:color w:val="000000"/>
                  <w:sz w:val="20"/>
                  <w:szCs w:val="20"/>
                  <w:u w:val="none"/>
                </w:rPr>
                <w:t>11</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247543464"/>
              <w:rPr>
                <w:rFonts w:eastAsia="Times New Roman"/>
              </w:rPr>
            </w:pPr>
            <w:hyperlink w:anchor="id204df94663d4fc396719e5188ae3420_127" w:history="1">
              <w:r>
                <w:rPr>
                  <w:rStyle w:val="a3"/>
                  <w:rFonts w:eastAsia="Times New Roman"/>
                  <w:color w:val="000000"/>
                  <w:sz w:val="20"/>
                  <w:szCs w:val="20"/>
                  <w:u w:val="none"/>
                </w:rPr>
                <w:t>Consolidated Balance Sheets Analysis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27" w:history="1">
              <w:r>
                <w:rPr>
                  <w:rStyle w:val="a3"/>
                  <w:rFonts w:eastAsia="Times New Roman"/>
                  <w:color w:val="000000"/>
                  <w:sz w:val="20"/>
                  <w:szCs w:val="20"/>
                  <w:u w:val="none"/>
                </w:rPr>
                <w:t>17</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679310557"/>
              <w:rPr>
                <w:rFonts w:eastAsia="Times New Roman"/>
              </w:rPr>
            </w:pPr>
            <w:hyperlink w:anchor="id204df94663d4fc396719e5188ae3420_145" w:history="1">
              <w:r>
                <w:rPr>
                  <w:rStyle w:val="a3"/>
                  <w:rFonts w:eastAsia="Times New Roman"/>
                  <w:color w:val="000000"/>
                  <w:sz w:val="20"/>
                  <w:szCs w:val="20"/>
                  <w:u w:val="none"/>
                </w:rPr>
                <w:t>Off-Balance Sheet Arrangements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45" w:history="1">
              <w:r>
                <w:rPr>
                  <w:rStyle w:val="a3"/>
                  <w:rFonts w:eastAsia="Times New Roman"/>
                  <w:color w:val="000000"/>
                  <w:sz w:val="20"/>
                  <w:szCs w:val="20"/>
                  <w:u w:val="none"/>
                </w:rPr>
                <w:t>19</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778256400"/>
              <w:rPr>
                <w:rFonts w:eastAsia="Times New Roman"/>
              </w:rPr>
            </w:pPr>
            <w:hyperlink w:anchor="id204df94663d4fc396719e5188ae3420_148" w:history="1">
              <w:r>
                <w:rPr>
                  <w:rStyle w:val="a3"/>
                  <w:rFonts w:eastAsia="Times New Roman"/>
                  <w:color w:val="000000"/>
                  <w:sz w:val="20"/>
                  <w:szCs w:val="20"/>
                  <w:u w:val="none"/>
                </w:rPr>
                <w:t>Business Segment Financial Perform</w:t>
              </w:r>
              <w:r>
                <w:rPr>
                  <w:rStyle w:val="a3"/>
                  <w:rFonts w:eastAsia="Times New Roman"/>
                  <w:color w:val="000000"/>
                  <w:sz w:val="20"/>
                  <w:szCs w:val="20"/>
                  <w:u w:val="none"/>
                </w:rPr>
                <w:t>ance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48" w:history="1">
              <w:r>
                <w:rPr>
                  <w:rStyle w:val="a3"/>
                  <w:rFonts w:eastAsia="Times New Roman"/>
                  <w:color w:val="000000"/>
                  <w:sz w:val="20"/>
                  <w:szCs w:val="20"/>
                  <w:u w:val="none"/>
                </w:rPr>
                <w:t>19</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409886255"/>
              <w:rPr>
                <w:rFonts w:eastAsia="Times New Roman"/>
              </w:rPr>
            </w:pPr>
            <w:hyperlink w:anchor="id204df94663d4fc396719e5188ae3420_169" w:history="1">
              <w:r>
                <w:rPr>
                  <w:rStyle w:val="a3"/>
                  <w:rFonts w:eastAsia="Times New Roman"/>
                  <w:color w:val="000000"/>
                  <w:sz w:val="20"/>
                  <w:szCs w:val="20"/>
                  <w:u w:val="none"/>
                </w:rPr>
                <w:t>Critical Accounting Policies and Estimates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69" w:history="1">
              <w:r>
                <w:rPr>
                  <w:rStyle w:val="a3"/>
                  <w:rFonts w:eastAsia="Times New Roman"/>
                  <w:color w:val="000000"/>
                  <w:sz w:val="20"/>
                  <w:szCs w:val="20"/>
                  <w:u w:val="none"/>
                </w:rPr>
                <w:t>29</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237741703"/>
              <w:rPr>
                <w:rFonts w:eastAsia="Times New Roman"/>
              </w:rPr>
            </w:pPr>
            <w:hyperlink w:anchor="id204df94663d4fc396719e5188ae3420_175" w:history="1">
              <w:r>
                <w:rPr>
                  <w:rStyle w:val="a3"/>
                  <w:rFonts w:eastAsia="Times New Roman"/>
                  <w:color w:val="000000"/>
                  <w:sz w:val="20"/>
                  <w:szCs w:val="20"/>
                  <w:u w:val="none"/>
                </w:rPr>
                <w:t>Accounting Changes and Developments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75" w:history="1">
              <w:r>
                <w:rPr>
                  <w:rStyle w:val="a3"/>
                  <w:rFonts w:eastAsia="Times New Roman"/>
                  <w:color w:val="000000"/>
                  <w:sz w:val="20"/>
                  <w:szCs w:val="20"/>
                  <w:u w:val="none"/>
                </w:rPr>
                <w:t>30</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515850424"/>
              <w:rPr>
                <w:rFonts w:eastAsia="Times New Roman"/>
              </w:rPr>
            </w:pPr>
            <w:hyperlink w:anchor="id204df94663d4fc396719e5188ae3420_178" w:history="1">
              <w:r>
                <w:rPr>
                  <w:rStyle w:val="a3"/>
                  <w:rFonts w:eastAsia="Times New Roman"/>
                  <w:color w:val="000000"/>
                  <w:sz w:val="20"/>
                  <w:szCs w:val="20"/>
                  <w:u w:val="none"/>
                </w:rPr>
                <w:t>Capital Management</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78" w:history="1">
              <w:r>
                <w:rPr>
                  <w:rStyle w:val="a3"/>
                  <w:rFonts w:eastAsia="Times New Roman"/>
                  <w:color w:val="000000"/>
                  <w:sz w:val="20"/>
                  <w:szCs w:val="20"/>
                  <w:u w:val="none"/>
                </w:rPr>
                <w:t>30</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701541440"/>
              <w:rPr>
                <w:rFonts w:eastAsia="Times New Roman"/>
              </w:rPr>
            </w:pPr>
            <w:hyperlink w:anchor="id204df94663d4fc396719e5188ae3420_199" w:history="1">
              <w:r>
                <w:rPr>
                  <w:rStyle w:val="a3"/>
                  <w:rFonts w:eastAsia="Times New Roman"/>
                  <w:color w:val="000000"/>
                  <w:sz w:val="20"/>
                  <w:szCs w:val="20"/>
                  <w:u w:val="none"/>
                </w:rPr>
                <w:t>Risk Management</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99" w:history="1">
              <w:r>
                <w:rPr>
                  <w:rStyle w:val="a3"/>
                  <w:rFonts w:eastAsia="Times New Roman"/>
                  <w:color w:val="000000"/>
                  <w:sz w:val="20"/>
                  <w:szCs w:val="20"/>
                  <w:u w:val="none"/>
                </w:rPr>
                <w:t>36</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690643069"/>
              <w:rPr>
                <w:rFonts w:eastAsia="Times New Roman"/>
              </w:rPr>
            </w:pPr>
            <w:hyperlink w:anchor="id204df94663d4fc396719e5188ae3420_202" w:history="1">
              <w:r>
                <w:rPr>
                  <w:rStyle w:val="a3"/>
                  <w:rFonts w:eastAsia="Times New Roman"/>
                  <w:color w:val="000000"/>
                  <w:sz w:val="20"/>
                  <w:szCs w:val="20"/>
                  <w:u w:val="none"/>
                </w:rPr>
                <w:t>Credit Risk Profile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02" w:history="1">
              <w:r>
                <w:rPr>
                  <w:rStyle w:val="a3"/>
                  <w:rFonts w:eastAsia="Times New Roman"/>
                  <w:color w:val="000000"/>
                  <w:sz w:val="20"/>
                  <w:szCs w:val="20"/>
                  <w:u w:val="none"/>
                </w:rPr>
                <w:t>37</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283538125"/>
              <w:rPr>
                <w:rFonts w:eastAsia="Times New Roman"/>
              </w:rPr>
            </w:pPr>
            <w:hyperlink w:anchor="id204df94663d4fc396719e5188ae3420_256" w:history="1">
              <w:r>
                <w:rPr>
                  <w:rStyle w:val="a3"/>
                  <w:rFonts w:eastAsia="Times New Roman"/>
                  <w:color w:val="000000"/>
                  <w:sz w:val="20"/>
                  <w:szCs w:val="20"/>
                  <w:u w:val="none"/>
                </w:rPr>
                <w:t>Liquidity Risk Profile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56" w:history="1">
              <w:r>
                <w:rPr>
                  <w:rStyle w:val="a3"/>
                  <w:rFonts w:eastAsia="Times New Roman"/>
                  <w:color w:val="000000"/>
                  <w:sz w:val="20"/>
                  <w:szCs w:val="20"/>
                  <w:u w:val="none"/>
                </w:rPr>
                <w:t>50</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687683423"/>
              <w:rPr>
                <w:rFonts w:eastAsia="Times New Roman"/>
              </w:rPr>
            </w:pPr>
            <w:hyperlink w:anchor="id204df94663d4fc396719e5188ae3420_286" w:history="1">
              <w:r>
                <w:rPr>
                  <w:rStyle w:val="a3"/>
                  <w:rFonts w:eastAsia="Times New Roman"/>
                  <w:color w:val="000000"/>
                  <w:sz w:val="20"/>
                  <w:szCs w:val="20"/>
                  <w:u w:val="none"/>
                </w:rPr>
                <w:t>Market Risk Profile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86" w:history="1">
              <w:r>
                <w:rPr>
                  <w:rStyle w:val="a3"/>
                  <w:rFonts w:eastAsia="Times New Roman"/>
                  <w:color w:val="000000"/>
                  <w:sz w:val="20"/>
                  <w:szCs w:val="20"/>
                  <w:u w:val="none"/>
                </w:rPr>
                <w:t>53</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380740806"/>
              <w:rPr>
                <w:rFonts w:eastAsia="Times New Roman"/>
              </w:rPr>
            </w:pPr>
            <w:hyperlink w:anchor="id204df94663d4fc396719e5188ae3420_295" w:history="1">
              <w:r>
                <w:rPr>
                  <w:rStyle w:val="a3"/>
                  <w:rFonts w:eastAsia="Times New Roman"/>
                  <w:color w:val="000000"/>
                  <w:sz w:val="20"/>
                  <w:szCs w:val="20"/>
                  <w:u w:val="none"/>
                </w:rPr>
                <w:t>Supervision and Regulation</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95" w:history="1">
              <w:r>
                <w:rPr>
                  <w:rStyle w:val="a3"/>
                  <w:rFonts w:eastAsia="Times New Roman"/>
                  <w:color w:val="000000"/>
                  <w:sz w:val="20"/>
                  <w:szCs w:val="20"/>
                  <w:u w:val="none"/>
                </w:rPr>
                <w:t>57</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274551594"/>
              <w:rPr>
                <w:rFonts w:eastAsia="Times New Roman"/>
              </w:rPr>
            </w:pPr>
            <w:hyperlink w:anchor="id204df94663d4fc396719e5188ae3420_298" w:history="1">
              <w:r>
                <w:rPr>
                  <w:rStyle w:val="a3"/>
                  <w:rFonts w:eastAsia="Times New Roman"/>
                  <w:color w:val="000000"/>
                  <w:sz w:val="20"/>
                  <w:szCs w:val="20"/>
                  <w:u w:val="none"/>
                </w:rPr>
                <w:t>Forward-Looking Statements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98" w:history="1">
              <w:r>
                <w:rPr>
                  <w:rStyle w:val="a3"/>
                  <w:rFonts w:eastAsia="Times New Roman"/>
                  <w:color w:val="000000"/>
                  <w:sz w:val="20"/>
                  <w:szCs w:val="20"/>
                  <w:u w:val="none"/>
                </w:rPr>
                <w:t>58</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1686053211"/>
              <w:rPr>
                <w:rFonts w:eastAsia="Times New Roman"/>
              </w:rPr>
            </w:pPr>
            <w:hyperlink w:anchor="id204df94663d4fc396719e5188ae3420_301" w:history="1">
              <w:r>
                <w:rPr>
                  <w:rStyle w:val="a3"/>
                  <w:rFonts w:eastAsia="Times New Roman"/>
                  <w:color w:val="000000"/>
                  <w:sz w:val="20"/>
                  <w:szCs w:val="20"/>
                  <w:u w:val="none"/>
                </w:rPr>
                <w:t>Supplemental Table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01" w:history="1">
              <w:r>
                <w:rPr>
                  <w:rStyle w:val="a3"/>
                  <w:rFonts w:eastAsia="Times New Roman"/>
                  <w:color w:val="000000"/>
                  <w:sz w:val="20"/>
                  <w:szCs w:val="20"/>
                  <w:u w:val="none"/>
                </w:rPr>
                <w:t>60</w:t>
              </w:r>
            </w:hyperlink>
          </w:p>
        </w:tc>
      </w:tr>
      <w:tr w:rsidR="00000000">
        <w:trPr>
          <w:divId w:val="163533177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divId w:val="924538998"/>
              <w:rPr>
                <w:rFonts w:eastAsia="Times New Roman"/>
              </w:rPr>
            </w:pPr>
            <w:hyperlink w:anchor="id204df94663d4fc396719e5188ae3420_325" w:history="1">
              <w:r>
                <w:rPr>
                  <w:rStyle w:val="a3"/>
                  <w:rFonts w:eastAsia="Times New Roman"/>
                  <w:color w:val="000000"/>
                  <w:sz w:val="20"/>
                  <w:szCs w:val="20"/>
                  <w:u w:val="none"/>
                </w:rPr>
                <w:t>Glossary and Acronyms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25" w:history="1">
              <w:r>
                <w:rPr>
                  <w:rStyle w:val="a3"/>
                  <w:rFonts w:eastAsia="Times New Roman"/>
                  <w:color w:val="000000"/>
                  <w:sz w:val="20"/>
                  <w:szCs w:val="20"/>
                  <w:u w:val="none"/>
                </w:rPr>
                <w:t>61</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26" style="width:0;height:1.5pt" o:hralign="center" o:hrstd="t" o:hr="t" fillcolor="#a0a0a0" stroked="f"/>
        </w:pict>
      </w:r>
    </w:p>
    <w:p w:rsidR="00000000" w:rsidRDefault="00AF3814">
      <w:pPr>
        <w:jc w:val="both"/>
        <w:divId w:val="34216932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4"/>
        <w:gridCol w:w="569"/>
        <w:gridCol w:w="37"/>
        <w:gridCol w:w="69"/>
        <w:gridCol w:w="6842"/>
        <w:gridCol w:w="36"/>
        <w:gridCol w:w="69"/>
        <w:gridCol w:w="574"/>
        <w:gridCol w:w="36"/>
      </w:tblGrid>
      <w:tr w:rsidR="00000000">
        <w:trPr>
          <w:divId w:val="1860846955"/>
        </w:trPr>
        <w:tc>
          <w:tcPr>
            <w:tcW w:w="50" w:type="pct"/>
            <w:vAlign w:val="center"/>
            <w:hideMark/>
          </w:tcPr>
          <w:p w:rsidR="00000000" w:rsidRDefault="00AF3814">
            <w:pPr>
              <w:jc w:val="both"/>
              <w:rPr>
                <w:rFonts w:eastAsia="Times New Roman"/>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tcMar>
              <w:top w:w="30" w:type="dxa"/>
              <w:left w:w="20" w:type="dxa"/>
              <w:bottom w:w="30" w:type="dxa"/>
              <w:right w:w="20" w:type="dxa"/>
            </w:tcMar>
            <w:vAlign w:val="center"/>
            <w:hideMark/>
          </w:tcPr>
          <w:p w:rsidR="00000000" w:rsidRDefault="00AF3814">
            <w:pPr>
              <w:spacing w:after="100"/>
              <w:divId w:val="983779583"/>
              <w:rPr>
                <w:rFonts w:eastAsia="Times New Roman"/>
              </w:rPr>
            </w:pPr>
            <w:hyperlink w:anchor="id204df94663d4fc396719e5188ae3420_457"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AF3814">
            <w:pPr>
              <w:spacing w:after="100"/>
              <w:divId w:val="169031985"/>
              <w:rPr>
                <w:rFonts w:eastAsia="Times New Roman"/>
              </w:rPr>
            </w:pPr>
            <w:hyperlink w:anchor="id204df94663d4fc396719e5188ae3420_457" w:history="1">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57" w:history="1">
              <w:r>
                <w:rPr>
                  <w:rStyle w:val="a3"/>
                  <w:rFonts w:eastAsia="Times New Roman"/>
                  <w:color w:val="000000"/>
                  <w:sz w:val="20"/>
                  <w:szCs w:val="20"/>
                  <w:u w:val="none"/>
                </w:rPr>
                <w:t>129</w:t>
              </w:r>
            </w:hyperlink>
          </w:p>
        </w:tc>
      </w:tr>
      <w:tr w:rsidR="00000000">
        <w:trPr>
          <w:divId w:val="1860846955"/>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tcMar>
              <w:top w:w="30" w:type="dxa"/>
              <w:left w:w="20" w:type="dxa"/>
              <w:bottom w:w="30" w:type="dxa"/>
              <w:right w:w="20" w:type="dxa"/>
            </w:tcMar>
            <w:vAlign w:val="center"/>
            <w:hideMark/>
          </w:tcPr>
          <w:p w:rsidR="00000000" w:rsidRDefault="00AF3814">
            <w:pPr>
              <w:spacing w:after="100"/>
              <w:divId w:val="492990622"/>
              <w:rPr>
                <w:rFonts w:eastAsia="Times New Roman"/>
              </w:rPr>
            </w:pPr>
            <w:hyperlink w:anchor="id204df94663d4fc396719e5188ae3420_460"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AF3814">
            <w:pPr>
              <w:spacing w:after="100"/>
              <w:divId w:val="2006081100"/>
              <w:rPr>
                <w:rFonts w:eastAsia="Times New Roman"/>
              </w:rPr>
            </w:pPr>
            <w:hyperlink w:anchor="id204df94663d4fc396719e5188ae3420_460" w:history="1">
              <w:r>
                <w:rPr>
                  <w:rStyle w:val="a3"/>
                  <w:rFonts w:eastAsia="Times New Roman"/>
                  <w:color w:val="000000"/>
                  <w:sz w:val="20"/>
                  <w:szCs w:val="20"/>
                  <w:u w:val="none"/>
                </w:rPr>
                <w:t>Controls and Procedures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60" w:history="1">
              <w:r>
                <w:rPr>
                  <w:rStyle w:val="a3"/>
                  <w:rFonts w:eastAsia="Times New Roman"/>
                  <w:color w:val="000000"/>
                  <w:sz w:val="20"/>
                  <w:szCs w:val="20"/>
                  <w:u w:val="none"/>
                </w:rPr>
                <w:t>129</w:t>
              </w:r>
            </w:hyperlink>
          </w:p>
        </w:tc>
      </w:tr>
      <w:tr w:rsidR="00000000">
        <w:trPr>
          <w:divId w:val="1860846955"/>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Height w:val="28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60846955"/>
        </w:trPr>
        <w:tc>
          <w:tcPr>
            <w:tcW w:w="0" w:type="auto"/>
            <w:gridSpan w:val="6"/>
            <w:tcMar>
              <w:top w:w="30" w:type="dxa"/>
              <w:left w:w="20" w:type="dxa"/>
              <w:bottom w:w="30" w:type="dxa"/>
              <w:right w:w="20" w:type="dxa"/>
            </w:tcMar>
            <w:vAlign w:val="bottom"/>
            <w:hideMark/>
          </w:tcPr>
          <w:p w:rsidR="00000000" w:rsidRDefault="00AF3814">
            <w:pPr>
              <w:spacing w:after="100"/>
              <w:divId w:val="581648593"/>
              <w:rPr>
                <w:rFonts w:eastAsia="Times New Roman"/>
              </w:rPr>
            </w:pPr>
            <w:hyperlink w:anchor="id204df94663d4fc396719e5188ae3420_463" w:history="1">
              <w:r>
                <w:rPr>
                  <w:rStyle w:val="a3"/>
                  <w:rFonts w:eastAsia="Times New Roman"/>
                  <w:b/>
                  <w:bCs/>
                  <w:color w:val="000000"/>
                  <w:sz w:val="20"/>
                  <w:szCs w:val="20"/>
                  <w:u w:val="none"/>
                </w:rPr>
                <w:t>PART II—OTHER INFORMATION</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63" w:history="1">
              <w:r>
                <w:rPr>
                  <w:rStyle w:val="a3"/>
                  <w:rFonts w:eastAsia="Times New Roman"/>
                  <w:b/>
                  <w:bCs/>
                  <w:color w:val="000000"/>
                  <w:sz w:val="20"/>
                  <w:szCs w:val="20"/>
                  <w:u w:val="none"/>
                </w:rPr>
                <w:t>130</w:t>
              </w:r>
            </w:hyperlink>
          </w:p>
        </w:tc>
      </w:tr>
      <w:tr w:rsidR="00000000">
        <w:trPr>
          <w:divId w:val="1860846955"/>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tcMar>
              <w:top w:w="30" w:type="dxa"/>
              <w:left w:w="20" w:type="dxa"/>
              <w:bottom w:w="30" w:type="dxa"/>
              <w:right w:w="20" w:type="dxa"/>
            </w:tcMar>
            <w:vAlign w:val="center"/>
            <w:hideMark/>
          </w:tcPr>
          <w:p w:rsidR="00000000" w:rsidRDefault="00AF3814">
            <w:pPr>
              <w:spacing w:after="100"/>
              <w:divId w:val="533737803"/>
              <w:rPr>
                <w:rFonts w:eastAsia="Times New Roman"/>
              </w:rPr>
            </w:pPr>
            <w:hyperlink w:anchor="id204df94663d4fc396719e5188ae3420_466"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AF3814">
            <w:pPr>
              <w:spacing w:after="100"/>
              <w:divId w:val="581842459"/>
              <w:rPr>
                <w:rFonts w:eastAsia="Times New Roman"/>
              </w:rPr>
            </w:pPr>
            <w:hyperlink w:anchor="id204df94663d4fc396719e5188ae3420_466"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66" w:history="1">
              <w:r>
                <w:rPr>
                  <w:rStyle w:val="a3"/>
                  <w:rFonts w:eastAsia="Times New Roman"/>
                  <w:color w:val="000000"/>
                  <w:sz w:val="20"/>
                  <w:szCs w:val="20"/>
                  <w:u w:val="none"/>
                </w:rPr>
                <w:t>130</w:t>
              </w:r>
            </w:hyperlink>
          </w:p>
        </w:tc>
      </w:tr>
      <w:tr w:rsidR="00000000">
        <w:trPr>
          <w:divId w:val="1860846955"/>
        </w:trPr>
        <w:tc>
          <w:tcPr>
            <w:tcW w:w="0" w:type="auto"/>
            <w:gridSpan w:val="3"/>
            <w:tcMar>
              <w:top w:w="30" w:type="dxa"/>
              <w:left w:w="20" w:type="dxa"/>
              <w:bottom w:w="30" w:type="dxa"/>
              <w:right w:w="20" w:type="dxa"/>
            </w:tcMar>
            <w:vAlign w:val="center"/>
            <w:hideMark/>
          </w:tcPr>
          <w:p w:rsidR="00000000" w:rsidRDefault="00AF3814">
            <w:pPr>
              <w:spacing w:after="100"/>
              <w:divId w:val="1295017320"/>
              <w:rPr>
                <w:rFonts w:eastAsia="Times New Roman"/>
              </w:rPr>
            </w:pPr>
            <w:hyperlink w:anchor="id204df94663d4fc396719e5188ae3420_469"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AF3814">
            <w:pPr>
              <w:spacing w:after="100"/>
              <w:divId w:val="1869639927"/>
              <w:rPr>
                <w:rFonts w:eastAsia="Times New Roman"/>
              </w:rPr>
            </w:pPr>
            <w:hyperlink w:anchor="id204df94663d4fc396719e5188ae3420_469"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69" w:history="1">
              <w:r>
                <w:rPr>
                  <w:rStyle w:val="a3"/>
                  <w:rFonts w:eastAsia="Times New Roman"/>
                  <w:color w:val="000000"/>
                  <w:sz w:val="20"/>
                  <w:szCs w:val="20"/>
                  <w:u w:val="none"/>
                </w:rPr>
                <w:t>130</w:t>
              </w:r>
            </w:hyperlink>
          </w:p>
        </w:tc>
      </w:tr>
      <w:tr w:rsidR="00000000">
        <w:trPr>
          <w:divId w:val="1860846955"/>
        </w:trPr>
        <w:tc>
          <w:tcPr>
            <w:tcW w:w="0" w:type="auto"/>
            <w:gridSpan w:val="3"/>
            <w:tcMar>
              <w:top w:w="30" w:type="dxa"/>
              <w:left w:w="20" w:type="dxa"/>
              <w:bottom w:w="30" w:type="dxa"/>
              <w:right w:w="20" w:type="dxa"/>
            </w:tcMar>
            <w:vAlign w:val="center"/>
            <w:hideMark/>
          </w:tcPr>
          <w:p w:rsidR="00000000" w:rsidRDefault="00AF3814">
            <w:pPr>
              <w:spacing w:after="100"/>
              <w:divId w:val="1387026112"/>
              <w:rPr>
                <w:rFonts w:eastAsia="Times New Roman"/>
              </w:rPr>
            </w:pPr>
            <w:hyperlink w:anchor="id204df94663d4fc396719e5188ae3420_472"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AF3814">
            <w:pPr>
              <w:spacing w:after="100"/>
              <w:divId w:val="566649445"/>
              <w:rPr>
                <w:rFonts w:eastAsia="Times New Roman"/>
              </w:rPr>
            </w:pPr>
            <w:hyperlink w:anchor="id204df94663d4fc396719e5188ae3420_472" w:history="1">
              <w:r>
                <w:rPr>
                  <w:rStyle w:val="a3"/>
                  <w:rFonts w:eastAsia="Times New Roman"/>
                  <w:color w:val="000000"/>
                  <w:sz w:val="20"/>
                  <w:szCs w:val="20"/>
                  <w:u w:val="none"/>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72" w:history="1">
              <w:r>
                <w:rPr>
                  <w:rStyle w:val="a3"/>
                  <w:rFonts w:eastAsia="Times New Roman"/>
                  <w:color w:val="000000"/>
                  <w:sz w:val="20"/>
                  <w:szCs w:val="20"/>
                  <w:u w:val="none"/>
                </w:rPr>
                <w:t>130</w:t>
              </w:r>
            </w:hyperlink>
          </w:p>
        </w:tc>
      </w:tr>
      <w:tr w:rsidR="00000000">
        <w:trPr>
          <w:divId w:val="1860846955"/>
        </w:trPr>
        <w:tc>
          <w:tcPr>
            <w:tcW w:w="0" w:type="auto"/>
            <w:gridSpan w:val="3"/>
            <w:tcMar>
              <w:top w:w="30" w:type="dxa"/>
              <w:left w:w="20" w:type="dxa"/>
              <w:bottom w:w="30" w:type="dxa"/>
              <w:right w:w="20" w:type="dxa"/>
            </w:tcMar>
            <w:vAlign w:val="center"/>
            <w:hideMark/>
          </w:tcPr>
          <w:p w:rsidR="00000000" w:rsidRDefault="00AF3814">
            <w:pPr>
              <w:spacing w:after="100"/>
              <w:divId w:val="1721126288"/>
              <w:rPr>
                <w:rFonts w:eastAsia="Times New Roman"/>
              </w:rPr>
            </w:pPr>
            <w:hyperlink w:anchor="id204df94663d4fc396719e5188ae3420_475"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AF3814">
            <w:pPr>
              <w:spacing w:after="100"/>
              <w:divId w:val="879977119"/>
              <w:rPr>
                <w:rFonts w:eastAsia="Times New Roman"/>
              </w:rPr>
            </w:pPr>
            <w:hyperlink w:anchor="id204df94663d4fc396719e5188ae3420_475" w:history="1">
              <w:r>
                <w:rPr>
                  <w:rStyle w:val="a3"/>
                  <w:rFonts w:eastAsia="Times New Roman"/>
                  <w:color w:val="000000"/>
                  <w:sz w:val="20"/>
                  <w:szCs w:val="20"/>
                  <w:u w:val="none"/>
                </w:rPr>
                <w:t>Defaults Upon Senior Securities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75" w:history="1">
              <w:r>
                <w:rPr>
                  <w:rStyle w:val="a3"/>
                  <w:rFonts w:eastAsia="Times New Roman"/>
                  <w:color w:val="000000"/>
                  <w:sz w:val="20"/>
                  <w:szCs w:val="20"/>
                  <w:u w:val="none"/>
                </w:rPr>
                <w:t>130</w:t>
              </w:r>
            </w:hyperlink>
          </w:p>
        </w:tc>
      </w:tr>
      <w:tr w:rsidR="00000000">
        <w:trPr>
          <w:divId w:val="1860846955"/>
        </w:trPr>
        <w:tc>
          <w:tcPr>
            <w:tcW w:w="0" w:type="auto"/>
            <w:gridSpan w:val="3"/>
            <w:tcMar>
              <w:top w:w="30" w:type="dxa"/>
              <w:left w:w="20" w:type="dxa"/>
              <w:bottom w:w="30" w:type="dxa"/>
              <w:right w:w="20" w:type="dxa"/>
            </w:tcMar>
            <w:vAlign w:val="center"/>
            <w:hideMark/>
          </w:tcPr>
          <w:p w:rsidR="00000000" w:rsidRDefault="00AF3814">
            <w:pPr>
              <w:spacing w:after="100"/>
              <w:divId w:val="609898147"/>
              <w:rPr>
                <w:rFonts w:eastAsia="Times New Roman"/>
              </w:rPr>
            </w:pPr>
            <w:hyperlink w:anchor="id204df94663d4fc396719e5188ae3420_478"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AF3814">
            <w:pPr>
              <w:spacing w:after="100"/>
              <w:divId w:val="1356931359"/>
              <w:rPr>
                <w:rFonts w:eastAsia="Times New Roman"/>
              </w:rPr>
            </w:pPr>
            <w:hyperlink w:anchor="id204df94663d4fc396719e5188ae3420_478"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78" w:history="1">
              <w:r>
                <w:rPr>
                  <w:rStyle w:val="a3"/>
                  <w:rFonts w:eastAsia="Times New Roman"/>
                  <w:color w:val="000000"/>
                  <w:sz w:val="20"/>
                  <w:szCs w:val="20"/>
                  <w:u w:val="none"/>
                </w:rPr>
                <w:t>130</w:t>
              </w:r>
            </w:hyperlink>
          </w:p>
        </w:tc>
      </w:tr>
      <w:tr w:rsidR="00000000">
        <w:trPr>
          <w:divId w:val="1860846955"/>
        </w:trPr>
        <w:tc>
          <w:tcPr>
            <w:tcW w:w="0" w:type="auto"/>
            <w:gridSpan w:val="3"/>
            <w:tcMar>
              <w:top w:w="30" w:type="dxa"/>
              <w:left w:w="20" w:type="dxa"/>
              <w:bottom w:w="30" w:type="dxa"/>
              <w:right w:w="20" w:type="dxa"/>
            </w:tcMar>
            <w:vAlign w:val="center"/>
            <w:hideMark/>
          </w:tcPr>
          <w:p w:rsidR="00000000" w:rsidRDefault="00AF3814">
            <w:pPr>
              <w:spacing w:after="100"/>
              <w:divId w:val="655033669"/>
              <w:rPr>
                <w:rFonts w:eastAsia="Times New Roman"/>
              </w:rPr>
            </w:pPr>
            <w:hyperlink w:anchor="id204df94663d4fc396719e5188ae3420_481"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AF3814">
            <w:pPr>
              <w:spacing w:after="100"/>
              <w:divId w:val="966663090"/>
              <w:rPr>
                <w:rFonts w:eastAsia="Times New Roman"/>
              </w:rPr>
            </w:pPr>
            <w:hyperlink w:anchor="id204df94663d4fc396719e5188ae3420_481" w:history="1">
              <w:r>
                <w:rPr>
                  <w:rStyle w:val="a3"/>
                  <w:rFonts w:eastAsia="Times New Roman"/>
                  <w:color w:val="000000"/>
                  <w:sz w:val="20"/>
                  <w:szCs w:val="20"/>
                  <w:u w:val="none"/>
                </w:rPr>
                <w:t>Other Information</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81" w:history="1">
              <w:r>
                <w:rPr>
                  <w:rStyle w:val="a3"/>
                  <w:rFonts w:eastAsia="Times New Roman"/>
                  <w:color w:val="000000"/>
                  <w:sz w:val="20"/>
                  <w:szCs w:val="20"/>
                  <w:u w:val="none"/>
                </w:rPr>
                <w:t>130</w:t>
              </w:r>
            </w:hyperlink>
          </w:p>
        </w:tc>
      </w:tr>
      <w:tr w:rsidR="00000000">
        <w:trPr>
          <w:divId w:val="1860846955"/>
        </w:trPr>
        <w:tc>
          <w:tcPr>
            <w:tcW w:w="0" w:type="auto"/>
            <w:gridSpan w:val="3"/>
            <w:tcMar>
              <w:top w:w="30" w:type="dxa"/>
              <w:left w:w="20" w:type="dxa"/>
              <w:bottom w:w="30" w:type="dxa"/>
              <w:right w:w="20" w:type="dxa"/>
            </w:tcMar>
            <w:vAlign w:val="center"/>
            <w:hideMark/>
          </w:tcPr>
          <w:p w:rsidR="00000000" w:rsidRDefault="00AF3814">
            <w:pPr>
              <w:spacing w:after="100"/>
              <w:divId w:val="379594186"/>
              <w:rPr>
                <w:rFonts w:eastAsia="Times New Roman"/>
              </w:rPr>
            </w:pPr>
            <w:hyperlink w:anchor="id204df94663d4fc396719e5188ae3420_484"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AF3814">
            <w:pPr>
              <w:spacing w:after="100"/>
              <w:divId w:val="946817516"/>
              <w:rPr>
                <w:rFonts w:eastAsia="Times New Roman"/>
              </w:rPr>
            </w:pPr>
            <w:hyperlink w:anchor="id204df94663d4fc396719e5188ae3420_484" w:history="1">
              <w:r>
                <w:rPr>
                  <w:rStyle w:val="a3"/>
                  <w:rFonts w:eastAsia="Times New Roman"/>
                  <w:color w:val="000000"/>
                  <w:sz w:val="20"/>
                  <w:szCs w:val="20"/>
                  <w:u w:val="none"/>
                </w:rPr>
                <w:t>Exhibits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484" w:history="1">
              <w:r>
                <w:rPr>
                  <w:rStyle w:val="a3"/>
                  <w:rFonts w:eastAsia="Times New Roman"/>
                  <w:color w:val="000000"/>
                  <w:sz w:val="20"/>
                  <w:szCs w:val="20"/>
                  <w:u w:val="none"/>
                </w:rPr>
                <w:t>130</w:t>
              </w:r>
            </w:hyperlink>
          </w:p>
        </w:tc>
      </w:tr>
      <w:tr w:rsidR="00000000">
        <w:trPr>
          <w:divId w:val="1860846955"/>
          <w:trHeight w:val="28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60846955"/>
        </w:trPr>
        <w:tc>
          <w:tcPr>
            <w:tcW w:w="0" w:type="auto"/>
            <w:gridSpan w:val="6"/>
            <w:tcMar>
              <w:top w:w="30" w:type="dxa"/>
              <w:left w:w="20" w:type="dxa"/>
              <w:bottom w:w="30" w:type="dxa"/>
              <w:right w:w="20" w:type="dxa"/>
            </w:tcMar>
            <w:hideMark/>
          </w:tcPr>
          <w:p w:rsidR="00000000" w:rsidRDefault="00AF3814">
            <w:pPr>
              <w:spacing w:after="100"/>
              <w:divId w:val="119693090"/>
              <w:rPr>
                <w:rFonts w:eastAsia="Times New Roman"/>
              </w:rPr>
            </w:pPr>
            <w:hyperlink w:anchor="id204df94663d4fc396719e5188ae3420_511" w:history="1">
              <w:r>
                <w:rPr>
                  <w:rStyle w:val="a3"/>
                  <w:rFonts w:eastAsia="Times New Roman"/>
                  <w:b/>
                  <w:bCs/>
                  <w:color w:val="000000"/>
                  <w:sz w:val="20"/>
                  <w:szCs w:val="20"/>
                  <w:u w:val="none"/>
                </w:rPr>
                <w:t>EXHIBIT INDEX</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511" w:history="1">
              <w:r>
                <w:rPr>
                  <w:rStyle w:val="a3"/>
                  <w:rFonts w:eastAsia="Times New Roman"/>
                  <w:b/>
                  <w:bCs/>
                  <w:color w:val="000000"/>
                  <w:sz w:val="20"/>
                  <w:szCs w:val="20"/>
                  <w:u w:val="none"/>
                </w:rPr>
                <w:t>131</w:t>
              </w:r>
            </w:hyperlink>
          </w:p>
        </w:tc>
      </w:tr>
      <w:tr w:rsidR="00000000">
        <w:trPr>
          <w:divId w:val="1860846955"/>
        </w:trPr>
        <w:tc>
          <w:tcPr>
            <w:tcW w:w="0" w:type="auto"/>
            <w:gridSpan w:val="6"/>
            <w:tcMar>
              <w:top w:w="30" w:type="dxa"/>
              <w:left w:w="20" w:type="dxa"/>
              <w:bottom w:w="30" w:type="dxa"/>
              <w:right w:w="20" w:type="dxa"/>
            </w:tcMar>
            <w:hideMark/>
          </w:tcPr>
          <w:p w:rsidR="00000000" w:rsidRDefault="00AF3814">
            <w:pPr>
              <w:spacing w:after="100"/>
              <w:divId w:val="1046872728"/>
              <w:rPr>
                <w:rFonts w:eastAsia="Times New Roman"/>
              </w:rPr>
            </w:pPr>
            <w:hyperlink w:anchor="id204df94663d4fc396719e5188ae3420_514" w:history="1">
              <w:r>
                <w:rPr>
                  <w:rStyle w:val="a3"/>
                  <w:rFonts w:eastAsia="Times New Roman"/>
                  <w:b/>
                  <w:bCs/>
                  <w:color w:val="000000"/>
                  <w:sz w:val="20"/>
                  <w:szCs w:val="20"/>
                  <w:u w:val="none"/>
                </w:rPr>
                <w:t>SIGNATURES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514" w:history="1">
              <w:r>
                <w:rPr>
                  <w:rStyle w:val="a3"/>
                  <w:rFonts w:eastAsia="Times New Roman"/>
                  <w:b/>
                  <w:bCs/>
                  <w:color w:val="000000"/>
                  <w:sz w:val="20"/>
                  <w:szCs w:val="20"/>
                  <w:u w:val="none"/>
                </w:rPr>
                <w:t>132</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27" style="width:0;height:1.5pt" o:hralign="center" o:hrstd="t" o:hr="t" fillcolor="#a0a0a0" stroked="f"/>
        </w:pict>
      </w:r>
    </w:p>
    <w:p w:rsidR="00000000" w:rsidRDefault="00AF3814">
      <w:pPr>
        <w:jc w:val="both"/>
        <w:divId w:val="1893153091"/>
        <w:rPr>
          <w:rFonts w:eastAsia="Times New Roman"/>
        </w:rPr>
      </w:pPr>
    </w:p>
    <w:p w:rsidR="00000000" w:rsidRDefault="00AF3814">
      <w:pPr>
        <w:jc w:val="center"/>
        <w:divId w:val="1967850055"/>
        <w:rPr>
          <w:rFonts w:eastAsia="Times New Roman"/>
        </w:rPr>
      </w:pPr>
      <w:r>
        <w:rPr>
          <w:rFonts w:eastAsia="Times New Roman"/>
          <w:b/>
          <w:bCs/>
          <w:color w:val="000000"/>
          <w:sz w:val="20"/>
          <w:szCs w:val="20"/>
        </w:rPr>
        <w:t>INDEX OF MD&amp;A AND SUPPLEMENTAL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08"/>
        <w:gridCol w:w="39"/>
        <w:gridCol w:w="68"/>
        <w:gridCol w:w="6965"/>
        <w:gridCol w:w="39"/>
        <w:gridCol w:w="73"/>
        <w:gridCol w:w="410"/>
        <w:gridCol w:w="36"/>
      </w:tblGrid>
      <w:tr w:rsidR="00000000">
        <w:trPr>
          <w:divId w:val="2001106981"/>
          <w:jc w:val="center"/>
        </w:trPr>
        <w:tc>
          <w:tcPr>
            <w:tcW w:w="50" w:type="pct"/>
            <w:vAlign w:val="center"/>
            <w:hideMark/>
          </w:tcPr>
          <w:p w:rsidR="00000000" w:rsidRDefault="00AF3814">
            <w:pPr>
              <w:jc w:val="center"/>
              <w:rPr>
                <w:rFonts w:eastAsia="Times New Roman"/>
              </w:rPr>
            </w:pPr>
          </w:p>
        </w:tc>
        <w:tc>
          <w:tcPr>
            <w:tcW w:w="37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5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6"/>
            <w:tcMar>
              <w:top w:w="30" w:type="dxa"/>
              <w:left w:w="20" w:type="dxa"/>
              <w:bottom w:w="30" w:type="dxa"/>
              <w:right w:w="20" w:type="dxa"/>
            </w:tcMar>
            <w:vAlign w:val="bottom"/>
            <w:hideMark/>
          </w:tcPr>
          <w:p w:rsidR="00000000" w:rsidRDefault="00AF3814">
            <w:pPr>
              <w:spacing w:after="100"/>
              <w:divId w:val="1967731258"/>
              <w:rPr>
                <w:rFonts w:eastAsia="Times New Roman"/>
              </w:rPr>
            </w:pPr>
            <w:hyperlink w:anchor="id204df94663d4fc396719e5188ae3420_76" w:history="1">
              <w:r>
                <w:rPr>
                  <w:rStyle w:val="a3"/>
                  <w:rFonts w:eastAsia="Times New Roman"/>
                  <w:b/>
                  <w:bCs/>
                  <w:color w:val="000000"/>
                  <w:sz w:val="20"/>
                  <w:szCs w:val="20"/>
                  <w:u w:val="none"/>
                </w:rPr>
                <w:t>MD&amp;A Tables: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20"/>
                <w:szCs w:val="20"/>
              </w:rPr>
              <w:t>Page</w:t>
            </w:r>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AF3814">
            <w:pPr>
              <w:spacing w:after="100"/>
              <w:divId w:val="1853258864"/>
              <w:rPr>
                <w:rFonts w:eastAsia="Times New Roman"/>
              </w:rPr>
            </w:pPr>
            <w:hyperlink w:anchor="id204df94663d4fc396719e5188ae3420_91" w:history="1">
              <w:r>
                <w:rPr>
                  <w:rStyle w:val="a3"/>
                  <w:rFonts w:eastAsia="Times New Roman"/>
                  <w:color w:val="000000"/>
                  <w:sz w:val="20"/>
                  <w:szCs w:val="20"/>
                  <w:u w:val="none"/>
                </w:rPr>
                <w:t>Consolidated Financial Highlights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91" w:history="1">
              <w:r>
                <w:rPr>
                  <w:rStyle w:val="a3"/>
                  <w:rFonts w:eastAsia="Times New Roman"/>
                  <w:color w:val="000000"/>
                  <w:sz w:val="20"/>
                  <w:szCs w:val="20"/>
                  <w:u w:val="none"/>
                </w:rPr>
                <w:t>6</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AF3814">
            <w:pPr>
              <w:spacing w:after="100"/>
              <w:divId w:val="2078477243"/>
              <w:rPr>
                <w:rFonts w:eastAsia="Times New Roman"/>
              </w:rPr>
            </w:pPr>
            <w:hyperlink w:anchor="id204df94663d4fc396719e5188ae3420_109" w:history="1">
              <w:r>
                <w:rPr>
                  <w:rStyle w:val="a3"/>
                  <w:rFonts w:eastAsia="Times New Roman"/>
                  <w:color w:val="000000"/>
                  <w:sz w:val="20"/>
                  <w:szCs w:val="20"/>
                  <w:u w:val="none"/>
                </w:rPr>
                <w:t>Average Balances, Net Interest Income and Net Interest Margin</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09" w:history="1">
              <w:r>
                <w:rPr>
                  <w:rStyle w:val="a3"/>
                  <w:rFonts w:eastAsia="Times New Roman"/>
                  <w:color w:val="000000"/>
                  <w:sz w:val="20"/>
                  <w:szCs w:val="20"/>
                  <w:u w:val="none"/>
                </w:rPr>
                <w:t>11</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AF3814">
            <w:pPr>
              <w:spacing w:after="100"/>
              <w:divId w:val="223639843"/>
              <w:rPr>
                <w:rFonts w:eastAsia="Times New Roman"/>
              </w:rPr>
            </w:pPr>
            <w:hyperlink w:anchor="id204df94663d4fc396719e5188ae3420_112" w:history="1">
              <w:r>
                <w:rPr>
                  <w:rStyle w:val="a3"/>
                  <w:rFonts w:eastAsia="Times New Roman"/>
                  <w:color w:val="000000"/>
                  <w:sz w:val="20"/>
                  <w:szCs w:val="20"/>
                  <w:u w:val="none"/>
                </w:rPr>
                <w:t>Ra</w:t>
              </w:r>
              <w:r>
                <w:rPr>
                  <w:rStyle w:val="a3"/>
                  <w:rFonts w:eastAsia="Times New Roman"/>
                  <w:color w:val="000000"/>
                  <w:sz w:val="20"/>
                  <w:szCs w:val="20"/>
                  <w:u w:val="none"/>
                </w:rPr>
                <w:t>te/Volume Analysis of Net Interest Income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12" w:history="1">
              <w:r>
                <w:rPr>
                  <w:rStyle w:val="a3"/>
                  <w:rFonts w:eastAsia="Times New Roman"/>
                  <w:color w:val="000000"/>
                  <w:sz w:val="20"/>
                  <w:szCs w:val="20"/>
                  <w:u w:val="none"/>
                </w:rPr>
                <w:t>14</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AF3814">
            <w:pPr>
              <w:spacing w:after="100"/>
              <w:divId w:val="1843277179"/>
              <w:rPr>
                <w:rFonts w:eastAsia="Times New Roman"/>
              </w:rPr>
            </w:pPr>
            <w:hyperlink w:anchor="id204df94663d4fc396719e5188ae3420_115" w:history="1">
              <w:r>
                <w:rPr>
                  <w:rStyle w:val="a3"/>
                  <w:rFonts w:eastAsia="Times New Roman"/>
                  <w:color w:val="000000"/>
                  <w:sz w:val="20"/>
                  <w:szCs w:val="20"/>
                  <w:u w:val="none"/>
                </w:rPr>
                <w:t>Non-Interest Income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15" w:history="1">
              <w:r>
                <w:rPr>
                  <w:rStyle w:val="a3"/>
                  <w:rFonts w:eastAsia="Times New Roman"/>
                  <w:color w:val="000000"/>
                  <w:sz w:val="20"/>
                  <w:szCs w:val="20"/>
                  <w:u w:val="none"/>
                </w:rPr>
                <w:t>15</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rsidR="00000000" w:rsidRDefault="00AF3814">
            <w:pPr>
              <w:spacing w:after="100"/>
              <w:divId w:val="1729648898"/>
              <w:rPr>
                <w:rFonts w:eastAsia="Times New Roman"/>
              </w:rPr>
            </w:pPr>
            <w:hyperlink w:anchor="id204df94663d4fc396719e5188ae3420_121" w:history="1">
              <w:r>
                <w:rPr>
                  <w:rStyle w:val="a3"/>
                  <w:rFonts w:eastAsia="Times New Roman"/>
                  <w:color w:val="000000"/>
                  <w:sz w:val="20"/>
                  <w:szCs w:val="20"/>
                  <w:u w:val="none"/>
                </w:rPr>
                <w:t>Non-Interest Expense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21" w:history="1">
              <w:r>
                <w:rPr>
                  <w:rStyle w:val="a3"/>
                  <w:rFonts w:eastAsia="Times New Roman"/>
                  <w:color w:val="000000"/>
                  <w:sz w:val="20"/>
                  <w:szCs w:val="20"/>
                  <w:u w:val="none"/>
                </w:rPr>
                <w:t>16</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rsidR="00000000" w:rsidRDefault="00AF3814">
            <w:pPr>
              <w:spacing w:after="100"/>
              <w:divId w:val="1040201437"/>
              <w:rPr>
                <w:rFonts w:eastAsia="Times New Roman"/>
              </w:rPr>
            </w:pPr>
            <w:hyperlink w:anchor="id204df94663d4fc396719e5188ae3420_133" w:history="1">
              <w:r>
                <w:rPr>
                  <w:rStyle w:val="a3"/>
                  <w:rFonts w:eastAsia="Times New Roman"/>
                  <w:color w:val="000000"/>
                  <w:sz w:val="20"/>
                  <w:szCs w:val="20"/>
                  <w:u w:val="none"/>
                </w:rPr>
                <w:t>Investment Securities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33" w:history="1">
              <w:r>
                <w:rPr>
                  <w:rStyle w:val="a3"/>
                  <w:rFonts w:eastAsia="Times New Roman"/>
                  <w:color w:val="000000"/>
                  <w:sz w:val="20"/>
                  <w:szCs w:val="20"/>
                  <w:u w:val="none"/>
                </w:rPr>
                <w:t>17</w:t>
              </w:r>
            </w:hyperlink>
          </w:p>
        </w:tc>
      </w:tr>
      <w:tr w:rsidR="00000000">
        <w:trPr>
          <w:divId w:val="2001106981"/>
          <w:jc w:val="center"/>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rsidR="00000000" w:rsidRDefault="00AF3814">
            <w:pPr>
              <w:spacing w:after="100"/>
              <w:divId w:val="1719358734"/>
              <w:rPr>
                <w:rFonts w:eastAsia="Times New Roman"/>
              </w:rPr>
            </w:pPr>
            <w:hyperlink w:anchor="id204df94663d4fc396719e5188ae3420_136" w:history="1">
              <w:r>
                <w:rPr>
                  <w:rStyle w:val="a3"/>
                  <w:rFonts w:eastAsia="Times New Roman"/>
                  <w:color w:val="000000"/>
                  <w:sz w:val="20"/>
                  <w:szCs w:val="20"/>
                  <w:u w:val="none"/>
                </w:rPr>
                <w:t>Loans Held for Investment</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36" w:history="1">
              <w:r>
                <w:rPr>
                  <w:rStyle w:val="a3"/>
                  <w:rFonts w:eastAsia="Times New Roman"/>
                  <w:color w:val="000000"/>
                  <w:sz w:val="20"/>
                  <w:szCs w:val="20"/>
                  <w:u w:val="none"/>
                </w:rPr>
                <w:t>18</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rsidR="00000000" w:rsidRDefault="00AF3814">
            <w:pPr>
              <w:spacing w:after="100"/>
              <w:divId w:val="303238979"/>
              <w:rPr>
                <w:rFonts w:eastAsia="Times New Roman"/>
              </w:rPr>
            </w:pPr>
            <w:hyperlink w:anchor="id204df94663d4fc396719e5188ae3420_139" w:history="1">
              <w:r>
                <w:rPr>
                  <w:rStyle w:val="a3"/>
                  <w:rFonts w:eastAsia="Times New Roman"/>
                  <w:color w:val="000000"/>
                  <w:sz w:val="20"/>
                  <w:szCs w:val="20"/>
                  <w:u w:val="none"/>
                </w:rPr>
                <w:t>Funding Sources Composition</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39" w:history="1">
              <w:r>
                <w:rPr>
                  <w:rStyle w:val="a3"/>
                  <w:rFonts w:eastAsia="Times New Roman"/>
                  <w:color w:val="000000"/>
                  <w:sz w:val="20"/>
                  <w:szCs w:val="20"/>
                  <w:u w:val="none"/>
                </w:rPr>
                <w:t>18</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rsidR="00000000" w:rsidRDefault="00AF3814">
            <w:pPr>
              <w:spacing w:after="100"/>
              <w:divId w:val="96757182"/>
              <w:rPr>
                <w:rFonts w:eastAsia="Times New Roman"/>
              </w:rPr>
            </w:pPr>
            <w:hyperlink w:anchor="id204df94663d4fc396719e5188ae3420_151" w:history="1">
              <w:r>
                <w:rPr>
                  <w:rStyle w:val="a3"/>
                  <w:rFonts w:eastAsia="Times New Roman"/>
                  <w:color w:val="000000"/>
                  <w:sz w:val="20"/>
                  <w:szCs w:val="20"/>
                  <w:u w:val="none"/>
                </w:rPr>
                <w:t>Business Segment Results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51" w:history="1">
              <w:r>
                <w:rPr>
                  <w:rStyle w:val="a3"/>
                  <w:rFonts w:eastAsia="Times New Roman"/>
                  <w:color w:val="000000"/>
                  <w:sz w:val="20"/>
                  <w:szCs w:val="20"/>
                  <w:u w:val="none"/>
                </w:rPr>
                <w:t>20</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rsidR="00000000" w:rsidRDefault="00AF3814">
            <w:pPr>
              <w:spacing w:after="100"/>
              <w:divId w:val="1298339259"/>
              <w:rPr>
                <w:rFonts w:eastAsia="Times New Roman"/>
              </w:rPr>
            </w:pPr>
            <w:hyperlink w:anchor="id204df94663d4fc396719e5188ae3420_154" w:history="1">
              <w:r>
                <w:rPr>
                  <w:rStyle w:val="a3"/>
                  <w:rFonts w:eastAsia="Times New Roman"/>
                  <w:color w:val="000000"/>
                  <w:sz w:val="20"/>
                  <w:szCs w:val="20"/>
                  <w:u w:val="none"/>
                </w:rPr>
                <w:t>Credit Card Business Results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54" w:history="1">
              <w:r>
                <w:rPr>
                  <w:rStyle w:val="a3"/>
                  <w:rFonts w:eastAsia="Times New Roman"/>
                  <w:color w:val="000000"/>
                  <w:sz w:val="20"/>
                  <w:szCs w:val="20"/>
                  <w:u w:val="none"/>
                </w:rPr>
                <w:t>21</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AF3814">
            <w:pPr>
              <w:spacing w:after="100"/>
              <w:divId w:val="932012345"/>
              <w:rPr>
                <w:rFonts w:eastAsia="Times New Roman"/>
              </w:rPr>
            </w:pPr>
            <w:hyperlink w:anchor="id204df94663d4fc396719e5188ae3420_157" w:history="1">
              <w:r>
                <w:rPr>
                  <w:rStyle w:val="a3"/>
                  <w:rFonts w:eastAsia="Times New Roman"/>
                  <w:color w:val="000000"/>
                  <w:sz w:val="20"/>
                  <w:szCs w:val="20"/>
                  <w:u w:val="none"/>
                </w:rPr>
                <w:t>Domestic Card Business Results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57" w:history="1">
              <w:r>
                <w:rPr>
                  <w:rStyle w:val="a3"/>
                  <w:rFonts w:eastAsia="Times New Roman"/>
                  <w:color w:val="000000"/>
                  <w:sz w:val="20"/>
                  <w:szCs w:val="20"/>
                  <w:u w:val="none"/>
                </w:rPr>
                <w:t>23</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rsidR="00000000" w:rsidRDefault="00AF3814">
            <w:pPr>
              <w:spacing w:after="100"/>
              <w:divId w:val="2048753177"/>
              <w:rPr>
                <w:rFonts w:eastAsia="Times New Roman"/>
              </w:rPr>
            </w:pPr>
            <w:hyperlink w:anchor="id204df94663d4fc396719e5188ae3420_160" w:history="1">
              <w:r>
                <w:rPr>
                  <w:rStyle w:val="a3"/>
                  <w:rFonts w:eastAsia="Times New Roman"/>
                  <w:color w:val="000000"/>
                  <w:sz w:val="20"/>
                  <w:szCs w:val="20"/>
                  <w:u w:val="none"/>
                </w:rPr>
                <w:t>Consumer Banking Business Results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60" w:history="1">
              <w:r>
                <w:rPr>
                  <w:rStyle w:val="a3"/>
                  <w:rFonts w:eastAsia="Times New Roman"/>
                  <w:color w:val="000000"/>
                  <w:sz w:val="20"/>
                  <w:szCs w:val="20"/>
                  <w:u w:val="none"/>
                </w:rPr>
                <w:t>25</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rsidR="00000000" w:rsidRDefault="00AF3814">
            <w:pPr>
              <w:spacing w:after="100"/>
              <w:divId w:val="1082414374"/>
              <w:rPr>
                <w:rFonts w:eastAsia="Times New Roman"/>
              </w:rPr>
            </w:pPr>
            <w:hyperlink w:anchor="id204df94663d4fc396719e5188ae3420_163" w:history="1">
              <w:r>
                <w:rPr>
                  <w:rStyle w:val="a3"/>
                  <w:rFonts w:eastAsia="Times New Roman"/>
                  <w:color w:val="000000"/>
                  <w:sz w:val="20"/>
                  <w:szCs w:val="20"/>
                  <w:u w:val="none"/>
                </w:rPr>
                <w:t>Commercial Banking Business Results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63" w:history="1">
              <w:r>
                <w:rPr>
                  <w:rStyle w:val="a3"/>
                  <w:rFonts w:eastAsia="Times New Roman"/>
                  <w:color w:val="000000"/>
                  <w:sz w:val="20"/>
                  <w:szCs w:val="20"/>
                  <w:u w:val="none"/>
                </w:rPr>
                <w:t>26</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rsidR="00000000" w:rsidRDefault="00AF3814">
            <w:pPr>
              <w:spacing w:after="100"/>
              <w:divId w:val="676615861"/>
              <w:rPr>
                <w:rFonts w:eastAsia="Times New Roman"/>
              </w:rPr>
            </w:pPr>
            <w:hyperlink w:anchor="id204df94663d4fc396719e5188ae3420_166" w:history="1">
              <w:r>
                <w:rPr>
                  <w:rStyle w:val="a3"/>
                  <w:rFonts w:eastAsia="Times New Roman"/>
                  <w:color w:val="000000"/>
                  <w:sz w:val="20"/>
                  <w:szCs w:val="20"/>
                  <w:u w:val="none"/>
                </w:rPr>
                <w:t>Other Category Results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66" w:history="1">
              <w:r>
                <w:rPr>
                  <w:rStyle w:val="a3"/>
                  <w:rFonts w:eastAsia="Times New Roman"/>
                  <w:color w:val="000000"/>
                  <w:sz w:val="20"/>
                  <w:szCs w:val="20"/>
                  <w:u w:val="none"/>
                </w:rPr>
                <w:t>28</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rsidR="00000000" w:rsidRDefault="00AF3814">
            <w:pPr>
              <w:spacing w:after="100"/>
              <w:divId w:val="1840194762"/>
              <w:rPr>
                <w:rFonts w:eastAsia="Times New Roman"/>
              </w:rPr>
            </w:pPr>
            <w:hyperlink w:anchor="id204df94663d4fc396719e5188ae3420_184" w:history="1">
              <w:r>
                <w:rPr>
                  <w:rStyle w:val="a3"/>
                  <w:rFonts w:eastAsia="Times New Roman"/>
                  <w:color w:val="000000"/>
                  <w:sz w:val="20"/>
                  <w:szCs w:val="20"/>
                  <w:u w:val="none"/>
                </w:rPr>
                <w:t>Capital Ratios Under Basel III</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84" w:history="1">
              <w:r>
                <w:rPr>
                  <w:rStyle w:val="a3"/>
                  <w:rFonts w:eastAsia="Times New Roman"/>
                  <w:color w:val="000000"/>
                  <w:sz w:val="20"/>
                  <w:szCs w:val="20"/>
                  <w:u w:val="none"/>
                </w:rPr>
                <w:t>32</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rsidR="00000000" w:rsidRDefault="00AF3814">
            <w:pPr>
              <w:spacing w:after="100"/>
              <w:divId w:val="1898469046"/>
              <w:rPr>
                <w:rFonts w:eastAsia="Times New Roman"/>
              </w:rPr>
            </w:pPr>
            <w:hyperlink w:anchor="id204df94663d4fc396719e5188ae3420_187" w:history="1">
              <w:r>
                <w:rPr>
                  <w:rStyle w:val="a3"/>
                  <w:rFonts w:eastAsia="Times New Roman"/>
                  <w:color w:val="000000"/>
                  <w:sz w:val="20"/>
                  <w:szCs w:val="20"/>
                  <w:u w:val="none"/>
                </w:rPr>
                <w:t>Regulatory Risk-Based Capital Components and Regulatory Capital Metrics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87" w:history="1">
              <w:r>
                <w:rPr>
                  <w:rStyle w:val="a3"/>
                  <w:rFonts w:eastAsia="Times New Roman"/>
                  <w:color w:val="000000"/>
                  <w:sz w:val="20"/>
                  <w:szCs w:val="20"/>
                  <w:u w:val="none"/>
                </w:rPr>
                <w:t>33</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rsidR="00000000" w:rsidRDefault="00AF3814">
            <w:pPr>
              <w:spacing w:after="100"/>
              <w:divId w:val="559944677"/>
              <w:rPr>
                <w:rFonts w:eastAsia="Times New Roman"/>
              </w:rPr>
            </w:pPr>
            <w:hyperlink w:anchor="id204df94663d4fc396719e5188ae3420_196" w:history="1">
              <w:r>
                <w:rPr>
                  <w:rStyle w:val="a3"/>
                  <w:rFonts w:eastAsia="Times New Roman"/>
                  <w:color w:val="000000"/>
                  <w:sz w:val="20"/>
                  <w:szCs w:val="20"/>
                  <w:u w:val="none"/>
                </w:rPr>
                <w:t>Preferred Stock Dividends Paid Per Share</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196" w:history="1">
              <w:r>
                <w:rPr>
                  <w:rStyle w:val="a3"/>
                  <w:rFonts w:eastAsia="Times New Roman"/>
                  <w:color w:val="000000"/>
                  <w:sz w:val="20"/>
                  <w:szCs w:val="20"/>
                  <w:u w:val="none"/>
                </w:rPr>
                <w:t>35</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lastRenderedPageBreak/>
              <w:t>17</w:t>
            </w:r>
          </w:p>
        </w:tc>
        <w:tc>
          <w:tcPr>
            <w:tcW w:w="0" w:type="auto"/>
            <w:gridSpan w:val="3"/>
            <w:tcMar>
              <w:top w:w="30" w:type="dxa"/>
              <w:left w:w="20" w:type="dxa"/>
              <w:bottom w:w="30" w:type="dxa"/>
              <w:right w:w="20" w:type="dxa"/>
            </w:tcMar>
            <w:vAlign w:val="bottom"/>
            <w:hideMark/>
          </w:tcPr>
          <w:p w:rsidR="00000000" w:rsidRDefault="00AF3814">
            <w:pPr>
              <w:spacing w:after="100"/>
              <w:divId w:val="947467973"/>
              <w:rPr>
                <w:rFonts w:eastAsia="Times New Roman"/>
              </w:rPr>
            </w:pPr>
            <w:hyperlink w:anchor="id204df94663d4fc396719e5188ae3420_205" w:history="1">
              <w:r>
                <w:rPr>
                  <w:rStyle w:val="a3"/>
                  <w:rFonts w:eastAsia="Times New Roman"/>
                  <w:color w:val="000000"/>
                  <w:sz w:val="20"/>
                  <w:szCs w:val="20"/>
                  <w:u w:val="none"/>
                </w:rPr>
                <w:t>Portfolio Composition of Loans Held for Investment</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05" w:history="1">
              <w:r>
                <w:rPr>
                  <w:rStyle w:val="a3"/>
                  <w:rFonts w:eastAsia="Times New Roman"/>
                  <w:color w:val="000000"/>
                  <w:sz w:val="20"/>
                  <w:szCs w:val="20"/>
                  <w:u w:val="none"/>
                </w:rPr>
                <w:t>38</w:t>
              </w:r>
            </w:hyperlink>
          </w:p>
        </w:tc>
      </w:tr>
      <w:tr w:rsidR="00000000">
        <w:trPr>
          <w:divId w:val="2001106981"/>
          <w:jc w:val="center"/>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18</w:t>
            </w:r>
          </w:p>
        </w:tc>
        <w:tc>
          <w:tcPr>
            <w:tcW w:w="0" w:type="auto"/>
            <w:gridSpan w:val="3"/>
            <w:tcMar>
              <w:top w:w="30" w:type="dxa"/>
              <w:left w:w="20" w:type="dxa"/>
              <w:bottom w:w="30" w:type="dxa"/>
              <w:right w:w="20" w:type="dxa"/>
            </w:tcMar>
            <w:vAlign w:val="bottom"/>
            <w:hideMark/>
          </w:tcPr>
          <w:p w:rsidR="00000000" w:rsidRDefault="00AF3814">
            <w:pPr>
              <w:spacing w:after="100"/>
              <w:divId w:val="1108311292"/>
              <w:rPr>
                <w:rFonts w:eastAsia="Times New Roman"/>
              </w:rPr>
            </w:pPr>
            <w:hyperlink w:anchor="id204df94663d4fc396719e5188ae3420_211" w:history="1">
              <w:r>
                <w:rPr>
                  <w:rStyle w:val="a3"/>
                  <w:rFonts w:eastAsia="Times New Roman"/>
                  <w:color w:val="000000"/>
                  <w:sz w:val="20"/>
                  <w:szCs w:val="20"/>
                  <w:u w:val="none"/>
                </w:rPr>
                <w:t>Credit Card Portfolio by Geographic Region</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11" w:history="1">
              <w:r>
                <w:rPr>
                  <w:rStyle w:val="a3"/>
                  <w:rFonts w:eastAsia="Times New Roman"/>
                  <w:color w:val="000000"/>
                  <w:sz w:val="20"/>
                  <w:szCs w:val="20"/>
                  <w:u w:val="none"/>
                </w:rPr>
                <w:t>39</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19</w:t>
            </w:r>
          </w:p>
        </w:tc>
        <w:tc>
          <w:tcPr>
            <w:tcW w:w="0" w:type="auto"/>
            <w:gridSpan w:val="3"/>
            <w:tcMar>
              <w:top w:w="30" w:type="dxa"/>
              <w:left w:w="20" w:type="dxa"/>
              <w:bottom w:w="30" w:type="dxa"/>
              <w:right w:w="20" w:type="dxa"/>
            </w:tcMar>
            <w:vAlign w:val="bottom"/>
            <w:hideMark/>
          </w:tcPr>
          <w:p w:rsidR="00000000" w:rsidRDefault="00AF3814">
            <w:pPr>
              <w:spacing w:after="100"/>
              <w:divId w:val="84690218"/>
              <w:rPr>
                <w:rFonts w:eastAsia="Times New Roman"/>
              </w:rPr>
            </w:pPr>
            <w:hyperlink w:anchor="id204df94663d4fc396719e5188ae3420_214" w:history="1">
              <w:r>
                <w:rPr>
                  <w:rStyle w:val="a3"/>
                  <w:rFonts w:eastAsia="Times New Roman"/>
                  <w:color w:val="000000"/>
                  <w:sz w:val="20"/>
                  <w:szCs w:val="20"/>
                  <w:u w:val="none"/>
                </w:rPr>
                <w:t>Consumer Banking Portfolio by Geographic Region</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14" w:history="1">
              <w:r>
                <w:rPr>
                  <w:rStyle w:val="a3"/>
                  <w:rFonts w:eastAsia="Times New Roman"/>
                  <w:color w:val="000000"/>
                  <w:sz w:val="20"/>
                  <w:szCs w:val="20"/>
                  <w:u w:val="none"/>
                </w:rPr>
                <w:t>40</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20</w:t>
            </w:r>
          </w:p>
        </w:tc>
        <w:tc>
          <w:tcPr>
            <w:tcW w:w="0" w:type="auto"/>
            <w:gridSpan w:val="3"/>
            <w:tcMar>
              <w:top w:w="30" w:type="dxa"/>
              <w:left w:w="20" w:type="dxa"/>
              <w:bottom w:w="30" w:type="dxa"/>
              <w:right w:w="20" w:type="dxa"/>
            </w:tcMar>
            <w:vAlign w:val="bottom"/>
            <w:hideMark/>
          </w:tcPr>
          <w:p w:rsidR="00000000" w:rsidRDefault="00AF3814">
            <w:pPr>
              <w:spacing w:after="100"/>
              <w:divId w:val="1728147060"/>
              <w:rPr>
                <w:rFonts w:eastAsia="Times New Roman"/>
              </w:rPr>
            </w:pPr>
            <w:hyperlink w:anchor="id204df94663d4fc396719e5188ae3420_217" w:history="1">
              <w:r>
                <w:rPr>
                  <w:rStyle w:val="a3"/>
                  <w:rFonts w:eastAsia="Times New Roman"/>
                  <w:color w:val="000000"/>
                  <w:sz w:val="20"/>
                  <w:szCs w:val="20"/>
                  <w:u w:val="none"/>
                </w:rPr>
                <w:t>Commercial and Multifamily Real Estate Portfolio by Region</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17" w:history="1">
              <w:r>
                <w:rPr>
                  <w:rStyle w:val="a3"/>
                  <w:rFonts w:eastAsia="Times New Roman"/>
                  <w:color w:val="000000"/>
                  <w:sz w:val="20"/>
                  <w:szCs w:val="20"/>
                  <w:u w:val="none"/>
                </w:rPr>
                <w:t>41</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rsidR="00000000" w:rsidRDefault="00AF3814">
            <w:pPr>
              <w:spacing w:after="100"/>
              <w:divId w:val="2139183899"/>
              <w:rPr>
                <w:rFonts w:eastAsia="Times New Roman"/>
              </w:rPr>
            </w:pPr>
            <w:hyperlink w:anchor="id204df94663d4fc396719e5188ae3420_220" w:history="1">
              <w:r>
                <w:rPr>
                  <w:rStyle w:val="a3"/>
                  <w:rFonts w:eastAsia="Times New Roman"/>
                  <w:color w:val="000000"/>
                  <w:sz w:val="20"/>
                  <w:szCs w:val="20"/>
                  <w:u w:val="none"/>
                </w:rPr>
                <w:t>Comm</w:t>
              </w:r>
              <w:r>
                <w:rPr>
                  <w:rStyle w:val="a3"/>
                  <w:rFonts w:eastAsia="Times New Roman"/>
                  <w:color w:val="000000"/>
                  <w:sz w:val="20"/>
                  <w:szCs w:val="20"/>
                  <w:u w:val="none"/>
                </w:rPr>
                <w:t>ercial Loans by Industry</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20" w:history="1">
              <w:r>
                <w:rPr>
                  <w:rStyle w:val="a3"/>
                  <w:rFonts w:eastAsia="Times New Roman"/>
                  <w:color w:val="000000"/>
                  <w:sz w:val="20"/>
                  <w:szCs w:val="20"/>
                  <w:u w:val="none"/>
                </w:rPr>
                <w:t>41</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22</w:t>
            </w:r>
          </w:p>
        </w:tc>
        <w:tc>
          <w:tcPr>
            <w:tcW w:w="0" w:type="auto"/>
            <w:gridSpan w:val="3"/>
            <w:tcMar>
              <w:top w:w="30" w:type="dxa"/>
              <w:left w:w="20" w:type="dxa"/>
              <w:bottom w:w="30" w:type="dxa"/>
              <w:right w:w="20" w:type="dxa"/>
            </w:tcMar>
            <w:vAlign w:val="bottom"/>
            <w:hideMark/>
          </w:tcPr>
          <w:p w:rsidR="00000000" w:rsidRDefault="00AF3814">
            <w:pPr>
              <w:spacing w:after="100"/>
              <w:divId w:val="1002202497"/>
              <w:rPr>
                <w:rFonts w:eastAsia="Times New Roman"/>
              </w:rPr>
            </w:pPr>
            <w:hyperlink w:anchor="id204df94663d4fc396719e5188ae3420_223" w:history="1">
              <w:r>
                <w:rPr>
                  <w:rStyle w:val="a3"/>
                  <w:rFonts w:eastAsia="Times New Roman"/>
                  <w:color w:val="000000"/>
                  <w:sz w:val="20"/>
                  <w:szCs w:val="20"/>
                  <w:u w:val="none"/>
                </w:rPr>
                <w:t>Credit Score Distribution</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23" w:history="1">
              <w:r>
                <w:rPr>
                  <w:rStyle w:val="a3"/>
                  <w:rFonts w:eastAsia="Times New Roman"/>
                  <w:color w:val="000000"/>
                  <w:sz w:val="20"/>
                  <w:szCs w:val="20"/>
                  <w:u w:val="none"/>
                </w:rPr>
                <w:t>42</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vAlign w:val="bottom"/>
            <w:hideMark/>
          </w:tcPr>
          <w:p w:rsidR="00000000" w:rsidRDefault="00AF3814">
            <w:pPr>
              <w:spacing w:after="100"/>
              <w:divId w:val="612900417"/>
              <w:rPr>
                <w:rFonts w:eastAsia="Times New Roman"/>
              </w:rPr>
            </w:pPr>
            <w:hyperlink w:anchor="id204df94663d4fc396719e5188ae3420_226" w:history="1">
              <w:r>
                <w:rPr>
                  <w:rStyle w:val="a3"/>
                  <w:rFonts w:eastAsia="Times New Roman"/>
                  <w:color w:val="000000"/>
                  <w:sz w:val="20"/>
                  <w:szCs w:val="20"/>
                  <w:u w:val="none"/>
                </w:rPr>
                <w:t>30+ Day Delinquencies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26" w:history="1">
              <w:r>
                <w:rPr>
                  <w:rStyle w:val="a3"/>
                  <w:rFonts w:eastAsia="Times New Roman"/>
                  <w:color w:val="000000"/>
                  <w:sz w:val="20"/>
                  <w:szCs w:val="20"/>
                  <w:u w:val="none"/>
                </w:rPr>
                <w:t>42</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24</w:t>
            </w:r>
          </w:p>
        </w:tc>
        <w:tc>
          <w:tcPr>
            <w:tcW w:w="0" w:type="auto"/>
            <w:gridSpan w:val="3"/>
            <w:tcMar>
              <w:top w:w="30" w:type="dxa"/>
              <w:left w:w="20" w:type="dxa"/>
              <w:bottom w:w="30" w:type="dxa"/>
              <w:right w:w="20" w:type="dxa"/>
            </w:tcMar>
            <w:vAlign w:val="bottom"/>
            <w:hideMark/>
          </w:tcPr>
          <w:p w:rsidR="00000000" w:rsidRDefault="00AF3814">
            <w:pPr>
              <w:spacing w:after="100"/>
              <w:divId w:val="1032270301"/>
              <w:rPr>
                <w:rFonts w:eastAsia="Times New Roman"/>
              </w:rPr>
            </w:pPr>
            <w:hyperlink w:anchor="id204df94663d4fc396719e5188ae3420_229" w:history="1">
              <w:r>
                <w:rPr>
                  <w:rStyle w:val="a3"/>
                  <w:rFonts w:eastAsia="Times New Roman"/>
                  <w:color w:val="000000"/>
                  <w:sz w:val="20"/>
                  <w:szCs w:val="20"/>
                  <w:u w:val="none"/>
                </w:rPr>
                <w:t>Aging and Geography of 30+ Day Delinquent Loans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29" w:history="1">
              <w:r>
                <w:rPr>
                  <w:rStyle w:val="a3"/>
                  <w:rFonts w:eastAsia="Times New Roman"/>
                  <w:color w:val="000000"/>
                  <w:sz w:val="20"/>
                  <w:szCs w:val="20"/>
                  <w:u w:val="none"/>
                </w:rPr>
                <w:t>43</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25</w:t>
            </w:r>
          </w:p>
        </w:tc>
        <w:tc>
          <w:tcPr>
            <w:tcW w:w="0" w:type="auto"/>
            <w:gridSpan w:val="3"/>
            <w:tcMar>
              <w:top w:w="30" w:type="dxa"/>
              <w:left w:w="20" w:type="dxa"/>
              <w:bottom w:w="30" w:type="dxa"/>
              <w:right w:w="20" w:type="dxa"/>
            </w:tcMar>
            <w:vAlign w:val="bottom"/>
            <w:hideMark/>
          </w:tcPr>
          <w:p w:rsidR="00000000" w:rsidRDefault="00AF3814">
            <w:pPr>
              <w:spacing w:after="100"/>
              <w:divId w:val="1992053391"/>
              <w:rPr>
                <w:rFonts w:eastAsia="Times New Roman"/>
              </w:rPr>
            </w:pPr>
            <w:hyperlink w:anchor="id204df94663d4fc396719e5188ae3420_232" w:history="1">
              <w:r>
                <w:rPr>
                  <w:rStyle w:val="a3"/>
                  <w:rFonts w:eastAsia="Times New Roman"/>
                  <w:color w:val="000000"/>
                  <w:sz w:val="20"/>
                  <w:szCs w:val="20"/>
                  <w:u w:val="none"/>
                </w:rPr>
                <w:t>90+ Day Delinquent Loans Accruing Interest</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32" w:history="1">
              <w:r>
                <w:rPr>
                  <w:rStyle w:val="a3"/>
                  <w:rFonts w:eastAsia="Times New Roman"/>
                  <w:color w:val="000000"/>
                  <w:sz w:val="20"/>
                  <w:szCs w:val="20"/>
                  <w:u w:val="none"/>
                </w:rPr>
                <w:t>44</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26</w:t>
            </w:r>
          </w:p>
        </w:tc>
        <w:tc>
          <w:tcPr>
            <w:tcW w:w="0" w:type="auto"/>
            <w:gridSpan w:val="3"/>
            <w:tcMar>
              <w:top w:w="30" w:type="dxa"/>
              <w:left w:w="20" w:type="dxa"/>
              <w:bottom w:w="30" w:type="dxa"/>
              <w:right w:w="20" w:type="dxa"/>
            </w:tcMar>
            <w:vAlign w:val="bottom"/>
            <w:hideMark/>
          </w:tcPr>
          <w:p w:rsidR="00000000" w:rsidRDefault="00AF3814">
            <w:pPr>
              <w:spacing w:after="100"/>
              <w:divId w:val="1362901876"/>
              <w:rPr>
                <w:rFonts w:eastAsia="Times New Roman"/>
              </w:rPr>
            </w:pPr>
            <w:hyperlink w:anchor="id204df94663d4fc396719e5188ae3420_235" w:history="1">
              <w:r>
                <w:rPr>
                  <w:rStyle w:val="a3"/>
                  <w:rFonts w:eastAsia="Times New Roman"/>
                  <w:color w:val="000000"/>
                  <w:sz w:val="20"/>
                  <w:szCs w:val="20"/>
                  <w:u w:val="none"/>
                </w:rPr>
                <w:t xml:space="preserve">Nonperforming Loans </w:t>
              </w:r>
              <w:r>
                <w:rPr>
                  <w:rStyle w:val="a3"/>
                  <w:rFonts w:eastAsia="Times New Roman"/>
                  <w:color w:val="000000"/>
                  <w:sz w:val="20"/>
                  <w:szCs w:val="20"/>
                  <w:u w:val="none"/>
                </w:rPr>
                <w:t>and Other Nonperforming Assets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35" w:history="1">
              <w:r>
                <w:rPr>
                  <w:rStyle w:val="a3"/>
                  <w:rFonts w:eastAsia="Times New Roman"/>
                  <w:color w:val="000000"/>
                  <w:sz w:val="20"/>
                  <w:szCs w:val="20"/>
                  <w:u w:val="none"/>
                </w:rPr>
                <w:t>44</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27</w:t>
            </w:r>
          </w:p>
        </w:tc>
        <w:tc>
          <w:tcPr>
            <w:tcW w:w="0" w:type="auto"/>
            <w:gridSpan w:val="3"/>
            <w:tcMar>
              <w:top w:w="30" w:type="dxa"/>
              <w:left w:w="20" w:type="dxa"/>
              <w:bottom w:w="30" w:type="dxa"/>
              <w:right w:w="20" w:type="dxa"/>
            </w:tcMar>
            <w:vAlign w:val="bottom"/>
            <w:hideMark/>
          </w:tcPr>
          <w:p w:rsidR="00000000" w:rsidRDefault="00AF3814">
            <w:pPr>
              <w:spacing w:after="100"/>
              <w:divId w:val="1719236494"/>
              <w:rPr>
                <w:rFonts w:eastAsia="Times New Roman"/>
              </w:rPr>
            </w:pPr>
            <w:hyperlink w:anchor="id204df94663d4fc396719e5188ae3420_238" w:history="1">
              <w:r>
                <w:rPr>
                  <w:rStyle w:val="a3"/>
                  <w:rFonts w:eastAsia="Times New Roman"/>
                  <w:color w:val="000000"/>
                  <w:sz w:val="20"/>
                  <w:szCs w:val="20"/>
                  <w:u w:val="none"/>
                </w:rPr>
                <w:t>Net Charge-Offs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38" w:history="1">
              <w:r>
                <w:rPr>
                  <w:rStyle w:val="a3"/>
                  <w:rFonts w:eastAsia="Times New Roman"/>
                  <w:color w:val="000000"/>
                  <w:sz w:val="20"/>
                  <w:szCs w:val="20"/>
                  <w:u w:val="none"/>
                </w:rPr>
                <w:t>45</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28</w:t>
            </w:r>
          </w:p>
        </w:tc>
        <w:tc>
          <w:tcPr>
            <w:tcW w:w="0" w:type="auto"/>
            <w:gridSpan w:val="3"/>
            <w:tcMar>
              <w:top w:w="30" w:type="dxa"/>
              <w:left w:w="20" w:type="dxa"/>
              <w:bottom w:w="30" w:type="dxa"/>
              <w:right w:w="20" w:type="dxa"/>
            </w:tcMar>
            <w:vAlign w:val="bottom"/>
            <w:hideMark/>
          </w:tcPr>
          <w:p w:rsidR="00000000" w:rsidRDefault="00AF3814">
            <w:pPr>
              <w:spacing w:after="100"/>
              <w:divId w:val="957835480"/>
              <w:rPr>
                <w:rFonts w:eastAsia="Times New Roman"/>
              </w:rPr>
            </w:pPr>
            <w:hyperlink w:anchor="id204df94663d4fc396719e5188ae3420_244" w:history="1">
              <w:r>
                <w:rPr>
                  <w:rStyle w:val="a3"/>
                  <w:rFonts w:eastAsia="Times New Roman"/>
                  <w:color w:val="000000"/>
                  <w:sz w:val="20"/>
                  <w:szCs w:val="20"/>
                  <w:u w:val="none"/>
                </w:rPr>
                <w:t>Troubled Debt Restructurings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44" w:history="1">
              <w:r>
                <w:rPr>
                  <w:rStyle w:val="a3"/>
                  <w:rFonts w:eastAsia="Times New Roman"/>
                  <w:color w:val="000000"/>
                  <w:sz w:val="20"/>
                  <w:szCs w:val="20"/>
                  <w:u w:val="none"/>
                </w:rPr>
                <w:t>46</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29</w:t>
            </w:r>
          </w:p>
        </w:tc>
        <w:tc>
          <w:tcPr>
            <w:tcW w:w="0" w:type="auto"/>
            <w:gridSpan w:val="3"/>
            <w:tcMar>
              <w:top w:w="30" w:type="dxa"/>
              <w:left w:w="20" w:type="dxa"/>
              <w:bottom w:w="30" w:type="dxa"/>
              <w:right w:w="20" w:type="dxa"/>
            </w:tcMar>
            <w:vAlign w:val="bottom"/>
            <w:hideMark/>
          </w:tcPr>
          <w:p w:rsidR="00000000" w:rsidRDefault="00AF3814">
            <w:pPr>
              <w:spacing w:after="100"/>
              <w:divId w:val="1478034463"/>
              <w:rPr>
                <w:rFonts w:eastAsia="Times New Roman"/>
              </w:rPr>
            </w:pPr>
            <w:hyperlink w:anchor="id204df94663d4fc396719e5188ae3420_250" w:history="1">
              <w:r>
                <w:rPr>
                  <w:rStyle w:val="a3"/>
                  <w:rFonts w:eastAsia="Times New Roman"/>
                  <w:color w:val="000000"/>
                  <w:sz w:val="20"/>
                  <w:szCs w:val="20"/>
                  <w:u w:val="none"/>
                </w:rPr>
                <w:t>Allowance for Credit Losses and Reserve for Unfunded Lending Commitments Activity</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50" w:history="1">
              <w:r>
                <w:rPr>
                  <w:rStyle w:val="a3"/>
                  <w:rFonts w:eastAsia="Times New Roman"/>
                  <w:color w:val="000000"/>
                  <w:sz w:val="20"/>
                  <w:szCs w:val="20"/>
                  <w:u w:val="none"/>
                </w:rPr>
                <w:t>47</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30</w:t>
            </w:r>
          </w:p>
        </w:tc>
        <w:tc>
          <w:tcPr>
            <w:tcW w:w="0" w:type="auto"/>
            <w:gridSpan w:val="3"/>
            <w:tcMar>
              <w:top w:w="30" w:type="dxa"/>
              <w:left w:w="20" w:type="dxa"/>
              <w:bottom w:w="30" w:type="dxa"/>
              <w:right w:w="20" w:type="dxa"/>
            </w:tcMar>
            <w:vAlign w:val="bottom"/>
            <w:hideMark/>
          </w:tcPr>
          <w:p w:rsidR="00000000" w:rsidRDefault="00AF3814">
            <w:pPr>
              <w:spacing w:after="100"/>
              <w:divId w:val="385954861"/>
              <w:rPr>
                <w:rFonts w:eastAsia="Times New Roman"/>
              </w:rPr>
            </w:pPr>
            <w:hyperlink w:anchor="id204df94663d4fc396719e5188ae3420_253" w:history="1">
              <w:r>
                <w:rPr>
                  <w:rStyle w:val="a3"/>
                  <w:rFonts w:eastAsia="Times New Roman"/>
                  <w:color w:val="000000"/>
                  <w:sz w:val="20"/>
                  <w:szCs w:val="20"/>
                  <w:u w:val="none"/>
                </w:rPr>
                <w:t>Allowance Coverage Ratios</w:t>
              </w:r>
            </w:hyperlink>
            <w:r>
              <w:rPr>
                <w:rFonts w:eastAsia="Times New Roman"/>
                <w:color w:val="000000"/>
                <w:sz w:val="20"/>
                <w:szCs w:val="20"/>
              </w:rPr>
              <w:t xml:space="preserve"> for Specified Loan Category</w:t>
            </w: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53" w:history="1">
              <w:r>
                <w:rPr>
                  <w:rStyle w:val="a3"/>
                  <w:rFonts w:eastAsia="Times New Roman"/>
                  <w:color w:val="000000"/>
                  <w:sz w:val="20"/>
                  <w:szCs w:val="20"/>
                  <w:u w:val="none"/>
                </w:rPr>
                <w:t>49</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rsidR="00000000" w:rsidRDefault="00AF3814">
            <w:pPr>
              <w:spacing w:after="100"/>
              <w:divId w:val="747968232"/>
              <w:rPr>
                <w:rFonts w:eastAsia="Times New Roman"/>
              </w:rPr>
            </w:pPr>
            <w:hyperlink w:anchor="id204df94663d4fc396719e5188ae3420_259" w:history="1">
              <w:r>
                <w:rPr>
                  <w:rStyle w:val="a3"/>
                  <w:rFonts w:eastAsia="Times New Roman"/>
                  <w:color w:val="000000"/>
                  <w:sz w:val="20"/>
                  <w:szCs w:val="20"/>
                  <w:u w:val="none"/>
                </w:rPr>
                <w:t>Liquidity</w:t>
              </w:r>
              <w:r>
                <w:rPr>
                  <w:rStyle w:val="a3"/>
                  <w:rFonts w:eastAsia="Times New Roman"/>
                  <w:color w:val="000000"/>
                  <w:sz w:val="20"/>
                  <w:szCs w:val="20"/>
                  <w:u w:val="none"/>
                </w:rPr>
                <w:t xml:space="preserve"> Reserves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59" w:history="1">
              <w:r>
                <w:rPr>
                  <w:rStyle w:val="a3"/>
                  <w:rFonts w:eastAsia="Times New Roman"/>
                  <w:color w:val="000000"/>
                  <w:sz w:val="20"/>
                  <w:szCs w:val="20"/>
                  <w:u w:val="none"/>
                </w:rPr>
                <w:t>50</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rsidR="00000000" w:rsidRDefault="00AF3814">
            <w:pPr>
              <w:spacing w:after="100"/>
              <w:divId w:val="1360160170"/>
              <w:rPr>
                <w:rFonts w:eastAsia="Times New Roman"/>
              </w:rPr>
            </w:pPr>
            <w:hyperlink w:anchor="id204df94663d4fc396719e5188ae3420_268" w:history="1">
              <w:r>
                <w:rPr>
                  <w:rStyle w:val="a3"/>
                  <w:rFonts w:eastAsia="Times New Roman"/>
                  <w:color w:val="000000"/>
                  <w:sz w:val="20"/>
                  <w:szCs w:val="20"/>
                  <w:u w:val="none"/>
                </w:rPr>
                <w:t>Deposits Composition and Average Deposits Interest Rates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68" w:history="1">
              <w:r>
                <w:rPr>
                  <w:rStyle w:val="a3"/>
                  <w:rFonts w:eastAsia="Times New Roman"/>
                  <w:color w:val="000000"/>
                  <w:sz w:val="20"/>
                  <w:szCs w:val="20"/>
                  <w:u w:val="none"/>
                </w:rPr>
                <w:t>51</w:t>
              </w:r>
            </w:hyperlink>
          </w:p>
        </w:tc>
      </w:tr>
      <w:tr w:rsidR="00000000">
        <w:trPr>
          <w:divId w:val="2001106981"/>
          <w:jc w:val="center"/>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vAlign w:val="bottom"/>
            <w:hideMark/>
          </w:tcPr>
          <w:p w:rsidR="00000000" w:rsidRDefault="00AF3814">
            <w:pPr>
              <w:spacing w:after="100"/>
              <w:divId w:val="1138492138"/>
              <w:rPr>
                <w:rFonts w:eastAsia="Times New Roman"/>
              </w:rPr>
            </w:pPr>
            <w:hyperlink w:anchor="id204df94663d4fc396719e5188ae3420_277" w:history="1">
              <w:r>
                <w:rPr>
                  <w:rStyle w:val="a3"/>
                  <w:rFonts w:eastAsia="Times New Roman"/>
                  <w:color w:val="000000"/>
                  <w:sz w:val="20"/>
                  <w:szCs w:val="20"/>
                  <w:u w:val="none"/>
                </w:rPr>
                <w:t>Long-Term Funding</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77" w:history="1">
              <w:r>
                <w:rPr>
                  <w:rStyle w:val="a3"/>
                  <w:rFonts w:eastAsia="Times New Roman"/>
                  <w:color w:val="000000"/>
                  <w:sz w:val="20"/>
                  <w:szCs w:val="20"/>
                  <w:u w:val="none"/>
                </w:rPr>
                <w:t>52</w:t>
              </w:r>
            </w:hyperlink>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vAlign w:val="bottom"/>
            <w:hideMark/>
          </w:tcPr>
          <w:p w:rsidR="00000000" w:rsidRDefault="00AF3814">
            <w:pPr>
              <w:spacing w:after="100"/>
              <w:divId w:val="1639727321"/>
              <w:rPr>
                <w:rFonts w:eastAsia="Times New Roman"/>
              </w:rPr>
            </w:pPr>
            <w:hyperlink w:anchor="id204df94663d4fc396719e5188ae3420_280" w:history="1">
              <w:r>
                <w:rPr>
                  <w:rStyle w:val="a3"/>
                  <w:rFonts w:eastAsia="Times New Roman"/>
                  <w:color w:val="000000"/>
                  <w:sz w:val="20"/>
                  <w:szCs w:val="20"/>
                  <w:u w:val="none"/>
                </w:rPr>
                <w:t>Senior Unsecured Long-Term Debt Credit Ratings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80" w:history="1">
              <w:r>
                <w:rPr>
                  <w:rStyle w:val="a3"/>
                  <w:rFonts w:eastAsia="Times New Roman"/>
                  <w:color w:val="000000"/>
                  <w:sz w:val="20"/>
                  <w:szCs w:val="20"/>
                  <w:u w:val="none"/>
                </w:rPr>
                <w:t>53</w:t>
              </w:r>
            </w:hyperlink>
          </w:p>
        </w:tc>
      </w:tr>
      <w:tr w:rsidR="00000000">
        <w:trPr>
          <w:divId w:val="2001106981"/>
          <w:jc w:val="center"/>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vAlign w:val="bottom"/>
            <w:hideMark/>
          </w:tcPr>
          <w:p w:rsidR="00000000" w:rsidRDefault="00AF3814">
            <w:pPr>
              <w:spacing w:after="100"/>
              <w:divId w:val="1893467413"/>
              <w:rPr>
                <w:rFonts w:eastAsia="Times New Roman"/>
              </w:rPr>
            </w:pPr>
            <w:hyperlink w:anchor="id204df94663d4fc396719e5188ae3420_289" w:history="1">
              <w:r>
                <w:rPr>
                  <w:rStyle w:val="a3"/>
                  <w:rFonts w:eastAsia="Times New Roman"/>
                  <w:color w:val="000000"/>
                  <w:sz w:val="20"/>
                  <w:szCs w:val="20"/>
                  <w:u w:val="none"/>
                </w:rPr>
                <w:t>Interest Rate Sensitivity Analysis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289" w:history="1">
              <w:r>
                <w:rPr>
                  <w:rStyle w:val="a3"/>
                  <w:rFonts w:eastAsia="Times New Roman"/>
                  <w:color w:val="000000"/>
                  <w:sz w:val="20"/>
                  <w:szCs w:val="20"/>
                  <w:u w:val="none"/>
                </w:rPr>
                <w:t>54</w:t>
              </w:r>
            </w:hyperlink>
          </w:p>
        </w:tc>
      </w:tr>
      <w:tr w:rsidR="00000000">
        <w:trPr>
          <w:divId w:val="2001106981"/>
          <w:trHeight w:val="240"/>
          <w:jc w:val="center"/>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6"/>
            <w:tcMar>
              <w:top w:w="30" w:type="dxa"/>
              <w:left w:w="20" w:type="dxa"/>
              <w:bottom w:w="30" w:type="dxa"/>
              <w:right w:w="20" w:type="dxa"/>
            </w:tcMar>
            <w:vAlign w:val="bottom"/>
            <w:hideMark/>
          </w:tcPr>
          <w:p w:rsidR="00000000" w:rsidRDefault="00AF3814">
            <w:pPr>
              <w:spacing w:after="100"/>
              <w:divId w:val="111899218"/>
              <w:rPr>
                <w:rFonts w:eastAsia="Times New Roman"/>
              </w:rPr>
            </w:pPr>
            <w:hyperlink w:anchor="id204df94663d4fc396719e5188ae3420_301" w:history="1">
              <w:r>
                <w:rPr>
                  <w:rStyle w:val="a3"/>
                  <w:rFonts w:eastAsia="Times New Roman"/>
                  <w:b/>
                  <w:bCs/>
                  <w:color w:val="000000"/>
                  <w:sz w:val="20"/>
                  <w:szCs w:val="20"/>
                  <w:u w:val="none"/>
                </w:rPr>
                <w:t>Supplemental Table</w:t>
              </w:r>
            </w:hyperlink>
            <w:r>
              <w:rPr>
                <w:rFonts w:eastAsia="Times New Roman"/>
                <w:b/>
                <w:bCs/>
                <w:color w:val="000000"/>
                <w:sz w:val="20"/>
                <w:szCs w:val="20"/>
              </w:rPr>
              <w:t>:</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r>
      <w:tr w:rsidR="00000000">
        <w:trPr>
          <w:divId w:val="2001106981"/>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01106981"/>
          <w:jc w:val="center"/>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A</w:t>
            </w:r>
          </w:p>
        </w:tc>
        <w:tc>
          <w:tcPr>
            <w:tcW w:w="0" w:type="auto"/>
            <w:gridSpan w:val="3"/>
            <w:tcMar>
              <w:top w:w="30" w:type="dxa"/>
              <w:left w:w="20" w:type="dxa"/>
              <w:bottom w:w="30" w:type="dxa"/>
              <w:right w:w="20" w:type="dxa"/>
            </w:tcMar>
            <w:vAlign w:val="bottom"/>
            <w:hideMark/>
          </w:tcPr>
          <w:p w:rsidR="00000000" w:rsidRDefault="00AF3814">
            <w:pPr>
              <w:spacing w:after="100"/>
              <w:divId w:val="1825898519"/>
              <w:rPr>
                <w:rFonts w:eastAsia="Times New Roman"/>
              </w:rPr>
            </w:pPr>
            <w:hyperlink w:anchor="id204df94663d4fc396719e5188ae3420_319" w:history="1">
              <w:r>
                <w:rPr>
                  <w:rStyle w:val="a3"/>
                  <w:rFonts w:eastAsia="Times New Roman"/>
                  <w:color w:val="000000"/>
                  <w:sz w:val="20"/>
                  <w:szCs w:val="20"/>
                  <w:u w:val="none"/>
                </w:rPr>
                <w:t>Reconciliation of Non-GAAP Measures</w:t>
              </w:r>
            </w:hyperlink>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hyperlink w:anchor="id204df94663d4fc396719e5188ae3420_319" w:history="1">
              <w:r>
                <w:rPr>
                  <w:rStyle w:val="a3"/>
                  <w:rFonts w:eastAsia="Times New Roman"/>
                  <w:color w:val="000000"/>
                  <w:sz w:val="20"/>
                  <w:szCs w:val="20"/>
                  <w:u w:val="none"/>
                </w:rPr>
                <w:t>60</w:t>
              </w:r>
            </w:hyperlink>
          </w:p>
        </w:tc>
      </w:tr>
      <w:tr w:rsidR="00000000">
        <w:trPr>
          <w:divId w:val="2001106981"/>
          <w:jc w:val="center"/>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AF3814">
            <w:pPr>
              <w:jc w:val="cente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28" style="width:0;height:1.5pt" o:hralign="center" o:hrstd="t" o:hr="t" fillcolor="#a0a0a0" stroked="f"/>
        </w:pict>
      </w:r>
    </w:p>
    <w:p w:rsidR="00000000" w:rsidRDefault="00AF3814">
      <w:pPr>
        <w:ind w:hanging="360"/>
        <w:jc w:val="both"/>
        <w:divId w:val="242956832"/>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158613448"/>
        <w:rPr>
          <w:rFonts w:eastAsia="Times New Roman"/>
        </w:rPr>
      </w:pPr>
      <w:r>
        <w:rPr>
          <w:rFonts w:eastAsia="Times New Roman"/>
          <w:b/>
          <w:bCs/>
          <w:color w:val="000000"/>
          <w:sz w:val="20"/>
          <w:szCs w:val="20"/>
        </w:rPr>
        <w:t>PART I—FINANCIAL INFORMATION</w:t>
      </w:r>
      <w:r>
        <w:rPr>
          <w:rFonts w:eastAsia="Times New Roman"/>
          <w:color w:val="000000"/>
          <w:sz w:val="20"/>
          <w:szCs w:val="20"/>
        </w:rPr>
        <w:t xml:space="preserve"> </w:t>
      </w:r>
    </w:p>
    <w:p w:rsidR="00000000" w:rsidRDefault="00AF3814">
      <w:pPr>
        <w:divId w:val="1064329712"/>
        <w:rPr>
          <w:rFonts w:eastAsia="Times New Roman"/>
        </w:rPr>
      </w:pPr>
      <w:r>
        <w:rPr>
          <w:rFonts w:eastAsia="Times New Roman"/>
          <w:b/>
          <w:bCs/>
          <w:color w:val="000000"/>
          <w:sz w:val="20"/>
          <w:szCs w:val="20"/>
        </w:rPr>
        <w:t xml:space="preserve">Item 2. Management’s Discussion and Analysis of Financial Condition and Results of Operations (“MD&amp;A”)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1847018247"/>
          <w:jc w:val="center"/>
        </w:trPr>
        <w:tc>
          <w:tcPr>
            <w:tcW w:w="50" w:type="pct"/>
            <w:vAlign w:val="center"/>
            <w:hideMark/>
          </w:tcPr>
          <w:p w:rsidR="00000000" w:rsidRDefault="00AF3814">
            <w:pPr>
              <w:rPr>
                <w:rFonts w:eastAsia="Times New Roman"/>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47018247"/>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p w:rsidR="00000000" w:rsidRDefault="00AF3814">
      <w:pPr>
        <w:jc w:val="both"/>
        <w:divId w:val="263458422"/>
        <w:rPr>
          <w:rFonts w:eastAsia="Times New Roman"/>
        </w:rPr>
      </w:pPr>
      <w:r>
        <w:rPr>
          <w:rFonts w:eastAsia="Times New Roman"/>
          <w:i/>
          <w:iCs/>
          <w:color w:val="000000"/>
          <w:sz w:val="20"/>
          <w:szCs w:val="20"/>
        </w:rPr>
        <w:t>This discussion contains forward-looking statements that are based upon management’</w:t>
      </w:r>
      <w:r>
        <w:rPr>
          <w:rFonts w:eastAsia="Times New Roman"/>
          <w:i/>
          <w:iCs/>
          <w:color w:val="000000"/>
          <w:sz w:val="20"/>
          <w:szCs w:val="20"/>
        </w:rPr>
        <w:t xml:space="preserve">s current expectations and are subject to significant uncertainties and changes in circumstances. Please review “MD&amp;A—Forward-Looking Statements” for more information on the forward-looking statements in this Quarterly Report on Form 10-Q (“this Report”). </w:t>
      </w:r>
      <w:r>
        <w:rPr>
          <w:rFonts w:eastAsia="Times New Roman"/>
          <w:i/>
          <w:iCs/>
          <w:color w:val="000000"/>
          <w:sz w:val="20"/>
          <w:szCs w:val="20"/>
        </w:rPr>
        <w:t>All statements that address operating performance, events or developments that we expect or anticipate will occur in the future, including those relating to operating results and “Note 13—Commitments, Contingencies, Guarantees and Others” as well as the po</w:t>
      </w:r>
      <w:r>
        <w:rPr>
          <w:rFonts w:eastAsia="Times New Roman"/>
          <w:i/>
          <w:iCs/>
          <w:color w:val="000000"/>
          <w:sz w:val="20"/>
          <w:szCs w:val="20"/>
        </w:rPr>
        <w:t xml:space="preserve">tential impacts of the COVID-19 pandemic described in “MD&amp;A—Introduction—Coronavirus Disease 2019 (COVID-19) Pandemic” are forward-looking statements. Our actual results may differ </w:t>
      </w:r>
      <w:r>
        <w:rPr>
          <w:rFonts w:eastAsia="Times New Roman"/>
          <w:i/>
          <w:iCs/>
          <w:color w:val="000000"/>
          <w:sz w:val="20"/>
          <w:szCs w:val="20"/>
        </w:rPr>
        <w:lastRenderedPageBreak/>
        <w:t>materially from those included in these forward-looking statements due to a</w:t>
      </w:r>
      <w:r>
        <w:rPr>
          <w:rFonts w:eastAsia="Times New Roman"/>
          <w:i/>
          <w:iCs/>
          <w:color w:val="000000"/>
          <w:sz w:val="20"/>
          <w:szCs w:val="20"/>
        </w:rPr>
        <w:t xml:space="preserve"> variety of factors including, but not limited to, those described in “Part I—Item 1A. Risk Factors” in our 2020 Annual Report on Form 10-K (“2020 Form 10-K”) and “Part II—Item 1A. Risk Factors” in this Report. Unless otherwise specified, references to not</w:t>
      </w:r>
      <w:r>
        <w:rPr>
          <w:rFonts w:eastAsia="Times New Roman"/>
          <w:i/>
          <w:iCs/>
          <w:color w:val="000000"/>
          <w:sz w:val="20"/>
          <w:szCs w:val="20"/>
        </w:rPr>
        <w:t>es to our consolidated financial statements refer to the notes to our consolidated financial statements as of June 30, 2021 included in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1397777773"/>
        </w:trPr>
        <w:tc>
          <w:tcPr>
            <w:tcW w:w="50" w:type="pct"/>
            <w:vAlign w:val="center"/>
            <w:hideMark/>
          </w:tcPr>
          <w:p w:rsidR="00000000" w:rsidRDefault="00AF3814">
            <w:pPr>
              <w:jc w:val="both"/>
              <w:rPr>
                <w:rFonts w:eastAsia="Times New Roman"/>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97777773"/>
          <w:trHeight w:val="60"/>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p w:rsidR="00000000" w:rsidRDefault="00AF3814">
      <w:pPr>
        <w:jc w:val="both"/>
        <w:divId w:val="983046730"/>
        <w:rPr>
          <w:rFonts w:eastAsia="Times New Roman"/>
        </w:rPr>
      </w:pPr>
      <w:r>
        <w:rPr>
          <w:rFonts w:eastAsia="Times New Roman"/>
          <w:color w:val="000000"/>
          <w:sz w:val="20"/>
          <w:szCs w:val="20"/>
        </w:rPr>
        <w:t xml:space="preserve">Management monitors a variety of key indicators to evaluate our business results and financial condition. The following MD&amp;A is provided as a supplement to, and should be read in conjunction with, our consolidated financial statements and related notes in </w:t>
      </w:r>
      <w:r>
        <w:rPr>
          <w:rFonts w:eastAsia="Times New Roman"/>
          <w:color w:val="000000"/>
          <w:sz w:val="20"/>
          <w:szCs w:val="20"/>
        </w:rPr>
        <w:t>this Report and the more detailed information contained in our 2020 Form 10-K.</w:t>
      </w:r>
    </w:p>
    <w:p w:rsidR="00000000" w:rsidRDefault="00AF3814">
      <w:pPr>
        <w:jc w:val="both"/>
        <w:divId w:val="32697719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26425423"/>
        </w:trPr>
        <w:tc>
          <w:tcPr>
            <w:tcW w:w="50" w:type="pct"/>
            <w:vAlign w:val="center"/>
            <w:hideMark/>
          </w:tcPr>
          <w:p w:rsidR="00000000" w:rsidRDefault="00AF3814">
            <w:pPr>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2642542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INTRODUCTION</w:t>
            </w:r>
          </w:p>
        </w:tc>
      </w:tr>
    </w:tbl>
    <w:p w:rsidR="00000000" w:rsidRDefault="00AF3814">
      <w:pPr>
        <w:jc w:val="both"/>
        <w:divId w:val="1410615157"/>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 xml:space="preserve">bsidiaries (the “Company”) offer a broad array of financial products and services to consumers, small businesses and commercial clients through digital channels, branches, Cafés and other distribution channels. </w:t>
      </w:r>
    </w:p>
    <w:p w:rsidR="00000000" w:rsidRDefault="00AF3814">
      <w:pPr>
        <w:jc w:val="both"/>
        <w:divId w:val="1602451580"/>
        <w:rPr>
          <w:rFonts w:eastAsia="Times New Roman"/>
        </w:rPr>
      </w:pPr>
      <w:r>
        <w:rPr>
          <w:rFonts w:eastAsia="Times New Roman"/>
          <w:color w:val="000000"/>
          <w:sz w:val="20"/>
          <w:szCs w:val="20"/>
        </w:rPr>
        <w:t>As of June 30, 2021, our principal subsidiar</w:t>
      </w:r>
      <w:r>
        <w:rPr>
          <w:rFonts w:eastAsia="Times New Roman"/>
          <w:color w:val="000000"/>
          <w:sz w:val="20"/>
          <w:szCs w:val="20"/>
        </w:rPr>
        <w:t>ies included:</w:t>
      </w:r>
    </w:p>
    <w:p w:rsidR="00000000" w:rsidRDefault="00AF3814">
      <w:pPr>
        <w:ind w:hanging="360"/>
        <w:jc w:val="both"/>
        <w:divId w:val="1443381939"/>
        <w:rPr>
          <w:rFonts w:eastAsia="Times New Roman"/>
        </w:rPr>
      </w:pPr>
      <w:r>
        <w:rPr>
          <w:rFonts w:eastAsia="Times New Roman"/>
          <w:color w:val="000000"/>
          <w:sz w:val="20"/>
          <w:szCs w:val="20"/>
        </w:rPr>
        <w:t>•Capital One Bank (USA), National Association (“COBNA”), which offers credit and debit card products, other lending products and deposit products; and</w:t>
      </w:r>
    </w:p>
    <w:p w:rsidR="00000000" w:rsidRDefault="00AF3814">
      <w:pPr>
        <w:ind w:hanging="360"/>
        <w:jc w:val="both"/>
        <w:divId w:val="1601260674"/>
        <w:rPr>
          <w:rFonts w:eastAsia="Times New Roman"/>
        </w:rPr>
      </w:pPr>
      <w:r>
        <w:rPr>
          <w:rFonts w:eastAsia="Times New Roman"/>
          <w:color w:val="000000"/>
          <w:sz w:val="20"/>
          <w:szCs w:val="20"/>
        </w:rPr>
        <w:t>•Capital One, National Association (“CONA”), which offers a broad spectrum of banking produ</w:t>
      </w:r>
      <w:r>
        <w:rPr>
          <w:rFonts w:eastAsia="Times New Roman"/>
          <w:color w:val="000000"/>
          <w:sz w:val="20"/>
          <w:szCs w:val="20"/>
        </w:rPr>
        <w:t>cts and financial services to consumers, small businesses and commercial clients.</w:t>
      </w:r>
    </w:p>
    <w:p w:rsidR="00000000" w:rsidRDefault="00AF3814">
      <w:pPr>
        <w:jc w:val="both"/>
        <w:divId w:val="1043484170"/>
        <w:rPr>
          <w:rFonts w:eastAsia="Times New Roman"/>
        </w:rPr>
      </w:pPr>
      <w:r>
        <w:rPr>
          <w:rFonts w:eastAsia="Times New Roman"/>
          <w:color w:val="000000"/>
          <w:sz w:val="20"/>
          <w:szCs w:val="20"/>
        </w:rPr>
        <w:t>The Company is hereafter collectively referred to as “we,” “us” or “our.” COBNA and CONA are collectively referred to as the “Banks.” Certain business terms used in this docu</w:t>
      </w:r>
      <w:r>
        <w:rPr>
          <w:rFonts w:eastAsia="Times New Roman"/>
          <w:color w:val="000000"/>
          <w:sz w:val="20"/>
          <w:szCs w:val="20"/>
        </w:rPr>
        <w:t>ment are defined in the “MD&amp;A—Glossary and Acronyms” and should be read in conjunction with the consolidated financial statements included in this Report.</w:t>
      </w:r>
    </w:p>
    <w:p w:rsidR="00000000" w:rsidRDefault="00AF3814">
      <w:pPr>
        <w:jc w:val="both"/>
        <w:divId w:val="1645619182"/>
        <w:rPr>
          <w:rFonts w:eastAsia="Times New Roman"/>
        </w:rPr>
      </w:pPr>
      <w:r>
        <w:rPr>
          <w:rFonts w:eastAsia="Times New Roman"/>
          <w:color w:val="000000"/>
          <w:sz w:val="20"/>
          <w:szCs w:val="20"/>
        </w:rPr>
        <w:t>Our consolidated total net revenues are derived primarily from lending to consumer, small business an</w:t>
      </w:r>
      <w:r>
        <w:rPr>
          <w:rFonts w:eastAsia="Times New Roman"/>
          <w:color w:val="000000"/>
          <w:sz w:val="20"/>
          <w:szCs w:val="20"/>
        </w:rPr>
        <w:t>d commercial customers net of funding costs associated with interest on deposits, long-term debt and other borrowings. We also earn non-interest income which primarily consists of interchange income, net of reward expenses, service charges and other custom</w:t>
      </w:r>
      <w:r>
        <w:rPr>
          <w:rFonts w:eastAsia="Times New Roman"/>
          <w:color w:val="000000"/>
          <w:sz w:val="20"/>
          <w:szCs w:val="20"/>
        </w:rPr>
        <w:t>er-related fees. Our expenses primarily consist of the provision for credit losses, operating expenses, marketing expenses and income taxes.</w:t>
      </w:r>
    </w:p>
    <w:p w:rsidR="00000000" w:rsidRDefault="00AF3814">
      <w:pPr>
        <w:jc w:val="both"/>
        <w:divId w:val="1747804871"/>
        <w:rPr>
          <w:rFonts w:eastAsia="Times New Roman"/>
        </w:rPr>
      </w:pPr>
      <w:r>
        <w:rPr>
          <w:rFonts w:eastAsia="Times New Roman"/>
          <w:color w:val="000000"/>
          <w:sz w:val="20"/>
          <w:szCs w:val="20"/>
        </w:rPr>
        <w:t xml:space="preserve">Our principal operations are organized for management reporting purposes into three major business segments, which </w:t>
      </w:r>
      <w:r>
        <w:rPr>
          <w:rFonts w:eastAsia="Times New Roman"/>
          <w:color w:val="000000"/>
          <w:sz w:val="20"/>
          <w:szCs w:val="20"/>
        </w:rPr>
        <w:t>are defined primarily based on the products and services provided or the types of customer served: Credit Card, Consumer Banking and Commercial Banking. The operations of acquired businesses have been integrated into or managed as a part of our existing bu</w:t>
      </w:r>
      <w:r>
        <w:rPr>
          <w:rFonts w:eastAsia="Times New Roman"/>
          <w:color w:val="000000"/>
          <w:sz w:val="20"/>
          <w:szCs w:val="20"/>
        </w:rPr>
        <w:t>siness segments. Certain activities that are not part of a segment, such as management of our corporate investment portfolio, asset/liability management by our centralized Corporate Treasury group and residual tax expense or benefit to arrive at the consol</w:t>
      </w:r>
      <w:r>
        <w:rPr>
          <w:rFonts w:eastAsia="Times New Roman"/>
          <w:color w:val="000000"/>
          <w:sz w:val="20"/>
          <w:szCs w:val="20"/>
        </w:rPr>
        <w:t xml:space="preserve">idated effective tax rate that is not assessed to our primary business segments, are included in the Other category. </w:t>
      </w:r>
    </w:p>
    <w:p w:rsidR="00000000" w:rsidRDefault="00AF3814">
      <w:pPr>
        <w:ind w:hanging="360"/>
        <w:jc w:val="both"/>
        <w:divId w:val="490290664"/>
        <w:rPr>
          <w:rFonts w:eastAsia="Times New Roman"/>
        </w:rPr>
      </w:pPr>
      <w:r>
        <w:rPr>
          <w:rFonts w:eastAsia="Times New Roman"/>
          <w:color w:val="000000"/>
          <w:sz w:val="20"/>
          <w:szCs w:val="20"/>
        </w:rPr>
        <w:t>•</w:t>
      </w:r>
      <w:r>
        <w:rPr>
          <w:rFonts w:eastAsia="Times New Roman"/>
          <w:i/>
          <w:iCs/>
          <w:color w:val="000000"/>
          <w:sz w:val="20"/>
          <w:szCs w:val="20"/>
        </w:rPr>
        <w:t>Credit Card:</w:t>
      </w:r>
      <w:r>
        <w:rPr>
          <w:rFonts w:eastAsia="Times New Roman"/>
          <w:color w:val="000000"/>
          <w:sz w:val="20"/>
          <w:szCs w:val="20"/>
        </w:rPr>
        <w:t xml:space="preserve"> Consists of our domestic consumer and small business card lending, and international card businesses in Canada and the Unite</w:t>
      </w:r>
      <w:r>
        <w:rPr>
          <w:rFonts w:eastAsia="Times New Roman"/>
          <w:color w:val="000000"/>
          <w:sz w:val="20"/>
          <w:szCs w:val="20"/>
        </w:rPr>
        <w:t>d Kingdom (“U.K.”).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96429517"/>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96429517"/>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96429517"/>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29" style="width:0;height:1.5pt" o:hralign="center" o:hrstd="t" o:hr="t" fillcolor="#a0a0a0" stroked="f"/>
        </w:pict>
      </w:r>
    </w:p>
    <w:p w:rsidR="00000000" w:rsidRDefault="00AF3814">
      <w:pPr>
        <w:ind w:hanging="360"/>
        <w:jc w:val="both"/>
        <w:divId w:val="197047292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ind w:hanging="360"/>
        <w:jc w:val="both"/>
        <w:divId w:val="736056385"/>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w:t>
      </w:r>
      <w:r>
        <w:rPr>
          <w:rFonts w:eastAsia="Times New Roman"/>
          <w:color w:val="000000"/>
          <w:sz w:val="20"/>
          <w:szCs w:val="20"/>
        </w:rPr>
        <w:t>Consists of our deposit gathering and lending activities for consumers and small businesses, and national auto lending.</w:t>
      </w:r>
    </w:p>
    <w:p w:rsidR="00000000" w:rsidRDefault="00AF3814">
      <w:pPr>
        <w:ind w:hanging="360"/>
        <w:jc w:val="both"/>
        <w:divId w:val="1935630442"/>
        <w:rPr>
          <w:rFonts w:eastAsia="Times New Roman"/>
        </w:rPr>
      </w:pPr>
      <w:r>
        <w:rPr>
          <w:rFonts w:eastAsia="Times New Roman"/>
          <w:color w:val="000000"/>
          <w:sz w:val="20"/>
          <w:szCs w:val="20"/>
        </w:rPr>
        <w:t>•</w:t>
      </w:r>
      <w:r>
        <w:rPr>
          <w:rFonts w:eastAsia="Times New Roman"/>
          <w:i/>
          <w:iCs/>
          <w:color w:val="000000"/>
          <w:sz w:val="20"/>
          <w:szCs w:val="20"/>
        </w:rPr>
        <w:t>Commercial Banking:</w:t>
      </w:r>
      <w:r>
        <w:rPr>
          <w:rFonts w:eastAsia="Times New Roman"/>
          <w:color w:val="000000"/>
          <w:sz w:val="20"/>
          <w:szCs w:val="20"/>
        </w:rPr>
        <w:t xml:space="preserve"> Consists of our lending, deposit gathering, capital markets and treasury management services to commercial real est</w:t>
      </w:r>
      <w:r>
        <w:rPr>
          <w:rFonts w:eastAsia="Times New Roman"/>
          <w:color w:val="000000"/>
          <w:sz w:val="20"/>
          <w:szCs w:val="20"/>
        </w:rPr>
        <w:t>ate and commercial and industrial customers. Our commercial and industrial customers typically include companies with annual revenues between $20 million and $2 billion.</w:t>
      </w:r>
    </w:p>
    <w:p w:rsidR="00000000" w:rsidRDefault="00AF3814">
      <w:pPr>
        <w:divId w:val="1852335661"/>
        <w:rPr>
          <w:rFonts w:eastAsia="Times New Roman"/>
        </w:rPr>
      </w:pPr>
      <w:r>
        <w:rPr>
          <w:rFonts w:eastAsia="Times New Roman"/>
          <w:b/>
          <w:bCs/>
          <w:color w:val="000000"/>
          <w:sz w:val="20"/>
          <w:szCs w:val="20"/>
        </w:rPr>
        <w:t>Business Developments</w:t>
      </w:r>
    </w:p>
    <w:p w:rsidR="00000000" w:rsidRDefault="00AF3814">
      <w:pPr>
        <w:jc w:val="both"/>
        <w:divId w:val="1763792217"/>
        <w:rPr>
          <w:rFonts w:eastAsia="Times New Roman"/>
        </w:rPr>
      </w:pPr>
      <w:r>
        <w:rPr>
          <w:rFonts w:eastAsia="Times New Roman"/>
          <w:color w:val="000000"/>
          <w:sz w:val="20"/>
          <w:szCs w:val="20"/>
        </w:rPr>
        <w:t>We regularly explore and evaluate opportunities to acquire finan</w:t>
      </w:r>
      <w:r>
        <w:rPr>
          <w:rFonts w:eastAsia="Times New Roman"/>
          <w:color w:val="000000"/>
          <w:sz w:val="20"/>
          <w:szCs w:val="20"/>
        </w:rPr>
        <w:t xml:space="preserve">cial services and products as well as financial assets, including credit card and other loan portfolios, and enter into strategic partnerships as part of our growth strategy. We also explore opportunities to acquire technology companies and related assets </w:t>
      </w:r>
      <w:r>
        <w:rPr>
          <w:rFonts w:eastAsia="Times New Roman"/>
          <w:color w:val="000000"/>
          <w:sz w:val="20"/>
          <w:szCs w:val="20"/>
        </w:rPr>
        <w:t>to improve our information technology infrastructure and to deliver on our digital strategy. We may issue equity or debt to fund our acquisitions. In addition, we regularly consider the potential disposition of certain assets, branches, partnership agreeme</w:t>
      </w:r>
      <w:r>
        <w:rPr>
          <w:rFonts w:eastAsia="Times New Roman"/>
          <w:color w:val="000000"/>
          <w:sz w:val="20"/>
          <w:szCs w:val="20"/>
        </w:rPr>
        <w:t>nts or lines of business.</w:t>
      </w:r>
    </w:p>
    <w:p w:rsidR="00000000" w:rsidRDefault="00AF3814">
      <w:pPr>
        <w:divId w:val="1644890993"/>
        <w:rPr>
          <w:rFonts w:eastAsia="Times New Roman"/>
        </w:rPr>
      </w:pPr>
      <w:r>
        <w:rPr>
          <w:rFonts w:eastAsia="Times New Roman"/>
          <w:b/>
          <w:bCs/>
          <w:color w:val="000000"/>
          <w:sz w:val="20"/>
          <w:szCs w:val="20"/>
        </w:rPr>
        <w:t xml:space="preserve">Coronavirus Disease 2019 (COVID-19) Pandemic </w:t>
      </w:r>
    </w:p>
    <w:p w:rsidR="00000000" w:rsidRDefault="00AF3814">
      <w:pPr>
        <w:jc w:val="both"/>
        <w:divId w:val="2087991106"/>
        <w:rPr>
          <w:rFonts w:eastAsia="Times New Roman"/>
        </w:rPr>
      </w:pPr>
      <w:r>
        <w:rPr>
          <w:rFonts w:eastAsia="Times New Roman"/>
          <w:color w:val="000000"/>
          <w:sz w:val="20"/>
          <w:szCs w:val="20"/>
        </w:rPr>
        <w:t>The COVID-19 pandemic resulted in a global public-health crisis, disrupting economies and introducing significant volatility into financial markets. We transformed how we work in order to protect the well-being of our associates and our customers, and were</w:t>
      </w:r>
      <w:r>
        <w:rPr>
          <w:rFonts w:eastAsia="Times New Roman"/>
          <w:color w:val="000000"/>
          <w:sz w:val="20"/>
          <w:szCs w:val="20"/>
        </w:rPr>
        <w:t xml:space="preserve"> able to continue to serve our customers, successfully manage critical functions, and keep our lines of business operating.</w:t>
      </w:r>
    </w:p>
    <w:p w:rsidR="00000000" w:rsidRDefault="00AF3814">
      <w:pPr>
        <w:jc w:val="both"/>
        <w:divId w:val="1926958144"/>
        <w:rPr>
          <w:rFonts w:eastAsia="Times New Roman"/>
        </w:rPr>
      </w:pPr>
      <w:r>
        <w:rPr>
          <w:rFonts w:eastAsia="Times New Roman"/>
          <w:color w:val="000000"/>
          <w:sz w:val="20"/>
          <w:szCs w:val="20"/>
        </w:rPr>
        <w:t>Since the start of the COVID-19 pandemic, a significant majority of our associates across our workforce have transitioned to working</w:t>
      </w:r>
      <w:r>
        <w:rPr>
          <w:rFonts w:eastAsia="Times New Roman"/>
          <w:color w:val="000000"/>
          <w:sz w:val="20"/>
          <w:szCs w:val="20"/>
        </w:rPr>
        <w:t xml:space="preserve"> remotely, relying on our technology infrastructure and systems that have been designed for resilience and security. The majority of our associates will continue to work remotely through the summer of 2021. Our current plan is to adopt a hybrid work method</w:t>
      </w:r>
      <w:r>
        <w:rPr>
          <w:rFonts w:eastAsia="Times New Roman"/>
          <w:color w:val="000000"/>
          <w:sz w:val="20"/>
          <w:szCs w:val="20"/>
        </w:rPr>
        <w:t xml:space="preserve">ology on September 7, 2021 that allows for in-office collaboration while still enabling associates to work remotely. We continue to monitor local conditions to ensure the safety of our associates. </w:t>
      </w:r>
    </w:p>
    <w:p w:rsidR="00000000" w:rsidRDefault="00AF3814">
      <w:pPr>
        <w:jc w:val="both"/>
        <w:divId w:val="1825509656"/>
        <w:rPr>
          <w:rFonts w:eastAsia="Times New Roman"/>
        </w:rPr>
      </w:pPr>
      <w:r>
        <w:rPr>
          <w:rFonts w:eastAsia="Times New Roman"/>
          <w:color w:val="000000"/>
          <w:sz w:val="20"/>
          <w:szCs w:val="20"/>
        </w:rPr>
        <w:t>For more information see “Part I—Item 1. Business—Overview</w:t>
      </w:r>
      <w:r>
        <w:rPr>
          <w:rFonts w:eastAsia="Times New Roman"/>
          <w:color w:val="000000"/>
          <w:sz w:val="20"/>
          <w:szCs w:val="20"/>
        </w:rPr>
        <w:t>—Coronavirus Disease 2019 (COVID-19) Pandemic” and “Part I—Item 1A. Risk Factors” in our 2020 Form 10-K along with “Part I—Item 2. MD&amp;A—Introduction—Coronavirus Disease 2019 (COVID-19) Pandemic” and “Part I—Item 2. MD&amp;A—Credit Risk Profile—COVID-19 Custome</w:t>
      </w:r>
      <w:r>
        <w:rPr>
          <w:rFonts w:eastAsia="Times New Roman"/>
          <w:color w:val="000000"/>
          <w:sz w:val="20"/>
          <w:szCs w:val="20"/>
        </w:rPr>
        <w:t>r Assistance Programs and Loan Modifications” in our Quarterly Report on Form 10-Q for the period ended March 31,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1533650"/>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71533650"/>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153365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30" style="width:0;height:1.5pt" o:hralign="center" o:hrstd="t" o:hr="t" fillcolor="#a0a0a0" stroked="f"/>
        </w:pict>
      </w:r>
    </w:p>
    <w:p w:rsidR="00000000" w:rsidRDefault="00AF3814">
      <w:pPr>
        <w:ind w:hanging="360"/>
        <w:jc w:val="both"/>
        <w:divId w:val="1180436868"/>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60165729"/>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86016572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SELECTED FINANCIAL DATA</w:t>
            </w:r>
          </w:p>
        </w:tc>
      </w:tr>
    </w:tbl>
    <w:p w:rsidR="00000000" w:rsidRDefault="00AF3814">
      <w:pPr>
        <w:jc w:val="both"/>
        <w:divId w:val="311058986"/>
        <w:rPr>
          <w:rFonts w:eastAsia="Times New Roman"/>
        </w:rPr>
      </w:pPr>
      <w:r>
        <w:rPr>
          <w:rFonts w:eastAsia="Times New Roman"/>
          <w:color w:val="000000"/>
          <w:sz w:val="20"/>
          <w:szCs w:val="20"/>
        </w:rPr>
        <w:t>The following table presents selected consolidated financial data and performance from our results of operations for the second quarter and first six months of 2021 and 2020 and selected comparative balance sheet data as of June 30, 2021 and December 31, 2</w:t>
      </w:r>
      <w:r>
        <w:rPr>
          <w:rFonts w:eastAsia="Times New Roman"/>
          <w:color w:val="000000"/>
          <w:sz w:val="20"/>
          <w:szCs w:val="20"/>
        </w:rPr>
        <w:t>020. We also provide selected key metrics we use in evaluating our performance, including certain metrics that are computed using non-GAAP measures. We consider these metrics to be key financial measures that management uses in assessing our operating perf</w:t>
      </w:r>
      <w:r>
        <w:rPr>
          <w:rFonts w:eastAsia="Times New Roman"/>
          <w:color w:val="000000"/>
          <w:sz w:val="20"/>
          <w:szCs w:val="20"/>
        </w:rPr>
        <w:t>ormance, capital adequacy and the level of returns generated. We believe these non-GAAP metrics provide useful insight to investors and users of our financial information as they provide an alternate measurement of our performance and assist in assessing o</w:t>
      </w:r>
      <w:r>
        <w:rPr>
          <w:rFonts w:eastAsia="Times New Roman"/>
          <w:color w:val="000000"/>
          <w:sz w:val="20"/>
          <w:szCs w:val="20"/>
        </w:rPr>
        <w:t>ur capital adequacy and the level of return generated.</w:t>
      </w:r>
    </w:p>
    <w:p w:rsidR="00000000" w:rsidRDefault="00AF3814">
      <w:pPr>
        <w:divId w:val="183440710"/>
        <w:rPr>
          <w:rFonts w:eastAsia="Times New Roman"/>
        </w:rPr>
      </w:pPr>
      <w:r>
        <w:rPr>
          <w:rFonts w:eastAsia="Times New Roman"/>
          <w:b/>
          <w:bCs/>
          <w:color w:val="000000"/>
          <w:sz w:val="18"/>
          <w:szCs w:val="18"/>
        </w:rPr>
        <w:t xml:space="preserve">Table 1: </w:t>
      </w:r>
      <w:r>
        <w:rPr>
          <w:rFonts w:eastAsia="Times New Roman"/>
          <w:b/>
          <w:bCs/>
          <w:color w:val="000000"/>
          <w:sz w:val="20"/>
          <w:szCs w:val="20"/>
        </w:rPr>
        <w:t>Consolidated Financial Highlights</w:t>
      </w:r>
    </w:p>
    <w:tbl>
      <w:tblPr>
        <w:tblW w:w="5000" w:type="pct"/>
        <w:tblCellMar>
          <w:top w:w="15" w:type="dxa"/>
          <w:left w:w="15" w:type="dxa"/>
          <w:bottom w:w="15" w:type="dxa"/>
          <w:right w:w="15" w:type="dxa"/>
        </w:tblCellMar>
        <w:tblLook w:val="04A0" w:firstRow="1" w:lastRow="0" w:firstColumn="1" w:lastColumn="0" w:noHBand="0" w:noVBand="1"/>
      </w:tblPr>
      <w:tblGrid>
        <w:gridCol w:w="39"/>
        <w:gridCol w:w="2370"/>
        <w:gridCol w:w="38"/>
        <w:gridCol w:w="36"/>
        <w:gridCol w:w="36"/>
        <w:gridCol w:w="36"/>
        <w:gridCol w:w="110"/>
        <w:gridCol w:w="630"/>
        <w:gridCol w:w="36"/>
        <w:gridCol w:w="36"/>
        <w:gridCol w:w="36"/>
        <w:gridCol w:w="36"/>
        <w:gridCol w:w="110"/>
        <w:gridCol w:w="630"/>
        <w:gridCol w:w="36"/>
        <w:gridCol w:w="36"/>
        <w:gridCol w:w="36"/>
        <w:gridCol w:w="36"/>
        <w:gridCol w:w="62"/>
        <w:gridCol w:w="497"/>
        <w:gridCol w:w="170"/>
        <w:gridCol w:w="36"/>
        <w:gridCol w:w="36"/>
        <w:gridCol w:w="36"/>
        <w:gridCol w:w="110"/>
        <w:gridCol w:w="595"/>
        <w:gridCol w:w="36"/>
        <w:gridCol w:w="36"/>
        <w:gridCol w:w="36"/>
        <w:gridCol w:w="36"/>
        <w:gridCol w:w="110"/>
        <w:gridCol w:w="630"/>
        <w:gridCol w:w="36"/>
        <w:gridCol w:w="36"/>
        <w:gridCol w:w="36"/>
        <w:gridCol w:w="36"/>
        <w:gridCol w:w="36"/>
        <w:gridCol w:w="36"/>
        <w:gridCol w:w="36"/>
        <w:gridCol w:w="36"/>
        <w:gridCol w:w="36"/>
        <w:gridCol w:w="36"/>
        <w:gridCol w:w="36"/>
        <w:gridCol w:w="36"/>
        <w:gridCol w:w="36"/>
        <w:gridCol w:w="36"/>
        <w:gridCol w:w="36"/>
        <w:gridCol w:w="36"/>
        <w:gridCol w:w="36"/>
        <w:gridCol w:w="36"/>
        <w:gridCol w:w="66"/>
        <w:gridCol w:w="493"/>
        <w:gridCol w:w="170"/>
        <w:gridCol w:w="36"/>
        <w:gridCol w:w="36"/>
        <w:gridCol w:w="36"/>
        <w:gridCol w:w="36"/>
        <w:gridCol w:w="36"/>
      </w:tblGrid>
      <w:tr w:rsidR="00000000">
        <w:trPr>
          <w:divId w:val="1189828840"/>
        </w:trPr>
        <w:tc>
          <w:tcPr>
            <w:tcW w:w="50" w:type="pct"/>
            <w:vAlign w:val="center"/>
            <w:hideMark/>
          </w:tcPr>
          <w:p w:rsidR="00000000" w:rsidRDefault="00AF3814">
            <w:pPr>
              <w:rPr>
                <w:rFonts w:eastAsia="Times New Roman"/>
              </w:rPr>
            </w:pPr>
          </w:p>
        </w:tc>
        <w:tc>
          <w:tcPr>
            <w:tcW w:w="199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per share data and as noted)</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rsidR="00000000" w:rsidRDefault="00AF3814">
            <w:pPr>
              <w:spacing w:after="100"/>
              <w:jc w:val="center"/>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Income statement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5,460 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11,565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11,485 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1,096 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2,320 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net revenue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14,487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13,805 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(1,160)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4,246 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(1,983)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9,669 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Marketing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273 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Operating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3,497 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6,585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6,735 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4,568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(1,460)</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8,764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(3,363)</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(543)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(1,106)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(917)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6,864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(2,257)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3,536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(918)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6,861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(30)</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(58)</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(145)</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Issuance cost for redeemed preferred stock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Net income (loss)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6,682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(2,429)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Common share statistics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 per basic common share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Diluted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 per diluted common share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Weighted-average common shares outstanding (in millions):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 xml:space="preserve">Basic </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456.7 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457.1 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Diluted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456.7 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457.1 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Common shares outstanding (period-end, in millions)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446.1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456.3 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446.1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456.3 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Dividends declared and paid per common share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0.40 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0.80 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608970502"/>
              <w:rPr>
                <w:rFonts w:eastAsia="Times New Roman"/>
              </w:rPr>
            </w:pPr>
            <w:r>
              <w:rPr>
                <w:rFonts w:eastAsia="Times New Roman"/>
                <w:color w:val="000000"/>
                <w:sz w:val="18"/>
                <w:szCs w:val="18"/>
              </w:rPr>
              <w:t>Tangible book value per common share (period-end</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97.20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78.82 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97.20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78.82 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Balance sheet (average balances)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246,463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253,358 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7"/>
                <w:szCs w:val="17"/>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7"/>
                <w:szCs w:val="17"/>
              </w:rPr>
              <w:t>245,207</w:t>
            </w: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258,124 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390,129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378,145 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389,355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366,746 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424,099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411,075 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422,959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400,845 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8982884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273,476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261,256 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273,417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251,185 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31" style="width:0;height:1.5pt" o:hralign="center" o:hrstd="t" o:hr="t" fillcolor="#a0a0a0" stroked="f"/>
        </w:pict>
      </w:r>
    </w:p>
    <w:p w:rsidR="00000000" w:rsidRDefault="00AF3814">
      <w:pPr>
        <w:ind w:hanging="360"/>
        <w:jc w:val="both"/>
        <w:divId w:val="1542127875"/>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1729"/>
        <w:gridCol w:w="38"/>
        <w:gridCol w:w="36"/>
        <w:gridCol w:w="36"/>
        <w:gridCol w:w="36"/>
        <w:gridCol w:w="111"/>
        <w:gridCol w:w="578"/>
        <w:gridCol w:w="200"/>
        <w:gridCol w:w="36"/>
        <w:gridCol w:w="36"/>
        <w:gridCol w:w="36"/>
        <w:gridCol w:w="110"/>
        <w:gridCol w:w="540"/>
        <w:gridCol w:w="170"/>
        <w:gridCol w:w="36"/>
        <w:gridCol w:w="36"/>
        <w:gridCol w:w="36"/>
        <w:gridCol w:w="62"/>
        <w:gridCol w:w="497"/>
        <w:gridCol w:w="271"/>
        <w:gridCol w:w="36"/>
        <w:gridCol w:w="36"/>
        <w:gridCol w:w="36"/>
        <w:gridCol w:w="111"/>
        <w:gridCol w:w="578"/>
        <w:gridCol w:w="200"/>
        <w:gridCol w:w="36"/>
        <w:gridCol w:w="36"/>
        <w:gridCol w:w="36"/>
        <w:gridCol w:w="110"/>
        <w:gridCol w:w="630"/>
        <w:gridCol w:w="170"/>
        <w:gridCol w:w="36"/>
        <w:gridCol w:w="36"/>
        <w:gridCol w:w="36"/>
        <w:gridCol w:w="36"/>
        <w:gridCol w:w="36"/>
        <w:gridCol w:w="36"/>
        <w:gridCol w:w="36"/>
        <w:gridCol w:w="36"/>
        <w:gridCol w:w="36"/>
        <w:gridCol w:w="36"/>
        <w:gridCol w:w="36"/>
        <w:gridCol w:w="36"/>
        <w:gridCol w:w="36"/>
        <w:gridCol w:w="36"/>
        <w:gridCol w:w="36"/>
        <w:gridCol w:w="36"/>
        <w:gridCol w:w="36"/>
        <w:gridCol w:w="66"/>
        <w:gridCol w:w="493"/>
        <w:gridCol w:w="271"/>
        <w:gridCol w:w="36"/>
        <w:gridCol w:w="36"/>
        <w:gridCol w:w="36"/>
        <w:gridCol w:w="36"/>
        <w:gridCol w:w="36"/>
      </w:tblGrid>
      <w:tr w:rsidR="00000000">
        <w:trPr>
          <w:divId w:val="362638883"/>
        </w:trPr>
        <w:tc>
          <w:tcPr>
            <w:tcW w:w="50" w:type="pct"/>
            <w:vAlign w:val="center"/>
            <w:hideMark/>
          </w:tcPr>
          <w:p w:rsidR="00000000" w:rsidRDefault="00AF3814">
            <w:pPr>
              <w:ind w:hanging="360"/>
              <w:jc w:val="both"/>
              <w:rPr>
                <w:rFonts w:eastAsia="Times New Roman"/>
              </w:rPr>
            </w:pPr>
          </w:p>
        </w:tc>
        <w:tc>
          <w:tcPr>
            <w:tcW w:w="199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per share data and as noted)</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rsidR="00000000" w:rsidRDefault="00AF3814">
            <w:pPr>
              <w:spacing w:after="100"/>
              <w:jc w:val="center"/>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308,217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288,344 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306,645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276,498 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Borrowings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37,054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49,827 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38,475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50,810 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Common equity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56,885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52,413 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56,333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52,799 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62,376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57,623 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61,504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58,096 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 </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AF3814">
            <w:pPr>
              <w:spacing w:after="100"/>
              <w:jc w:val="right"/>
              <w:rPr>
                <w:rFonts w:eastAsia="Times New Roman"/>
              </w:rPr>
            </w:pPr>
            <w:r>
              <w:rPr>
                <w:rFonts w:eastAsia="Times New Roman"/>
                <w:b/>
                <w:bCs/>
                <w:color w:val="000000"/>
                <w:sz w:val="18"/>
                <w:szCs w:val="18"/>
              </w:rPr>
              <w:t>132,676</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90,149 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7"/>
                <w:szCs w:val="17"/>
              </w:rPr>
              <w:t>$</w:t>
            </w:r>
          </w:p>
        </w:tc>
        <w:tc>
          <w:tcPr>
            <w:tcW w:w="0" w:type="auto"/>
            <w:gridSpan w:val="2"/>
            <w:shd w:val="clear" w:color="auto" w:fill="FFFFFF"/>
            <w:tcMar>
              <w:top w:w="30" w:type="dxa"/>
              <w:left w:w="0" w:type="dxa"/>
              <w:bottom w:w="30" w:type="dxa"/>
              <w:right w:w="140" w:type="dxa"/>
            </w:tcMar>
            <w:vAlign w:val="center"/>
            <w:hideMark/>
          </w:tcPr>
          <w:p w:rsidR="00000000" w:rsidRDefault="00AF3814">
            <w:pPr>
              <w:spacing w:after="100"/>
              <w:jc w:val="right"/>
              <w:rPr>
                <w:rFonts w:eastAsia="Times New Roman"/>
              </w:rPr>
            </w:pPr>
            <w:r>
              <w:rPr>
                <w:rFonts w:eastAsia="Times New Roman"/>
                <w:b/>
                <w:bCs/>
                <w:color w:val="000000"/>
                <w:sz w:val="17"/>
                <w:szCs w:val="17"/>
              </w:rPr>
              <w:t>241,009</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190,069 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745880141"/>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6.93 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margin</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6.26 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610015141"/>
              <w:rPr>
                <w:rFonts w:eastAsia="Times New Roman"/>
              </w:rPr>
            </w:pPr>
            <w:r>
              <w:rPr>
                <w:rFonts w:eastAsia="Times New Roman"/>
                <w:color w:val="000000"/>
                <w:sz w:val="18"/>
                <w:szCs w:val="18"/>
              </w:rPr>
              <w:t>Return on average asset</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(0.89)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735081307"/>
              <w:rPr>
                <w:rFonts w:eastAsia="Times New Roman"/>
              </w:rPr>
            </w:pPr>
            <w:r>
              <w:rPr>
                <w:rFonts w:eastAsia="Times New Roman"/>
                <w:color w:val="000000"/>
                <w:sz w:val="18"/>
                <w:szCs w:val="18"/>
              </w:rPr>
              <w:t>Return on average tangible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(0.93)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365372385"/>
              <w:rPr>
                <w:rFonts w:eastAsia="Times New Roman"/>
              </w:rPr>
            </w:pPr>
            <w:r>
              <w:rPr>
                <w:rFonts w:eastAsia="Times New Roman"/>
                <w:color w:val="000000"/>
                <w:sz w:val="18"/>
                <w:szCs w:val="18"/>
              </w:rPr>
              <w:t>Return on average common equit</w:t>
            </w:r>
            <w:r>
              <w:rPr>
                <w:rFonts w:eastAsia="Times New Roman"/>
                <w:color w:val="000000"/>
                <w:sz w:val="18"/>
                <w:szCs w:val="18"/>
              </w:rPr>
              <w:t>y</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(9.20)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90981340"/>
              <w:rPr>
                <w:rFonts w:eastAsia="Times New Roman"/>
              </w:rPr>
            </w:pPr>
            <w:r>
              <w:rPr>
                <w:rFonts w:eastAsia="Times New Roman"/>
                <w:color w:val="000000"/>
                <w:sz w:val="18"/>
                <w:szCs w:val="18"/>
              </w:rPr>
              <w:t>Return on average tangible common equit</w:t>
            </w:r>
            <w:r>
              <w:rPr>
                <w:rFonts w:eastAsia="Times New Roman"/>
                <w:color w:val="000000"/>
                <w:sz w:val="18"/>
                <w:szCs w:val="18"/>
              </w:rPr>
              <w:t>y</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(10.74)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(12.81)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703094967"/>
              <w:rPr>
                <w:rFonts w:eastAsia="Times New Roman"/>
              </w:rPr>
            </w:pPr>
            <w:r>
              <w:rPr>
                <w:rFonts w:eastAsia="Times New Roman"/>
                <w:color w:val="000000"/>
                <w:sz w:val="18"/>
                <w:szCs w:val="18"/>
              </w:rPr>
              <w:t>Equity-to-assets rati</w:t>
            </w:r>
            <w:r>
              <w:rPr>
                <w:rFonts w:eastAsia="Times New Roman"/>
                <w:color w:val="000000"/>
                <w:sz w:val="18"/>
                <w:szCs w:val="18"/>
              </w:rPr>
              <w:t>o</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14.02 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14.49 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expense as a percentage of average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5.95 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49 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5.81 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039208330"/>
              <w:rPr>
                <w:rFonts w:eastAsia="Times New Roman"/>
              </w:rPr>
            </w:pPr>
            <w:r>
              <w:rPr>
                <w:rFonts w:eastAsia="Times New Roman"/>
                <w:color w:val="000000"/>
                <w:sz w:val="18"/>
                <w:szCs w:val="18"/>
              </w:rPr>
              <w:t>Efficiency rati</w:t>
            </w:r>
            <w:r>
              <w:rPr>
                <w:rFonts w:eastAsia="Times New Roman"/>
                <w:color w:val="000000"/>
                <w:sz w:val="18"/>
                <w:szCs w:val="18"/>
              </w:rPr>
              <w:t>o</w:t>
            </w:r>
            <w:r>
              <w:rPr>
                <w:rFonts w:eastAsia="Times New Roman"/>
                <w:color w:val="000000"/>
                <w:sz w:val="12"/>
                <w:szCs w:val="12"/>
              </w:rPr>
              <w:t>(8</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53.78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57.50 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53.19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54.32 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494346541"/>
              <w:rPr>
                <w:rFonts w:eastAsia="Times New Roman"/>
              </w:rPr>
            </w:pPr>
            <w:r>
              <w:rPr>
                <w:rFonts w:eastAsia="Times New Roman"/>
                <w:color w:val="000000"/>
                <w:sz w:val="18"/>
                <w:szCs w:val="18"/>
              </w:rPr>
              <w:t>Operating efficiency rati</w:t>
            </w:r>
            <w:r>
              <w:rPr>
                <w:rFonts w:eastAsia="Times New Roman"/>
                <w:color w:val="000000"/>
                <w:sz w:val="18"/>
                <w:szCs w:val="18"/>
              </w:rPr>
              <w:t>o</w:t>
            </w:r>
            <w:r>
              <w:rPr>
                <w:rFonts w:eastAsia="Times New Roman"/>
                <w:color w:val="000000"/>
                <w:sz w:val="12"/>
                <w:szCs w:val="12"/>
              </w:rPr>
              <w:t>(9</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53.34 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48.79 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Effective income tax rate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32.9 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1,505 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3,296 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626388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2.38 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2"/>
            <w:vAlign w:val="center"/>
            <w:hideMark/>
          </w:tcPr>
          <w:p w:rsidR="00000000" w:rsidRDefault="00AF3814">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056"/>
        <w:gridCol w:w="144"/>
        <w:gridCol w:w="144"/>
        <w:gridCol w:w="144"/>
        <w:gridCol w:w="144"/>
        <w:gridCol w:w="144"/>
        <w:gridCol w:w="1013"/>
        <w:gridCol w:w="144"/>
        <w:gridCol w:w="144"/>
        <w:gridCol w:w="144"/>
        <w:gridCol w:w="144"/>
        <w:gridCol w:w="144"/>
        <w:gridCol w:w="1049"/>
        <w:gridCol w:w="144"/>
        <w:gridCol w:w="144"/>
        <w:gridCol w:w="144"/>
        <w:gridCol w:w="144"/>
        <w:gridCol w:w="144"/>
        <w:gridCol w:w="672"/>
        <w:gridCol w:w="144"/>
        <w:gridCol w:w="480"/>
        <w:gridCol w:w="1440"/>
        <w:gridCol w:w="1440"/>
        <w:gridCol w:w="144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c>
          <w:tcPr>
            <w:tcW w:w="50" w:type="pct"/>
            <w:vAlign w:val="center"/>
            <w:hideMark/>
          </w:tcPr>
          <w:p w:rsidR="00000000" w:rsidRDefault="00AF3814">
            <w:pPr>
              <w:rPr>
                <w:rFonts w:eastAsia="Times New Roman"/>
              </w:rPr>
            </w:pPr>
          </w:p>
        </w:tc>
        <w:tc>
          <w:tcPr>
            <w:tcW w:w="30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1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Balance sheet (period-end)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249,597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251,624 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387,295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388,917 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423,420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421,602 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271,314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274,300 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306,308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305,442 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Borrowings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36,343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40,539 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Common equity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58,136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55,356 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64,624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60,204 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quality metrics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12,346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15,564 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as a percentage of loans held for investment (“allowance coverage ratio”)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6.19 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30+ day delinquency rate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Capital ratios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402673399"/>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325939305"/>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782648691"/>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153835013"/>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745637105"/>
              <w:rPr>
                <w:rFonts w:eastAsia="Times New Roman"/>
              </w:rPr>
            </w:pPr>
            <w:r>
              <w:rPr>
                <w:rFonts w:eastAsia="Times New Roman"/>
                <w:color w:val="000000"/>
                <w:sz w:val="18"/>
                <w:szCs w:val="18"/>
              </w:rPr>
              <w:t>Tangible common equit</w:t>
            </w:r>
            <w:r>
              <w:rPr>
                <w:rFonts w:eastAsia="Times New Roman"/>
                <w:color w:val="000000"/>
                <w:sz w:val="18"/>
                <w:szCs w:val="18"/>
              </w:rPr>
              <w:t>y</w:t>
            </w:r>
            <w:r>
              <w:rPr>
                <w:rFonts w:eastAsia="Times New Roman"/>
                <w:color w:val="000000"/>
                <w:sz w:val="12"/>
                <w:szCs w:val="12"/>
              </w:rPr>
              <w:t>(11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90071998"/>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(10)(12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Employees (period end, in thousands)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bl>
    <w:p w:rsidR="00000000" w:rsidRDefault="00AF3814">
      <w:pPr>
        <w:divId w:val="417101390"/>
        <w:rPr>
          <w:rFonts w:eastAsia="Times New Roman"/>
        </w:rPr>
      </w:pPr>
      <w:r>
        <w:rPr>
          <w:rFonts w:eastAsia="Times New Roman"/>
          <w:color w:val="000000"/>
          <w:sz w:val="20"/>
          <w:szCs w:val="20"/>
        </w:rPr>
        <w:t>________</w:t>
      </w:r>
      <w:r>
        <w:rPr>
          <w:rFonts w:eastAsia="Times New Roman"/>
          <w:color w:val="000000"/>
          <w:sz w:val="20"/>
          <w:szCs w:val="20"/>
        </w:rPr>
        <w:t>__</w:t>
      </w:r>
    </w:p>
    <w:p w:rsidR="00000000" w:rsidRDefault="00AF3814">
      <w:pPr>
        <w:ind w:hanging="360"/>
        <w:jc w:val="both"/>
        <w:divId w:val="9731025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Tangible book value per common share is a non-GAAP measure calculated based on tangible common equity divided by common shares outstanding. See “MD&amp;A—Table A —Reconciliation of Non-GAAP Measures” for additional information on non-GAAP measures.</w:t>
      </w:r>
    </w:p>
    <w:p w:rsidR="00000000" w:rsidRDefault="00AF3814">
      <w:pPr>
        <w:ind w:hanging="360"/>
        <w:jc w:val="both"/>
        <w:divId w:val="72995781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w:t>
      </w:r>
      <w:r>
        <w:rPr>
          <w:rFonts w:eastAsia="Times New Roman"/>
          <w:color w:val="000000"/>
          <w:sz w:val="16"/>
          <w:szCs w:val="16"/>
        </w:rPr>
        <w:t>tal net revenue margin is calculated based on annualized total net revenue for the period divided by average interest-earning assets for the period.</w:t>
      </w:r>
    </w:p>
    <w:p w:rsidR="00000000" w:rsidRDefault="00AF3814">
      <w:pPr>
        <w:ind w:hanging="360"/>
        <w:jc w:val="both"/>
        <w:divId w:val="79633942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Return on average assets is calculated based on annualized income from continuing operations, net of tax</w:t>
      </w:r>
      <w:r>
        <w:rPr>
          <w:rFonts w:eastAsia="Times New Roman"/>
          <w:color w:val="000000"/>
          <w:sz w:val="16"/>
          <w:szCs w:val="16"/>
        </w:rPr>
        <w:t>, for the period divided by average total assets for the period.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54970644"/>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5497064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55497064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32" style="width:0;height:1.5pt" o:hralign="center" o:hrstd="t" o:hr="t" fillcolor="#a0a0a0" stroked="f"/>
        </w:pict>
      </w:r>
    </w:p>
    <w:p w:rsidR="00000000" w:rsidRDefault="00AF3814">
      <w:pPr>
        <w:ind w:hanging="360"/>
        <w:jc w:val="both"/>
        <w:divId w:val="127035805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ind w:hanging="360"/>
        <w:jc w:val="both"/>
        <w:divId w:val="196060223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Return on average tangible assets is a non-GAAP measure calculated based on annualized income from continuing operations, net of tax, for th</w:t>
      </w:r>
      <w:r>
        <w:rPr>
          <w:rFonts w:eastAsia="Times New Roman"/>
          <w:color w:val="000000"/>
          <w:sz w:val="16"/>
          <w:szCs w:val="16"/>
        </w:rPr>
        <w:t>e period divided by average tangible assets for the period. See “MD&amp;A—Table A—Reconciliation of Non-GAAP Measures” for additional information on non-GAAP measures.</w:t>
      </w:r>
    </w:p>
    <w:p w:rsidR="00000000" w:rsidRDefault="00AF3814">
      <w:pPr>
        <w:ind w:hanging="360"/>
        <w:jc w:val="both"/>
        <w:divId w:val="1665161059"/>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Return on average common equity is calculated based on annualized net income (loss) available to common stockholders less annualized income (loss) from discontinued operations, net of tax, for the period, divided by average common equity. Our calculation o</w:t>
      </w:r>
      <w:r>
        <w:rPr>
          <w:rFonts w:eastAsia="Times New Roman"/>
          <w:color w:val="000000"/>
          <w:sz w:val="16"/>
          <w:szCs w:val="16"/>
        </w:rPr>
        <w:t>f return on average common equity may not be comparable to similarly-titled measures reported by other companies.</w:t>
      </w:r>
    </w:p>
    <w:p w:rsidR="00000000" w:rsidRDefault="00AF3814">
      <w:pPr>
        <w:ind w:hanging="360"/>
        <w:jc w:val="both"/>
        <w:divId w:val="420638800"/>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Return on average tangible common equity (“TCE”) is a non-GAAP measure calculated based on annualized net income (loss) available to common</w:t>
      </w:r>
      <w:r>
        <w:rPr>
          <w:rFonts w:eastAsia="Times New Roman"/>
          <w:color w:val="000000"/>
          <w:sz w:val="16"/>
          <w:szCs w:val="16"/>
        </w:rPr>
        <w:t xml:space="preserve"> stockholders less annualized income (loss) from discontinued operations, net of tax, for the period, divided by average tangible common equity. Our calculation of return on average TCE may not be comparable to similarly-titled measures reported by other c</w:t>
      </w:r>
      <w:r>
        <w:rPr>
          <w:rFonts w:eastAsia="Times New Roman"/>
          <w:color w:val="000000"/>
          <w:sz w:val="16"/>
          <w:szCs w:val="16"/>
        </w:rPr>
        <w:t>ompanies. See “MD&amp;A—Table A—Reconciliation of Non-GAAP Measures” for additional information on non-GAAP measures.</w:t>
      </w:r>
    </w:p>
    <w:p w:rsidR="00000000" w:rsidRDefault="00AF3814">
      <w:pPr>
        <w:ind w:hanging="360"/>
        <w:jc w:val="both"/>
        <w:divId w:val="1511749091"/>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Equity-to-assets ratio is calculated based on average stockholders’ equity for the period divided by average total assets for the period.</w:t>
      </w:r>
    </w:p>
    <w:p w:rsidR="00000000" w:rsidRDefault="00AF3814">
      <w:pPr>
        <w:ind w:hanging="360"/>
        <w:jc w:val="both"/>
        <w:divId w:val="1107120476"/>
        <w:rPr>
          <w:rFonts w:eastAsia="Times New Roman"/>
        </w:rPr>
      </w:pPr>
      <w:r>
        <w:rPr>
          <w:rFonts w:eastAsia="Times New Roman"/>
          <w:color w:val="000000"/>
          <w:sz w:val="10"/>
          <w:szCs w:val="10"/>
        </w:rPr>
        <w:t>(</w:t>
      </w: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Efficiency ratio is calculated based on total non-interest expense for the period divided by total net revenue for the period.</w:t>
      </w:r>
    </w:p>
    <w:p w:rsidR="00000000" w:rsidRDefault="00AF3814">
      <w:pPr>
        <w:ind w:hanging="360"/>
        <w:jc w:val="both"/>
        <w:divId w:val="1400396844"/>
        <w:rPr>
          <w:rFonts w:eastAsia="Times New Roman"/>
        </w:rPr>
      </w:pPr>
      <w:r>
        <w:rPr>
          <w:rFonts w:eastAsia="Times New Roman"/>
          <w:color w:val="000000"/>
          <w:sz w:val="10"/>
          <w:szCs w:val="10"/>
        </w:rPr>
        <w:t>(9</w:t>
      </w:r>
      <w:r>
        <w:rPr>
          <w:rFonts w:eastAsia="Times New Roman"/>
          <w:color w:val="000000"/>
          <w:sz w:val="10"/>
          <w:szCs w:val="10"/>
        </w:rPr>
        <w:t>)</w:t>
      </w:r>
      <w:r>
        <w:rPr>
          <w:rFonts w:eastAsia="Times New Roman"/>
          <w:color w:val="000000"/>
          <w:sz w:val="16"/>
          <w:szCs w:val="16"/>
        </w:rPr>
        <w:t>Operating efficiency ratio is calculated based on operating expense for the period divided by total net revenue for the peri</w:t>
      </w:r>
      <w:r>
        <w:rPr>
          <w:rFonts w:eastAsia="Times New Roman"/>
          <w:color w:val="000000"/>
          <w:sz w:val="16"/>
          <w:szCs w:val="16"/>
        </w:rPr>
        <w:t>od.</w:t>
      </w:r>
    </w:p>
    <w:p w:rsidR="00000000" w:rsidRDefault="00AF3814">
      <w:pPr>
        <w:ind w:hanging="360"/>
        <w:jc w:val="both"/>
        <w:divId w:val="765730001"/>
        <w:rPr>
          <w:rFonts w:eastAsia="Times New Roman"/>
        </w:rPr>
      </w:pPr>
      <w:r>
        <w:rPr>
          <w:rFonts w:eastAsia="Times New Roman"/>
          <w:color w:val="000000"/>
          <w:sz w:val="10"/>
          <w:szCs w:val="10"/>
        </w:rPr>
        <w:t>(10</w:t>
      </w:r>
      <w:r>
        <w:rPr>
          <w:rFonts w:eastAsia="Times New Roman"/>
          <w:color w:val="000000"/>
          <w:sz w:val="10"/>
          <w:szCs w:val="10"/>
        </w:rPr>
        <w:t>)</w:t>
      </w:r>
      <w:r>
        <w:rPr>
          <w:rFonts w:eastAsia="Times New Roman"/>
          <w:color w:val="000000"/>
          <w:sz w:val="16"/>
          <w:szCs w:val="16"/>
        </w:rPr>
        <w:t>Capital ratios are calculated based on the Basel III Standardized Approach framework, see “MD&amp;A—Capital Management” for additional information.</w:t>
      </w:r>
    </w:p>
    <w:p w:rsidR="00000000" w:rsidRDefault="00AF3814">
      <w:pPr>
        <w:ind w:hanging="360"/>
        <w:jc w:val="both"/>
        <w:divId w:val="443576947"/>
        <w:rPr>
          <w:rFonts w:eastAsia="Times New Roman"/>
        </w:rPr>
      </w:pPr>
      <w:r>
        <w:rPr>
          <w:rFonts w:eastAsia="Times New Roman"/>
          <w:color w:val="000000"/>
          <w:sz w:val="10"/>
          <w:szCs w:val="10"/>
        </w:rPr>
        <w:t>(11</w:t>
      </w:r>
      <w:r>
        <w:rPr>
          <w:rFonts w:eastAsia="Times New Roman"/>
          <w:color w:val="000000"/>
          <w:sz w:val="10"/>
          <w:szCs w:val="10"/>
        </w:rPr>
        <w:t>)</w:t>
      </w:r>
      <w:r>
        <w:rPr>
          <w:rFonts w:eastAsia="Times New Roman"/>
          <w:color w:val="000000"/>
          <w:sz w:val="16"/>
          <w:szCs w:val="16"/>
        </w:rPr>
        <w:t>Tangible common equity ratio is a non-GAAP measure calculated based on TCE divided by tangible asset</w:t>
      </w:r>
      <w:r>
        <w:rPr>
          <w:rFonts w:eastAsia="Times New Roman"/>
          <w:color w:val="000000"/>
          <w:sz w:val="16"/>
          <w:szCs w:val="16"/>
        </w:rPr>
        <w:t>s. See “MD&amp;A—Table A—Reconciliation of Non-GAAP Measures” for the calculation of this measure and reconciliation to the comparative U.S. GAAP measure.</w:t>
      </w:r>
    </w:p>
    <w:p w:rsidR="00000000" w:rsidRDefault="00AF3814">
      <w:pPr>
        <w:ind w:hanging="360"/>
        <w:jc w:val="both"/>
        <w:divId w:val="1360357823"/>
        <w:rPr>
          <w:rFonts w:eastAsia="Times New Roman"/>
        </w:rPr>
      </w:pPr>
      <w:r>
        <w:rPr>
          <w:rFonts w:eastAsia="Times New Roman"/>
          <w:color w:val="000000"/>
          <w:sz w:val="10"/>
          <w:szCs w:val="10"/>
        </w:rPr>
        <w:t>(12</w:t>
      </w:r>
      <w:r>
        <w:rPr>
          <w:rFonts w:eastAsia="Times New Roman"/>
          <w:color w:val="000000"/>
          <w:sz w:val="10"/>
          <w:szCs w:val="10"/>
        </w:rPr>
        <w:t>)</w:t>
      </w:r>
      <w:r>
        <w:rPr>
          <w:rFonts w:eastAsia="Times New Roman"/>
          <w:color w:val="000000"/>
          <w:sz w:val="16"/>
          <w:szCs w:val="16"/>
        </w:rPr>
        <w:t>The Company’s supplementary leverage ratio as of December 31, 2020 reflected the temporary exclusions</w:t>
      </w:r>
      <w:r>
        <w:rPr>
          <w:rFonts w:eastAsia="Times New Roman"/>
          <w:color w:val="000000"/>
          <w:sz w:val="16"/>
          <w:szCs w:val="16"/>
        </w:rPr>
        <w:t xml:space="preserve"> of U.S Treasury securities and deposits at Federal Reserve Banks from the denominator of the supplementary leverage ratio. See “Part I—Item 1. Business—Supervision and Regulation—Capital and Liquidity Regulation” in our 2020 Form 10-K for additional detai</w:t>
      </w:r>
      <w:r>
        <w:rPr>
          <w:rFonts w:eastAsia="Times New Roman"/>
          <w:color w:val="000000"/>
          <w:sz w:val="16"/>
          <w:szCs w:val="16"/>
        </w:rPr>
        <w:t>ls.</w:t>
      </w:r>
    </w:p>
    <w:p w:rsidR="00000000" w:rsidRDefault="00AF3814">
      <w:pPr>
        <w:ind w:hanging="360"/>
        <w:jc w:val="both"/>
        <w:divId w:val="1870684177"/>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19540522"/>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519540522"/>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519540522"/>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33" style="width:0;height:1.5pt" o:hralign="center" o:hrstd="t" o:hr="t" fillcolor="#a0a0a0" stroked="f"/>
        </w:pict>
      </w:r>
    </w:p>
    <w:p w:rsidR="00000000" w:rsidRDefault="00AF3814">
      <w:pPr>
        <w:ind w:hanging="360"/>
        <w:jc w:val="both"/>
        <w:divId w:val="1749691253"/>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76489406"/>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7648940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EXECUTIVE SUMMARY AND BUSINESS OUTLOOK</w:t>
            </w:r>
          </w:p>
        </w:tc>
      </w:tr>
    </w:tbl>
    <w:p w:rsidR="00000000" w:rsidRDefault="00AF3814">
      <w:pPr>
        <w:divId w:val="2103915130"/>
        <w:rPr>
          <w:rFonts w:eastAsia="Times New Roman"/>
        </w:rPr>
      </w:pPr>
      <w:r>
        <w:rPr>
          <w:rFonts w:eastAsia="Times New Roman"/>
          <w:b/>
          <w:bCs/>
          <w:color w:val="000000"/>
          <w:sz w:val="20"/>
          <w:szCs w:val="20"/>
        </w:rPr>
        <w:t>Financial Highlights</w:t>
      </w:r>
    </w:p>
    <w:p w:rsidR="00000000" w:rsidRDefault="00AF3814">
      <w:pPr>
        <w:jc w:val="both"/>
        <w:divId w:val="127863494"/>
        <w:rPr>
          <w:rFonts w:eastAsia="Times New Roman"/>
        </w:rPr>
      </w:pPr>
      <w:r>
        <w:rPr>
          <w:rFonts w:eastAsia="Times New Roman"/>
          <w:color w:val="000000"/>
          <w:sz w:val="20"/>
          <w:szCs w:val="20"/>
        </w:rPr>
        <w:t>We reported net income of $3.5 billion ($7.62 per diluted common share) on total revenue of $7.4 billion and net income of $6.9 billion ($14.65 per diluted common share) on total net revenue of $14.5 billion for the second quarter and first six months of 2</w:t>
      </w:r>
      <w:r>
        <w:rPr>
          <w:rFonts w:eastAsia="Times New Roman"/>
          <w:color w:val="000000"/>
          <w:sz w:val="20"/>
          <w:szCs w:val="20"/>
        </w:rPr>
        <w:t>021. In comparison, we reported net loss of $918 million ($2.21 per diluted common share) on total net revenue of $6.6 billion and net loss of $2.3 billion ($5.31 per diluted common share) on total net revenue of $13.8 billion for the second quarter and fi</w:t>
      </w:r>
      <w:r>
        <w:rPr>
          <w:rFonts w:eastAsia="Times New Roman"/>
          <w:color w:val="000000"/>
          <w:sz w:val="20"/>
          <w:szCs w:val="20"/>
        </w:rPr>
        <w:t>rst six months of 2020.</w:t>
      </w:r>
    </w:p>
    <w:p w:rsidR="00000000" w:rsidRDefault="00AF3814">
      <w:pPr>
        <w:jc w:val="both"/>
        <w:divId w:val="1449079906"/>
        <w:rPr>
          <w:rFonts w:eastAsia="Times New Roman"/>
        </w:rPr>
      </w:pPr>
      <w:r>
        <w:rPr>
          <w:rFonts w:eastAsia="Times New Roman"/>
          <w:color w:val="000000"/>
          <w:sz w:val="20"/>
          <w:szCs w:val="20"/>
        </w:rPr>
        <w:t>Our common equity Tier 1 capital ratio as calculated under the Basel III Standardized Approach was 14.5% and 13.7% as of June 30, 2021 and December 31, 2020, respectively. See “MD&amp;A—Capital Management” for additional information.</w:t>
      </w:r>
    </w:p>
    <w:p w:rsidR="00000000" w:rsidRDefault="00AF3814">
      <w:pPr>
        <w:jc w:val="both"/>
        <w:divId w:val="536816016"/>
        <w:rPr>
          <w:rFonts w:eastAsia="Times New Roman"/>
        </w:rPr>
      </w:pPr>
      <w:r>
        <w:rPr>
          <w:rFonts w:eastAsia="Times New Roman"/>
          <w:color w:val="000000"/>
          <w:sz w:val="20"/>
          <w:szCs w:val="20"/>
        </w:rPr>
        <w:t>On</w:t>
      </w:r>
      <w:r>
        <w:rPr>
          <w:rFonts w:eastAsia="Times New Roman"/>
          <w:color w:val="000000"/>
          <w:sz w:val="20"/>
          <w:szCs w:val="20"/>
        </w:rPr>
        <w:t xml:space="preserve"> January 25, 2021, our Board of Directors authorized the repurchase of up to $7.5 billion of shares of our common stock. We repurchased approximately $1.7 billion of shares of our common stock during the second quarter of 2021 and $2.2 billion during the f</w:t>
      </w:r>
      <w:r>
        <w:rPr>
          <w:rFonts w:eastAsia="Times New Roman"/>
          <w:color w:val="000000"/>
          <w:sz w:val="20"/>
          <w:szCs w:val="20"/>
        </w:rPr>
        <w:t>irst six months of 2021, consistent with the Federal Reserve’s temporary capital distribution restrictions in place during the first six months of 2021. See “MD&amp;A—Capital Management—Dividend Policy and Stock Purchases” for additional information.</w:t>
      </w:r>
    </w:p>
    <w:p w:rsidR="00000000" w:rsidRDefault="00AF3814">
      <w:pPr>
        <w:jc w:val="both"/>
        <w:divId w:val="411201077"/>
        <w:rPr>
          <w:rFonts w:eastAsia="Times New Roman"/>
        </w:rPr>
      </w:pPr>
      <w:r>
        <w:rPr>
          <w:rFonts w:eastAsia="Times New Roman"/>
          <w:color w:val="000000"/>
          <w:sz w:val="20"/>
          <w:szCs w:val="20"/>
        </w:rPr>
        <w:t>Below are</w:t>
      </w:r>
      <w:r>
        <w:rPr>
          <w:rFonts w:eastAsia="Times New Roman"/>
          <w:color w:val="000000"/>
          <w:sz w:val="20"/>
          <w:szCs w:val="20"/>
        </w:rPr>
        <w:t xml:space="preserve"> additional highlights of our performance in the second quarter and first six months of 2021. These highlights are based on a comparison between the results of the second quarter and first six months of 2021 and 2020, except as otherwise noted. The changes</w:t>
      </w:r>
      <w:r>
        <w:rPr>
          <w:rFonts w:eastAsia="Times New Roman"/>
          <w:color w:val="000000"/>
          <w:sz w:val="20"/>
          <w:szCs w:val="20"/>
        </w:rPr>
        <w:t xml:space="preserve"> in our financial condition and credit performance are generally based on our financial condition and credit performance as of June 30, 2021 compared to December 31, 2020. We provide a more detailed discussion of our financial performance in the sections f</w:t>
      </w:r>
      <w:r>
        <w:rPr>
          <w:rFonts w:eastAsia="Times New Roman"/>
          <w:color w:val="000000"/>
          <w:sz w:val="20"/>
          <w:szCs w:val="20"/>
        </w:rPr>
        <w:t>ollowing this “Executive Summary and Business Outlook.”</w:t>
      </w:r>
    </w:p>
    <w:p w:rsidR="00000000" w:rsidRDefault="00AF3814">
      <w:pPr>
        <w:divId w:val="132144108"/>
        <w:rPr>
          <w:rFonts w:eastAsia="Times New Roman"/>
        </w:rPr>
      </w:pPr>
      <w:r>
        <w:rPr>
          <w:rFonts w:eastAsia="Times New Roman"/>
          <w:b/>
          <w:bCs/>
          <w:i/>
          <w:iCs/>
          <w:color w:val="000000"/>
          <w:sz w:val="20"/>
          <w:szCs w:val="20"/>
        </w:rPr>
        <w:t>Total Company Performance</w:t>
      </w:r>
    </w:p>
    <w:p w:rsidR="00000000" w:rsidRDefault="00AF3814">
      <w:pPr>
        <w:ind w:hanging="360"/>
        <w:jc w:val="both"/>
        <w:divId w:val="582226438"/>
        <w:rPr>
          <w:rFonts w:eastAsia="Times New Roman"/>
        </w:rPr>
      </w:pPr>
      <w:r>
        <w:rPr>
          <w:rFonts w:eastAsia="Times New Roman"/>
          <w:i/>
          <w:iCs/>
          <w:color w:val="000000"/>
          <w:sz w:val="20"/>
          <w:szCs w:val="20"/>
        </w:rPr>
        <w:t xml:space="preserve">•Earnings: </w:t>
      </w:r>
      <w:r>
        <w:rPr>
          <w:rFonts w:eastAsia="Times New Roman"/>
          <w:color w:val="000000"/>
          <w:sz w:val="20"/>
          <w:szCs w:val="20"/>
        </w:rPr>
        <w:t>Our net income increased by $4.5 billion to $3.5 billion in the second quarter of 2021 compared to the second quarter of 2020 and increased by $9.1 billion to $6.9 billion in the first six months of 2021 compared to the first six months of 2020 primarily d</w:t>
      </w:r>
      <w:r>
        <w:rPr>
          <w:rFonts w:eastAsia="Times New Roman"/>
          <w:color w:val="000000"/>
          <w:sz w:val="20"/>
          <w:szCs w:val="20"/>
        </w:rPr>
        <w:t xml:space="preserve">riven by: </w:t>
      </w:r>
    </w:p>
    <w:p w:rsidR="00000000" w:rsidRDefault="00AF3814">
      <w:pPr>
        <w:spacing w:before="180" w:after="60"/>
        <w:ind w:hanging="360"/>
        <w:divId w:val="1887520070"/>
        <w:rPr>
          <w:rFonts w:eastAsia="Times New Roman"/>
        </w:rPr>
      </w:pPr>
      <w:r>
        <w:rPr>
          <w:rFonts w:eastAsia="Times New Roman"/>
          <w:b/>
          <w:bCs/>
          <w:color w:val="000000"/>
          <w:sz w:val="18"/>
          <w:szCs w:val="18"/>
        </w:rPr>
        <w:t>◦</w:t>
      </w:r>
      <w:r>
        <w:rPr>
          <w:rFonts w:eastAsia="Times New Roman"/>
          <w:color w:val="000000"/>
          <w:sz w:val="20"/>
          <w:szCs w:val="20"/>
        </w:rPr>
        <w:t xml:space="preserve">lower provision resulting from allowance releases in the first and second quarters of 2021 due to continued strong credit performance and an improved economic outlook compared to allowance builds in the first and second quarters of 2020 driven </w:t>
      </w:r>
      <w:r>
        <w:rPr>
          <w:rFonts w:eastAsia="Times New Roman"/>
          <w:color w:val="000000"/>
          <w:sz w:val="20"/>
          <w:szCs w:val="20"/>
        </w:rPr>
        <w:t xml:space="preserve">by expectations of economic worsening at the start of the COVID-19 pandemic; </w:t>
      </w:r>
    </w:p>
    <w:p w:rsidR="00000000" w:rsidRDefault="00AF3814">
      <w:pPr>
        <w:spacing w:before="180" w:after="180"/>
        <w:ind w:hanging="360"/>
        <w:jc w:val="both"/>
        <w:divId w:val="738987208"/>
        <w:rPr>
          <w:rFonts w:eastAsia="Times New Roman"/>
        </w:rPr>
      </w:pPr>
      <w:r>
        <w:rPr>
          <w:rFonts w:eastAsia="Times New Roman"/>
          <w:b/>
          <w:bCs/>
          <w:color w:val="000000"/>
          <w:sz w:val="20"/>
          <w:szCs w:val="20"/>
        </w:rPr>
        <w:t>◦</w:t>
      </w:r>
      <w:r>
        <w:rPr>
          <w:rFonts w:eastAsia="Times New Roman"/>
          <w:color w:val="000000"/>
          <w:sz w:val="20"/>
          <w:szCs w:val="20"/>
        </w:rPr>
        <w:t>higher non-interest income from interchange fees due to an increase in purchase volume in Domestic Card; and</w:t>
      </w:r>
    </w:p>
    <w:p w:rsidR="00000000" w:rsidRDefault="00AF3814">
      <w:pPr>
        <w:spacing w:before="180" w:after="180"/>
        <w:ind w:hanging="360"/>
        <w:jc w:val="both"/>
        <w:divId w:val="1406027355"/>
        <w:rPr>
          <w:rFonts w:eastAsia="Times New Roman"/>
        </w:rPr>
      </w:pPr>
      <w:r>
        <w:rPr>
          <w:rFonts w:eastAsia="Times New Roman"/>
          <w:color w:val="000000"/>
          <w:sz w:val="20"/>
          <w:szCs w:val="20"/>
        </w:rPr>
        <w:t>◦</w:t>
      </w:r>
      <w:r>
        <w:rPr>
          <w:rFonts w:eastAsia="Times New Roman"/>
          <w:color w:val="000000"/>
          <w:sz w:val="20"/>
          <w:szCs w:val="20"/>
        </w:rPr>
        <w:t>higher net interest income due to lower interest rates paid on inte</w:t>
      </w:r>
      <w:r>
        <w:rPr>
          <w:rFonts w:eastAsia="Times New Roman"/>
          <w:color w:val="000000"/>
          <w:sz w:val="20"/>
          <w:szCs w:val="20"/>
        </w:rPr>
        <w:t>rest-bearing deposits and higher average outstanding balances in our auto loan portfolio, partially offset by lower average outstanding balances in our domestic card loan portfolio.</w:t>
      </w:r>
    </w:p>
    <w:p w:rsidR="00000000" w:rsidRDefault="00AF3814">
      <w:pPr>
        <w:ind w:hanging="360"/>
        <w:jc w:val="both"/>
        <w:divId w:val="715352377"/>
        <w:rPr>
          <w:rFonts w:eastAsia="Times New Roman"/>
        </w:rPr>
      </w:pPr>
      <w:r>
        <w:rPr>
          <w:rFonts w:eastAsia="Times New Roman"/>
          <w:i/>
          <w:iCs/>
          <w:color w:val="000000"/>
          <w:sz w:val="20"/>
          <w:szCs w:val="20"/>
        </w:rPr>
        <w:t>•Loans Held for Investment</w:t>
      </w:r>
      <w:r>
        <w:rPr>
          <w:rFonts w:eastAsia="Times New Roman"/>
          <w:color w:val="000000"/>
          <w:sz w:val="20"/>
          <w:szCs w:val="20"/>
        </w:rPr>
        <w:t>:</w:t>
      </w:r>
    </w:p>
    <w:p w:rsidR="00000000" w:rsidRDefault="00AF3814">
      <w:pPr>
        <w:spacing w:before="180" w:after="60"/>
        <w:ind w:hanging="360"/>
        <w:divId w:val="1202936362"/>
        <w:rPr>
          <w:rFonts w:eastAsia="Times New Roman"/>
        </w:rPr>
      </w:pPr>
      <w:r>
        <w:rPr>
          <w:rFonts w:eastAsia="Times New Roman"/>
          <w:b/>
          <w:bCs/>
          <w:color w:val="000000"/>
          <w:sz w:val="18"/>
          <w:szCs w:val="18"/>
          <w:shd w:val="clear" w:color="auto" w:fill="FFFFFF"/>
        </w:rPr>
        <w:t>◦</w:t>
      </w:r>
      <w:r>
        <w:rPr>
          <w:rFonts w:eastAsia="Times New Roman"/>
          <w:color w:val="000000"/>
          <w:sz w:val="20"/>
          <w:szCs w:val="20"/>
        </w:rPr>
        <w:t>Period-end loans held for investment decrease</w:t>
      </w:r>
      <w:r>
        <w:rPr>
          <w:rFonts w:eastAsia="Times New Roman"/>
          <w:color w:val="000000"/>
          <w:sz w:val="20"/>
          <w:szCs w:val="20"/>
        </w:rPr>
        <w:t>d by $2.0 billion to $249.6 billion as of June 30, 2021 from December 31, 2020 primarily due to higher customer payments and the transfer of $4.1 billion in loans to held for sale, partially offset by growth in our auto loan portfolio.</w:t>
      </w:r>
    </w:p>
    <w:p w:rsidR="00000000" w:rsidRDefault="00AF3814">
      <w:pPr>
        <w:spacing w:before="180" w:after="180"/>
        <w:ind w:hanging="360"/>
        <w:jc w:val="both"/>
        <w:divId w:val="619268424"/>
        <w:rPr>
          <w:rFonts w:eastAsia="Times New Roman"/>
        </w:rPr>
      </w:pPr>
      <w:r>
        <w:rPr>
          <w:rFonts w:eastAsia="Times New Roman"/>
          <w:i/>
          <w:iCs/>
          <w:color w:val="000000"/>
          <w:sz w:val="20"/>
          <w:szCs w:val="20"/>
        </w:rPr>
        <w:t>◦</w:t>
      </w:r>
      <w:r>
        <w:rPr>
          <w:rFonts w:eastAsia="Times New Roman"/>
          <w:color w:val="000000"/>
          <w:sz w:val="20"/>
          <w:szCs w:val="20"/>
        </w:rPr>
        <w:t>Average loans held for investment decreased by $6.9 billion to $246.5 billion in the second quarter of 2021 compared to the second quarter of 2020 and decreased by $12.9 billion to $245.2 billion in the first six months of 2021 compared to the first six mo</w:t>
      </w:r>
      <w:r>
        <w:rPr>
          <w:rFonts w:eastAsia="Times New Roman"/>
          <w:color w:val="000000"/>
          <w:sz w:val="20"/>
          <w:szCs w:val="20"/>
        </w:rPr>
        <w:t xml:space="preserve">nths of 2020 primarily driven by lower outstanding balances in Domestic Card due to higher customer payments, partially offset by higher purchase volume and growth in our auto loan portfolio. </w:t>
      </w:r>
    </w:p>
    <w:p w:rsidR="00000000" w:rsidRDefault="00AF3814">
      <w:pPr>
        <w:ind w:hanging="360"/>
        <w:jc w:val="both"/>
        <w:divId w:val="1724593182"/>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Our net charge-off rat</w:t>
      </w:r>
      <w:r>
        <w:rPr>
          <w:rFonts w:eastAsia="Times New Roman"/>
          <w:color w:val="000000"/>
          <w:sz w:val="20"/>
          <w:szCs w:val="20"/>
        </w:rPr>
        <w:t>e decreased by 150 basis points to 0.88% in the second quarter of 2021 compared to the second quarter of 2020 and decreased by 151 basis points to 1.04% in the first six months of 2021 compared to the first six months of 2020, primarily driven by strong cr</w:t>
      </w:r>
      <w:r>
        <w:rPr>
          <w:rFonts w:eastAsia="Times New Roman"/>
          <w:color w:val="000000"/>
          <w:sz w:val="20"/>
          <w:szCs w:val="20"/>
        </w:rPr>
        <w:t>edit performance in our domestic card and auto loan portfolios.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73983414"/>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77398341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77398341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34" style="width:0;height:1.5pt" o:hralign="center" o:hrstd="t" o:hr="t" fillcolor="#a0a0a0" stroked="f"/>
        </w:pict>
      </w:r>
    </w:p>
    <w:p w:rsidR="00000000" w:rsidRDefault="00AF3814">
      <w:pPr>
        <w:ind w:hanging="360"/>
        <w:jc w:val="both"/>
        <w:divId w:val="1486118822"/>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165125291"/>
        <w:rPr>
          <w:rFonts w:eastAsia="Times New Roman"/>
        </w:rPr>
      </w:pPr>
      <w:r>
        <w:rPr>
          <w:rFonts w:eastAsia="Times New Roman"/>
          <w:color w:val="000000"/>
          <w:sz w:val="20"/>
          <w:szCs w:val="20"/>
        </w:rPr>
        <w:t xml:space="preserve">Our 30+ day delinquency rate decreased by 72 basis </w:t>
      </w:r>
      <w:r>
        <w:rPr>
          <w:rFonts w:eastAsia="Times New Roman"/>
          <w:color w:val="000000"/>
          <w:sz w:val="20"/>
          <w:szCs w:val="20"/>
        </w:rPr>
        <w:t xml:space="preserve">points to 1.89% as of June 30, 2021 from December 31, 2020 due to seasonally lower delinquency inventories and strong credit performance in our auto and domestic card loan portfolios. </w:t>
      </w:r>
    </w:p>
    <w:p w:rsidR="00000000" w:rsidRDefault="00AF3814">
      <w:pPr>
        <w:ind w:hanging="360"/>
        <w:jc w:val="both"/>
        <w:divId w:val="1300649300"/>
        <w:rPr>
          <w:rFonts w:eastAsia="Times New Roman"/>
        </w:rPr>
      </w:pPr>
      <w:r>
        <w:rPr>
          <w:rFonts w:eastAsia="Times New Roman"/>
          <w:color w:val="000000"/>
          <w:sz w:val="20"/>
          <w:szCs w:val="20"/>
        </w:rPr>
        <w:t>•</w:t>
      </w:r>
      <w:r>
        <w:rPr>
          <w:rFonts w:eastAsia="Times New Roman"/>
          <w:i/>
          <w:iCs/>
          <w:color w:val="000000"/>
          <w:sz w:val="20"/>
          <w:szCs w:val="20"/>
        </w:rPr>
        <w:t>Allowance for Credit Losses:</w:t>
      </w:r>
      <w:r>
        <w:rPr>
          <w:rFonts w:eastAsia="Times New Roman"/>
          <w:color w:val="000000"/>
          <w:sz w:val="20"/>
          <w:szCs w:val="20"/>
        </w:rPr>
        <w:t xml:space="preserve"> Our allowance for credit losses decreased</w:t>
      </w:r>
      <w:r>
        <w:rPr>
          <w:rFonts w:eastAsia="Times New Roman"/>
          <w:color w:val="000000"/>
          <w:sz w:val="20"/>
          <w:szCs w:val="20"/>
        </w:rPr>
        <w:t xml:space="preserve"> by $3.2 billion to $12.3 billion, and our allowance coverage ratio decreased by 124 basis points to 4.95% as of June 30, 2021 from December 31, 2020, driven by strong credit performance and an improved economic outlook. </w:t>
      </w:r>
    </w:p>
    <w:p w:rsidR="00000000" w:rsidRDefault="00AF3814">
      <w:pPr>
        <w:divId w:val="374278132"/>
        <w:rPr>
          <w:rFonts w:eastAsia="Times New Roman"/>
        </w:rPr>
      </w:pPr>
      <w:r>
        <w:rPr>
          <w:rFonts w:eastAsia="Times New Roman"/>
          <w:b/>
          <w:bCs/>
          <w:color w:val="000000"/>
          <w:sz w:val="20"/>
          <w:szCs w:val="20"/>
        </w:rPr>
        <w:t xml:space="preserve">Business Outlook </w:t>
      </w:r>
    </w:p>
    <w:p w:rsidR="00000000" w:rsidRDefault="00AF3814">
      <w:pPr>
        <w:jc w:val="both"/>
        <w:divId w:val="930700262"/>
        <w:rPr>
          <w:rFonts w:eastAsia="Times New Roman"/>
        </w:rPr>
      </w:pPr>
      <w:r>
        <w:rPr>
          <w:rFonts w:eastAsia="Times New Roman"/>
          <w:color w:val="000000"/>
          <w:sz w:val="20"/>
          <w:szCs w:val="20"/>
        </w:rPr>
        <w:t>We discuss in th</w:t>
      </w:r>
      <w:r>
        <w:rPr>
          <w:rFonts w:eastAsia="Times New Roman"/>
          <w:color w:val="000000"/>
          <w:sz w:val="20"/>
          <w:szCs w:val="20"/>
        </w:rPr>
        <w:t>is Report our expectations as of the time this Report was filed regarding our total company performance and the performance of our business segments based on market conditions, the regulatory environment and our business strategies. The statements containe</w:t>
      </w:r>
      <w:r>
        <w:rPr>
          <w:rFonts w:eastAsia="Times New Roman"/>
          <w:color w:val="000000"/>
          <w:sz w:val="20"/>
          <w:szCs w:val="20"/>
        </w:rPr>
        <w:t>d in this Report are based on our current expectations regarding our outlook for our financial results and business strategies. Our expectations take into account, and should be read in conjunction with, our expectations regarding economic trends and analy</w:t>
      </w:r>
      <w:r>
        <w:rPr>
          <w:rFonts w:eastAsia="Times New Roman"/>
          <w:color w:val="000000"/>
          <w:sz w:val="20"/>
          <w:szCs w:val="20"/>
        </w:rPr>
        <w:t>sis of our business as discussed in “Part I—Item 1. Business” and “Part II—Item 7. MD&amp;A” in our 2020 Form 10-K. Certain statements are forward-looking statements within the meaning of the Private Securities Litigation Reform Act of 1995. Actual results cou</w:t>
      </w:r>
      <w:r>
        <w:rPr>
          <w:rFonts w:eastAsia="Times New Roman"/>
          <w:color w:val="000000"/>
          <w:sz w:val="20"/>
          <w:szCs w:val="20"/>
        </w:rPr>
        <w:t>ld differ materially from those in our forward-looking statements. Except as otherwise disclosed, forward-looking statements do not reflect:</w:t>
      </w:r>
    </w:p>
    <w:p w:rsidR="00000000" w:rsidRDefault="00AF3814">
      <w:pPr>
        <w:ind w:hanging="360"/>
        <w:jc w:val="both"/>
        <w:divId w:val="917129638"/>
        <w:rPr>
          <w:rFonts w:eastAsia="Times New Roman"/>
        </w:rPr>
      </w:pPr>
      <w:r>
        <w:rPr>
          <w:rFonts w:eastAsia="Times New Roman"/>
          <w:color w:val="000000"/>
          <w:sz w:val="20"/>
          <w:szCs w:val="20"/>
        </w:rPr>
        <w:t>•any change in current dividend or repurchase strategies;</w:t>
      </w:r>
    </w:p>
    <w:p w:rsidR="00000000" w:rsidRDefault="00AF3814">
      <w:pPr>
        <w:ind w:hanging="360"/>
        <w:jc w:val="both"/>
        <w:divId w:val="163323010"/>
        <w:rPr>
          <w:rFonts w:eastAsia="Times New Roman"/>
        </w:rPr>
      </w:pPr>
      <w:r>
        <w:rPr>
          <w:rFonts w:eastAsia="Times New Roman"/>
          <w:color w:val="000000"/>
          <w:sz w:val="20"/>
          <w:szCs w:val="20"/>
        </w:rPr>
        <w:t xml:space="preserve">•the effect of any acquisitions, divestitures or similar </w:t>
      </w:r>
      <w:r>
        <w:rPr>
          <w:rFonts w:eastAsia="Times New Roman"/>
          <w:color w:val="000000"/>
          <w:sz w:val="20"/>
          <w:szCs w:val="20"/>
        </w:rPr>
        <w:t>transactions that have not been previously disclosed; or</w:t>
      </w:r>
    </w:p>
    <w:p w:rsidR="00000000" w:rsidRDefault="00AF3814">
      <w:pPr>
        <w:ind w:hanging="360"/>
        <w:jc w:val="both"/>
        <w:divId w:val="1125465698"/>
        <w:rPr>
          <w:rFonts w:eastAsia="Times New Roman"/>
        </w:rPr>
      </w:pPr>
      <w:r>
        <w:rPr>
          <w:rFonts w:eastAsia="Times New Roman"/>
          <w:color w:val="000000"/>
          <w:sz w:val="20"/>
          <w:szCs w:val="20"/>
        </w:rPr>
        <w:t>•any changes in laws, regulations or regulatory interpretations, in each case after the date as of which such statements are made.</w:t>
      </w:r>
    </w:p>
    <w:p w:rsidR="00000000" w:rsidRDefault="00AF3814">
      <w:pPr>
        <w:jc w:val="both"/>
        <w:divId w:val="1556743969"/>
        <w:rPr>
          <w:rFonts w:eastAsia="Times New Roman"/>
        </w:rPr>
      </w:pPr>
      <w:r>
        <w:rPr>
          <w:rFonts w:eastAsia="Times New Roman"/>
          <w:color w:val="000000"/>
          <w:sz w:val="20"/>
          <w:szCs w:val="20"/>
        </w:rPr>
        <w:t>The extent to which the COVID-19 pandemic ultimately impacts our bus</w:t>
      </w:r>
      <w:r>
        <w:rPr>
          <w:rFonts w:eastAsia="Times New Roman"/>
          <w:color w:val="000000"/>
          <w:sz w:val="20"/>
          <w:szCs w:val="20"/>
        </w:rPr>
        <w:t>iness, results of operations, and financial condition will depend on future developments that are still uncertain and cannot be predicted, including the scope and duration of the COVID-19 pandemic and actions taken by governmental authorities and other thi</w:t>
      </w:r>
      <w:r>
        <w:rPr>
          <w:rFonts w:eastAsia="Times New Roman"/>
          <w:color w:val="000000"/>
          <w:sz w:val="20"/>
          <w:szCs w:val="20"/>
        </w:rPr>
        <w:t xml:space="preserve">rd parties in response to the COVID-19 pandemic. </w:t>
      </w:r>
    </w:p>
    <w:p w:rsidR="00000000" w:rsidRDefault="00AF3814">
      <w:pPr>
        <w:jc w:val="both"/>
        <w:divId w:val="438456099"/>
        <w:rPr>
          <w:rFonts w:eastAsia="Times New Roman"/>
        </w:rPr>
      </w:pPr>
      <w:r>
        <w:rPr>
          <w:rFonts w:eastAsia="Times New Roman"/>
          <w:color w:val="000000"/>
          <w:sz w:val="20"/>
          <w:szCs w:val="20"/>
        </w:rPr>
        <w:t>See “MD&amp;A—Forward-Looking Statements” in this Report for more information on the forward-looking statements and “Part I—Item 1A. Risk Factors” in our 2020 Form 10-K for factors that could materially influen</w:t>
      </w:r>
      <w:r>
        <w:rPr>
          <w:rFonts w:eastAsia="Times New Roman"/>
          <w:color w:val="000000"/>
          <w:sz w:val="20"/>
          <w:szCs w:val="20"/>
        </w:rPr>
        <w:t>ce our results.</w:t>
      </w:r>
    </w:p>
    <w:p w:rsidR="00000000" w:rsidRDefault="00AF3814">
      <w:pPr>
        <w:jc w:val="both"/>
        <w:divId w:val="279579715"/>
        <w:rPr>
          <w:rFonts w:eastAsia="Times New Roman"/>
        </w:rPr>
      </w:pPr>
      <w:r>
        <w:rPr>
          <w:rFonts w:eastAsia="Times New Roman"/>
          <w:b/>
          <w:bCs/>
          <w:i/>
          <w:iCs/>
          <w:color w:val="000000"/>
          <w:sz w:val="20"/>
          <w:szCs w:val="20"/>
        </w:rPr>
        <w:t>Business Segment Expectations</w:t>
      </w:r>
    </w:p>
    <w:p w:rsidR="00000000" w:rsidRDefault="00AF3814">
      <w:pPr>
        <w:divId w:val="1877623063"/>
        <w:rPr>
          <w:rFonts w:eastAsia="Times New Roman"/>
        </w:rPr>
      </w:pPr>
      <w:r>
        <w:rPr>
          <w:rFonts w:eastAsia="Times New Roman"/>
          <w:color w:val="000000"/>
          <w:sz w:val="20"/>
          <w:szCs w:val="20"/>
        </w:rPr>
        <w:t>We expect that the auto net charge-off rate will increase from the unusually low level observed in the second quarter of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49922098"/>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249922098"/>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249922098"/>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35" style="width:0;height:1.5pt" o:hralign="center" o:hrstd="t" o:hr="t" fillcolor="#a0a0a0" stroked="f"/>
        </w:pict>
      </w:r>
    </w:p>
    <w:p w:rsidR="00000000" w:rsidRDefault="00AF3814">
      <w:pPr>
        <w:ind w:hanging="360"/>
        <w:jc w:val="both"/>
        <w:divId w:val="1062096712"/>
        <w:rPr>
          <w:rFonts w:eastAsia="Times New Roman"/>
        </w:rPr>
      </w:pPr>
      <w:hyperlink w:anchor="id204df94663d4fc396719e5188ae3420_10"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023167511"/>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02316751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CONSOLIDATED RESULTS OF OPERATIONS</w:t>
            </w:r>
          </w:p>
        </w:tc>
      </w:tr>
    </w:tbl>
    <w:p w:rsidR="00000000" w:rsidRDefault="00AF3814">
      <w:pPr>
        <w:jc w:val="both"/>
        <w:divId w:val="604846969"/>
        <w:rPr>
          <w:rFonts w:eastAsia="Times New Roman"/>
        </w:rPr>
      </w:pPr>
      <w:r>
        <w:rPr>
          <w:rFonts w:eastAsia="Times New Roman"/>
          <w:color w:val="000000"/>
          <w:sz w:val="20"/>
          <w:szCs w:val="20"/>
        </w:rPr>
        <w:t>The section below provides a comparative discussion of our consolidated financial performance for the second quarter and first six months of 2021 and 2020. We provide a discussion of our business segment results in the following section, “MD&amp;A—Business Seg</w:t>
      </w:r>
      <w:r>
        <w:rPr>
          <w:rFonts w:eastAsia="Times New Roman"/>
          <w:color w:val="000000"/>
          <w:sz w:val="20"/>
          <w:szCs w:val="20"/>
        </w:rPr>
        <w:t>ment Financial Performance.” This section should be read together with our “MD&amp;A—Executive Summary and Business Outlook,” where we discuss trends and other factors that we expect will affect our future results of operations.</w:t>
      </w:r>
    </w:p>
    <w:p w:rsidR="00000000" w:rsidRDefault="00AF3814">
      <w:pPr>
        <w:divId w:val="687603845"/>
        <w:rPr>
          <w:rFonts w:eastAsia="Times New Roman"/>
        </w:rPr>
      </w:pPr>
      <w:r>
        <w:rPr>
          <w:rFonts w:eastAsia="Times New Roman"/>
          <w:b/>
          <w:bCs/>
          <w:color w:val="000000"/>
          <w:sz w:val="20"/>
          <w:szCs w:val="20"/>
        </w:rPr>
        <w:t>Net Interest Income</w:t>
      </w:r>
    </w:p>
    <w:p w:rsidR="00000000" w:rsidRDefault="00AF3814">
      <w:pPr>
        <w:jc w:val="both"/>
        <w:divId w:val="1816796310"/>
        <w:rPr>
          <w:rFonts w:eastAsia="Times New Roman"/>
        </w:rPr>
      </w:pPr>
      <w:r>
        <w:rPr>
          <w:rFonts w:eastAsia="Times New Roman"/>
          <w:color w:val="000000"/>
          <w:sz w:val="20"/>
          <w:szCs w:val="20"/>
        </w:rPr>
        <w:t>Net interest income represents the difference between interest income, including certain fees, earned on our interest-earning assets and the interest expense incurred on our interest-bearing liabilities. Our interest-earning assets include loans, investmen</w:t>
      </w:r>
      <w:r>
        <w:rPr>
          <w:rFonts w:eastAsia="Times New Roman"/>
          <w:color w:val="000000"/>
          <w:sz w:val="20"/>
          <w:szCs w:val="20"/>
        </w:rPr>
        <w:t>t securities and other interest-earning assets, while our interest-bearing liabilities include interest-bearing deposits, securitized debt obligations, senior and subordinated notes, other borrowings and other interest-bearing liabilities. Generally, we in</w:t>
      </w:r>
      <w:r>
        <w:rPr>
          <w:rFonts w:eastAsia="Times New Roman"/>
          <w:color w:val="000000"/>
          <w:sz w:val="20"/>
          <w:szCs w:val="20"/>
        </w:rPr>
        <w:t>clude in interest income any past due fees on loans that we deem collectible. Our net interest margin, based on our consolidated results, represents the difference between the yield on our interest-earning assets and the cost of our interest-bearing liabil</w:t>
      </w:r>
      <w:r>
        <w:rPr>
          <w:rFonts w:eastAsia="Times New Roman"/>
          <w:color w:val="000000"/>
          <w:sz w:val="20"/>
          <w:szCs w:val="20"/>
        </w:rPr>
        <w:t>ities, including the notional impact of non-interest-bearing funding. We expect net interest income and our net interest margin to fluctuate based on changes in interest rates and changes in the amount and composition of our interest-earning assets and int</w:t>
      </w:r>
      <w:r>
        <w:rPr>
          <w:rFonts w:eastAsia="Times New Roman"/>
          <w:color w:val="000000"/>
          <w:sz w:val="20"/>
          <w:szCs w:val="20"/>
        </w:rPr>
        <w:t>erest-bearing liabilities.</w:t>
      </w:r>
    </w:p>
    <w:p w:rsidR="00000000" w:rsidRDefault="00AF3814">
      <w:pPr>
        <w:jc w:val="both"/>
        <w:divId w:val="74445265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09506135"/>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60950613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0950613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36" style="width:0;height:1.5pt" o:hralign="center" o:hrstd="t" o:hr="t" fillcolor="#a0a0a0" stroked="f"/>
        </w:pict>
      </w:r>
    </w:p>
    <w:p w:rsidR="00000000" w:rsidRDefault="00AF3814">
      <w:pPr>
        <w:ind w:hanging="360"/>
        <w:jc w:val="both"/>
        <w:divId w:val="1689483716"/>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395863092"/>
        <w:rPr>
          <w:rFonts w:eastAsia="Times New Roman"/>
        </w:rPr>
      </w:pPr>
      <w:r>
        <w:rPr>
          <w:rFonts w:eastAsia="Times New Roman"/>
          <w:color w:val="000000"/>
          <w:sz w:val="20"/>
          <w:szCs w:val="20"/>
        </w:rPr>
        <w:t>Table 2 below presents the average outstanding balance, interest income earned, interest expense incurred and average yield for the second quar</w:t>
      </w:r>
      <w:r>
        <w:rPr>
          <w:rFonts w:eastAsia="Times New Roman"/>
          <w:color w:val="000000"/>
          <w:sz w:val="20"/>
          <w:szCs w:val="20"/>
        </w:rPr>
        <w:t>ter and first six months of 2021 and 2020 for each major category of our interest-earning assets and interest-bearing liabilities. Nonperforming loans are included in the average loan balances below.</w:t>
      </w:r>
    </w:p>
    <w:p w:rsidR="00000000" w:rsidRDefault="00AF3814">
      <w:pPr>
        <w:divId w:val="1353145280"/>
        <w:rPr>
          <w:rFonts w:eastAsia="Times New Roman"/>
        </w:rPr>
      </w:pPr>
      <w:r>
        <w:rPr>
          <w:rFonts w:eastAsia="Times New Roman"/>
          <w:b/>
          <w:bCs/>
          <w:color w:val="000000"/>
          <w:sz w:val="18"/>
          <w:szCs w:val="18"/>
        </w:rPr>
        <w:t>Table 2: Average Balances, Net Interest Income and Net I</w:t>
      </w:r>
      <w:r>
        <w:rPr>
          <w:rFonts w:eastAsia="Times New Roman"/>
          <w:b/>
          <w:bCs/>
          <w:color w:val="000000"/>
          <w:sz w:val="18"/>
          <w:szCs w:val="18"/>
        </w:rPr>
        <w:t>nterest Margin</w:t>
      </w:r>
    </w:p>
    <w:tbl>
      <w:tblPr>
        <w:tblW w:w="4992" w:type="pct"/>
        <w:tblCellMar>
          <w:top w:w="15" w:type="dxa"/>
          <w:left w:w="15" w:type="dxa"/>
          <w:bottom w:w="15" w:type="dxa"/>
          <w:right w:w="15" w:type="dxa"/>
        </w:tblCellMar>
        <w:tblLook w:val="04A0" w:firstRow="1" w:lastRow="0" w:firstColumn="1" w:lastColumn="0" w:noHBand="0" w:noVBand="1"/>
      </w:tblPr>
      <w:tblGrid>
        <w:gridCol w:w="41"/>
        <w:gridCol w:w="3096"/>
        <w:gridCol w:w="40"/>
        <w:gridCol w:w="36"/>
        <w:gridCol w:w="36"/>
        <w:gridCol w:w="36"/>
        <w:gridCol w:w="110"/>
        <w:gridCol w:w="630"/>
        <w:gridCol w:w="36"/>
        <w:gridCol w:w="36"/>
        <w:gridCol w:w="36"/>
        <w:gridCol w:w="36"/>
        <w:gridCol w:w="111"/>
        <w:gridCol w:w="524"/>
        <w:gridCol w:w="36"/>
        <w:gridCol w:w="36"/>
        <w:gridCol w:w="36"/>
        <w:gridCol w:w="36"/>
        <w:gridCol w:w="78"/>
        <w:gridCol w:w="524"/>
        <w:gridCol w:w="200"/>
        <w:gridCol w:w="36"/>
        <w:gridCol w:w="36"/>
        <w:gridCol w:w="36"/>
        <w:gridCol w:w="110"/>
        <w:gridCol w:w="630"/>
        <w:gridCol w:w="36"/>
        <w:gridCol w:w="36"/>
        <w:gridCol w:w="36"/>
        <w:gridCol w:w="36"/>
        <w:gridCol w:w="111"/>
        <w:gridCol w:w="524"/>
        <w:gridCol w:w="36"/>
        <w:gridCol w:w="36"/>
        <w:gridCol w:w="36"/>
        <w:gridCol w:w="36"/>
        <w:gridCol w:w="78"/>
        <w:gridCol w:w="524"/>
        <w:gridCol w:w="170"/>
      </w:tblGrid>
      <w:tr w:rsidR="00000000">
        <w:trPr>
          <w:divId w:val="1446853478"/>
        </w:trPr>
        <w:tc>
          <w:tcPr>
            <w:tcW w:w="50" w:type="pct"/>
            <w:vAlign w:val="center"/>
            <w:hideMark/>
          </w:tcPr>
          <w:p w:rsidR="00000000" w:rsidRDefault="00AF3814">
            <w:pPr>
              <w:rPr>
                <w:rFonts w:eastAsia="Times New Roman"/>
              </w:rPr>
            </w:pPr>
          </w:p>
        </w:tc>
        <w:tc>
          <w:tcPr>
            <w:tcW w:w="23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r>
      <w:tr w:rsidR="00000000">
        <w:trPr>
          <w:divId w:val="1446853478"/>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r>
      <w:tr w:rsidR="00000000">
        <w:trPr>
          <w:divId w:val="1446853478"/>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r>
            <w:r>
              <w:rPr>
                <w:rFonts w:eastAsia="Times New Roman"/>
                <w:b/>
                <w:bCs/>
                <w:color w:val="000000"/>
                <w:sz w:val="16"/>
                <w:szCs w:val="16"/>
              </w:rP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r>
      <w:tr w:rsidR="00000000">
        <w:trPr>
          <w:divId w:val="14468534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817796500"/>
              <w:rPr>
                <w:rFonts w:eastAsia="Times New Roman"/>
              </w:rPr>
            </w:pPr>
            <w:r>
              <w:rPr>
                <w:rFonts w:eastAsia="Times New Roman"/>
                <w:color w:val="000000"/>
                <w:sz w:val="18"/>
                <w:szCs w:val="18"/>
              </w:rPr>
              <w:t>Loans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101,642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108,748 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3,731 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13.72 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r>
      <w:tr w:rsidR="00000000">
        <w:trPr>
          <w:divId w:val="1446853478"/>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72,705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64,851 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1,364 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277954758"/>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74,933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80,803 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349139319"/>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249,280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254,402 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5,820 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100,071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81,095 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40,778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42,648 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390,129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378,145 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6,318 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and due from banks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(14,007)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(14,107)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Premises and equipment, net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4,332 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38,285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37,350 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424,099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411,075 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Interest-bearing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273,476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261,256 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0.94 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r>
      <w:tr w:rsidR="00000000">
        <w:trPr>
          <w:divId w:val="1446853478"/>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10,890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16,432 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25,487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31,294 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borrowings and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3,554 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interest-bearing 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312,051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312,536 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34,741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27,088 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14,931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13,828 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361,723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353,452 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62,376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57,623 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424,099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411,075 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6853478"/>
        </w:trPr>
        <w:tc>
          <w:tcPr>
            <w:tcW w:w="0" w:type="auto"/>
            <w:gridSpan w:val="9"/>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income/spread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5,743</w:t>
            </w:r>
            <w:r>
              <w:rPr>
                <w:rFonts w:eastAsia="Times New Roman"/>
                <w:color w:val="000000"/>
                <w:sz w:val="18"/>
                <w:szCs w:val="18"/>
              </w:rPr>
              <w:t> </w:t>
            </w:r>
          </w:p>
        </w:tc>
        <w:tc>
          <w:tcPr>
            <w:tcW w:w="0" w:type="auto"/>
            <w:tcBorders>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5,460 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15"/>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Impact of non-interest-bearing funding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0.20 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46853478"/>
        </w:trPr>
        <w:tc>
          <w:tcPr>
            <w:tcW w:w="0" w:type="auto"/>
            <w:gridSpan w:val="15"/>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margin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37" style="width:0;height:1.5pt" o:hralign="center" o:hrstd="t" o:hr="t" fillcolor="#a0a0a0" stroked="f"/>
        </w:pict>
      </w:r>
    </w:p>
    <w:p w:rsidR="00000000" w:rsidRDefault="00AF3814">
      <w:pPr>
        <w:ind w:hanging="360"/>
        <w:jc w:val="both"/>
        <w:divId w:val="1115364627"/>
        <w:rPr>
          <w:rFonts w:eastAsia="Times New Roman"/>
        </w:rPr>
      </w:pPr>
      <w:hyperlink w:anchor="id204df94663d4fc396719e5188ae3420_10"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41"/>
        <w:gridCol w:w="2550"/>
        <w:gridCol w:w="40"/>
        <w:gridCol w:w="36"/>
        <w:gridCol w:w="36"/>
        <w:gridCol w:w="36"/>
        <w:gridCol w:w="110"/>
        <w:gridCol w:w="630"/>
        <w:gridCol w:w="36"/>
        <w:gridCol w:w="36"/>
        <w:gridCol w:w="36"/>
        <w:gridCol w:w="36"/>
        <w:gridCol w:w="110"/>
        <w:gridCol w:w="540"/>
        <w:gridCol w:w="36"/>
        <w:gridCol w:w="36"/>
        <w:gridCol w:w="36"/>
        <w:gridCol w:w="36"/>
        <w:gridCol w:w="75"/>
        <w:gridCol w:w="527"/>
        <w:gridCol w:w="200"/>
        <w:gridCol w:w="36"/>
        <w:gridCol w:w="36"/>
        <w:gridCol w:w="36"/>
        <w:gridCol w:w="110"/>
        <w:gridCol w:w="630"/>
        <w:gridCol w:w="36"/>
        <w:gridCol w:w="36"/>
        <w:gridCol w:w="36"/>
        <w:gridCol w:w="36"/>
        <w:gridCol w:w="110"/>
        <w:gridCol w:w="540"/>
        <w:gridCol w:w="36"/>
        <w:gridCol w:w="36"/>
        <w:gridCol w:w="36"/>
        <w:gridCol w:w="36"/>
        <w:gridCol w:w="75"/>
        <w:gridCol w:w="527"/>
        <w:gridCol w:w="170"/>
        <w:gridCol w:w="36"/>
        <w:gridCol w:w="36"/>
        <w:gridCol w:w="36"/>
        <w:gridCol w:w="36"/>
        <w:gridCol w:w="36"/>
        <w:gridCol w:w="36"/>
        <w:gridCol w:w="36"/>
        <w:gridCol w:w="36"/>
        <w:gridCol w:w="36"/>
        <w:gridCol w:w="36"/>
        <w:gridCol w:w="36"/>
        <w:gridCol w:w="36"/>
        <w:gridCol w:w="36"/>
        <w:gridCol w:w="36"/>
      </w:tblGrid>
      <w:tr w:rsidR="00000000">
        <w:trPr>
          <w:divId w:val="1049765752"/>
        </w:trPr>
        <w:tc>
          <w:tcPr>
            <w:tcW w:w="50" w:type="pct"/>
            <w:vAlign w:val="center"/>
            <w:hideMark/>
          </w:tcPr>
          <w:p w:rsidR="00000000" w:rsidRDefault="00AF3814">
            <w:pPr>
              <w:ind w:hanging="360"/>
              <w:jc w:val="both"/>
              <w:rPr>
                <w:rFonts w:eastAsia="Times New Roman"/>
              </w:rPr>
            </w:pPr>
          </w:p>
        </w:tc>
        <w:tc>
          <w:tcPr>
            <w:tcW w:w="226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600065069"/>
              <w:rPr>
                <w:rFonts w:eastAsia="Times New Roman"/>
              </w:rPr>
            </w:pPr>
            <w:r>
              <w:rPr>
                <w:rFonts w:eastAsia="Times New Roman"/>
                <w:color w:val="000000"/>
                <w:sz w:val="18"/>
                <w:szCs w:val="18"/>
              </w:rPr>
              <w:t>Loans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102,078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7,281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115,801 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8,168 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70,979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64,262 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381056535"/>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74,927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78,954 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1,354 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839730914"/>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247,984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11,607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259,017 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12,362 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9.55 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99,189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79,654 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1,012 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42,182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28,075 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0.38 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389,355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12,400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366,746 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13,427 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7.32 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and due from banks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(14,773)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(12,258)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Premises and equipment, net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4,338 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38,847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36,995 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422,959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400,845 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Interest-bearing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273,417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251,185 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1,342 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11,561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17,243 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26,223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31,318 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borrowings and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3,667 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interest-bearing 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313,406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303,413 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33,228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25,313 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14,821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14,023 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361,455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342,749 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61,504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58,096 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422,959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400,845 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9"/>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income/spread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11,565</w:t>
            </w:r>
            <w:r>
              <w:rPr>
                <w:rFonts w:eastAsia="Times New Roman"/>
                <w:color w:val="000000"/>
                <w:sz w:val="18"/>
                <w:szCs w:val="18"/>
              </w:rPr>
              <w:t> </w:t>
            </w:r>
          </w:p>
        </w:tc>
        <w:tc>
          <w:tcPr>
            <w:tcW w:w="0" w:type="auto"/>
            <w:tcBorders>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11,485 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15"/>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Impact of non-interest-bearing funding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0.22 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49765752"/>
        </w:trPr>
        <w:tc>
          <w:tcPr>
            <w:tcW w:w="0" w:type="auto"/>
            <w:gridSpan w:val="15"/>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margin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both"/>
        <w:divId w:val="1049765752"/>
        <w:rPr>
          <w:rFonts w:eastAsia="Times New Roman"/>
        </w:rPr>
      </w:pPr>
      <w:r>
        <w:rPr>
          <w:rFonts w:eastAsia="Times New Roman"/>
          <w:color w:val="000000"/>
          <w:sz w:val="20"/>
          <w:szCs w:val="20"/>
        </w:rPr>
        <w:t>__________</w:t>
      </w:r>
    </w:p>
    <w:p w:rsidR="00000000" w:rsidRDefault="00AF3814">
      <w:pPr>
        <w:ind w:hanging="360"/>
        <w:jc w:val="both"/>
        <w:divId w:val="116439270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Past due fees included in interest income totaled approximately $302 million and $612 million in the second quarter and first six months of 2021, respectively, and $265 million and $656 million in the second quarter and first six months of 2020, respect</w:t>
      </w:r>
      <w:r>
        <w:rPr>
          <w:rFonts w:eastAsia="Times New Roman"/>
          <w:color w:val="000000"/>
          <w:sz w:val="16"/>
          <w:szCs w:val="16"/>
        </w:rPr>
        <w:t>ively.</w:t>
      </w:r>
    </w:p>
    <w:p w:rsidR="00000000" w:rsidRDefault="00AF3814">
      <w:pPr>
        <w:ind w:hanging="360"/>
        <w:jc w:val="both"/>
        <w:divId w:val="180231024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we present our Commercial Banking interest income and yields on a taxable-equivalent basis, calculated using the federal statutory rate of 21% and state taxes where applicable,</w:t>
      </w:r>
      <w:r>
        <w:rPr>
          <w:rFonts w:eastAsia="Times New Roman"/>
          <w:color w:val="000000"/>
          <w:sz w:val="16"/>
          <w:szCs w:val="16"/>
        </w:rPr>
        <w:t xml:space="preserve"> with offsetting reductions to the Other category. Taxable-equivalent adjustments included in the interest income and yield computations for our commercial loans totaled approximately $19 million and $38 million in the second quarter and first six months o</w:t>
      </w:r>
      <w:r>
        <w:rPr>
          <w:rFonts w:eastAsia="Times New Roman"/>
          <w:color w:val="000000"/>
          <w:sz w:val="16"/>
          <w:szCs w:val="16"/>
        </w:rPr>
        <w:t>f 2021, respectively, and $21 million and $41 million in the second quarter and first six months of 2020, respectively, with corresponding reductions to the Other category.</w:t>
      </w:r>
    </w:p>
    <w:p w:rsidR="00000000" w:rsidRDefault="00AF3814">
      <w:pPr>
        <w:ind w:hanging="360"/>
        <w:jc w:val="both"/>
        <w:divId w:val="130793459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Interest income/expense in the Other category represents the impact of hedge acc</w:t>
      </w:r>
      <w:r>
        <w:rPr>
          <w:rFonts w:eastAsia="Times New Roman"/>
          <w:color w:val="000000"/>
          <w:sz w:val="16"/>
          <w:szCs w:val="16"/>
        </w:rPr>
        <w:t xml:space="preserve">ounting on our loan portfolios and the offsetting reduction of the taxable-equivalent adjustments of our commercial loans as described above. </w:t>
      </w:r>
    </w:p>
    <w:p w:rsidR="00000000" w:rsidRDefault="00AF3814">
      <w:pPr>
        <w:ind w:hanging="360"/>
        <w:jc w:val="both"/>
        <w:divId w:val="819272442"/>
        <w:rPr>
          <w:rFonts w:eastAsia="Times New Roman"/>
        </w:rPr>
      </w:pPr>
      <w:r>
        <w:rPr>
          <w:rFonts w:eastAsia="Times New Roman"/>
          <w:color w:val="000000"/>
          <w:sz w:val="16"/>
          <w:szCs w:val="16"/>
        </w:rPr>
        <w:t>**    Not meaningful.</w:t>
      </w:r>
    </w:p>
    <w:p w:rsidR="00000000" w:rsidRDefault="00AF3814">
      <w:pPr>
        <w:jc w:val="both"/>
        <w:divId w:val="1775249887"/>
        <w:rPr>
          <w:rFonts w:eastAsia="Times New Roman"/>
        </w:rPr>
      </w:pPr>
      <w:r>
        <w:rPr>
          <w:rFonts w:eastAsia="Times New Roman"/>
          <w:color w:val="000000"/>
          <w:sz w:val="20"/>
          <w:szCs w:val="20"/>
        </w:rPr>
        <w:t>Net interest income increased by $283 million to $5.7 billion in the second quarter of 2021</w:t>
      </w:r>
      <w:r>
        <w:rPr>
          <w:rFonts w:eastAsia="Times New Roman"/>
          <w:color w:val="000000"/>
          <w:sz w:val="20"/>
          <w:szCs w:val="20"/>
        </w:rPr>
        <w:t xml:space="preserve"> compared to the second quarter of 2020, and increased by $80 million to $11.6 billion in the first six months of 2021 compared to the first six months of 2020 primarily driven by lower interest rates paid on interest-bearing deposits and higher average ou</w:t>
      </w:r>
      <w:r>
        <w:rPr>
          <w:rFonts w:eastAsia="Times New Roman"/>
          <w:color w:val="000000"/>
          <w:sz w:val="20"/>
          <w:szCs w:val="20"/>
        </w:rPr>
        <w:t>tstanding balances in our auto loan portfolio, partially offset by lower average outstanding balances in our domestic card loan portfolio.</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11211202"/>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811211202"/>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811211202"/>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38" style="width:0;height:1.5pt" o:hralign="center" o:hrstd="t" o:hr="t" fillcolor="#a0a0a0" stroked="f"/>
        </w:pict>
      </w:r>
    </w:p>
    <w:p w:rsidR="00000000" w:rsidRDefault="00AF3814">
      <w:pPr>
        <w:ind w:hanging="360"/>
        <w:jc w:val="both"/>
        <w:divId w:val="127605665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756783354"/>
        <w:rPr>
          <w:rFonts w:eastAsia="Times New Roman"/>
        </w:rPr>
      </w:pPr>
      <w:r>
        <w:rPr>
          <w:rFonts w:eastAsia="Times New Roman"/>
          <w:color w:val="000000"/>
          <w:sz w:val="20"/>
          <w:szCs w:val="20"/>
        </w:rPr>
        <w:t xml:space="preserve">Net interest margin increased by 11 basis points to 5.89% in the second quarter of 2021 compared to the second quarter of 2020 driven by lower </w:t>
      </w:r>
      <w:r>
        <w:rPr>
          <w:rFonts w:eastAsia="Times New Roman"/>
          <w:color w:val="000000"/>
          <w:sz w:val="20"/>
          <w:szCs w:val="20"/>
        </w:rPr>
        <w:t xml:space="preserve">interest rate paid on interest-bearing deposits, partially offset by higher balances and lower yield on investment securities. </w:t>
      </w:r>
    </w:p>
    <w:p w:rsidR="00000000" w:rsidRDefault="00AF3814">
      <w:pPr>
        <w:jc w:val="both"/>
        <w:divId w:val="920063368"/>
        <w:rPr>
          <w:rFonts w:eastAsia="Times New Roman"/>
        </w:rPr>
      </w:pPr>
      <w:r>
        <w:rPr>
          <w:rFonts w:eastAsia="Times New Roman"/>
          <w:color w:val="000000"/>
          <w:sz w:val="20"/>
          <w:szCs w:val="20"/>
        </w:rPr>
        <w:t>Net interest margin decreased by 32 basis points to 5.94% in the first six months of 2021 compared to the first six months of 20</w:t>
      </w:r>
      <w:r>
        <w:rPr>
          <w:rFonts w:eastAsia="Times New Roman"/>
          <w:color w:val="000000"/>
          <w:sz w:val="20"/>
          <w:szCs w:val="20"/>
        </w:rPr>
        <w:t>20 primarily driven by a shift in our asset mix with cash and investment securities representing a greater portion of total average interest-earnings assets, partially offset by lower rates paid on interest-bearing liabilities.</w:t>
      </w:r>
    </w:p>
    <w:p w:rsidR="00000000" w:rsidRDefault="00AF3814">
      <w:pPr>
        <w:jc w:val="both"/>
        <w:divId w:val="569510750"/>
        <w:rPr>
          <w:rFonts w:eastAsia="Times New Roman"/>
        </w:rPr>
      </w:pPr>
      <w:r>
        <w:rPr>
          <w:rFonts w:eastAsia="Times New Roman"/>
          <w:color w:val="000000"/>
          <w:sz w:val="20"/>
          <w:szCs w:val="20"/>
        </w:rPr>
        <w:t xml:space="preserve">Table 3 displays the change </w:t>
      </w:r>
      <w:r>
        <w:rPr>
          <w:rFonts w:eastAsia="Times New Roman"/>
          <w:color w:val="000000"/>
          <w:sz w:val="20"/>
          <w:szCs w:val="20"/>
        </w:rPr>
        <w:t>in our net interest income between periods and the extent to which the variance is attributable to:</w:t>
      </w:r>
    </w:p>
    <w:p w:rsidR="00000000" w:rsidRDefault="00AF3814">
      <w:pPr>
        <w:ind w:hanging="360"/>
        <w:jc w:val="both"/>
        <w:divId w:val="375398460"/>
        <w:rPr>
          <w:rFonts w:eastAsia="Times New Roman"/>
        </w:rPr>
      </w:pPr>
      <w:r>
        <w:rPr>
          <w:rFonts w:eastAsia="Times New Roman"/>
          <w:color w:val="000000"/>
          <w:sz w:val="20"/>
          <w:szCs w:val="20"/>
        </w:rPr>
        <w:t>•changes in the volume of our interest-earning assets and interest-bearing liabilities; or</w:t>
      </w:r>
    </w:p>
    <w:p w:rsidR="00000000" w:rsidRDefault="00AF3814">
      <w:pPr>
        <w:ind w:hanging="360"/>
        <w:jc w:val="both"/>
        <w:divId w:val="814952088"/>
        <w:rPr>
          <w:rFonts w:eastAsia="Times New Roman"/>
        </w:rPr>
      </w:pPr>
      <w:r>
        <w:rPr>
          <w:rFonts w:eastAsia="Times New Roman"/>
          <w:color w:val="000000"/>
          <w:sz w:val="20"/>
          <w:szCs w:val="20"/>
        </w:rPr>
        <w:t>•changes in the interest rates related to these assets and liabil</w:t>
      </w:r>
      <w:r>
        <w:rPr>
          <w:rFonts w:eastAsia="Times New Roman"/>
          <w:color w:val="000000"/>
          <w:sz w:val="20"/>
          <w:szCs w:val="20"/>
        </w:rPr>
        <w:t>ities.</w:t>
      </w:r>
    </w:p>
    <w:p w:rsidR="00000000" w:rsidRDefault="00AF3814">
      <w:pPr>
        <w:divId w:val="410280361"/>
        <w:rPr>
          <w:rFonts w:eastAsia="Times New Roman"/>
        </w:rPr>
      </w:pPr>
      <w:r>
        <w:rPr>
          <w:rFonts w:eastAsia="Times New Roman"/>
          <w:b/>
          <w:bCs/>
          <w:color w:val="000000"/>
          <w:sz w:val="18"/>
          <w:szCs w:val="18"/>
        </w:rPr>
        <w:t>Table 3: Rate/Volume Analysis of Net Interest Incom</w:t>
      </w:r>
      <w:r>
        <w:rPr>
          <w:rFonts w:eastAsia="Times New Roman"/>
          <w:b/>
          <w:bCs/>
          <w:color w:val="000000"/>
          <w:sz w:val="18"/>
          <w:szCs w:val="18"/>
        </w:rPr>
        <w:t>e</w:t>
      </w: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688"/>
        <w:gridCol w:w="40"/>
        <w:gridCol w:w="36"/>
        <w:gridCol w:w="36"/>
        <w:gridCol w:w="36"/>
        <w:gridCol w:w="111"/>
        <w:gridCol w:w="573"/>
        <w:gridCol w:w="36"/>
        <w:gridCol w:w="36"/>
        <w:gridCol w:w="36"/>
        <w:gridCol w:w="36"/>
        <w:gridCol w:w="111"/>
        <w:gridCol w:w="496"/>
        <w:gridCol w:w="37"/>
        <w:gridCol w:w="36"/>
        <w:gridCol w:w="36"/>
        <w:gridCol w:w="36"/>
        <w:gridCol w:w="110"/>
        <w:gridCol w:w="391"/>
        <w:gridCol w:w="36"/>
        <w:gridCol w:w="36"/>
        <w:gridCol w:w="36"/>
        <w:gridCol w:w="36"/>
        <w:gridCol w:w="111"/>
        <w:gridCol w:w="573"/>
        <w:gridCol w:w="36"/>
        <w:gridCol w:w="36"/>
        <w:gridCol w:w="36"/>
        <w:gridCol w:w="36"/>
        <w:gridCol w:w="111"/>
        <w:gridCol w:w="496"/>
        <w:gridCol w:w="37"/>
        <w:gridCol w:w="36"/>
        <w:gridCol w:w="36"/>
        <w:gridCol w:w="36"/>
        <w:gridCol w:w="111"/>
        <w:gridCol w:w="477"/>
        <w:gridCol w:w="36"/>
      </w:tblGrid>
      <w:tr w:rsidR="00000000">
        <w:trPr>
          <w:divId w:val="486363634"/>
        </w:trPr>
        <w:tc>
          <w:tcPr>
            <w:tcW w:w="50" w:type="pct"/>
            <w:vAlign w:val="center"/>
            <w:hideMark/>
          </w:tcPr>
          <w:p w:rsidR="00000000" w:rsidRDefault="00AF3814">
            <w:pPr>
              <w:rPr>
                <w:rFonts w:eastAsia="Times New Roman"/>
              </w:rPr>
            </w:pPr>
          </w:p>
        </w:tc>
        <w:tc>
          <w:tcPr>
            <w:tcW w:w="226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86363634"/>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r>
      <w:tr w:rsidR="00000000">
        <w:trPr>
          <w:divId w:val="486363634"/>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 vs. 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 vs. 2020</w:t>
            </w:r>
          </w:p>
        </w:tc>
      </w:tr>
      <w:tr w:rsidR="00000000">
        <w:trPr>
          <w:divId w:val="486363634"/>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Rate</w:t>
            </w:r>
          </w:p>
        </w:tc>
      </w:tr>
      <w:tr w:rsidR="00000000">
        <w:trPr>
          <w:divId w:val="4863636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8636363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8636363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(968)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883562784"/>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630889682"/>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loans, including loans held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(755)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Investment securities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equivalents and other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(1,027)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8636363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(836)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(877)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borrowings and 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(462)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(1,107)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(1,038)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(533)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86363634"/>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divId w:val="1355304341"/>
        <w:rPr>
          <w:rFonts w:eastAsia="Times New Roman"/>
        </w:rPr>
      </w:pPr>
      <w:r>
        <w:rPr>
          <w:rFonts w:eastAsia="Times New Roman"/>
          <w:color w:val="000000"/>
          <w:sz w:val="20"/>
          <w:szCs w:val="20"/>
        </w:rPr>
        <w:t>__________</w:t>
      </w:r>
    </w:p>
    <w:p w:rsidR="00000000" w:rsidRDefault="00AF3814">
      <w:pPr>
        <w:ind w:hanging="360"/>
        <w:jc w:val="both"/>
        <w:divId w:val="187754401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calculate the change in in</w:t>
      </w:r>
      <w:r>
        <w:rPr>
          <w:rFonts w:eastAsia="Times New Roman"/>
          <w:color w:val="000000"/>
          <w:sz w:val="16"/>
          <w:szCs w:val="16"/>
        </w:rPr>
        <w:t>terest income and interest expense separately for each item. The portion of interest income or interest expense attributable to both volume and rate is allocated proportionately when the calculation results in a positive value. When the portion of interest</w:t>
      </w:r>
      <w:r>
        <w:rPr>
          <w:rFonts w:eastAsia="Times New Roman"/>
          <w:color w:val="000000"/>
          <w:sz w:val="16"/>
          <w:szCs w:val="16"/>
        </w:rPr>
        <w:t xml:space="preserve"> income or interest expense attributable to both volume and rate results in a negative value, the total amount is allocated to volume or rate, depending on which amount is positive.</w:t>
      </w:r>
    </w:p>
    <w:p w:rsidR="00000000" w:rsidRDefault="00AF3814">
      <w:pPr>
        <w:ind w:hanging="360"/>
        <w:jc w:val="both"/>
        <w:divId w:val="147051084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w:t>
      </w:r>
      <w:r>
        <w:rPr>
          <w:rFonts w:eastAsia="Times New Roman"/>
          <w:color w:val="000000"/>
          <w:sz w:val="16"/>
          <w:szCs w:val="16"/>
        </w:rPr>
        <w:t>e present our Commercial Banking interest income and yields on a taxable-equivalent basis, calculated using the federal statutory rate of 21% and state taxes where applicable, with offsetting reductions to the Other category.</w:t>
      </w:r>
    </w:p>
    <w:p w:rsidR="00000000" w:rsidRDefault="00AF3814">
      <w:pPr>
        <w:ind w:hanging="360"/>
        <w:jc w:val="both"/>
        <w:divId w:val="137430536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Interest income/expense in </w:t>
      </w:r>
      <w:r>
        <w:rPr>
          <w:rFonts w:eastAsia="Times New Roman"/>
          <w:color w:val="000000"/>
          <w:sz w:val="16"/>
          <w:szCs w:val="16"/>
        </w:rPr>
        <w:t>the Other category represents the impact of hedge accounting on our loan portfolios and the offsetting reduction of the taxable-equivalent adjustments of our commercial loans as described above.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2795879"/>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2795879"/>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2795879"/>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39" style="width:0;height:1.5pt" o:hralign="center" o:hrstd="t" o:hr="t" fillcolor="#a0a0a0" stroked="f"/>
        </w:pict>
      </w:r>
    </w:p>
    <w:p w:rsidR="00000000" w:rsidRDefault="00AF3814">
      <w:pPr>
        <w:ind w:hanging="360"/>
        <w:jc w:val="both"/>
        <w:divId w:val="98077029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436291912"/>
        <w:rPr>
          <w:rFonts w:eastAsia="Times New Roman"/>
        </w:rPr>
      </w:pPr>
      <w:r>
        <w:rPr>
          <w:rFonts w:eastAsia="Times New Roman"/>
          <w:b/>
          <w:bCs/>
          <w:color w:val="000000"/>
          <w:sz w:val="20"/>
          <w:szCs w:val="20"/>
        </w:rPr>
        <w:t>Non-Interest Income</w:t>
      </w:r>
    </w:p>
    <w:p w:rsidR="00000000" w:rsidRDefault="00AF3814">
      <w:pPr>
        <w:jc w:val="both"/>
        <w:divId w:val="824081960"/>
        <w:rPr>
          <w:rFonts w:eastAsia="Times New Roman"/>
        </w:rPr>
      </w:pPr>
      <w:r>
        <w:rPr>
          <w:rFonts w:eastAsia="Times New Roman"/>
          <w:color w:val="000000"/>
          <w:sz w:val="20"/>
          <w:szCs w:val="20"/>
        </w:rPr>
        <w:t>Table 4 displays the components of non-interest income for the second quarter and first six months of 2021 and 2020.</w:t>
      </w:r>
    </w:p>
    <w:p w:rsidR="00000000" w:rsidRDefault="00AF3814">
      <w:pPr>
        <w:divId w:val="2067683057"/>
        <w:rPr>
          <w:rFonts w:eastAsia="Times New Roman"/>
        </w:rPr>
      </w:pPr>
      <w:r>
        <w:rPr>
          <w:rFonts w:eastAsia="Times New Roman"/>
          <w:b/>
          <w:bCs/>
          <w:color w:val="000000"/>
          <w:sz w:val="18"/>
          <w:szCs w:val="18"/>
        </w:rPr>
        <w:t>Table 4: Non-Interest Income</w:t>
      </w:r>
    </w:p>
    <w:tbl>
      <w:tblPr>
        <w:tblW w:w="4992" w:type="pct"/>
        <w:tblCellMar>
          <w:top w:w="15" w:type="dxa"/>
          <w:left w:w="15" w:type="dxa"/>
          <w:bottom w:w="15" w:type="dxa"/>
          <w:right w:w="15" w:type="dxa"/>
        </w:tblCellMar>
        <w:tblLook w:val="04A0" w:firstRow="1" w:lastRow="0" w:firstColumn="1" w:lastColumn="0" w:noHBand="0" w:noVBand="1"/>
      </w:tblPr>
      <w:tblGrid>
        <w:gridCol w:w="41"/>
        <w:gridCol w:w="3783"/>
        <w:gridCol w:w="39"/>
        <w:gridCol w:w="36"/>
        <w:gridCol w:w="36"/>
        <w:gridCol w:w="36"/>
        <w:gridCol w:w="110"/>
        <w:gridCol w:w="823"/>
        <w:gridCol w:w="36"/>
        <w:gridCol w:w="36"/>
        <w:gridCol w:w="36"/>
        <w:gridCol w:w="36"/>
        <w:gridCol w:w="110"/>
        <w:gridCol w:w="823"/>
        <w:gridCol w:w="36"/>
        <w:gridCol w:w="36"/>
        <w:gridCol w:w="36"/>
        <w:gridCol w:w="36"/>
        <w:gridCol w:w="110"/>
        <w:gridCol w:w="812"/>
        <w:gridCol w:w="36"/>
        <w:gridCol w:w="36"/>
        <w:gridCol w:w="36"/>
        <w:gridCol w:w="36"/>
        <w:gridCol w:w="110"/>
        <w:gridCol w:w="812"/>
        <w:gridCol w:w="36"/>
        <w:gridCol w:w="36"/>
        <w:gridCol w:w="36"/>
        <w:gridCol w:w="36"/>
        <w:gridCol w:w="36"/>
      </w:tblGrid>
      <w:tr w:rsidR="00000000">
        <w:trPr>
          <w:divId w:val="202788362"/>
        </w:trPr>
        <w:tc>
          <w:tcPr>
            <w:tcW w:w="50" w:type="pct"/>
            <w:vAlign w:val="center"/>
            <w:hideMark/>
          </w:tcPr>
          <w:p w:rsidR="00000000" w:rsidRDefault="00AF3814">
            <w:pPr>
              <w:rPr>
                <w:rFonts w:eastAsia="Times New Roman"/>
              </w:rPr>
            </w:pPr>
          </w:p>
        </w:tc>
        <w:tc>
          <w:tcPr>
            <w:tcW w:w="23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5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5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tcMar>
              <w:top w:w="30" w:type="dxa"/>
              <w:left w:w="155"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Interchange fees, net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1,833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585 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Net securities gains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divId w:val="1976711740"/>
              <w:rPr>
                <w:rFonts w:eastAsia="Times New Roman"/>
              </w:rPr>
            </w:pPr>
            <w:r>
              <w:rPr>
                <w:rFonts w:eastAsia="Times New Roman"/>
                <w:color w:val="000000"/>
                <w:sz w:val="18"/>
                <w:szCs w:val="18"/>
              </w:rPr>
              <w:t>Other non-interest income</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shd w:val="clear" w:color="auto" w:fill="CCEEFF"/>
            <w:tcMar>
              <w:top w:w="30" w:type="dxa"/>
              <w:left w:w="245"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Mortgage banking revenue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shd w:val="clear" w:color="auto" w:fill="FFFFFF"/>
            <w:tcMar>
              <w:top w:w="30" w:type="dxa"/>
              <w:left w:w="245"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Treasury and other investment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2C2C2C"/>
                <w:sz w:val="18"/>
                <w:szCs w:val="18"/>
              </w:rPr>
              <w:t>56 </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shd w:val="clear" w:color="auto" w:fill="CCEEFF"/>
            <w:tcMar>
              <w:top w:w="30" w:type="dxa"/>
              <w:left w:w="245"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Total other non-interest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349</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2C2C2C"/>
                <w:sz w:val="18"/>
                <w:szCs w:val="18"/>
              </w:rPr>
              <w:t>311 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2788362"/>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2,320 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divId w:val="202788362"/>
        <w:rPr>
          <w:rFonts w:eastAsia="Times New Roman"/>
        </w:rPr>
      </w:pPr>
      <w:r>
        <w:rPr>
          <w:rFonts w:eastAsia="Times New Roman"/>
          <w:color w:val="000000"/>
          <w:sz w:val="20"/>
          <w:szCs w:val="20"/>
        </w:rPr>
        <w:t>________</w:t>
      </w:r>
    </w:p>
    <w:p w:rsidR="00000000" w:rsidRDefault="00AF3814">
      <w:pPr>
        <w:ind w:hanging="360"/>
        <w:jc w:val="both"/>
        <w:divId w:val="172559307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gains of $26 million and $45 </w:t>
      </w:r>
      <w:r>
        <w:rPr>
          <w:rFonts w:eastAsia="Times New Roman"/>
          <w:color w:val="000000"/>
          <w:sz w:val="16"/>
          <w:szCs w:val="16"/>
        </w:rPr>
        <w:t>million on deferred compensation plan investments for the second quarter and first six months of 2021, respectively, and gains of $44 million and losses of $15 million on deferred compensation plan investments for the second quarter and first six months of</w:t>
      </w:r>
      <w:r>
        <w:rPr>
          <w:rFonts w:eastAsia="Times New Roman"/>
          <w:color w:val="000000"/>
          <w:sz w:val="16"/>
          <w:szCs w:val="16"/>
        </w:rPr>
        <w:t xml:space="preserve"> 2020, respectively. These amounts have corresponding offsets in other non-interest expense.</w:t>
      </w:r>
    </w:p>
    <w:p w:rsidR="00000000" w:rsidRDefault="00AF3814">
      <w:pPr>
        <w:jc w:val="both"/>
        <w:divId w:val="678124023"/>
        <w:rPr>
          <w:rFonts w:eastAsia="Times New Roman"/>
        </w:rPr>
      </w:pPr>
      <w:r>
        <w:rPr>
          <w:rFonts w:eastAsia="Times New Roman"/>
          <w:color w:val="000000"/>
          <w:sz w:val="20"/>
          <w:szCs w:val="20"/>
          <w:shd w:val="clear" w:color="auto" w:fill="FFFFFF"/>
        </w:rPr>
        <w:t>No</w:t>
      </w:r>
      <w:r>
        <w:rPr>
          <w:rFonts w:eastAsia="Times New Roman"/>
          <w:color w:val="000000"/>
          <w:sz w:val="20"/>
          <w:szCs w:val="20"/>
        </w:rPr>
        <w:t>n-interest income increased by $535 million to $1.6 billion in the the second quarter of 2021 compared to the second quarter of 2020 and increased by $602 millio</w:t>
      </w:r>
      <w:r>
        <w:rPr>
          <w:rFonts w:eastAsia="Times New Roman"/>
          <w:color w:val="000000"/>
          <w:sz w:val="20"/>
          <w:szCs w:val="20"/>
        </w:rPr>
        <w:t xml:space="preserve">n to $2.9 billion in the first six months of 2021 compared to the first six months of 2020 primarily driven by higher net interchange fees due to an increase in purchase volume in Domestic Card. </w:t>
      </w:r>
    </w:p>
    <w:p w:rsidR="00000000" w:rsidRDefault="00AF3814">
      <w:pPr>
        <w:divId w:val="1987315886"/>
        <w:rPr>
          <w:rFonts w:eastAsia="Times New Roman"/>
        </w:rPr>
      </w:pPr>
      <w:r>
        <w:rPr>
          <w:rFonts w:eastAsia="Times New Roman"/>
          <w:b/>
          <w:bCs/>
          <w:color w:val="000000"/>
          <w:sz w:val="20"/>
          <w:szCs w:val="20"/>
          <w:shd w:val="clear" w:color="auto" w:fill="FFFFFF"/>
        </w:rPr>
        <w:t>Provision for Credit Losses</w:t>
      </w:r>
    </w:p>
    <w:p w:rsidR="00000000" w:rsidRDefault="00AF3814">
      <w:pPr>
        <w:jc w:val="both"/>
        <w:divId w:val="122818379"/>
        <w:rPr>
          <w:rFonts w:eastAsia="Times New Roman"/>
        </w:rPr>
      </w:pPr>
      <w:r>
        <w:rPr>
          <w:rFonts w:eastAsia="Times New Roman"/>
          <w:color w:val="000000"/>
          <w:sz w:val="20"/>
          <w:szCs w:val="20"/>
          <w:shd w:val="clear" w:color="auto" w:fill="FFFFFF"/>
        </w:rPr>
        <w:t>Our provision for credit losses in each period is driven by net charge-offs, changes to the allowance for credit losses and changes to the reserve for unfunded lending commitments. Our provision for credit loss</w:t>
      </w:r>
      <w:r>
        <w:rPr>
          <w:rFonts w:eastAsia="Times New Roman"/>
          <w:color w:val="000000"/>
          <w:sz w:val="20"/>
          <w:szCs w:val="20"/>
        </w:rPr>
        <w:t xml:space="preserve">es decreased by $5.4 billion </w:t>
      </w:r>
      <w:r>
        <w:rPr>
          <w:rFonts w:eastAsia="Times New Roman"/>
          <w:color w:val="000000"/>
          <w:sz w:val="20"/>
          <w:szCs w:val="20"/>
          <w:shd w:val="clear" w:color="auto" w:fill="FFFFFF"/>
        </w:rPr>
        <w:t xml:space="preserve">to a benefit of </w:t>
      </w:r>
      <w:r>
        <w:rPr>
          <w:rFonts w:eastAsia="Times New Roman"/>
          <w:color w:val="000000"/>
          <w:sz w:val="20"/>
          <w:szCs w:val="20"/>
        </w:rPr>
        <w:t>$</w:t>
      </w:r>
      <w:r>
        <w:rPr>
          <w:rFonts w:eastAsia="Times New Roman"/>
          <w:color w:val="000000"/>
          <w:sz w:val="20"/>
          <w:szCs w:val="20"/>
        </w:rPr>
        <w:t>1.2 billion i</w:t>
      </w:r>
      <w:r>
        <w:rPr>
          <w:rFonts w:eastAsia="Times New Roman"/>
          <w:color w:val="000000"/>
          <w:sz w:val="20"/>
          <w:szCs w:val="20"/>
          <w:shd w:val="clear" w:color="auto" w:fill="FFFFFF"/>
        </w:rPr>
        <w:t xml:space="preserve">n </w:t>
      </w:r>
      <w:r>
        <w:rPr>
          <w:rFonts w:eastAsia="Times New Roman"/>
          <w:color w:val="000000"/>
          <w:sz w:val="20"/>
          <w:szCs w:val="20"/>
        </w:rPr>
        <w:t>the second quarter of 2021</w:t>
      </w:r>
      <w:r>
        <w:rPr>
          <w:rFonts w:eastAsia="Times New Roman"/>
          <w:color w:val="000000"/>
          <w:sz w:val="20"/>
          <w:szCs w:val="20"/>
          <w:shd w:val="clear" w:color="auto" w:fill="FFFFFF"/>
        </w:rPr>
        <w:t xml:space="preserve"> and</w:t>
      </w:r>
      <w:r>
        <w:rPr>
          <w:rFonts w:eastAsia="Times New Roman"/>
          <w:color w:val="000000"/>
          <w:sz w:val="20"/>
          <w:szCs w:val="20"/>
        </w:rPr>
        <w:t xml:space="preserve"> decreased by $11.7 billion to</w:t>
      </w:r>
      <w:r>
        <w:rPr>
          <w:rFonts w:eastAsia="Times New Roman"/>
          <w:color w:val="000000"/>
          <w:sz w:val="20"/>
          <w:szCs w:val="20"/>
          <w:shd w:val="clear" w:color="auto" w:fill="FFFFFF"/>
        </w:rPr>
        <w:t xml:space="preserve"> a benefit of</w:t>
      </w:r>
      <w:r>
        <w:rPr>
          <w:rFonts w:eastAsia="Times New Roman"/>
          <w:color w:val="000000"/>
          <w:sz w:val="20"/>
          <w:szCs w:val="20"/>
        </w:rPr>
        <w:t xml:space="preserve"> $2.0 billion in the first six months of 2021. These decreases were primarily driven by allowance releases in the first and second quarters of 2021 due to continued str</w:t>
      </w:r>
      <w:r>
        <w:rPr>
          <w:rFonts w:eastAsia="Times New Roman"/>
          <w:color w:val="000000"/>
          <w:sz w:val="20"/>
          <w:szCs w:val="20"/>
        </w:rPr>
        <w:t>ong credit performance and an improved economic outlook compared to allowance builds in the first and second quarters of 2020 driven by expectations of economic worsening at the start of the COVID-19 pandemic.</w:t>
      </w:r>
    </w:p>
    <w:p w:rsidR="00000000" w:rsidRDefault="00AF3814">
      <w:pPr>
        <w:jc w:val="both"/>
        <w:divId w:val="864173477"/>
        <w:rPr>
          <w:rFonts w:eastAsia="Times New Roman"/>
        </w:rPr>
      </w:pPr>
      <w:r>
        <w:rPr>
          <w:rFonts w:eastAsia="Times New Roman"/>
          <w:color w:val="000000"/>
          <w:sz w:val="20"/>
          <w:szCs w:val="20"/>
          <w:shd w:val="clear" w:color="auto" w:fill="FFFFFF"/>
        </w:rPr>
        <w:t>We provide additional information on the provi</w:t>
      </w:r>
      <w:r>
        <w:rPr>
          <w:rFonts w:eastAsia="Times New Roman"/>
          <w:color w:val="000000"/>
          <w:sz w:val="20"/>
          <w:szCs w:val="20"/>
          <w:shd w:val="clear" w:color="auto" w:fill="FFFFFF"/>
        </w:rPr>
        <w:t>sion for credit losses and changes in the allowance for credit losses within “MD&amp;A—Credit Risk Profile” and “Note 4—Allowance for Credit Losses and Reserve for Unfunded Lending Commitments.” For information on the allowance methodology for each of our loan</w:t>
      </w:r>
      <w:r>
        <w:rPr>
          <w:rFonts w:eastAsia="Times New Roman"/>
          <w:color w:val="000000"/>
          <w:sz w:val="20"/>
          <w:szCs w:val="20"/>
          <w:shd w:val="clear" w:color="auto" w:fill="FFFFFF"/>
        </w:rPr>
        <w:t xml:space="preserve"> categories, see “Note 1—Summary of Significant Accounting Policies”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0268825"/>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1026882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026882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40" style="width:0;height:1.5pt" o:hralign="center" o:hrstd="t" o:hr="t" fillcolor="#a0a0a0" stroked="f"/>
        </w:pict>
      </w:r>
    </w:p>
    <w:p w:rsidR="00000000" w:rsidRDefault="00AF3814">
      <w:pPr>
        <w:ind w:hanging="360"/>
        <w:jc w:val="both"/>
        <w:divId w:val="86888112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854074497"/>
        <w:rPr>
          <w:rFonts w:eastAsia="Times New Roman"/>
        </w:rPr>
      </w:pPr>
      <w:r>
        <w:rPr>
          <w:rFonts w:eastAsia="Times New Roman"/>
          <w:b/>
          <w:bCs/>
          <w:color w:val="000000"/>
          <w:sz w:val="20"/>
          <w:szCs w:val="20"/>
        </w:rPr>
        <w:t>Non-Interest Expense</w:t>
      </w:r>
    </w:p>
    <w:p w:rsidR="00000000" w:rsidRDefault="00AF3814">
      <w:pPr>
        <w:jc w:val="both"/>
        <w:divId w:val="2114666435"/>
        <w:rPr>
          <w:rFonts w:eastAsia="Times New Roman"/>
        </w:rPr>
      </w:pPr>
      <w:r>
        <w:rPr>
          <w:rFonts w:eastAsia="Times New Roman"/>
          <w:color w:val="000000"/>
          <w:sz w:val="20"/>
          <w:szCs w:val="20"/>
        </w:rPr>
        <w:t xml:space="preserve">Table 5 displays the components of non-interest expense for the second quarter and first six months of 2021 and 2020. </w:t>
      </w:r>
    </w:p>
    <w:p w:rsidR="00000000" w:rsidRDefault="00AF3814">
      <w:pPr>
        <w:divId w:val="909391240"/>
        <w:rPr>
          <w:rFonts w:eastAsia="Times New Roman"/>
        </w:rPr>
      </w:pPr>
      <w:r>
        <w:rPr>
          <w:rFonts w:eastAsia="Times New Roman"/>
          <w:b/>
          <w:bCs/>
          <w:color w:val="000000"/>
          <w:sz w:val="18"/>
          <w:szCs w:val="18"/>
        </w:rPr>
        <w:t>Tab</w:t>
      </w:r>
      <w:r>
        <w:rPr>
          <w:rFonts w:eastAsia="Times New Roman"/>
          <w:b/>
          <w:bCs/>
          <w:color w:val="000000"/>
          <w:sz w:val="18"/>
          <w:szCs w:val="18"/>
        </w:rPr>
        <w:t>le 5: Non-Interest Expense</w:t>
      </w:r>
    </w:p>
    <w:tbl>
      <w:tblPr>
        <w:tblW w:w="4992" w:type="pct"/>
        <w:tblCellMar>
          <w:top w:w="15" w:type="dxa"/>
          <w:left w:w="15" w:type="dxa"/>
          <w:bottom w:w="15" w:type="dxa"/>
          <w:right w:w="15" w:type="dxa"/>
        </w:tblCellMar>
        <w:tblLook w:val="04A0" w:firstRow="1" w:lastRow="0" w:firstColumn="1" w:lastColumn="0" w:noHBand="0" w:noVBand="1"/>
      </w:tblPr>
      <w:tblGrid>
        <w:gridCol w:w="41"/>
        <w:gridCol w:w="3795"/>
        <w:gridCol w:w="40"/>
        <w:gridCol w:w="36"/>
        <w:gridCol w:w="36"/>
        <w:gridCol w:w="36"/>
        <w:gridCol w:w="110"/>
        <w:gridCol w:w="832"/>
        <w:gridCol w:w="36"/>
        <w:gridCol w:w="36"/>
        <w:gridCol w:w="36"/>
        <w:gridCol w:w="36"/>
        <w:gridCol w:w="110"/>
        <w:gridCol w:w="832"/>
        <w:gridCol w:w="36"/>
        <w:gridCol w:w="36"/>
        <w:gridCol w:w="36"/>
        <w:gridCol w:w="36"/>
        <w:gridCol w:w="110"/>
        <w:gridCol w:w="832"/>
        <w:gridCol w:w="36"/>
        <w:gridCol w:w="36"/>
        <w:gridCol w:w="36"/>
        <w:gridCol w:w="36"/>
        <w:gridCol w:w="110"/>
        <w:gridCol w:w="833"/>
        <w:gridCol w:w="36"/>
        <w:gridCol w:w="36"/>
        <w:gridCol w:w="36"/>
      </w:tblGrid>
      <w:tr w:rsidR="00000000">
        <w:trPr>
          <w:divId w:val="882597839"/>
        </w:trPr>
        <w:tc>
          <w:tcPr>
            <w:tcW w:w="50" w:type="pct"/>
            <w:vAlign w:val="center"/>
            <w:hideMark/>
          </w:tcPr>
          <w:p w:rsidR="00000000" w:rsidRDefault="00AF3814">
            <w:pPr>
              <w:rPr>
                <w:rFonts w:eastAsia="Times New Roman"/>
              </w:rPr>
            </w:pPr>
          </w:p>
        </w:tc>
        <w:tc>
          <w:tcPr>
            <w:tcW w:w="233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6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810290712"/>
              <w:rPr>
                <w:rFonts w:eastAsia="Times New Roman"/>
              </w:rPr>
            </w:pPr>
            <w:r>
              <w:rPr>
                <w:rFonts w:eastAsia="Times New Roman"/>
                <w:color w:val="000000"/>
                <w:sz w:val="18"/>
                <w:szCs w:val="18"/>
              </w:rPr>
              <w:t>Salaries and associate benefit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3,628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Occupancy and equipment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1,040 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Marketing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Professional services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591 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Communications and data processing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610 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Amortization of intangibles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non-interest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Bankcard, regulatory and other fee assessments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Collections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Fraud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804466179"/>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other non-interest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8259783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divId w:val="974987743"/>
        <w:rPr>
          <w:rFonts w:eastAsia="Times New Roman"/>
        </w:rPr>
      </w:pPr>
      <w:r>
        <w:rPr>
          <w:rFonts w:eastAsia="Times New Roman"/>
          <w:color w:val="000000"/>
          <w:sz w:val="20"/>
          <w:szCs w:val="20"/>
        </w:rPr>
        <w:t>_________</w:t>
      </w:r>
    </w:p>
    <w:p w:rsidR="00000000" w:rsidRDefault="00AF3814">
      <w:pPr>
        <w:ind w:hanging="360"/>
        <w:jc w:val="both"/>
        <w:divId w:val="177386470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expense of $26 million and $45 million related to our deferre</w:t>
      </w:r>
      <w:r>
        <w:rPr>
          <w:rFonts w:eastAsia="Times New Roman"/>
          <w:color w:val="000000"/>
          <w:sz w:val="16"/>
          <w:szCs w:val="16"/>
        </w:rPr>
        <w:t>d compensation plan investments for the second quarter and first six months of 2021, respectively, and expense of $44 million and benefit of $15 million related to our deferred compensation plan investments for the second quarter and first six months of 20</w:t>
      </w:r>
      <w:r>
        <w:rPr>
          <w:rFonts w:eastAsia="Times New Roman"/>
          <w:color w:val="000000"/>
          <w:sz w:val="16"/>
          <w:szCs w:val="16"/>
        </w:rPr>
        <w:t>20, respectively. These amounts have corresponding offsets in other non-interest income.</w:t>
      </w:r>
    </w:p>
    <w:p w:rsidR="00000000" w:rsidRDefault="00AF3814">
      <w:pPr>
        <w:ind w:hanging="360"/>
        <w:jc w:val="both"/>
        <w:divId w:val="155870991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Includes legal reserve builds of $55 million for the second quarter and first six months of 2021 and $265 million and $310 million for the second quarter and first </w:t>
      </w:r>
      <w:r>
        <w:rPr>
          <w:rFonts w:eastAsia="Times New Roman"/>
          <w:color w:val="000000"/>
          <w:sz w:val="16"/>
          <w:szCs w:val="16"/>
        </w:rPr>
        <w:t>six months of 2020, respectively.</w:t>
      </w:r>
    </w:p>
    <w:p w:rsidR="00000000" w:rsidRDefault="00AF3814">
      <w:pPr>
        <w:divId w:val="356543929"/>
        <w:rPr>
          <w:rFonts w:eastAsia="Times New Roman"/>
        </w:rPr>
      </w:pPr>
      <w:r>
        <w:rPr>
          <w:rFonts w:eastAsia="Times New Roman"/>
          <w:color w:val="000000"/>
          <w:sz w:val="20"/>
          <w:szCs w:val="20"/>
        </w:rPr>
        <w:t xml:space="preserve">Non-interest expense increased by $196 million to $4.0 billion in the second quarter of 2021 compared to the second quarter of 2020 and increased by $207 million to $7.7 billion in the first six months of 2021 compared to </w:t>
      </w:r>
      <w:r>
        <w:rPr>
          <w:rFonts w:eastAsia="Times New Roman"/>
          <w:color w:val="000000"/>
          <w:sz w:val="20"/>
          <w:szCs w:val="20"/>
        </w:rPr>
        <w:t>the first six months of 2020, primarily driven by increased marketing spend.</w:t>
      </w:r>
    </w:p>
    <w:p w:rsidR="00000000" w:rsidRDefault="00AF3814">
      <w:pPr>
        <w:divId w:val="2013219563"/>
        <w:rPr>
          <w:rFonts w:eastAsia="Times New Roman"/>
        </w:rPr>
      </w:pPr>
      <w:r>
        <w:rPr>
          <w:rFonts w:eastAsia="Times New Roman"/>
          <w:b/>
          <w:bCs/>
          <w:color w:val="000000"/>
          <w:sz w:val="20"/>
          <w:szCs w:val="20"/>
          <w:shd w:val="clear" w:color="auto" w:fill="FFFFFF"/>
        </w:rPr>
        <w:t>Income Taxes</w:t>
      </w:r>
    </w:p>
    <w:p w:rsidR="00000000" w:rsidRDefault="00AF3814">
      <w:pPr>
        <w:jc w:val="both"/>
        <w:divId w:val="1073968357"/>
        <w:rPr>
          <w:rFonts w:eastAsia="Times New Roman"/>
        </w:rPr>
      </w:pPr>
      <w:r>
        <w:rPr>
          <w:rFonts w:eastAsia="Times New Roman"/>
          <w:color w:val="000000"/>
          <w:sz w:val="20"/>
          <w:szCs w:val="20"/>
          <w:shd w:val="clear" w:color="auto" w:fill="FFFFFF"/>
        </w:rPr>
        <w:t xml:space="preserve">We recorded an income </w:t>
      </w:r>
      <w:r>
        <w:rPr>
          <w:rFonts w:eastAsia="Times New Roman"/>
          <w:color w:val="000000"/>
          <w:sz w:val="20"/>
          <w:szCs w:val="20"/>
        </w:rPr>
        <w:t>tax provision of $1.0 billion (22.6% effective income tax rate) and $1.9 billion (21.7% ef</w:t>
      </w:r>
      <w:r>
        <w:rPr>
          <w:rFonts w:eastAsia="Times New Roman"/>
          <w:color w:val="000000"/>
          <w:sz w:val="20"/>
          <w:szCs w:val="20"/>
          <w:shd w:val="clear" w:color="auto" w:fill="FFFFFF"/>
        </w:rPr>
        <w:t xml:space="preserve">fective income tax rate) in </w:t>
      </w:r>
      <w:r>
        <w:rPr>
          <w:rFonts w:eastAsia="Times New Roman"/>
          <w:color w:val="000000"/>
          <w:sz w:val="20"/>
          <w:szCs w:val="20"/>
        </w:rPr>
        <w:t>the second quarter and fir</w:t>
      </w:r>
      <w:r>
        <w:rPr>
          <w:rFonts w:eastAsia="Times New Roman"/>
          <w:color w:val="000000"/>
          <w:sz w:val="20"/>
          <w:szCs w:val="20"/>
        </w:rPr>
        <w:t>st six months of 2021</w:t>
      </w:r>
      <w:r>
        <w:rPr>
          <w:rFonts w:eastAsia="Times New Roman"/>
          <w:color w:val="000000"/>
          <w:sz w:val="20"/>
          <w:szCs w:val="20"/>
          <w:shd w:val="clear" w:color="auto" w:fill="FFFFFF"/>
        </w:rPr>
        <w:t xml:space="preserve">, respectively, compared to an income tax benefit of $543 million (37.2% effective income tax rate) and $1.1 billion (32.9% effective income tax rate) in </w:t>
      </w:r>
      <w:r>
        <w:rPr>
          <w:rFonts w:eastAsia="Times New Roman"/>
          <w:color w:val="000000"/>
          <w:sz w:val="20"/>
          <w:szCs w:val="20"/>
        </w:rPr>
        <w:t>the second quarter and first six months of 2020</w:t>
      </w:r>
      <w:r>
        <w:rPr>
          <w:rFonts w:eastAsia="Times New Roman"/>
          <w:color w:val="000000"/>
          <w:sz w:val="20"/>
          <w:szCs w:val="20"/>
          <w:shd w:val="clear" w:color="auto" w:fill="FFFFFF"/>
        </w:rPr>
        <w:t xml:space="preserve">, respectively. Our effective tax </w:t>
      </w:r>
      <w:r>
        <w:rPr>
          <w:rFonts w:eastAsia="Times New Roman"/>
          <w:color w:val="000000"/>
          <w:sz w:val="20"/>
          <w:szCs w:val="20"/>
          <w:shd w:val="clear" w:color="auto" w:fill="FFFFFF"/>
        </w:rPr>
        <w:t>rate on income from continuing operations varies between periods due, in part, to</w:t>
      </w:r>
      <w:r>
        <w:rPr>
          <w:rFonts w:eastAsia="Times New Roman"/>
          <w:color w:val="000000"/>
          <w:sz w:val="20"/>
          <w:szCs w:val="20"/>
        </w:rPr>
        <w:t xml:space="preserve"> the impact of changes in pre-tax income and changes in tax credits, tax-exempt income and non-deductible expenses relative to our pre-tax earnings.</w:t>
      </w:r>
    </w:p>
    <w:p w:rsidR="00000000" w:rsidRDefault="00AF3814">
      <w:pPr>
        <w:jc w:val="both"/>
        <w:divId w:val="331182272"/>
        <w:rPr>
          <w:rFonts w:eastAsia="Times New Roman"/>
        </w:rPr>
      </w:pPr>
      <w:r>
        <w:rPr>
          <w:rFonts w:eastAsia="Times New Roman"/>
          <w:color w:val="000000"/>
          <w:sz w:val="20"/>
          <w:szCs w:val="20"/>
        </w:rPr>
        <w:t>The decrease in our effect</w:t>
      </w:r>
      <w:r>
        <w:rPr>
          <w:rFonts w:eastAsia="Times New Roman"/>
          <w:color w:val="000000"/>
          <w:sz w:val="20"/>
          <w:szCs w:val="20"/>
        </w:rPr>
        <w:t>ive income tax rate in the second quarter and first six months of 2021 compared to the second quarter and first six months of 2020 was primarily due to significantly higher positive pre-tax earnings in 2021 compared to pre-tax losses in 2020 driven by expe</w:t>
      </w:r>
      <w:r>
        <w:rPr>
          <w:rFonts w:eastAsia="Times New Roman"/>
          <w:color w:val="000000"/>
          <w:sz w:val="20"/>
          <w:szCs w:val="20"/>
        </w:rPr>
        <w:t>ctations of economic worsening that existed at the start of the COVID-19 pandemic in 2020.</w:t>
      </w:r>
    </w:p>
    <w:p w:rsidR="00000000" w:rsidRDefault="00AF3814">
      <w:pPr>
        <w:jc w:val="both"/>
        <w:divId w:val="658849774"/>
        <w:rPr>
          <w:rFonts w:eastAsia="Times New Roman"/>
        </w:rPr>
      </w:pPr>
      <w:r>
        <w:rPr>
          <w:rFonts w:eastAsia="Times New Roman"/>
          <w:color w:val="000000"/>
          <w:sz w:val="20"/>
          <w:szCs w:val="20"/>
        </w:rPr>
        <w:t>We provide additional information on items affecting our income taxes and effective tax rate in “Note 15—Income Taxes”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43267644"/>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4326764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94326764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41" style="width:0;height:1.5pt" o:hralign="center" o:hrstd="t" o:hr="t" fillcolor="#a0a0a0" stroked="f"/>
        </w:pict>
      </w:r>
    </w:p>
    <w:p w:rsidR="00000000" w:rsidRDefault="00AF3814">
      <w:pPr>
        <w:ind w:hanging="360"/>
        <w:jc w:val="both"/>
        <w:divId w:val="1261378836"/>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502743015"/>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0274301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CONSOLIDATED BALANCE SHEETS ANALYSIS</w:t>
            </w:r>
          </w:p>
        </w:tc>
      </w:tr>
    </w:tbl>
    <w:p w:rsidR="00000000" w:rsidRDefault="00AF3814">
      <w:pPr>
        <w:jc w:val="both"/>
        <w:divId w:val="160389458"/>
        <w:rPr>
          <w:rFonts w:eastAsia="Times New Roman"/>
        </w:rPr>
      </w:pPr>
      <w:r>
        <w:rPr>
          <w:rFonts w:eastAsia="Times New Roman"/>
          <w:color w:val="000000"/>
          <w:sz w:val="20"/>
          <w:szCs w:val="20"/>
        </w:rPr>
        <w:t>Total assets increased by $1.8 billion to $423.4 billion as of June 30, 2021 from December 31, 2020 primarily driven by an increase in loan balances, net of higher customer payments, which was partially offset by a decrease in our cash balances due to payd</w:t>
      </w:r>
      <w:r>
        <w:rPr>
          <w:rFonts w:eastAsia="Times New Roman"/>
          <w:color w:val="000000"/>
          <w:sz w:val="20"/>
          <w:szCs w:val="20"/>
        </w:rPr>
        <w:t xml:space="preserve">owns of our securitized debt obligations and redemptions of our senior unsecured debt. </w:t>
      </w:r>
    </w:p>
    <w:p w:rsidR="00000000" w:rsidRDefault="00AF3814">
      <w:pPr>
        <w:jc w:val="both"/>
        <w:divId w:val="789859207"/>
        <w:rPr>
          <w:rFonts w:eastAsia="Times New Roman"/>
        </w:rPr>
      </w:pPr>
      <w:r>
        <w:rPr>
          <w:rFonts w:eastAsia="Times New Roman"/>
          <w:color w:val="000000"/>
          <w:sz w:val="20"/>
          <w:szCs w:val="20"/>
        </w:rPr>
        <w:t>Total liabilities decreased by $2.6 billion to $358.8 billion as of June 30, 2021 from December 31, 2020 primarily driven by redemptions of our senior unsecured debt an</w:t>
      </w:r>
      <w:r>
        <w:rPr>
          <w:rFonts w:eastAsia="Times New Roman"/>
          <w:color w:val="000000"/>
          <w:sz w:val="20"/>
          <w:szCs w:val="20"/>
        </w:rPr>
        <w:t>d paydowns of our securitization debt obligations, partially offset by growth in deposits driven by increased consumer savings.</w:t>
      </w:r>
    </w:p>
    <w:p w:rsidR="00000000" w:rsidRDefault="00AF3814">
      <w:pPr>
        <w:jc w:val="both"/>
        <w:divId w:val="431557889"/>
        <w:rPr>
          <w:rFonts w:eastAsia="Times New Roman"/>
        </w:rPr>
      </w:pPr>
      <w:r>
        <w:rPr>
          <w:rFonts w:eastAsia="Times New Roman"/>
          <w:color w:val="000000"/>
          <w:sz w:val="20"/>
          <w:szCs w:val="20"/>
        </w:rPr>
        <w:t xml:space="preserve">Stockholders’ equity increased by $4.4 billion to $64.6 billion as of June 30, 2021 from December 31, 2020 primarily due to our </w:t>
      </w:r>
      <w:r>
        <w:rPr>
          <w:rFonts w:eastAsia="Times New Roman"/>
          <w:color w:val="000000"/>
          <w:sz w:val="20"/>
          <w:szCs w:val="20"/>
        </w:rPr>
        <w:t>net income of $6.9 billion, partially offset by the repurchase of shares of our common stock.</w:t>
      </w:r>
    </w:p>
    <w:p w:rsidR="00000000" w:rsidRDefault="00AF3814">
      <w:pPr>
        <w:jc w:val="both"/>
        <w:divId w:val="1539009247"/>
        <w:rPr>
          <w:rFonts w:eastAsia="Times New Roman"/>
        </w:rPr>
      </w:pPr>
      <w:r>
        <w:rPr>
          <w:rFonts w:eastAsia="Times New Roman"/>
          <w:color w:val="000000"/>
          <w:sz w:val="20"/>
          <w:szCs w:val="20"/>
        </w:rPr>
        <w:t>The following is a discussion of material changes in the major components of our assets and liabilities during the first six months of 2021. Period-end balance sh</w:t>
      </w:r>
      <w:r>
        <w:rPr>
          <w:rFonts w:eastAsia="Times New Roman"/>
          <w:color w:val="000000"/>
          <w:sz w:val="20"/>
          <w:szCs w:val="20"/>
        </w:rPr>
        <w:t>eet amounts may vary from average balance sheet amounts due to liquidity and balance sheet management activities that are intended to support the adequacy of capital while managing our liquidity requirements, our customers and our market risk exposure in a</w:t>
      </w:r>
      <w:r>
        <w:rPr>
          <w:rFonts w:eastAsia="Times New Roman"/>
          <w:color w:val="000000"/>
          <w:sz w:val="20"/>
          <w:szCs w:val="20"/>
        </w:rPr>
        <w:t>ccordance with our risk appetite.</w:t>
      </w:r>
    </w:p>
    <w:p w:rsidR="00000000" w:rsidRDefault="00AF3814">
      <w:pPr>
        <w:divId w:val="75247215"/>
        <w:rPr>
          <w:rFonts w:eastAsia="Times New Roman"/>
        </w:rPr>
      </w:pPr>
      <w:r>
        <w:rPr>
          <w:rFonts w:eastAsia="Times New Roman"/>
          <w:b/>
          <w:bCs/>
          <w:color w:val="000000"/>
          <w:sz w:val="20"/>
          <w:szCs w:val="20"/>
        </w:rPr>
        <w:t xml:space="preserve">Investment Securities </w:t>
      </w:r>
    </w:p>
    <w:p w:rsidR="00000000" w:rsidRDefault="00AF3814">
      <w:pPr>
        <w:jc w:val="both"/>
        <w:divId w:val="2038433192"/>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w:t>
      </w:r>
      <w:r>
        <w:rPr>
          <w:rFonts w:eastAsia="Times New Roman"/>
          <w:color w:val="000000"/>
          <w:sz w:val="20"/>
          <w:szCs w:val="20"/>
        </w:rPr>
        <w:t>ial mortgage-backed securities (“CMBS”), U.S. Treasury securities and other securities. Agency securities include Government National Mortgage Association (“Ginnie Mae”) guaranteed securities, Federal National Mortgage Association (“Fannie Mae”) and Federa</w:t>
      </w:r>
      <w:r>
        <w:rPr>
          <w:rFonts w:eastAsia="Times New Roman"/>
          <w:color w:val="000000"/>
          <w:sz w:val="20"/>
          <w:szCs w:val="20"/>
        </w:rPr>
        <w:t>l Home Loan Mortgage Corporation (“Freddie Mac”) issued securities. The carrying value of our investments in Agency and U.S. Treasury securities represented 96% of our total investment securities portfolio as of both June 30, 2021 and December 31, 2020.</w:t>
      </w:r>
    </w:p>
    <w:p w:rsidR="00000000" w:rsidRDefault="00AF3814">
      <w:pPr>
        <w:jc w:val="both"/>
        <w:divId w:val="2039381393"/>
        <w:rPr>
          <w:rFonts w:eastAsia="Times New Roman"/>
        </w:rPr>
      </w:pPr>
      <w:r>
        <w:rPr>
          <w:rFonts w:eastAsia="Times New Roman"/>
          <w:color w:val="000000"/>
          <w:sz w:val="20"/>
          <w:szCs w:val="20"/>
        </w:rPr>
        <w:t>Th</w:t>
      </w:r>
      <w:r>
        <w:rPr>
          <w:rFonts w:eastAsia="Times New Roman"/>
          <w:color w:val="000000"/>
          <w:sz w:val="20"/>
          <w:szCs w:val="20"/>
        </w:rPr>
        <w:t>e fair value of our available for sale securities portfolio increased by $1.3 billion to $101.8 billion as of June 30, 2021 from December 31, 2020, primarily driven by net purchases, partially offset by the increase in interest rates. See “Note 2—Investmen</w:t>
      </w:r>
      <w:r>
        <w:rPr>
          <w:rFonts w:eastAsia="Times New Roman"/>
          <w:color w:val="000000"/>
          <w:sz w:val="20"/>
          <w:szCs w:val="20"/>
        </w:rPr>
        <w:t xml:space="preserve">t Securities” for more information. </w:t>
      </w:r>
    </w:p>
    <w:p w:rsidR="00000000" w:rsidRDefault="00AF3814">
      <w:pPr>
        <w:jc w:val="both"/>
        <w:divId w:val="1158231752"/>
        <w:rPr>
          <w:rFonts w:eastAsia="Times New Roman"/>
        </w:rPr>
      </w:pPr>
      <w:r>
        <w:rPr>
          <w:rFonts w:eastAsia="Times New Roman"/>
          <w:color w:val="000000"/>
          <w:sz w:val="20"/>
          <w:szCs w:val="20"/>
        </w:rPr>
        <w:t xml:space="preserve">Table 6 presents the amortized cost and fair value for the major security types in our available for sale securities portfolio as of June 30, 2021 and December 31, 2020. </w:t>
      </w:r>
    </w:p>
    <w:p w:rsidR="00000000" w:rsidRDefault="00AF3814">
      <w:pPr>
        <w:divId w:val="1094789596"/>
        <w:rPr>
          <w:rFonts w:eastAsia="Times New Roman"/>
        </w:rPr>
      </w:pPr>
      <w:r>
        <w:rPr>
          <w:rFonts w:eastAsia="Times New Roman"/>
          <w:b/>
          <w:bCs/>
          <w:color w:val="000000"/>
          <w:sz w:val="18"/>
          <w:szCs w:val="18"/>
        </w:rPr>
        <w:t>Table 6: 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38"/>
        <w:gridCol w:w="4356"/>
        <w:gridCol w:w="37"/>
        <w:gridCol w:w="36"/>
        <w:gridCol w:w="36"/>
        <w:gridCol w:w="36"/>
        <w:gridCol w:w="110"/>
        <w:gridCol w:w="630"/>
        <w:gridCol w:w="36"/>
        <w:gridCol w:w="36"/>
        <w:gridCol w:w="36"/>
        <w:gridCol w:w="36"/>
        <w:gridCol w:w="110"/>
        <w:gridCol w:w="630"/>
        <w:gridCol w:w="36"/>
        <w:gridCol w:w="36"/>
        <w:gridCol w:w="36"/>
        <w:gridCol w:w="36"/>
        <w:gridCol w:w="111"/>
        <w:gridCol w:w="680"/>
        <w:gridCol w:w="36"/>
        <w:gridCol w:w="36"/>
        <w:gridCol w:w="36"/>
        <w:gridCol w:w="36"/>
        <w:gridCol w:w="110"/>
        <w:gridCol w:w="630"/>
        <w:gridCol w:w="36"/>
        <w:gridCol w:w="36"/>
        <w:gridCol w:w="36"/>
        <w:gridCol w:w="36"/>
        <w:gridCol w:w="36"/>
        <w:gridCol w:w="36"/>
        <w:gridCol w:w="36"/>
        <w:gridCol w:w="36"/>
        <w:gridCol w:w="36"/>
      </w:tblGrid>
      <w:tr w:rsidR="00000000">
        <w:trPr>
          <w:divId w:val="352727751"/>
        </w:trPr>
        <w:tc>
          <w:tcPr>
            <w:tcW w:w="50" w:type="pct"/>
            <w:vAlign w:val="center"/>
            <w:hideMark/>
          </w:tcPr>
          <w:p w:rsidR="00000000" w:rsidRDefault="00AF3814">
            <w:pPr>
              <w:rPr>
                <w:rFonts w:eastAsia="Times New Roman"/>
              </w:rPr>
            </w:pPr>
          </w:p>
        </w:tc>
        <w:tc>
          <w:tcPr>
            <w:tcW w:w="289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9,302 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9,318 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76,318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77,206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73,248 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75,466 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77,226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78,322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74,283 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76,703 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10,781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11,087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11,298 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644776373"/>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2,686 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2,689 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5272775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100,336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101,766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97,569 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100,445 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divId w:val="446002523"/>
        <w:rPr>
          <w:rFonts w:eastAsia="Times New Roman"/>
        </w:rPr>
      </w:pPr>
      <w:r>
        <w:rPr>
          <w:rFonts w:eastAsia="Times New Roman"/>
          <w:color w:val="000000"/>
          <w:sz w:val="20"/>
          <w:szCs w:val="20"/>
        </w:rPr>
        <w:t>__________</w:t>
      </w:r>
    </w:p>
    <w:p w:rsidR="00000000" w:rsidRDefault="00AF3814">
      <w:pPr>
        <w:ind w:hanging="360"/>
        <w:jc w:val="both"/>
        <w:divId w:val="128720189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$2</w:t>
      </w:r>
      <w:r>
        <w:rPr>
          <w:rFonts w:eastAsia="Times New Roman"/>
          <w:color w:val="000000"/>
          <w:sz w:val="16"/>
          <w:szCs w:val="16"/>
        </w:rPr>
        <w:t xml:space="preserve">.3 billion and $1.8 billion of asset-backed securities as of June 30, 2021 and December 31, 2020, respectively. The remaining amount is primarily comprised of supranational bonds and foreign government bonds.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90369285"/>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79036928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79036928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42" style="width:0;height:1.5pt" o:hralign="center" o:hrstd="t" o:hr="t" fillcolor="#a0a0a0" stroked="f"/>
        </w:pict>
      </w:r>
    </w:p>
    <w:p w:rsidR="00000000" w:rsidRDefault="00AF3814">
      <w:pPr>
        <w:ind w:hanging="360"/>
        <w:jc w:val="both"/>
        <w:divId w:val="173870271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185166268"/>
        <w:rPr>
          <w:rFonts w:eastAsia="Times New Roman"/>
        </w:rPr>
      </w:pPr>
      <w:r>
        <w:rPr>
          <w:rFonts w:eastAsia="Times New Roman"/>
          <w:b/>
          <w:bCs/>
          <w:color w:val="000000"/>
          <w:sz w:val="20"/>
          <w:szCs w:val="20"/>
        </w:rPr>
        <w:t>Loans Held for Investment</w:t>
      </w:r>
    </w:p>
    <w:p w:rsidR="00000000" w:rsidRDefault="00AF3814">
      <w:pPr>
        <w:jc w:val="both"/>
        <w:divId w:val="1254432724"/>
        <w:rPr>
          <w:rFonts w:eastAsia="Times New Roman"/>
        </w:rPr>
      </w:pPr>
      <w:r>
        <w:rPr>
          <w:rFonts w:eastAsia="Times New Roman"/>
          <w:color w:val="000000"/>
          <w:sz w:val="20"/>
          <w:szCs w:val="20"/>
        </w:rPr>
        <w:t>Total loans held for investment consists of both unsecuritized loans and loans held in our consolidated trusts. Table 7 summarizes, by portfolio segment, the carrying value of our loans held for investment, the allowance for credit losses and net loan bala</w:t>
      </w:r>
      <w:r>
        <w:rPr>
          <w:rFonts w:eastAsia="Times New Roman"/>
          <w:color w:val="000000"/>
          <w:sz w:val="20"/>
          <w:szCs w:val="20"/>
        </w:rPr>
        <w:t>nce as of June 30, 2021 and December 31, 2020.</w:t>
      </w:r>
    </w:p>
    <w:p w:rsidR="00000000" w:rsidRDefault="00AF3814">
      <w:pPr>
        <w:divId w:val="707536617"/>
        <w:rPr>
          <w:rFonts w:eastAsia="Times New Roman"/>
        </w:rPr>
      </w:pPr>
      <w:r>
        <w:rPr>
          <w:rFonts w:eastAsia="Times New Roman"/>
          <w:b/>
          <w:bCs/>
          <w:color w:val="000000"/>
          <w:sz w:val="18"/>
          <w:szCs w:val="18"/>
        </w:rPr>
        <w:t xml:space="preserve">Table 7: Loans Held for Investment </w:t>
      </w:r>
    </w:p>
    <w:tbl>
      <w:tblPr>
        <w:tblW w:w="4985" w:type="pct"/>
        <w:tblCellMar>
          <w:top w:w="15" w:type="dxa"/>
          <w:left w:w="15" w:type="dxa"/>
          <w:bottom w:w="15" w:type="dxa"/>
          <w:right w:w="15" w:type="dxa"/>
        </w:tblCellMar>
        <w:tblLook w:val="04A0" w:firstRow="1" w:lastRow="0" w:firstColumn="1" w:lastColumn="0" w:noHBand="0" w:noVBand="1"/>
      </w:tblPr>
      <w:tblGrid>
        <w:gridCol w:w="39"/>
        <w:gridCol w:w="2856"/>
        <w:gridCol w:w="38"/>
        <w:gridCol w:w="36"/>
        <w:gridCol w:w="36"/>
        <w:gridCol w:w="36"/>
        <w:gridCol w:w="110"/>
        <w:gridCol w:w="630"/>
        <w:gridCol w:w="36"/>
        <w:gridCol w:w="36"/>
        <w:gridCol w:w="36"/>
        <w:gridCol w:w="36"/>
        <w:gridCol w:w="111"/>
        <w:gridCol w:w="651"/>
        <w:gridCol w:w="36"/>
        <w:gridCol w:w="36"/>
        <w:gridCol w:w="36"/>
        <w:gridCol w:w="36"/>
        <w:gridCol w:w="110"/>
        <w:gridCol w:w="630"/>
        <w:gridCol w:w="36"/>
        <w:gridCol w:w="36"/>
        <w:gridCol w:w="36"/>
        <w:gridCol w:w="36"/>
        <w:gridCol w:w="110"/>
        <w:gridCol w:w="630"/>
        <w:gridCol w:w="36"/>
        <w:gridCol w:w="36"/>
        <w:gridCol w:w="36"/>
        <w:gridCol w:w="36"/>
        <w:gridCol w:w="111"/>
        <w:gridCol w:w="651"/>
        <w:gridCol w:w="36"/>
        <w:gridCol w:w="36"/>
        <w:gridCol w:w="36"/>
        <w:gridCol w:w="36"/>
        <w:gridCol w:w="110"/>
        <w:gridCol w:w="630"/>
        <w:gridCol w:w="36"/>
      </w:tblGrid>
      <w:tr w:rsidR="00000000">
        <w:trPr>
          <w:divId w:val="150828844"/>
        </w:trPr>
        <w:tc>
          <w:tcPr>
            <w:tcW w:w="50" w:type="pct"/>
            <w:vAlign w:val="center"/>
            <w:hideMark/>
          </w:tcPr>
          <w:p w:rsidR="00000000" w:rsidRDefault="00AF3814">
            <w:pPr>
              <w:rPr>
                <w:rFonts w:eastAsia="Times New Roman"/>
              </w:rPr>
            </w:pPr>
          </w:p>
        </w:tc>
        <w:tc>
          <w:tcPr>
            <w:tcW w:w="226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50828844"/>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50828844"/>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Loans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Loans</w:t>
            </w:r>
          </w:p>
        </w:tc>
      </w:tr>
      <w:tr w:rsidR="00000000">
        <w:trPr>
          <w:divId w:val="15082884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101,017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92,144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106,956 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11,191 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95,765 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082884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74,759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72,556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68,888 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2,715 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66,173 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082884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73,821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72,551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75,780 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1,658 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74,122 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082884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249,597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12,346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237,251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251,624 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15,564 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236,060 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1942911365"/>
        <w:rPr>
          <w:rFonts w:eastAsia="Times New Roman"/>
        </w:rPr>
      </w:pPr>
      <w:r>
        <w:rPr>
          <w:rFonts w:eastAsia="Times New Roman"/>
          <w:color w:val="000000"/>
          <w:sz w:val="20"/>
          <w:szCs w:val="20"/>
        </w:rPr>
        <w:t xml:space="preserve">Loans held for investment decreased by </w:t>
      </w:r>
      <w:r>
        <w:rPr>
          <w:rFonts w:eastAsia="Times New Roman"/>
          <w:color w:val="000000"/>
          <w:sz w:val="20"/>
          <w:szCs w:val="20"/>
        </w:rPr>
        <w:t>$2.0 billion to $249.6 billion as of June 30, 2021 from December 31, 2020 primarily due to higher customer payments in Domestic Card and the transfer of $4.1 billion in loans to held for sale, partially offset by growth in our auto loan portfolio and highe</w:t>
      </w:r>
      <w:r>
        <w:rPr>
          <w:rFonts w:eastAsia="Times New Roman"/>
          <w:color w:val="000000"/>
          <w:sz w:val="20"/>
          <w:szCs w:val="20"/>
        </w:rPr>
        <w:t>r purchase volume in Domestic Card.</w:t>
      </w:r>
    </w:p>
    <w:p w:rsidR="00000000" w:rsidRDefault="00AF3814">
      <w:pPr>
        <w:jc w:val="both"/>
        <w:divId w:val="468204031"/>
        <w:rPr>
          <w:rFonts w:eastAsia="Times New Roman"/>
        </w:rPr>
      </w:pPr>
      <w:r>
        <w:rPr>
          <w:rFonts w:eastAsia="Times New Roman"/>
          <w:color w:val="000000"/>
          <w:sz w:val="20"/>
          <w:szCs w:val="20"/>
        </w:rPr>
        <w:t>We provide additional information on the composition of our loan portfolio and credit quality in “MD&amp;A—Credit Risk Profile,” “MD&amp;A—Consolidated Results of Operations” and “Note 3—Loans.”</w:t>
      </w:r>
    </w:p>
    <w:p w:rsidR="00000000" w:rsidRDefault="00AF3814">
      <w:pPr>
        <w:divId w:val="184170400"/>
        <w:rPr>
          <w:rFonts w:eastAsia="Times New Roman"/>
        </w:rPr>
      </w:pPr>
      <w:r>
        <w:rPr>
          <w:rFonts w:eastAsia="Times New Roman"/>
          <w:b/>
          <w:bCs/>
          <w:color w:val="000000"/>
          <w:sz w:val="20"/>
          <w:szCs w:val="20"/>
        </w:rPr>
        <w:t>Funding Sources</w:t>
      </w:r>
    </w:p>
    <w:p w:rsidR="00000000" w:rsidRDefault="00AF3814">
      <w:pPr>
        <w:jc w:val="both"/>
        <w:divId w:val="545602170"/>
        <w:rPr>
          <w:rFonts w:eastAsia="Times New Roman"/>
        </w:rPr>
      </w:pPr>
      <w:r>
        <w:rPr>
          <w:rFonts w:eastAsia="Times New Roman"/>
          <w:color w:val="000000"/>
          <w:sz w:val="20"/>
          <w:szCs w:val="20"/>
        </w:rPr>
        <w:t>Our primary sourc</w:t>
      </w:r>
      <w:r>
        <w:rPr>
          <w:rFonts w:eastAsia="Times New Roman"/>
          <w:color w:val="000000"/>
          <w:sz w:val="20"/>
          <w:szCs w:val="20"/>
        </w:rPr>
        <w:t>e of funding comes from deposits, as they are a stable and relatively low cost source of funding. In addition to deposits, we raise funding through the issuance of senior and subordinated notes, securitized debt obligations, federal funds purchased, securi</w:t>
      </w:r>
      <w:r>
        <w:rPr>
          <w:rFonts w:eastAsia="Times New Roman"/>
          <w:color w:val="000000"/>
          <w:sz w:val="20"/>
          <w:szCs w:val="20"/>
        </w:rPr>
        <w:t xml:space="preserve">ties loaned or sold under agreements to repurchase, and Federal Home Loan Banks (“FHLB”) advances secured by certain portions of our loan and securities portfolios. </w:t>
      </w:r>
    </w:p>
    <w:p w:rsidR="00000000" w:rsidRDefault="00AF3814">
      <w:pPr>
        <w:divId w:val="2067991931"/>
        <w:rPr>
          <w:rFonts w:eastAsia="Times New Roman"/>
        </w:rPr>
      </w:pPr>
      <w:r>
        <w:rPr>
          <w:rFonts w:eastAsia="Times New Roman"/>
          <w:color w:val="000000"/>
          <w:sz w:val="20"/>
          <w:szCs w:val="20"/>
        </w:rPr>
        <w:t>Table 8 provides the composition of our primary sources of funding as of June 30, 2021 and</w:t>
      </w:r>
      <w:r>
        <w:rPr>
          <w:rFonts w:eastAsia="Times New Roman"/>
          <w:color w:val="000000"/>
          <w:sz w:val="20"/>
          <w:szCs w:val="20"/>
        </w:rPr>
        <w:t xml:space="preserve"> December 31, 2020.</w:t>
      </w:r>
    </w:p>
    <w:p w:rsidR="00000000" w:rsidRDefault="00AF3814">
      <w:pPr>
        <w:divId w:val="1034889846"/>
        <w:rPr>
          <w:rFonts w:eastAsia="Times New Roman"/>
        </w:rPr>
      </w:pPr>
      <w:r>
        <w:rPr>
          <w:rFonts w:eastAsia="Times New Roman"/>
          <w:b/>
          <w:bCs/>
          <w:color w:val="000000"/>
          <w:sz w:val="18"/>
          <w:szCs w:val="18"/>
        </w:rPr>
        <w:t xml:space="preserve">Table 8: Funding Sources Composition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89"/>
        <w:gridCol w:w="39"/>
        <w:gridCol w:w="36"/>
        <w:gridCol w:w="36"/>
        <w:gridCol w:w="36"/>
        <w:gridCol w:w="110"/>
        <w:gridCol w:w="630"/>
        <w:gridCol w:w="36"/>
        <w:gridCol w:w="36"/>
        <w:gridCol w:w="36"/>
        <w:gridCol w:w="36"/>
        <w:gridCol w:w="44"/>
        <w:gridCol w:w="485"/>
        <w:gridCol w:w="200"/>
        <w:gridCol w:w="36"/>
        <w:gridCol w:w="36"/>
        <w:gridCol w:w="36"/>
        <w:gridCol w:w="110"/>
        <w:gridCol w:w="630"/>
        <w:gridCol w:w="36"/>
        <w:gridCol w:w="36"/>
        <w:gridCol w:w="36"/>
        <w:gridCol w:w="36"/>
        <w:gridCol w:w="44"/>
        <w:gridCol w:w="498"/>
        <w:gridCol w:w="170"/>
      </w:tblGrid>
      <w:tr w:rsidR="00000000">
        <w:trPr>
          <w:divId w:val="2029941261"/>
        </w:trPr>
        <w:tc>
          <w:tcPr>
            <w:tcW w:w="50" w:type="pct"/>
            <w:vAlign w:val="center"/>
            <w:hideMark/>
          </w:tcPr>
          <w:p w:rsidR="00000000" w:rsidRDefault="00AF3814">
            <w:pPr>
              <w:rPr>
                <w:rFonts w:eastAsia="Times New Roman"/>
              </w:rPr>
            </w:pPr>
          </w:p>
        </w:tc>
        <w:tc>
          <w:tcPr>
            <w:tcW w:w="293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29941261"/>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2029941261"/>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w:t>
            </w:r>
          </w:p>
        </w:tc>
      </w:tr>
      <w:tr w:rsidR="00000000">
        <w:trPr>
          <w:divId w:val="202994126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02994126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251,155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249,815 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202994126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42,973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39,590 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299412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06270514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12,180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16,037 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2994126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306,308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305,442 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299412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10,561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12,414 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2994126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debt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25,782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28,125 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299412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funding sources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342,651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345,981 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bl>
    <w:p w:rsidR="00000000" w:rsidRDefault="00AF3814">
      <w:pPr>
        <w:divId w:val="165901690"/>
        <w:rPr>
          <w:rFonts w:eastAsia="Times New Roman"/>
        </w:rPr>
      </w:pPr>
      <w:r>
        <w:rPr>
          <w:rFonts w:eastAsia="Times New Roman"/>
          <w:color w:val="000000"/>
          <w:sz w:val="20"/>
          <w:szCs w:val="20"/>
        </w:rPr>
        <w:t>__________</w:t>
      </w:r>
    </w:p>
    <w:p w:rsidR="00000000" w:rsidRDefault="00AF3814">
      <w:pPr>
        <w:ind w:hanging="360"/>
        <w:jc w:val="both"/>
        <w:divId w:val="12192674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brokered deposits of $11.1 billion and $15.0 billion as of June 30, 2021 and December 31, 2020, resp</w:t>
      </w:r>
      <w:r>
        <w:rPr>
          <w:rFonts w:eastAsia="Times New Roman"/>
          <w:color w:val="000000"/>
          <w:sz w:val="16"/>
          <w:szCs w:val="16"/>
        </w:rPr>
        <w:t>ectively.</w:t>
      </w:r>
    </w:p>
    <w:p w:rsidR="00000000" w:rsidRDefault="00AF3814">
      <w:pPr>
        <w:jc w:val="both"/>
        <w:divId w:val="955870937"/>
        <w:rPr>
          <w:rFonts w:eastAsia="Times New Roman"/>
        </w:rPr>
      </w:pPr>
      <w:r>
        <w:rPr>
          <w:rFonts w:eastAsia="Times New Roman"/>
          <w:color w:val="000000"/>
          <w:sz w:val="20"/>
          <w:szCs w:val="20"/>
        </w:rPr>
        <w:t>Total deposits increased by $866 million to $306.3 billion as of June 30, 2021 from December 31, 2020 primarily driven by increased consumer savings, as well as commercial clients holding elevated levels of liquidity.</w:t>
      </w:r>
    </w:p>
    <w:p w:rsidR="00000000" w:rsidRDefault="00AF3814">
      <w:pPr>
        <w:jc w:val="both"/>
        <w:divId w:val="791704788"/>
        <w:rPr>
          <w:rFonts w:eastAsia="Times New Roman"/>
        </w:rPr>
      </w:pPr>
      <w:r>
        <w:rPr>
          <w:rFonts w:eastAsia="Times New Roman"/>
          <w:color w:val="000000"/>
          <w:sz w:val="20"/>
          <w:szCs w:val="20"/>
        </w:rPr>
        <w:t>Securitized debt obligations decreased</w:t>
      </w:r>
      <w:r>
        <w:rPr>
          <w:rFonts w:eastAsia="Times New Roman"/>
          <w:color w:val="000000"/>
          <w:sz w:val="20"/>
          <w:szCs w:val="20"/>
        </w:rPr>
        <w:t xml:space="preserve"> by $1.9 billion to $10.6 billion as of June 30, 2021 from December 31, 2020 primarily driven by maturities and paydowns in our securitizations.</w:t>
      </w:r>
    </w:p>
    <w:p w:rsidR="00000000" w:rsidRDefault="00AF3814">
      <w:pPr>
        <w:jc w:val="both"/>
        <w:divId w:val="248852538"/>
        <w:rPr>
          <w:rFonts w:eastAsia="Times New Roman"/>
        </w:rPr>
      </w:pPr>
      <w:r>
        <w:rPr>
          <w:rFonts w:eastAsia="Times New Roman"/>
          <w:color w:val="000000"/>
          <w:sz w:val="20"/>
          <w:szCs w:val="20"/>
        </w:rPr>
        <w:t>Other debt decreased by $2.3 billion to $25.8 billion as of June 30, 2021 from December 31, 2020 prim</w:t>
      </w:r>
      <w:r>
        <w:rPr>
          <w:rFonts w:eastAsia="Times New Roman"/>
          <w:color w:val="000000"/>
          <w:sz w:val="20"/>
          <w:szCs w:val="20"/>
          <w:shd w:val="clear" w:color="auto" w:fill="FFFFFF"/>
        </w:rPr>
        <w:t>arily driv</w:t>
      </w:r>
      <w:r>
        <w:rPr>
          <w:rFonts w:eastAsia="Times New Roman"/>
          <w:color w:val="000000"/>
          <w:sz w:val="20"/>
          <w:szCs w:val="20"/>
          <w:shd w:val="clear" w:color="auto" w:fill="FFFFFF"/>
        </w:rPr>
        <w:t>en by redemptions of our senior unsecured debt.</w:t>
      </w:r>
    </w:p>
    <w:p w:rsidR="00000000" w:rsidRDefault="00AF3814">
      <w:pPr>
        <w:jc w:val="both"/>
        <w:divId w:val="1011645188"/>
        <w:rPr>
          <w:rFonts w:eastAsia="Times New Roman"/>
        </w:rPr>
      </w:pPr>
      <w:r>
        <w:rPr>
          <w:rFonts w:eastAsia="Times New Roman"/>
          <w:color w:val="000000"/>
          <w:sz w:val="20"/>
          <w:szCs w:val="20"/>
        </w:rPr>
        <w:t>We provide additional information on our funding sources in “MD&amp;A—Liquidity Risk Profile” and “Note 7—Deposits and Borrowings.”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30709809"/>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30709809"/>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30709809"/>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43" style="width:0;height:1.5pt" o:hralign="center" o:hrstd="t" o:hr="t" fillcolor="#a0a0a0" stroked="f"/>
        </w:pict>
      </w:r>
    </w:p>
    <w:p w:rsidR="00000000" w:rsidRDefault="00AF3814">
      <w:pPr>
        <w:ind w:hanging="360"/>
        <w:jc w:val="both"/>
        <w:divId w:val="1697580759"/>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063938110"/>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6393811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 xml:space="preserve">OFF-BALANCE SHEET ARRANGEMENTS </w:t>
            </w:r>
          </w:p>
        </w:tc>
      </w:tr>
    </w:tbl>
    <w:p w:rsidR="00000000" w:rsidRDefault="00AF3814">
      <w:pPr>
        <w:jc w:val="both"/>
        <w:divId w:val="180166838"/>
        <w:rPr>
          <w:rFonts w:eastAsia="Times New Roman"/>
        </w:rPr>
      </w:pPr>
      <w:r>
        <w:rPr>
          <w:rFonts w:eastAsia="Times New Roman"/>
          <w:color w:val="000000"/>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eastAsia="Times New Roman"/>
          <w:color w:val="000000"/>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eastAsia="Times New Roman"/>
          <w:color w:val="000000"/>
          <w:sz w:val="20"/>
          <w:szCs w:val="20"/>
        </w:rPr>
        <w:t>types of activities in “Note 5—Variable Interest Entities and Securitizations” and “Note 13—Commitments, Contingencies, Guarantees and Others.”</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709716409"/>
        </w:trPr>
        <w:tc>
          <w:tcPr>
            <w:tcW w:w="50" w:type="pct"/>
            <w:vAlign w:val="center"/>
            <w:hideMark/>
          </w:tcPr>
          <w:p w:rsidR="00000000" w:rsidRDefault="00AF3814">
            <w:pPr>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70971640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BUSINESS SEGMENT FINANCIAL PERFORMANCE</w:t>
            </w:r>
          </w:p>
        </w:tc>
      </w:tr>
    </w:tbl>
    <w:p w:rsidR="00000000" w:rsidRDefault="00AF3814">
      <w:pPr>
        <w:jc w:val="both"/>
        <w:divId w:val="1661234812"/>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 Credit Card, Consumer Banking and Commerci</w:t>
      </w:r>
      <w:r>
        <w:rPr>
          <w:rFonts w:eastAsia="Times New Roman"/>
          <w:color w:val="000000"/>
          <w:sz w:val="20"/>
          <w:szCs w:val="20"/>
        </w:rPr>
        <w:t>al Banking. The operations of acquired businesses have been integrated into or managed as a part of our existing business segments. Certain activities that are not part of a segment, such as management of our corporate investment portfolio, asset/liability</w:t>
      </w:r>
      <w:r>
        <w:rPr>
          <w:rFonts w:eastAsia="Times New Roman"/>
          <w:color w:val="000000"/>
          <w:sz w:val="20"/>
          <w:szCs w:val="20"/>
        </w:rPr>
        <w:t xml:space="preserve"> management by our centralized Corporate Treasury group and calculation of our residual tax expense or benefit to arrive at the consolidated effective tax rate that is not assessed to our primary business segments, are included in the Other category.</w:t>
      </w:r>
    </w:p>
    <w:p w:rsidR="00000000" w:rsidRDefault="00AF3814">
      <w:pPr>
        <w:jc w:val="both"/>
        <w:divId w:val="895048214"/>
        <w:rPr>
          <w:rFonts w:eastAsia="Times New Roman"/>
        </w:rPr>
      </w:pPr>
      <w:r>
        <w:rPr>
          <w:rFonts w:eastAsia="Times New Roman"/>
          <w:color w:val="000000"/>
          <w:sz w:val="20"/>
          <w:szCs w:val="20"/>
        </w:rPr>
        <w:t>The r</w:t>
      </w:r>
      <w:r>
        <w:rPr>
          <w:rFonts w:eastAsia="Times New Roman"/>
          <w:color w:val="000000"/>
          <w:sz w:val="20"/>
          <w:szCs w:val="20"/>
        </w:rPr>
        <w:t>esults of our individual businesses, which we report on a continuing operations basis, reflect the manner in which management evaluates performance and makes decisions about funding our operations and allocating resources. We may periodically change our bu</w:t>
      </w:r>
      <w:r>
        <w:rPr>
          <w:rFonts w:eastAsia="Times New Roman"/>
          <w:color w:val="000000"/>
          <w:sz w:val="20"/>
          <w:szCs w:val="20"/>
        </w:rPr>
        <w:t>siness segments or reclassify business segment results based on modifications to our management reporting methodologies and changes in organizational alignment. Our business segment results are intended to reflect each segment as if it were a stand-alone b</w:t>
      </w:r>
      <w:r>
        <w:rPr>
          <w:rFonts w:eastAsia="Times New Roman"/>
          <w:color w:val="000000"/>
          <w:sz w:val="20"/>
          <w:szCs w:val="20"/>
        </w:rPr>
        <w:t>usiness. We use an internal management and reporting process to derive our business segment results. Our internal management and reporting process employs various allocation methodologies, including funds transfer pricing, to assign certain balance sheet a</w:t>
      </w:r>
      <w:r>
        <w:rPr>
          <w:rFonts w:eastAsia="Times New Roman"/>
          <w:color w:val="000000"/>
          <w:sz w:val="20"/>
          <w:szCs w:val="20"/>
        </w:rPr>
        <w:t>ssets, deposits and other liabilities and their related revenue and expenses directly or indirectly attributable to each business segment. Total interest income and non-interest income are directly attributable to the segment in which they are reported. Th</w:t>
      </w:r>
      <w:r>
        <w:rPr>
          <w:rFonts w:eastAsia="Times New Roman"/>
          <w:color w:val="000000"/>
          <w:sz w:val="20"/>
          <w:szCs w:val="20"/>
        </w:rPr>
        <w:t>e net interest income of each segment reflects the results of our funds transfer pricing process, which is primarily based on a matched funding concept that takes into consideration market interest rates. Our funds transfer pricing process provides a funds</w:t>
      </w:r>
      <w:r>
        <w:rPr>
          <w:rFonts w:eastAsia="Times New Roman"/>
          <w:color w:val="000000"/>
          <w:sz w:val="20"/>
          <w:szCs w:val="20"/>
        </w:rPr>
        <w:t xml:space="preserve"> credit for sources of funds, such as deposits generated by our Consumer Banking and Commercial Banking businesses, and a charge for the use of funds by each segment. The allocation process is unique to each business segment and acquired business. We regul</w:t>
      </w:r>
      <w:r>
        <w:rPr>
          <w:rFonts w:eastAsia="Times New Roman"/>
          <w:color w:val="000000"/>
          <w:sz w:val="20"/>
          <w:szCs w:val="20"/>
        </w:rPr>
        <w:t xml:space="preserve">arly assess the assumptions, methodologies and reporting classifications used for segment reporting, which may result in the implementation of refinements or changes in future periods. We provide additional information on the allocation methodologies used </w:t>
      </w:r>
      <w:r>
        <w:rPr>
          <w:rFonts w:eastAsia="Times New Roman"/>
          <w:color w:val="000000"/>
          <w:sz w:val="20"/>
          <w:szCs w:val="20"/>
        </w:rPr>
        <w:t>to derive our business segment results in “Note 17—Business Segments and Revenue from Contracts with Customers” in our 2020 Form 10-K.</w:t>
      </w:r>
    </w:p>
    <w:p w:rsidR="00000000" w:rsidRDefault="00AF3814">
      <w:pPr>
        <w:jc w:val="both"/>
        <w:divId w:val="366024511"/>
        <w:rPr>
          <w:rFonts w:eastAsia="Times New Roman"/>
        </w:rPr>
      </w:pPr>
      <w:r>
        <w:rPr>
          <w:rFonts w:eastAsia="Times New Roman"/>
          <w:color w:val="000000"/>
          <w:sz w:val="20"/>
          <w:szCs w:val="20"/>
        </w:rPr>
        <w:t>We refer to the business segment results derived from our internal management accounting and reporting process as our “ma</w:t>
      </w:r>
      <w:r>
        <w:rPr>
          <w:rFonts w:eastAsia="Times New Roman"/>
          <w:color w:val="000000"/>
          <w:sz w:val="20"/>
          <w:szCs w:val="20"/>
        </w:rPr>
        <w:t>naged” presentation, which differs in some cases from our reported results prepared based on U.S. GAAP. There is no comprehensive authoritative body of guidance for management accounting equivalent to U.S. GAAP; therefore, the managed presentation of our b</w:t>
      </w:r>
      <w:r>
        <w:rPr>
          <w:rFonts w:eastAsia="Times New Roman"/>
          <w:color w:val="000000"/>
          <w:sz w:val="20"/>
          <w:szCs w:val="20"/>
        </w:rPr>
        <w:t>usiness segment results may not be comparable to similar information provided by other financial services companies. In addition, our individual business segment results should not be used as a substitute for comparable results determined in accordance wit</w:t>
      </w:r>
      <w:r>
        <w:rPr>
          <w:rFonts w:eastAsia="Times New Roman"/>
          <w:color w:val="000000"/>
          <w:sz w:val="20"/>
          <w:szCs w:val="20"/>
        </w:rPr>
        <w:t>h U.S. GAAP.</w:t>
      </w:r>
    </w:p>
    <w:p w:rsidR="00000000" w:rsidRDefault="00AF3814">
      <w:pPr>
        <w:jc w:val="both"/>
        <w:divId w:val="1722436749"/>
        <w:rPr>
          <w:rFonts w:eastAsia="Times New Roman"/>
        </w:rPr>
      </w:pPr>
      <w:r>
        <w:rPr>
          <w:rFonts w:eastAsia="Times New Roman"/>
          <w:color w:val="000000"/>
          <w:sz w:val="20"/>
          <w:szCs w:val="20"/>
        </w:rPr>
        <w:t>We summarize our business segment results for the second quarter and first six months of 2021 and 2020 and provide a comparative discussion of these results, as well as changes in our financial condition and credit performance metrics as of Ju</w:t>
      </w:r>
      <w:r>
        <w:rPr>
          <w:rFonts w:eastAsia="Times New Roman"/>
          <w:color w:val="000000"/>
          <w:sz w:val="20"/>
          <w:szCs w:val="20"/>
        </w:rPr>
        <w:t>ne 30, 2021 compared to December 31, 2020. We provide a reconciliation of our total business segment results to our reported consolidated results in “Note 12—Business Segments and Revenue from Contracts with Customers.”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38662883"/>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538662883"/>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538662883"/>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44" style="width:0;height:1.5pt" o:hralign="center" o:hrstd="t" o:hr="t" fillcolor="#a0a0a0" stroked="f"/>
        </w:pict>
      </w:r>
    </w:p>
    <w:p w:rsidR="00000000" w:rsidRDefault="00AF3814">
      <w:pPr>
        <w:ind w:hanging="360"/>
        <w:jc w:val="both"/>
        <w:divId w:val="127987747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365405152"/>
        <w:rPr>
          <w:rFonts w:eastAsia="Times New Roman"/>
        </w:rPr>
      </w:pPr>
      <w:r>
        <w:rPr>
          <w:rFonts w:eastAsia="Times New Roman"/>
          <w:b/>
          <w:bCs/>
          <w:i/>
          <w:iCs/>
          <w:color w:val="000000"/>
          <w:sz w:val="20"/>
          <w:szCs w:val="20"/>
        </w:rPr>
        <w:t>Business Segment Financial Performance</w:t>
      </w:r>
    </w:p>
    <w:p w:rsidR="00000000" w:rsidRDefault="00AF3814">
      <w:pPr>
        <w:jc w:val="both"/>
        <w:divId w:val="1298494378"/>
        <w:rPr>
          <w:rFonts w:eastAsia="Times New Roman"/>
        </w:rPr>
      </w:pPr>
      <w:r>
        <w:rPr>
          <w:rFonts w:eastAsia="Times New Roman"/>
          <w:color w:val="000000"/>
          <w:sz w:val="20"/>
          <w:szCs w:val="20"/>
        </w:rPr>
        <w:t>Table 9 summarizes our business segment results, which we report based on revenue (loss) and income (loss) from continuing operations, for the second quarter and first six months of 2021 and 2020.</w:t>
      </w:r>
    </w:p>
    <w:p w:rsidR="00000000" w:rsidRDefault="00AF3814">
      <w:pPr>
        <w:divId w:val="2081974159"/>
        <w:rPr>
          <w:rFonts w:eastAsia="Times New Roman"/>
        </w:rPr>
      </w:pPr>
      <w:r>
        <w:rPr>
          <w:rFonts w:eastAsia="Times New Roman"/>
          <w:b/>
          <w:bCs/>
          <w:color w:val="000000"/>
          <w:sz w:val="18"/>
          <w:szCs w:val="18"/>
        </w:rPr>
        <w:t xml:space="preserve">Table 9: Business Segment Results </w:t>
      </w:r>
    </w:p>
    <w:tbl>
      <w:tblPr>
        <w:tblW w:w="5000" w:type="pct"/>
        <w:tblCellMar>
          <w:top w:w="15" w:type="dxa"/>
          <w:left w:w="15" w:type="dxa"/>
          <w:bottom w:w="15" w:type="dxa"/>
          <w:right w:w="15" w:type="dxa"/>
        </w:tblCellMar>
        <w:tblLook w:val="04A0" w:firstRow="1" w:lastRow="0" w:firstColumn="1" w:lastColumn="0" w:noHBand="0" w:noVBand="1"/>
      </w:tblPr>
      <w:tblGrid>
        <w:gridCol w:w="51"/>
        <w:gridCol w:w="2850"/>
        <w:gridCol w:w="36"/>
        <w:gridCol w:w="36"/>
        <w:gridCol w:w="36"/>
        <w:gridCol w:w="36"/>
        <w:gridCol w:w="36"/>
        <w:gridCol w:w="445"/>
        <w:gridCol w:w="36"/>
        <w:gridCol w:w="36"/>
        <w:gridCol w:w="36"/>
        <w:gridCol w:w="36"/>
        <w:gridCol w:w="36"/>
        <w:gridCol w:w="455"/>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7"/>
        <w:gridCol w:w="36"/>
        <w:gridCol w:w="36"/>
        <w:gridCol w:w="36"/>
        <w:gridCol w:w="36"/>
        <w:gridCol w:w="36"/>
        <w:gridCol w:w="36"/>
        <w:gridCol w:w="36"/>
        <w:gridCol w:w="36"/>
        <w:gridCol w:w="36"/>
        <w:gridCol w:w="36"/>
        <w:gridCol w:w="36"/>
        <w:gridCol w:w="36"/>
        <w:gridCol w:w="36"/>
      </w:tblGrid>
      <w:tr w:rsidR="00000000">
        <w:trPr>
          <w:divId w:val="638657394"/>
        </w:trPr>
        <w:tc>
          <w:tcPr>
            <w:tcW w:w="50" w:type="pct"/>
            <w:vAlign w:val="center"/>
            <w:hideMark/>
          </w:tcPr>
          <w:p w:rsidR="00000000" w:rsidRDefault="00AF3814">
            <w:pPr>
              <w:rPr>
                <w:rFonts w:eastAsia="Times New Roman"/>
              </w:rPr>
            </w:pPr>
          </w:p>
        </w:tc>
        <w:tc>
          <w:tcPr>
            <w:tcW w:w="182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Height w:val="60"/>
        </w:trPr>
        <w:tc>
          <w:tcPr>
            <w:tcW w:w="0" w:type="auto"/>
            <w:gridSpan w:val="51"/>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3865739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968"/>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60"/>
        <w:gridCol w:w="160"/>
        <w:gridCol w:w="160"/>
        <w:gridCol w:w="480"/>
        <w:gridCol w:w="480"/>
        <w:gridCol w:w="480"/>
        <w:gridCol w:w="480"/>
        <w:gridCol w:w="480"/>
        <w:gridCol w:w="480"/>
        <w:gridCol w:w="480"/>
        <w:gridCol w:w="480"/>
        <w:gridCol w:w="480"/>
      </w:tblGrid>
      <w:tr w:rsidR="00000000">
        <w:tc>
          <w:tcPr>
            <w:tcW w:w="50" w:type="pct"/>
            <w:vAlign w:val="center"/>
            <w:hideMark/>
          </w:tcPr>
          <w:p w:rsidR="00000000" w:rsidRDefault="00AF3814">
            <w:pPr>
              <w:rPr>
                <w:rFonts w:eastAsia="Times New Roman"/>
              </w:rPr>
            </w:pPr>
          </w:p>
        </w:tc>
        <w:tc>
          <w:tcPr>
            <w:tcW w:w="178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5"/>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divId w:val="1681809697"/>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divId w:val="166326918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Revenue (Loss</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Income</w:t>
            </w:r>
          </w:p>
          <w:p w:rsidR="00000000" w:rsidRDefault="00AF3814">
            <w:pPr>
              <w:spacing w:after="100"/>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Revenue (Loss</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Los</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809707696"/>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15102973"/>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392310237"/>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(917)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jc w:val="both"/>
        <w:divId w:val="29328937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894"/>
        <w:gridCol w:w="38"/>
        <w:gridCol w:w="36"/>
        <w:gridCol w:w="36"/>
        <w:gridCol w:w="36"/>
        <w:gridCol w:w="110"/>
        <w:gridCol w:w="540"/>
        <w:gridCol w:w="36"/>
        <w:gridCol w:w="36"/>
        <w:gridCol w:w="36"/>
        <w:gridCol w:w="36"/>
        <w:gridCol w:w="57"/>
        <w:gridCol w:w="343"/>
        <w:gridCol w:w="200"/>
        <w:gridCol w:w="36"/>
        <w:gridCol w:w="36"/>
        <w:gridCol w:w="36"/>
        <w:gridCol w:w="111"/>
        <w:gridCol w:w="509"/>
        <w:gridCol w:w="36"/>
        <w:gridCol w:w="36"/>
        <w:gridCol w:w="36"/>
        <w:gridCol w:w="36"/>
        <w:gridCol w:w="57"/>
        <w:gridCol w:w="343"/>
        <w:gridCol w:w="200"/>
        <w:gridCol w:w="36"/>
        <w:gridCol w:w="36"/>
        <w:gridCol w:w="36"/>
        <w:gridCol w:w="110"/>
        <w:gridCol w:w="540"/>
        <w:gridCol w:w="36"/>
        <w:gridCol w:w="36"/>
        <w:gridCol w:w="36"/>
        <w:gridCol w:w="36"/>
        <w:gridCol w:w="57"/>
        <w:gridCol w:w="343"/>
        <w:gridCol w:w="170"/>
        <w:gridCol w:w="36"/>
        <w:gridCol w:w="36"/>
        <w:gridCol w:w="36"/>
        <w:gridCol w:w="110"/>
        <w:gridCol w:w="525"/>
        <w:gridCol w:w="36"/>
        <w:gridCol w:w="36"/>
        <w:gridCol w:w="36"/>
        <w:gridCol w:w="36"/>
        <w:gridCol w:w="57"/>
        <w:gridCol w:w="343"/>
        <w:gridCol w:w="170"/>
        <w:gridCol w:w="36"/>
        <w:gridCol w:w="36"/>
        <w:gridCol w:w="36"/>
        <w:gridCol w:w="36"/>
        <w:gridCol w:w="36"/>
        <w:gridCol w:w="36"/>
        <w:gridCol w:w="36"/>
        <w:gridCol w:w="36"/>
        <w:gridCol w:w="36"/>
        <w:gridCol w:w="36"/>
        <w:gridCol w:w="36"/>
        <w:gridCol w:w="36"/>
      </w:tblGrid>
      <w:tr w:rsidR="00000000">
        <w:trPr>
          <w:divId w:val="293289379"/>
        </w:trPr>
        <w:tc>
          <w:tcPr>
            <w:tcW w:w="50" w:type="pct"/>
            <w:vAlign w:val="center"/>
            <w:hideMark/>
          </w:tcPr>
          <w:p w:rsidR="00000000" w:rsidRDefault="00AF3814">
            <w:pPr>
              <w:jc w:val="both"/>
              <w:rPr>
                <w:rFonts w:eastAsia="Times New Roman"/>
              </w:rPr>
            </w:pPr>
          </w:p>
        </w:tc>
        <w:tc>
          <w:tcPr>
            <w:tcW w:w="178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93289379"/>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93289379"/>
        </w:trPr>
        <w:tc>
          <w:tcPr>
            <w:tcW w:w="0" w:type="auto"/>
            <w:gridSpan w:val="3"/>
            <w:tcMar>
              <w:top w:w="30" w:type="dxa"/>
              <w:left w:w="20" w:type="dxa"/>
              <w:bottom w:w="30" w:type="dxa"/>
              <w:right w:w="20" w:type="dxa"/>
            </w:tcMar>
            <w:vAlign w:val="bottom"/>
            <w:hideMark/>
          </w:tcPr>
          <w:p w:rsidR="00000000" w:rsidRDefault="00AF3814">
            <w:pPr>
              <w:spacing w:after="100"/>
              <w:divId w:val="1331061774"/>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93289379"/>
        </w:trPr>
        <w:tc>
          <w:tcPr>
            <w:tcW w:w="0" w:type="auto"/>
            <w:gridSpan w:val="3"/>
            <w:tcMar>
              <w:top w:w="30" w:type="dxa"/>
              <w:left w:w="20" w:type="dxa"/>
              <w:bottom w:w="30" w:type="dxa"/>
              <w:right w:w="20" w:type="dxa"/>
            </w:tcMar>
            <w:vAlign w:val="bottom"/>
            <w:hideMark/>
          </w:tcPr>
          <w:p w:rsidR="00000000" w:rsidRDefault="00AF3814">
            <w:pPr>
              <w:spacing w:after="100"/>
              <w:divId w:val="541554067"/>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Net</w:t>
            </w:r>
            <w:r>
              <w:rPr>
                <w:rFonts w:eastAsia="Times New Roman"/>
                <w:b/>
                <w:bCs/>
                <w:color w:val="000000"/>
                <w:sz w:val="16"/>
                <w:szCs w:val="16"/>
              </w:rPr>
              <w:br/>
            </w:r>
            <w:r>
              <w:rPr>
                <w:rFonts w:eastAsia="Times New Roman"/>
                <w:b/>
                <w:bCs/>
                <w:color w:val="000000"/>
                <w:sz w:val="16"/>
                <w:szCs w:val="16"/>
              </w:rPr>
              <w:t>Revenue (Loss</w:t>
            </w:r>
            <w:r>
              <w:rPr>
                <w:rFonts w:eastAsia="Times New Roman"/>
                <w:b/>
                <w:bCs/>
                <w:color w:val="000000"/>
                <w:sz w:val="16"/>
                <w:szCs w:val="16"/>
              </w:rPr>
              <w: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Income</w:t>
            </w:r>
          </w:p>
          <w:p w:rsidR="00000000" w:rsidRDefault="00AF3814">
            <w:pPr>
              <w:spacing w:after="100"/>
              <w:jc w:val="center"/>
              <w:rPr>
                <w:rFonts w:eastAsia="Times New Roman"/>
              </w:rPr>
            </w:pPr>
            <w:r>
              <w:rPr>
                <w:rFonts w:eastAsia="Times New Roman"/>
                <w:b/>
                <w:bCs/>
                <w:color w:val="000000"/>
                <w:sz w:val="16"/>
                <w:szCs w:val="16"/>
              </w:rPr>
              <w:t>(Loss</w:t>
            </w:r>
            <w:r>
              <w:rPr>
                <w:rFonts w:eastAsia="Times New Roman"/>
                <w:b/>
                <w:bCs/>
                <w:color w:val="000000"/>
                <w:sz w:val="16"/>
                <w:szCs w:val="16"/>
              </w:rPr>
              <w:t>)</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Net</w:t>
            </w:r>
            <w:r>
              <w:rPr>
                <w:rFonts w:eastAsia="Times New Roman"/>
                <w:b/>
                <w:bCs/>
                <w:color w:val="000000"/>
                <w:sz w:val="16"/>
                <w:szCs w:val="16"/>
              </w:rPr>
              <w:br/>
              <w:t>Revenu</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Los</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93289379"/>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divId w:val="2932893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8,827 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divId w:val="29328937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divId w:val="29328937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877425283"/>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1,427 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divId w:val="29328937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071777744"/>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divId w:val="29328937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14,487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6,864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13,805 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divId w:val="1105268166"/>
        <w:rPr>
          <w:rFonts w:eastAsia="Times New Roman"/>
        </w:rPr>
      </w:pPr>
      <w:r>
        <w:rPr>
          <w:rFonts w:eastAsia="Times New Roman"/>
          <w:color w:val="000000"/>
          <w:sz w:val="20"/>
          <w:szCs w:val="20"/>
        </w:rPr>
        <w:t>__________</w:t>
      </w:r>
    </w:p>
    <w:p w:rsidR="00000000" w:rsidRDefault="00AF3814">
      <w:pPr>
        <w:ind w:hanging="360"/>
        <w:jc w:val="both"/>
        <w:divId w:val="213471031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Total net revenue (loss) consists of net interest income and non-interest income.</w:t>
      </w:r>
    </w:p>
    <w:p w:rsidR="00000000" w:rsidRDefault="00AF3814">
      <w:pPr>
        <w:ind w:hanging="360"/>
        <w:jc w:val="both"/>
        <w:divId w:val="24249683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income (loss) for our business segments and the Other category is based on income (loss) from continuing operations, net of tax.</w:t>
      </w:r>
    </w:p>
    <w:p w:rsidR="00000000" w:rsidRDefault="00AF3814">
      <w:pPr>
        <w:ind w:hanging="360"/>
        <w:jc w:val="both"/>
        <w:divId w:val="46906145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Some of our comm</w:t>
      </w:r>
      <w:r>
        <w:rPr>
          <w:rFonts w:eastAsia="Times New Roman"/>
          <w:color w:val="000000"/>
          <w:sz w:val="16"/>
          <w:szCs w:val="16"/>
        </w:rPr>
        <w:t xml:space="preserve">ercial investments generate tax-exempt income, tax credits or other tax benefits. Accordingly, we present our Commercial Banking revenue and yields on a taxable-equivalent basis, calculated using the federal statutory tax rate of 21% and state taxes where </w:t>
      </w:r>
      <w:r>
        <w:rPr>
          <w:rFonts w:eastAsia="Times New Roman"/>
          <w:color w:val="000000"/>
          <w:sz w:val="16"/>
          <w:szCs w:val="16"/>
        </w:rPr>
        <w:t>applicable, with offsetting reductions to the Other category</w:t>
      </w:r>
      <w:r>
        <w:rPr>
          <w:rFonts w:eastAsia="Times New Roman"/>
          <w:color w:val="000000"/>
          <w:sz w:val="16"/>
          <w:szCs w:val="16"/>
        </w:rPr>
        <w:t>.</w:t>
      </w:r>
      <w:r>
        <w:rPr>
          <w:rFonts w:eastAsia="Times New Roman"/>
          <w:color w:val="000000"/>
          <w:sz w:val="10"/>
          <w:szCs w:val="10"/>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88912004"/>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8891200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8891200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45" style="width:0;height:1.5pt" o:hralign="center" o:hrstd="t" o:hr="t" fillcolor="#a0a0a0" stroked="f"/>
        </w:pict>
      </w:r>
    </w:p>
    <w:p w:rsidR="00000000" w:rsidRDefault="00AF3814">
      <w:pPr>
        <w:ind w:hanging="360"/>
        <w:jc w:val="both"/>
        <w:divId w:val="18903119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053624170"/>
        <w:rPr>
          <w:rFonts w:eastAsia="Times New Roman"/>
        </w:rPr>
      </w:pPr>
      <w:r>
        <w:rPr>
          <w:rFonts w:eastAsia="Times New Roman"/>
          <w:b/>
          <w:bCs/>
          <w:color w:val="000000"/>
          <w:sz w:val="20"/>
          <w:szCs w:val="20"/>
        </w:rPr>
        <w:t>Credit Card Business</w:t>
      </w:r>
    </w:p>
    <w:p w:rsidR="00000000" w:rsidRDefault="00AF3814">
      <w:pPr>
        <w:jc w:val="both"/>
        <w:divId w:val="1816413548"/>
        <w:rPr>
          <w:rFonts w:eastAsia="Times New Roman"/>
        </w:rPr>
      </w:pPr>
      <w:r>
        <w:rPr>
          <w:rFonts w:eastAsia="Times New Roman"/>
          <w:color w:val="000000"/>
          <w:sz w:val="20"/>
          <w:szCs w:val="20"/>
        </w:rPr>
        <w:t>The primary sources of revenue for our Credit Card business are net interest income, net interchange income and fees colle</w:t>
      </w:r>
      <w:r>
        <w:rPr>
          <w:rFonts w:eastAsia="Times New Roman"/>
          <w:color w:val="000000"/>
          <w:sz w:val="20"/>
          <w:szCs w:val="20"/>
        </w:rPr>
        <w:t>cted from customers. Expenses primarily consist of the provision for credit losses, operating costs and marketing expenses.</w:t>
      </w:r>
    </w:p>
    <w:p w:rsidR="00000000" w:rsidRDefault="00AF3814">
      <w:pPr>
        <w:jc w:val="both"/>
        <w:divId w:val="1272401013"/>
        <w:rPr>
          <w:rFonts w:eastAsia="Times New Roman"/>
        </w:rPr>
      </w:pPr>
      <w:r>
        <w:rPr>
          <w:rFonts w:eastAsia="Times New Roman"/>
          <w:color w:val="000000"/>
          <w:sz w:val="20"/>
          <w:szCs w:val="20"/>
        </w:rPr>
        <w:t xml:space="preserve">Our Credit Card business generated net income from continuing operations of $2.2 billion and $4.3 billion in the second quarter and </w:t>
      </w:r>
      <w:r>
        <w:rPr>
          <w:rFonts w:eastAsia="Times New Roman"/>
          <w:color w:val="000000"/>
          <w:sz w:val="20"/>
          <w:szCs w:val="20"/>
        </w:rPr>
        <w:t>first six months of 2021, respectively, compared to net loss of $533 million and $1.5 billion in the second quarter and first six months of 2020, respectively.</w:t>
      </w:r>
    </w:p>
    <w:p w:rsidR="00000000" w:rsidRDefault="00AF3814">
      <w:pPr>
        <w:jc w:val="both"/>
        <w:divId w:val="1436511528"/>
        <w:rPr>
          <w:rFonts w:eastAsia="Times New Roman"/>
        </w:rPr>
      </w:pPr>
      <w:r>
        <w:rPr>
          <w:rFonts w:eastAsia="Times New Roman"/>
          <w:color w:val="000000"/>
          <w:sz w:val="20"/>
          <w:szCs w:val="20"/>
        </w:rPr>
        <w:t xml:space="preserve">Table 10 summarizes the financial results of our Credit Card business and displays selected key </w:t>
      </w:r>
      <w:r>
        <w:rPr>
          <w:rFonts w:eastAsia="Times New Roman"/>
          <w:color w:val="000000"/>
          <w:sz w:val="20"/>
          <w:szCs w:val="20"/>
        </w:rPr>
        <w:t>metrics for the periods indicated.</w:t>
      </w:r>
    </w:p>
    <w:p w:rsidR="00000000" w:rsidRDefault="00AF3814">
      <w:pPr>
        <w:divId w:val="781144544"/>
        <w:rPr>
          <w:rFonts w:eastAsia="Times New Roman"/>
        </w:rPr>
      </w:pPr>
      <w:r>
        <w:rPr>
          <w:rFonts w:eastAsia="Times New Roman"/>
          <w:b/>
          <w:bCs/>
          <w:color w:val="000000"/>
          <w:sz w:val="18"/>
          <w:szCs w:val="18"/>
        </w:rPr>
        <w:t>Table 10: Credit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1931"/>
        <w:gridCol w:w="39"/>
        <w:gridCol w:w="36"/>
        <w:gridCol w:w="36"/>
        <w:gridCol w:w="36"/>
        <w:gridCol w:w="110"/>
        <w:gridCol w:w="630"/>
        <w:gridCol w:w="200"/>
        <w:gridCol w:w="36"/>
        <w:gridCol w:w="36"/>
        <w:gridCol w:w="36"/>
        <w:gridCol w:w="110"/>
        <w:gridCol w:w="630"/>
        <w:gridCol w:w="170"/>
        <w:gridCol w:w="36"/>
        <w:gridCol w:w="36"/>
        <w:gridCol w:w="36"/>
        <w:gridCol w:w="61"/>
        <w:gridCol w:w="498"/>
        <w:gridCol w:w="271"/>
        <w:gridCol w:w="36"/>
        <w:gridCol w:w="36"/>
        <w:gridCol w:w="36"/>
        <w:gridCol w:w="110"/>
        <w:gridCol w:w="630"/>
        <w:gridCol w:w="200"/>
        <w:gridCol w:w="36"/>
        <w:gridCol w:w="36"/>
        <w:gridCol w:w="36"/>
        <w:gridCol w:w="110"/>
        <w:gridCol w:w="630"/>
        <w:gridCol w:w="170"/>
        <w:gridCol w:w="36"/>
        <w:gridCol w:w="36"/>
        <w:gridCol w:w="36"/>
        <w:gridCol w:w="36"/>
        <w:gridCol w:w="36"/>
        <w:gridCol w:w="61"/>
        <w:gridCol w:w="498"/>
        <w:gridCol w:w="271"/>
        <w:gridCol w:w="36"/>
        <w:gridCol w:w="36"/>
        <w:gridCol w:w="36"/>
        <w:gridCol w:w="36"/>
        <w:gridCol w:w="36"/>
        <w:gridCol w:w="36"/>
      </w:tblGrid>
      <w:tr w:rsidR="00000000">
        <w:trPr>
          <w:divId w:val="1331106667"/>
        </w:trPr>
        <w:tc>
          <w:tcPr>
            <w:tcW w:w="50" w:type="pct"/>
            <w:vAlign w:val="center"/>
            <w:hideMark/>
          </w:tcPr>
          <w:p w:rsidR="00000000" w:rsidRDefault="00AF3814">
            <w:pPr>
              <w:rPr>
                <w:rFonts w:eastAsia="Times New Roman"/>
              </w:rPr>
            </w:pPr>
          </w:p>
        </w:tc>
        <w:tc>
          <w:tcPr>
            <w:tcW w:w="191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tcMar>
              <w:top w:w="30" w:type="dxa"/>
              <w:left w:w="515"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6,589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7,071 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1,756 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451749302"/>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8,827 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(635)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2,944 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(1,127)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6,646 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4,177 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2,842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5,600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(1,996)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99,674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108,748 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100,102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115,762 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076434027"/>
              <w:rPr>
                <w:rFonts w:eastAsia="Times New Roman"/>
              </w:rPr>
            </w:pPr>
            <w:r>
              <w:rPr>
                <w:rFonts w:eastAsia="Times New Roman"/>
                <w:color w:val="000000"/>
                <w:sz w:val="18"/>
                <w:szCs w:val="18"/>
              </w:rPr>
              <w:t>Average yield on loan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13.72 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682467948"/>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15.50 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15.25 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4.46 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132,676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90,149 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241,009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190,069 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Height w:val="24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101,017</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106,956 </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2.44 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(69)</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30+ day delinquency rate</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2.45 </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(70)</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44931119"/>
              <w:rPr>
                <w:rFonts w:eastAsia="Times New Roman"/>
              </w:rPr>
            </w:pPr>
            <w:r>
              <w:rPr>
                <w:rFonts w:eastAsia="Times New Roman"/>
                <w:color w:val="000000"/>
                <w:sz w:val="18"/>
                <w:szCs w:val="18"/>
              </w:rPr>
              <w:t>Nonperforming loan rat</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0.02 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for credit losses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8,873</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11,191 </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311066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10.46 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(168)</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divId w:val="109520868"/>
        <w:rPr>
          <w:rFonts w:eastAsia="Times New Roman"/>
        </w:rPr>
      </w:pPr>
      <w:r>
        <w:rPr>
          <w:rFonts w:eastAsia="Times New Roman"/>
          <w:color w:val="000000"/>
          <w:sz w:val="20"/>
          <w:szCs w:val="20"/>
        </w:rPr>
        <w:t>__________</w:t>
      </w:r>
    </w:p>
    <w:p w:rsidR="00000000" w:rsidRDefault="00AF3814">
      <w:pPr>
        <w:ind w:hanging="360"/>
        <w:jc w:val="both"/>
        <w:divId w:val="189184316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w:t>
      </w:r>
      <w:r>
        <w:rPr>
          <w:rFonts w:eastAsia="Times New Roman"/>
          <w:color w:val="000000"/>
          <w:sz w:val="16"/>
          <w:szCs w:val="16"/>
        </w:rPr>
        <w:t>en-ended loans in accordance with the contractual provisions of the credit arrangements and charge off uncollectible amounts. Total net revenue was reduced by $175 million and $355 million in the second quarter and first six months of 2021, respectively, c</w:t>
      </w:r>
      <w:r>
        <w:rPr>
          <w:rFonts w:eastAsia="Times New Roman"/>
          <w:color w:val="000000"/>
          <w:sz w:val="16"/>
          <w:szCs w:val="16"/>
        </w:rPr>
        <w:t>ompared to $318 million and $707 million in the second quarter and first six months of 2020, respectively, for credit card finance charges and fees charged off as uncollectible.</w:t>
      </w:r>
    </w:p>
    <w:p w:rsidR="00000000" w:rsidRDefault="00AF3814">
      <w:pPr>
        <w:ind w:hanging="360"/>
        <w:jc w:val="both"/>
        <w:divId w:val="7459157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annualized interest income for the per</w:t>
      </w:r>
      <w:r>
        <w:rPr>
          <w:rFonts w:eastAsia="Times New Roman"/>
          <w:color w:val="000000"/>
          <w:sz w:val="16"/>
          <w:szCs w:val="16"/>
        </w:rPr>
        <w:t>iod divided by average loans during the period and does not include any allocations, such as funds transfer pricing.</w:t>
      </w:r>
    </w:p>
    <w:p w:rsidR="00000000" w:rsidRDefault="00AF3814">
      <w:pPr>
        <w:ind w:hanging="360"/>
        <w:jc w:val="both"/>
        <w:divId w:val="194329798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based on annualized total net revenue for the period divided by average loans during the period.</w:t>
      </w:r>
    </w:p>
    <w:p w:rsidR="00000000" w:rsidRDefault="00AF3814">
      <w:pPr>
        <w:ind w:hanging="360"/>
        <w:jc w:val="both"/>
        <w:divId w:val="210452321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Within our credit card loan portfolio, only certain loans in our international card businesses are classified as nonperforming. See “MD&amp;A—Nonperforming Loans and Other Nonperforming Assets” for additional information.</w:t>
      </w:r>
    </w:p>
    <w:p w:rsidR="00000000" w:rsidRDefault="00AF3814">
      <w:pPr>
        <w:jc w:val="both"/>
        <w:divId w:val="1831603998"/>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51200206"/>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751200206"/>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51200206"/>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46" style="width:0;height:1.5pt" o:hralign="center" o:hrstd="t" o:hr="t" fillcolor="#a0a0a0" stroked="f"/>
        </w:pict>
      </w:r>
    </w:p>
    <w:p w:rsidR="00000000" w:rsidRDefault="00AF3814">
      <w:pPr>
        <w:ind w:hanging="360"/>
        <w:jc w:val="both"/>
        <w:divId w:val="145189797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671447968"/>
        <w:rPr>
          <w:rFonts w:eastAsia="Times New Roman"/>
        </w:rPr>
      </w:pPr>
      <w:r>
        <w:rPr>
          <w:rFonts w:eastAsia="Times New Roman"/>
          <w:color w:val="000000"/>
          <w:sz w:val="20"/>
          <w:szCs w:val="20"/>
        </w:rPr>
        <w:t>Key factors affecting the results of our Credit Card business for the second quarter and first six months of 2021 compared to the second quarte</w:t>
      </w:r>
      <w:r>
        <w:rPr>
          <w:rFonts w:eastAsia="Times New Roman"/>
          <w:color w:val="000000"/>
          <w:sz w:val="20"/>
          <w:szCs w:val="20"/>
        </w:rPr>
        <w:t>r and first six months of 2020, and changes in financial condition and credit performance between June 30, 2021 and December 31, 2020 include the following:</w:t>
      </w:r>
    </w:p>
    <w:p w:rsidR="00000000" w:rsidRDefault="00AF3814">
      <w:pPr>
        <w:ind w:hanging="360"/>
        <w:jc w:val="both"/>
        <w:divId w:val="770124785"/>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decreased by $152 million to $3.2 billion in the second q</w:t>
      </w:r>
      <w:r>
        <w:rPr>
          <w:rFonts w:eastAsia="Times New Roman"/>
          <w:color w:val="000000"/>
          <w:sz w:val="20"/>
          <w:szCs w:val="20"/>
        </w:rPr>
        <w:t>uarter of 2021 and decreased by $482 million to $6.6 billion in the first six months of 2021 primarily driven by lower average loan balances.</w:t>
      </w:r>
    </w:p>
    <w:p w:rsidR="00000000" w:rsidRDefault="00AF3814">
      <w:pPr>
        <w:ind w:hanging="360"/>
        <w:jc w:val="both"/>
        <w:divId w:val="1582643478"/>
        <w:rPr>
          <w:rFonts w:eastAsia="Times New Roman"/>
        </w:rPr>
      </w:pPr>
      <w:r>
        <w:rPr>
          <w:rFonts w:eastAsia="Times New Roman"/>
          <w:color w:val="000000"/>
          <w:sz w:val="18"/>
          <w:szCs w:val="18"/>
        </w:rPr>
        <w:t>•</w:t>
      </w:r>
      <w:r>
        <w:rPr>
          <w:rFonts w:eastAsia="Times New Roman"/>
          <w:i/>
          <w:iCs/>
          <w:color w:val="000000"/>
          <w:sz w:val="20"/>
          <w:szCs w:val="20"/>
        </w:rPr>
        <w:t xml:space="preserve">Non-Interest Income: </w:t>
      </w:r>
      <w:r>
        <w:rPr>
          <w:rFonts w:eastAsia="Times New Roman"/>
          <w:color w:val="000000"/>
          <w:sz w:val="20"/>
          <w:szCs w:val="20"/>
        </w:rPr>
        <w:t xml:space="preserve">Non-interest income increased by $408 million to $1.3 billion in the second quarter of 2021 </w:t>
      </w:r>
      <w:r>
        <w:rPr>
          <w:rFonts w:eastAsia="Times New Roman"/>
          <w:color w:val="000000"/>
          <w:sz w:val="20"/>
          <w:szCs w:val="20"/>
        </w:rPr>
        <w:t>and increased by $526 million to $2.3 billion in the first six months of 2021 primarily driven by higher net interchange fees due to an increase in purchase volume.</w:t>
      </w:r>
    </w:p>
    <w:p w:rsidR="00000000" w:rsidRDefault="00AF3814">
      <w:pPr>
        <w:ind w:hanging="360"/>
        <w:jc w:val="both"/>
        <w:divId w:val="188229014"/>
        <w:rPr>
          <w:rFonts w:eastAsia="Times New Roman"/>
        </w:rPr>
      </w:pPr>
      <w:r>
        <w:rPr>
          <w:rFonts w:eastAsia="Times New Roman"/>
          <w:color w:val="000000"/>
          <w:sz w:val="20"/>
          <w:szCs w:val="20"/>
        </w:rPr>
        <w:t>•</w:t>
      </w:r>
      <w:r>
        <w:rPr>
          <w:rFonts w:eastAsia="Times New Roman"/>
          <w:i/>
          <w:iCs/>
          <w:color w:val="000000"/>
          <w:sz w:val="20"/>
          <w:szCs w:val="20"/>
        </w:rPr>
        <w:t>Provision for Credit Losses:</w:t>
      </w:r>
      <w:r>
        <w:rPr>
          <w:rFonts w:eastAsia="Times New Roman"/>
          <w:color w:val="000000"/>
          <w:sz w:val="20"/>
          <w:szCs w:val="20"/>
        </w:rPr>
        <w:t xml:space="preserve"> </w:t>
      </w:r>
      <w:r>
        <w:rPr>
          <w:rFonts w:eastAsia="Times New Roman"/>
          <w:color w:val="000000"/>
          <w:sz w:val="20"/>
          <w:szCs w:val="20"/>
        </w:rPr>
        <w:t>Provision for credit losses decreased by $3.6 billion to a benefit of $635 million in the second quarter of 2021 and decreased by $7.8 billion to a benefit of $1.1 billion in the first six months of 2021 resulting from allowance releases in the first and s</w:t>
      </w:r>
      <w:r>
        <w:rPr>
          <w:rFonts w:eastAsia="Times New Roman"/>
          <w:color w:val="000000"/>
          <w:sz w:val="20"/>
          <w:szCs w:val="20"/>
        </w:rPr>
        <w:t>econd quarters of 2021 due to continued strong credit performance and an improved economic outlook compared to allowance builds in the first and second quarters of 2020 driven by expectations of economic worsening at the start of the COVID-19 pandemic.</w:t>
      </w:r>
    </w:p>
    <w:p w:rsidR="00000000" w:rsidRDefault="00AF3814">
      <w:pPr>
        <w:ind w:hanging="360"/>
        <w:jc w:val="both"/>
        <w:divId w:val="84961931"/>
        <w:rPr>
          <w:rFonts w:eastAsia="Times New Roman"/>
        </w:rPr>
      </w:pPr>
      <w:r>
        <w:rPr>
          <w:rFonts w:eastAsia="Times New Roman"/>
          <w:i/>
          <w:iCs/>
          <w:color w:val="000000"/>
          <w:sz w:val="20"/>
          <w:szCs w:val="20"/>
        </w:rPr>
        <w:t>•</w:t>
      </w:r>
      <w:r>
        <w:rPr>
          <w:rFonts w:eastAsia="Times New Roman"/>
          <w:i/>
          <w:iCs/>
          <w:color w:val="000000"/>
          <w:sz w:val="20"/>
          <w:szCs w:val="20"/>
        </w:rPr>
        <w:t>Non-Interest Expense:</w:t>
      </w:r>
      <w:r>
        <w:rPr>
          <w:rFonts w:eastAsia="Times New Roman"/>
          <w:color w:val="000000"/>
          <w:sz w:val="20"/>
          <w:szCs w:val="20"/>
        </w:rPr>
        <w:t xml:space="preserve"> Non-interest expense increased by $294 million to $2.3 billion in the second quarter of 2021 and increased by $221 million to $4.4 billion in the first six months of 2021 primarily driven by increased marketing spend.</w:t>
      </w:r>
    </w:p>
    <w:p w:rsidR="00000000" w:rsidRDefault="00AF3814">
      <w:pPr>
        <w:ind w:hanging="360"/>
        <w:divId w:val="178854602"/>
        <w:rPr>
          <w:rFonts w:eastAsia="Times New Roman"/>
        </w:rPr>
      </w:pPr>
      <w:r>
        <w:rPr>
          <w:rFonts w:eastAsia="Times New Roman"/>
          <w:b/>
          <w:bCs/>
          <w:color w:val="000000"/>
          <w:sz w:val="18"/>
          <w:szCs w:val="18"/>
        </w:rPr>
        <w:t>•</w:t>
      </w:r>
      <w:r>
        <w:rPr>
          <w:rFonts w:eastAsia="Times New Roman"/>
          <w:i/>
          <w:iCs/>
          <w:color w:val="000000"/>
          <w:sz w:val="20"/>
          <w:szCs w:val="20"/>
        </w:rPr>
        <w:t xml:space="preserve">Loans Held for </w:t>
      </w:r>
      <w:r>
        <w:rPr>
          <w:rFonts w:eastAsia="Times New Roman"/>
          <w:i/>
          <w:iCs/>
          <w:color w:val="000000"/>
          <w:sz w:val="20"/>
          <w:szCs w:val="20"/>
        </w:rPr>
        <w:t>Investment:</w:t>
      </w:r>
      <w:r>
        <w:rPr>
          <w:rFonts w:eastAsia="Times New Roman"/>
          <w:color w:val="000000"/>
          <w:sz w:val="20"/>
          <w:szCs w:val="20"/>
        </w:rPr>
        <w:t xml:space="preserve"> </w:t>
      </w:r>
    </w:p>
    <w:p w:rsidR="00000000" w:rsidRDefault="00AF3814">
      <w:pPr>
        <w:spacing w:before="180" w:after="180"/>
        <w:ind w:hanging="360"/>
        <w:jc w:val="both"/>
        <w:divId w:val="1044217151"/>
        <w:rPr>
          <w:rFonts w:eastAsia="Times New Roman"/>
        </w:rPr>
      </w:pPr>
      <w:r>
        <w:rPr>
          <w:rFonts w:eastAsia="Times New Roman"/>
          <w:color w:val="000000"/>
          <w:sz w:val="20"/>
          <w:szCs w:val="20"/>
        </w:rPr>
        <w:t>◦</w:t>
      </w:r>
      <w:r>
        <w:rPr>
          <w:rFonts w:eastAsia="Times New Roman"/>
          <w:color w:val="000000"/>
          <w:sz w:val="20"/>
          <w:szCs w:val="20"/>
        </w:rPr>
        <w:t>Period-end loans held for investment decreased by $5.9 billion to $101.0 billion as of June 30, 2021 from December 31, 2020 primarily due to higher customer payments and the transfer of a $2.6 billion international partnership portfolio to he</w:t>
      </w:r>
      <w:r>
        <w:rPr>
          <w:rFonts w:eastAsia="Times New Roman"/>
          <w:color w:val="000000"/>
          <w:sz w:val="20"/>
          <w:szCs w:val="20"/>
        </w:rPr>
        <w:t>ld for sale as of June 30, 2021, partially offset by higher purchase volume in Domestic Card.</w:t>
      </w:r>
    </w:p>
    <w:p w:rsidR="00000000" w:rsidRDefault="00AF3814">
      <w:pPr>
        <w:spacing w:before="180" w:after="180"/>
        <w:ind w:hanging="360"/>
        <w:jc w:val="both"/>
        <w:divId w:val="1953856407"/>
        <w:rPr>
          <w:rFonts w:eastAsia="Times New Roman"/>
        </w:rPr>
      </w:pPr>
      <w:r>
        <w:rPr>
          <w:rFonts w:eastAsia="Times New Roman"/>
          <w:color w:val="000000"/>
          <w:sz w:val="20"/>
          <w:szCs w:val="20"/>
        </w:rPr>
        <w:t>◦</w:t>
      </w:r>
      <w:r>
        <w:rPr>
          <w:rFonts w:eastAsia="Times New Roman"/>
          <w:color w:val="000000"/>
          <w:sz w:val="20"/>
          <w:szCs w:val="20"/>
        </w:rPr>
        <w:t>Average loans held for investment decreased by $9.1 billion to $99.7 billion in the second quarter of 2021 compared to the second quarter of 2020 and decreased b</w:t>
      </w:r>
      <w:r>
        <w:rPr>
          <w:rFonts w:eastAsia="Times New Roman"/>
          <w:color w:val="000000"/>
          <w:sz w:val="20"/>
          <w:szCs w:val="20"/>
        </w:rPr>
        <w:t>y $15.7 billion to $100.1 billion in the first six months of 2021 compared to the first six months of 2020 primarily due to higher customer payments, partially offset by higher purchase volume in Domestic Card.</w:t>
      </w:r>
    </w:p>
    <w:p w:rsidR="00000000" w:rsidRDefault="00AF3814">
      <w:pPr>
        <w:ind w:hanging="360"/>
        <w:jc w:val="both"/>
        <w:divId w:val="173426004"/>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The </w:t>
      </w:r>
      <w:r>
        <w:rPr>
          <w:rFonts w:eastAsia="Times New Roman"/>
          <w:color w:val="000000"/>
          <w:sz w:val="20"/>
          <w:szCs w:val="20"/>
        </w:rPr>
        <w:t>net charge-off rate decreased by 217 basis points to 2.29% in the second quarter of 2021 compared to the second quarter of 2020 and decreased by 216 basis points to 2.41% in the first six months of 2021 compared to the first six months of 2020 primarily dr</w:t>
      </w:r>
      <w:r>
        <w:rPr>
          <w:rFonts w:eastAsia="Times New Roman"/>
          <w:color w:val="000000"/>
          <w:sz w:val="20"/>
          <w:szCs w:val="20"/>
        </w:rPr>
        <w:t>iven by strong credit performance in Domestic Card due to higher customer payments, partially offset by lower average loans held for investment.</w:t>
      </w:r>
    </w:p>
    <w:p w:rsidR="00000000" w:rsidRDefault="00AF3814">
      <w:pPr>
        <w:jc w:val="both"/>
        <w:divId w:val="1012948053"/>
        <w:rPr>
          <w:rFonts w:eastAsia="Times New Roman"/>
        </w:rPr>
      </w:pPr>
      <w:r>
        <w:rPr>
          <w:rFonts w:eastAsia="Times New Roman"/>
          <w:color w:val="000000"/>
          <w:sz w:val="20"/>
          <w:szCs w:val="20"/>
        </w:rPr>
        <w:t>The 30+ day delinquency rate decreased by 70 basis points to 1.75% as of June 30, 2021 from December 31, 2020 d</w:t>
      </w:r>
      <w:r>
        <w:rPr>
          <w:rFonts w:eastAsia="Times New Roman"/>
          <w:color w:val="000000"/>
          <w:sz w:val="20"/>
          <w:szCs w:val="20"/>
        </w:rPr>
        <w:t>ue to seasonally lower delinquency inventories and strong credit performance in our domestic credit card loan portfolio.</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45193811"/>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14519381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4519381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47" style="width:0;height:1.5pt" o:hralign="center" o:hrstd="t" o:hr="t" fillcolor="#a0a0a0" stroked="f"/>
        </w:pict>
      </w:r>
    </w:p>
    <w:p w:rsidR="00000000" w:rsidRDefault="00AF3814">
      <w:pPr>
        <w:ind w:hanging="360"/>
        <w:jc w:val="both"/>
        <w:divId w:val="22557698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511023728"/>
        <w:rPr>
          <w:rFonts w:eastAsia="Times New Roman"/>
        </w:rPr>
      </w:pPr>
      <w:r>
        <w:rPr>
          <w:rFonts w:eastAsia="Times New Roman"/>
          <w:b/>
          <w:bCs/>
          <w:color w:val="000000"/>
          <w:sz w:val="20"/>
          <w:szCs w:val="20"/>
        </w:rPr>
        <w:t>Domestic Card Business</w:t>
      </w:r>
    </w:p>
    <w:p w:rsidR="00000000" w:rsidRDefault="00AF3814">
      <w:pPr>
        <w:jc w:val="both"/>
        <w:divId w:val="1139802557"/>
        <w:rPr>
          <w:rFonts w:eastAsia="Times New Roman"/>
        </w:rPr>
      </w:pPr>
      <w:r>
        <w:rPr>
          <w:rFonts w:eastAsia="Times New Roman"/>
          <w:color w:val="000000"/>
          <w:sz w:val="20"/>
          <w:szCs w:val="20"/>
        </w:rPr>
        <w:t>The Domestic Card business generated net income from continuing operations of $2.0 billion and $4.0 billion in the secon</w:t>
      </w:r>
      <w:r>
        <w:rPr>
          <w:rFonts w:eastAsia="Times New Roman"/>
          <w:color w:val="000000"/>
          <w:sz w:val="20"/>
          <w:szCs w:val="20"/>
        </w:rPr>
        <w:t>d quarter and first six months of 2021, respectively, compared to net loss of $605 million and $1.5 billion in the second quarter and first six months of 2020, respectively. In the second quarter and first six months of 2021 and 2020, the Domestic Card bus</w:t>
      </w:r>
      <w:r>
        <w:rPr>
          <w:rFonts w:eastAsia="Times New Roman"/>
          <w:color w:val="000000"/>
          <w:sz w:val="20"/>
          <w:szCs w:val="20"/>
        </w:rPr>
        <w:t>iness accounted for greater than 90% of total net revenue of our Credit Card business.</w:t>
      </w:r>
    </w:p>
    <w:p w:rsidR="00000000" w:rsidRDefault="00AF3814">
      <w:pPr>
        <w:jc w:val="both"/>
        <w:divId w:val="916982382"/>
        <w:rPr>
          <w:rFonts w:eastAsia="Times New Roman"/>
        </w:rPr>
      </w:pPr>
      <w:r>
        <w:rPr>
          <w:rFonts w:eastAsia="Times New Roman"/>
          <w:color w:val="000000"/>
          <w:sz w:val="20"/>
          <w:szCs w:val="20"/>
        </w:rPr>
        <w:t>Table 10.1 summarizes the financial results for Domestic Card business and displays selected key metrics for the periods indicated.</w:t>
      </w:r>
    </w:p>
    <w:p w:rsidR="00000000" w:rsidRDefault="00AF3814">
      <w:pPr>
        <w:divId w:val="465851166"/>
        <w:rPr>
          <w:rFonts w:eastAsia="Times New Roman"/>
        </w:rPr>
      </w:pPr>
      <w:r>
        <w:rPr>
          <w:rFonts w:eastAsia="Times New Roman"/>
          <w:b/>
          <w:bCs/>
          <w:color w:val="000000"/>
          <w:sz w:val="18"/>
          <w:szCs w:val="18"/>
        </w:rPr>
        <w:t>Table 10.1: Domestic Card Business Re</w:t>
      </w:r>
      <w:r>
        <w:rPr>
          <w:rFonts w:eastAsia="Times New Roman"/>
          <w:b/>
          <w:bCs/>
          <w:color w:val="000000"/>
          <w:sz w:val="18"/>
          <w:szCs w:val="18"/>
        </w:rPr>
        <w:t>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1933"/>
        <w:gridCol w:w="38"/>
        <w:gridCol w:w="36"/>
        <w:gridCol w:w="36"/>
        <w:gridCol w:w="36"/>
        <w:gridCol w:w="110"/>
        <w:gridCol w:w="630"/>
        <w:gridCol w:w="200"/>
        <w:gridCol w:w="36"/>
        <w:gridCol w:w="36"/>
        <w:gridCol w:w="36"/>
        <w:gridCol w:w="110"/>
        <w:gridCol w:w="630"/>
        <w:gridCol w:w="170"/>
        <w:gridCol w:w="36"/>
        <w:gridCol w:w="36"/>
        <w:gridCol w:w="36"/>
        <w:gridCol w:w="61"/>
        <w:gridCol w:w="498"/>
        <w:gridCol w:w="271"/>
        <w:gridCol w:w="36"/>
        <w:gridCol w:w="36"/>
        <w:gridCol w:w="36"/>
        <w:gridCol w:w="110"/>
        <w:gridCol w:w="630"/>
        <w:gridCol w:w="200"/>
        <w:gridCol w:w="36"/>
        <w:gridCol w:w="36"/>
        <w:gridCol w:w="36"/>
        <w:gridCol w:w="110"/>
        <w:gridCol w:w="630"/>
        <w:gridCol w:w="170"/>
        <w:gridCol w:w="36"/>
        <w:gridCol w:w="36"/>
        <w:gridCol w:w="36"/>
        <w:gridCol w:w="36"/>
        <w:gridCol w:w="36"/>
        <w:gridCol w:w="61"/>
        <w:gridCol w:w="498"/>
        <w:gridCol w:w="271"/>
        <w:gridCol w:w="36"/>
        <w:gridCol w:w="36"/>
        <w:gridCol w:w="36"/>
        <w:gridCol w:w="36"/>
        <w:gridCol w:w="36"/>
        <w:gridCol w:w="36"/>
      </w:tblGrid>
      <w:tr w:rsidR="00000000">
        <w:trPr>
          <w:divId w:val="1240865537"/>
        </w:trPr>
        <w:tc>
          <w:tcPr>
            <w:tcW w:w="50" w:type="pct"/>
            <w:vAlign w:val="center"/>
            <w:hideMark/>
          </w:tcPr>
          <w:p w:rsidR="00000000" w:rsidRDefault="00AF3814">
            <w:pPr>
              <w:rPr>
                <w:rFonts w:eastAsia="Times New Roman"/>
              </w:rPr>
            </w:pPr>
          </w:p>
        </w:tc>
        <w:tc>
          <w:tcPr>
            <w:tcW w:w="191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3,094 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6,475 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795 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135368505"/>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8,181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8,112 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(561)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2,906 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(1,052)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6,370 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1,776 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3,760 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2,654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5,276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(2,018)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91,535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100,996 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92,062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107,354 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71971237"/>
              <w:rPr>
                <w:rFonts w:eastAsia="Times New Roman"/>
              </w:rPr>
            </w:pPr>
            <w:r>
              <w:rPr>
                <w:rFonts w:eastAsia="Times New Roman"/>
                <w:color w:val="000000"/>
                <w:sz w:val="18"/>
                <w:szCs w:val="18"/>
              </w:rPr>
              <w:t>Average yield on loan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13.52 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13.93 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269362719"/>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15.40 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2,474 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4.53 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122,456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82,860 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222,416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175,108 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Height w:val="24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95,309</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98,504 </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2.42 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(74)</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for credit losses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8,489</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10,650 </w:t>
            </w:r>
          </w:p>
        </w:tc>
        <w:tc>
          <w:tcPr>
            <w:tcW w:w="0" w:type="auto"/>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08655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10.81 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(190)</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divId w:val="2115056932"/>
        <w:rPr>
          <w:rFonts w:eastAsia="Times New Roman"/>
        </w:rPr>
      </w:pPr>
      <w:r>
        <w:rPr>
          <w:rFonts w:eastAsia="Times New Roman"/>
          <w:color w:val="000000"/>
          <w:sz w:val="20"/>
          <w:szCs w:val="20"/>
        </w:rPr>
        <w:t>__________</w:t>
      </w:r>
    </w:p>
    <w:p w:rsidR="00000000" w:rsidRDefault="00AF3814">
      <w:pPr>
        <w:ind w:hanging="360"/>
        <w:jc w:val="both"/>
        <w:divId w:val="85291319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w:t>
      </w:r>
      <w:r>
        <w:rPr>
          <w:rFonts w:eastAsia="Times New Roman"/>
          <w:color w:val="000000"/>
          <w:sz w:val="16"/>
          <w:szCs w:val="16"/>
        </w:rPr>
        <w:t>arge off uncollectible amounts. Finance charges and fees charged off as uncollectible are reflected as a reduction in total net revenue.</w:t>
      </w:r>
    </w:p>
    <w:p w:rsidR="00000000" w:rsidRDefault="00AF3814">
      <w:pPr>
        <w:ind w:hanging="360"/>
        <w:jc w:val="both"/>
        <w:divId w:val="61946132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w:t>
      </w:r>
      <w:r>
        <w:rPr>
          <w:rFonts w:eastAsia="Times New Roman"/>
          <w:color w:val="000000"/>
          <w:sz w:val="16"/>
          <w:szCs w:val="16"/>
        </w:rPr>
        <w:t>eriod and does not include any allocations, such as funds transfer pricing.</w:t>
      </w:r>
    </w:p>
    <w:p w:rsidR="00000000" w:rsidRDefault="00AF3814">
      <w:pPr>
        <w:ind w:hanging="360"/>
        <w:jc w:val="both"/>
        <w:divId w:val="123019167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based on annualized total net revenue for the period divided by average loans during the period.</w:t>
      </w:r>
    </w:p>
    <w:p w:rsidR="00000000" w:rsidRDefault="00AF3814">
      <w:pPr>
        <w:ind w:hanging="360"/>
        <w:jc w:val="both"/>
        <w:divId w:val="1725713225"/>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41977612"/>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41977612"/>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041977612"/>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48" style="width:0;height:1.5pt" o:hralign="center" o:hrstd="t" o:hr="t" fillcolor="#a0a0a0" stroked="f"/>
        </w:pict>
      </w:r>
    </w:p>
    <w:p w:rsidR="00000000" w:rsidRDefault="00AF3814">
      <w:pPr>
        <w:ind w:hanging="360"/>
        <w:jc w:val="both"/>
        <w:divId w:val="1083186542"/>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413966586"/>
        <w:rPr>
          <w:rFonts w:eastAsia="Times New Roman"/>
        </w:rPr>
      </w:pPr>
      <w:r>
        <w:rPr>
          <w:rFonts w:eastAsia="Times New Roman"/>
          <w:color w:val="000000"/>
          <w:sz w:val="20"/>
          <w:szCs w:val="20"/>
        </w:rPr>
        <w:t>Because our Domestic Card business accounts for the substantial majority of our Credit Card business, the key factors driving the results are s</w:t>
      </w:r>
      <w:r>
        <w:rPr>
          <w:rFonts w:eastAsia="Times New Roman"/>
          <w:color w:val="000000"/>
          <w:sz w:val="20"/>
          <w:szCs w:val="20"/>
        </w:rPr>
        <w:t>imilar to the key factors affecting our total Credit Card business. Net income for our Domestic Card business increased in the second quarter of 2021 and in the first six months of 2021 compared to the second quarter of 2020 and the first six months of 202</w:t>
      </w:r>
      <w:r>
        <w:rPr>
          <w:rFonts w:eastAsia="Times New Roman"/>
          <w:color w:val="000000"/>
          <w:sz w:val="20"/>
          <w:szCs w:val="20"/>
        </w:rPr>
        <w:t xml:space="preserve">0 primarily driven by: </w:t>
      </w:r>
    </w:p>
    <w:p w:rsidR="00000000" w:rsidRDefault="00AF3814">
      <w:pPr>
        <w:ind w:hanging="360"/>
        <w:jc w:val="both"/>
        <w:divId w:val="522981884"/>
        <w:rPr>
          <w:rFonts w:eastAsia="Times New Roman"/>
        </w:rPr>
      </w:pPr>
      <w:r>
        <w:rPr>
          <w:rFonts w:eastAsia="Times New Roman"/>
          <w:color w:val="000000"/>
          <w:sz w:val="20"/>
          <w:szCs w:val="20"/>
        </w:rPr>
        <w:t xml:space="preserve">•lower provision for credit losses resulting from allowance releases in the first and second quarters of 2021 due to continued strong credit performance and an improved economic outlook compared to allowance builds in the first and </w:t>
      </w:r>
      <w:r>
        <w:rPr>
          <w:rFonts w:eastAsia="Times New Roman"/>
          <w:color w:val="000000"/>
          <w:sz w:val="20"/>
          <w:szCs w:val="20"/>
        </w:rPr>
        <w:t>second quarters of 2020 driven by expectations of economic worsening at the start of the COVID-19 pandemic; and</w:t>
      </w:r>
    </w:p>
    <w:p w:rsidR="00000000" w:rsidRDefault="00AF3814">
      <w:pPr>
        <w:ind w:hanging="360"/>
        <w:jc w:val="both"/>
        <w:divId w:val="1812094657"/>
        <w:rPr>
          <w:rFonts w:eastAsia="Times New Roman"/>
        </w:rPr>
      </w:pPr>
      <w:r>
        <w:rPr>
          <w:rFonts w:eastAsia="Times New Roman"/>
          <w:color w:val="000000"/>
          <w:sz w:val="20"/>
          <w:szCs w:val="20"/>
        </w:rPr>
        <w:t xml:space="preserve">•higher non-interest income primarily due to higher net interchange fees from an increase in purchase volume. </w:t>
      </w:r>
    </w:p>
    <w:p w:rsidR="00000000" w:rsidRDefault="00AF3814">
      <w:pPr>
        <w:divId w:val="1213691248"/>
        <w:rPr>
          <w:rFonts w:eastAsia="Times New Roman"/>
        </w:rPr>
      </w:pPr>
      <w:r>
        <w:rPr>
          <w:rFonts w:eastAsia="Times New Roman"/>
          <w:color w:val="000000"/>
          <w:sz w:val="20"/>
          <w:szCs w:val="20"/>
        </w:rPr>
        <w:t>These drivers were partially offs</w:t>
      </w:r>
      <w:r>
        <w:rPr>
          <w:rFonts w:eastAsia="Times New Roman"/>
          <w:color w:val="000000"/>
          <w:sz w:val="20"/>
          <w:szCs w:val="20"/>
        </w:rPr>
        <w:t xml:space="preserve">et by: </w:t>
      </w:r>
    </w:p>
    <w:p w:rsidR="00000000" w:rsidRDefault="00AF3814">
      <w:pPr>
        <w:ind w:hanging="360"/>
        <w:jc w:val="both"/>
        <w:divId w:val="1869372230"/>
        <w:rPr>
          <w:rFonts w:eastAsia="Times New Roman"/>
        </w:rPr>
      </w:pPr>
      <w:r>
        <w:rPr>
          <w:rFonts w:eastAsia="Times New Roman"/>
          <w:color w:val="000000"/>
          <w:sz w:val="20"/>
          <w:szCs w:val="20"/>
        </w:rPr>
        <w:t xml:space="preserve">•higher non-interest expense primarily driven by increased marketing spend; and </w:t>
      </w:r>
    </w:p>
    <w:p w:rsidR="00000000" w:rsidRDefault="00AF3814">
      <w:pPr>
        <w:ind w:hanging="360"/>
        <w:jc w:val="both"/>
        <w:divId w:val="808476436"/>
        <w:rPr>
          <w:rFonts w:eastAsia="Times New Roman"/>
        </w:rPr>
      </w:pPr>
      <w:r>
        <w:rPr>
          <w:rFonts w:eastAsia="Times New Roman"/>
          <w:color w:val="000000"/>
          <w:sz w:val="20"/>
          <w:szCs w:val="20"/>
        </w:rPr>
        <w:t>•lower net interest income primarily due to lower average outstanding balances.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74734641"/>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7473464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7473464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49" style="width:0;height:1.5pt" o:hralign="center" o:hrstd="t" o:hr="t" fillcolor="#a0a0a0" stroked="f"/>
        </w:pict>
      </w:r>
    </w:p>
    <w:p w:rsidR="00000000" w:rsidRDefault="00AF3814">
      <w:pPr>
        <w:ind w:hanging="360"/>
        <w:jc w:val="both"/>
        <w:divId w:val="1786266828"/>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804958079"/>
        <w:rPr>
          <w:rFonts w:eastAsia="Times New Roman"/>
        </w:rPr>
      </w:pPr>
      <w:r>
        <w:rPr>
          <w:rFonts w:eastAsia="Times New Roman"/>
          <w:b/>
          <w:bCs/>
          <w:color w:val="000000"/>
          <w:sz w:val="20"/>
          <w:szCs w:val="20"/>
        </w:rPr>
        <w:t>Consumer Banking Business</w:t>
      </w:r>
    </w:p>
    <w:p w:rsidR="00000000" w:rsidRDefault="00AF3814">
      <w:pPr>
        <w:jc w:val="both"/>
        <w:divId w:val="449519981"/>
        <w:rPr>
          <w:rFonts w:eastAsia="Times New Roman"/>
        </w:rPr>
      </w:pPr>
      <w:r>
        <w:rPr>
          <w:rFonts w:eastAsia="Times New Roman"/>
          <w:color w:val="000000"/>
          <w:sz w:val="20"/>
          <w:szCs w:val="20"/>
        </w:rPr>
        <w:t>The primary sources of revenue for our Consumer Banking business are net interest income from loans and deposits as w</w:t>
      </w:r>
      <w:r>
        <w:rPr>
          <w:rFonts w:eastAsia="Times New Roman"/>
          <w:color w:val="000000"/>
          <w:sz w:val="20"/>
          <w:szCs w:val="20"/>
        </w:rPr>
        <w:t>ell as service charges and customer-related fees. Expenses primarily consist of the provision for credit losses, operating costs and marketing expenses.</w:t>
      </w:r>
    </w:p>
    <w:p w:rsidR="00000000" w:rsidRDefault="00AF3814">
      <w:pPr>
        <w:jc w:val="both"/>
        <w:divId w:val="1547638614"/>
        <w:rPr>
          <w:rFonts w:eastAsia="Times New Roman"/>
        </w:rPr>
      </w:pPr>
      <w:r>
        <w:rPr>
          <w:rFonts w:eastAsia="Times New Roman"/>
          <w:color w:val="000000"/>
          <w:sz w:val="20"/>
          <w:szCs w:val="20"/>
        </w:rPr>
        <w:t xml:space="preserve">Our Consumer Banking business generated net income from continuing operations of $1.1 billion and $2.0 </w:t>
      </w:r>
      <w:r>
        <w:rPr>
          <w:rFonts w:eastAsia="Times New Roman"/>
          <w:color w:val="000000"/>
          <w:sz w:val="20"/>
          <w:szCs w:val="20"/>
        </w:rPr>
        <w:t>billion in the second quarter and first six months of 2021, respectively, compared to net loss of $114 million and $166 million in the second quarter and first six months of 2020, respectively.</w:t>
      </w:r>
    </w:p>
    <w:p w:rsidR="00000000" w:rsidRDefault="00AF3814">
      <w:pPr>
        <w:jc w:val="both"/>
        <w:divId w:val="1262759667"/>
        <w:rPr>
          <w:rFonts w:eastAsia="Times New Roman"/>
        </w:rPr>
      </w:pPr>
      <w:r>
        <w:rPr>
          <w:rFonts w:eastAsia="Times New Roman"/>
          <w:color w:val="000000"/>
          <w:sz w:val="20"/>
          <w:szCs w:val="20"/>
        </w:rPr>
        <w:t>Table 11 summarizes the financial results of our Consumer Bank</w:t>
      </w:r>
      <w:r>
        <w:rPr>
          <w:rFonts w:eastAsia="Times New Roman"/>
          <w:color w:val="000000"/>
          <w:sz w:val="20"/>
          <w:szCs w:val="20"/>
        </w:rPr>
        <w:t>ing business and displays selected key metrics for the periods indicated.</w:t>
      </w:r>
    </w:p>
    <w:p w:rsidR="00000000" w:rsidRDefault="00AF3814">
      <w:pPr>
        <w:divId w:val="936519966"/>
        <w:rPr>
          <w:rFonts w:eastAsia="Times New Roman"/>
        </w:rPr>
      </w:pPr>
      <w:r>
        <w:rPr>
          <w:rFonts w:eastAsia="Times New Roman"/>
          <w:b/>
          <w:bCs/>
          <w:color w:val="000000"/>
          <w:sz w:val="18"/>
          <w:szCs w:val="18"/>
        </w:rPr>
        <w:t>Table 11: Consumer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1928"/>
        <w:gridCol w:w="39"/>
        <w:gridCol w:w="36"/>
        <w:gridCol w:w="36"/>
        <w:gridCol w:w="36"/>
        <w:gridCol w:w="110"/>
        <w:gridCol w:w="630"/>
        <w:gridCol w:w="200"/>
        <w:gridCol w:w="36"/>
        <w:gridCol w:w="36"/>
        <w:gridCol w:w="36"/>
        <w:gridCol w:w="110"/>
        <w:gridCol w:w="630"/>
        <w:gridCol w:w="170"/>
        <w:gridCol w:w="36"/>
        <w:gridCol w:w="36"/>
        <w:gridCol w:w="36"/>
        <w:gridCol w:w="60"/>
        <w:gridCol w:w="500"/>
        <w:gridCol w:w="271"/>
        <w:gridCol w:w="36"/>
        <w:gridCol w:w="36"/>
        <w:gridCol w:w="36"/>
        <w:gridCol w:w="110"/>
        <w:gridCol w:w="630"/>
        <w:gridCol w:w="200"/>
        <w:gridCol w:w="36"/>
        <w:gridCol w:w="36"/>
        <w:gridCol w:w="36"/>
        <w:gridCol w:w="110"/>
        <w:gridCol w:w="630"/>
        <w:gridCol w:w="170"/>
        <w:gridCol w:w="36"/>
        <w:gridCol w:w="36"/>
        <w:gridCol w:w="36"/>
        <w:gridCol w:w="36"/>
        <w:gridCol w:w="36"/>
        <w:gridCol w:w="60"/>
        <w:gridCol w:w="500"/>
        <w:gridCol w:w="271"/>
        <w:gridCol w:w="36"/>
        <w:gridCol w:w="36"/>
        <w:gridCol w:w="36"/>
        <w:gridCol w:w="36"/>
        <w:gridCol w:w="36"/>
        <w:gridCol w:w="36"/>
      </w:tblGrid>
      <w:tr w:rsidR="00000000">
        <w:trPr>
          <w:divId w:val="760224712"/>
        </w:trPr>
        <w:tc>
          <w:tcPr>
            <w:tcW w:w="50" w:type="pct"/>
            <w:vAlign w:val="center"/>
            <w:hideMark/>
          </w:tcPr>
          <w:p w:rsidR="00000000" w:rsidRDefault="00AF3814">
            <w:pPr>
              <w:rPr>
                <w:rFonts w:eastAsia="Times New Roman"/>
              </w:rPr>
            </w:pPr>
          </w:p>
        </w:tc>
        <w:tc>
          <w:tcPr>
            <w:tcW w:w="187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tcMar>
              <w:top w:w="30" w:type="dxa"/>
              <w:left w:w="245" w:type="dxa"/>
              <w:bottom w:w="30" w:type="dxa"/>
              <w:right w:w="20" w:type="dxa"/>
            </w:tcMar>
            <w:vAlign w:val="bottom"/>
            <w:hideMark/>
          </w:tcPr>
          <w:p w:rsidR="00000000" w:rsidRDefault="00AF3814">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1,665 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3,322 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net revenue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876 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1,736 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2,027 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1,428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2,608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69,543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61,798 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67,873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61,401 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3,053 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2,860 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72,705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64,851 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70,979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64,261 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2114937318"/>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7.99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8.44 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Average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252,488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232,293 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251,002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223,682 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Average deposits interest rate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0.89 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0.97 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charge-offs (recoveries)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 (recovery) rate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1.19 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 loan originations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12,959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8,292 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21,792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15,931 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Height w:val="24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71,713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65,762 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3,126 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74,759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68,888 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30+ day performing delinquency rate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4.62 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30+ day delinquency rate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Nonperforming loan rate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703900158"/>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0.54 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2247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251,155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249,815 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50" style="width:0;height:1.5pt" o:hralign="center" o:hrstd="t" o:hr="t" fillcolor="#a0a0a0" stroked="f"/>
        </w:pict>
      </w:r>
    </w:p>
    <w:p w:rsidR="00000000" w:rsidRDefault="00AF3814">
      <w:pPr>
        <w:ind w:hanging="360"/>
        <w:jc w:val="both"/>
        <w:divId w:val="109708514"/>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510103720"/>
        <w:rPr>
          <w:rFonts w:eastAsia="Times New Roman"/>
        </w:rPr>
      </w:pPr>
      <w:r>
        <w:rPr>
          <w:rFonts w:eastAsia="Times New Roman"/>
          <w:color w:val="000000"/>
          <w:sz w:val="20"/>
          <w:szCs w:val="20"/>
        </w:rPr>
        <w:t>__________</w:t>
      </w:r>
    </w:p>
    <w:p w:rsidR="00000000" w:rsidRDefault="00AF3814">
      <w:pPr>
        <w:ind w:hanging="360"/>
        <w:jc w:val="both"/>
        <w:divId w:val="210942591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w:t>
      </w:r>
      <w:r>
        <w:rPr>
          <w:rFonts w:eastAsia="Times New Roman"/>
          <w:color w:val="000000"/>
          <w:sz w:val="16"/>
          <w:szCs w:val="16"/>
        </w:rPr>
        <w:t>s not include any allocations, such as funds transfer pricing.</w:t>
      </w:r>
    </w:p>
    <w:p w:rsidR="00000000" w:rsidRDefault="00AF3814">
      <w:pPr>
        <w:ind w:hanging="360"/>
        <w:jc w:val="both"/>
        <w:divId w:val="47992804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assets primarily consist of nonperforming loans and repossessed assets. The total nonperforming asset rate is calculated based on total nonperforming assets divided by the comb</w:t>
      </w:r>
      <w:r>
        <w:rPr>
          <w:rFonts w:eastAsia="Times New Roman"/>
          <w:color w:val="000000"/>
          <w:sz w:val="16"/>
          <w:szCs w:val="16"/>
        </w:rPr>
        <w:t xml:space="preserve">ined period-end total loans held for investment and repossessed assets. </w:t>
      </w:r>
    </w:p>
    <w:p w:rsidR="00000000" w:rsidRDefault="00AF3814">
      <w:pPr>
        <w:ind w:hanging="360"/>
        <w:jc w:val="both"/>
        <w:divId w:val="641158013"/>
        <w:rPr>
          <w:rFonts w:eastAsia="Times New Roman"/>
        </w:rPr>
      </w:pPr>
      <w:r>
        <w:rPr>
          <w:rFonts w:eastAsia="Times New Roman"/>
          <w:color w:val="000000"/>
          <w:sz w:val="16"/>
          <w:szCs w:val="16"/>
        </w:rPr>
        <w:t>**    Not meaningful.</w:t>
      </w:r>
    </w:p>
    <w:p w:rsidR="00000000" w:rsidRDefault="00AF3814">
      <w:pPr>
        <w:jc w:val="both"/>
        <w:divId w:val="415903837"/>
        <w:rPr>
          <w:rFonts w:eastAsia="Times New Roman"/>
        </w:rPr>
      </w:pPr>
      <w:r>
        <w:rPr>
          <w:rFonts w:eastAsia="Times New Roman"/>
          <w:color w:val="000000"/>
          <w:sz w:val="20"/>
          <w:szCs w:val="20"/>
        </w:rPr>
        <w:t>Key factors affecting the results of our Consumer Banking business for the second quarter and first six months of 2021 compared to the second quarter and first s</w:t>
      </w:r>
      <w:r>
        <w:rPr>
          <w:rFonts w:eastAsia="Times New Roman"/>
          <w:color w:val="000000"/>
          <w:sz w:val="20"/>
          <w:szCs w:val="20"/>
        </w:rPr>
        <w:t>ix months of 2020, and changes in financial condition and credit performance between June 30, 2021 and December 31, 2020 include the following:</w:t>
      </w:r>
    </w:p>
    <w:p w:rsidR="00000000" w:rsidRDefault="00AF3814">
      <w:pPr>
        <w:ind w:hanging="360"/>
        <w:jc w:val="both"/>
        <w:divId w:val="2053192642"/>
        <w:rPr>
          <w:rFonts w:eastAsia="Times New Roman"/>
        </w:rPr>
      </w:pPr>
      <w:r>
        <w:rPr>
          <w:rFonts w:eastAsia="Times New Roman"/>
          <w:color w:val="000000"/>
          <w:sz w:val="20"/>
          <w:szCs w:val="20"/>
        </w:rPr>
        <w:t>•</w:t>
      </w:r>
      <w:r>
        <w:rPr>
          <w:rFonts w:eastAsia="Times New Roman"/>
          <w:i/>
          <w:iCs/>
          <w:color w:val="000000"/>
          <w:sz w:val="20"/>
          <w:szCs w:val="20"/>
        </w:rPr>
        <w:t>Net Interest Income: </w:t>
      </w:r>
      <w:r>
        <w:rPr>
          <w:rFonts w:eastAsia="Times New Roman"/>
          <w:color w:val="000000"/>
          <w:sz w:val="20"/>
          <w:szCs w:val="20"/>
        </w:rPr>
        <w:t>Net interest income increased by $436 million to $2.1 billion in the second quarter of 2021 and increased by $809 million to $4.1 billion in the first six months of 2021 primarily driven by higher margins and deposits in our Retail Banking business as well</w:t>
      </w:r>
      <w:r>
        <w:rPr>
          <w:rFonts w:eastAsia="Times New Roman"/>
          <w:color w:val="000000"/>
          <w:sz w:val="20"/>
          <w:szCs w:val="20"/>
        </w:rPr>
        <w:t xml:space="preserve"> as growth in our auto loan portfolio.</w:t>
      </w:r>
    </w:p>
    <w:p w:rsidR="00000000" w:rsidRDefault="00AF3814">
      <w:pPr>
        <w:ind w:hanging="360"/>
        <w:jc w:val="both"/>
        <w:divId w:val="593706549"/>
        <w:rPr>
          <w:rFonts w:eastAsia="Times New Roman"/>
        </w:rPr>
      </w:pPr>
      <w:r>
        <w:rPr>
          <w:rFonts w:eastAsia="Times New Roman"/>
          <w:i/>
          <w:iCs/>
          <w:color w:val="000000"/>
          <w:sz w:val="20"/>
          <w:szCs w:val="20"/>
        </w:rPr>
        <w:t xml:space="preserve">•Non-Interest Income: </w:t>
      </w:r>
      <w:r>
        <w:rPr>
          <w:rFonts w:eastAsia="Times New Roman"/>
          <w:color w:val="000000"/>
          <w:sz w:val="20"/>
          <w:szCs w:val="20"/>
        </w:rPr>
        <w:t xml:space="preserve">Non-interest income increased by $47 million to $144 million in the second quarter of 2021 and increased by $62 million to $285 million in the first six months of 2021 primarily driven by higher </w:t>
      </w:r>
      <w:r>
        <w:rPr>
          <w:rFonts w:eastAsia="Times New Roman"/>
          <w:color w:val="000000"/>
          <w:sz w:val="20"/>
          <w:szCs w:val="20"/>
        </w:rPr>
        <w:t>interchange fees from an increase in debit card purchase volume and growth in our auto loan portfolio.</w:t>
      </w:r>
    </w:p>
    <w:p w:rsidR="00000000" w:rsidRDefault="00AF3814">
      <w:pPr>
        <w:ind w:hanging="360"/>
        <w:jc w:val="both"/>
        <w:divId w:val="478694123"/>
        <w:rPr>
          <w:rFonts w:eastAsia="Times New Roman"/>
        </w:rPr>
      </w:pPr>
      <w:r>
        <w:rPr>
          <w:rFonts w:eastAsia="Times New Roman"/>
          <w:i/>
          <w:iCs/>
          <w:color w:val="000000"/>
          <w:sz w:val="20"/>
          <w:szCs w:val="20"/>
        </w:rPr>
        <w:t xml:space="preserve">•Provision for Credit Losses: </w:t>
      </w:r>
      <w:r>
        <w:rPr>
          <w:rFonts w:eastAsia="Times New Roman"/>
          <w:color w:val="000000"/>
          <w:sz w:val="20"/>
          <w:szCs w:val="20"/>
        </w:rPr>
        <w:t>Provision for credit losses decreased by $1.2 billion to a benefit of $306 million in the second quarter of 2021 and decrea</w:t>
      </w:r>
      <w:r>
        <w:rPr>
          <w:rFonts w:eastAsia="Times New Roman"/>
          <w:color w:val="000000"/>
          <w:sz w:val="20"/>
          <w:szCs w:val="20"/>
        </w:rPr>
        <w:t xml:space="preserve">sed by $2.2 billion to a benefit of $432 million in the first six months of 2021 resulting from allowance releases due to continued strong credit performance, an improved economic outlook and auction price favorability, compared to allowance builds in the </w:t>
      </w:r>
      <w:r>
        <w:rPr>
          <w:rFonts w:eastAsia="Times New Roman"/>
          <w:color w:val="000000"/>
          <w:sz w:val="20"/>
          <w:szCs w:val="20"/>
        </w:rPr>
        <w:t>first and second quarters of 2020 driven by expectations of economic worsening at the start of the COVID-19 pandemic.</w:t>
      </w:r>
    </w:p>
    <w:p w:rsidR="00000000" w:rsidRDefault="00AF3814">
      <w:pPr>
        <w:ind w:hanging="360"/>
        <w:jc w:val="both"/>
        <w:divId w:val="658575636"/>
        <w:rPr>
          <w:rFonts w:eastAsia="Times New Roman"/>
        </w:rPr>
      </w:pPr>
      <w:r>
        <w:rPr>
          <w:rFonts w:eastAsia="Times New Roman"/>
          <w:i/>
          <w:iCs/>
          <w:color w:val="000000"/>
          <w:sz w:val="20"/>
          <w:szCs w:val="20"/>
        </w:rPr>
        <w:t>•Non-Interest Expense:</w:t>
      </w:r>
      <w:r>
        <w:rPr>
          <w:rFonts w:eastAsia="Times New Roman"/>
          <w:color w:val="000000"/>
          <w:sz w:val="20"/>
          <w:szCs w:val="20"/>
        </w:rPr>
        <w:t xml:space="preserve"> Non-interest expense increased by $87 million to $1.1 billion in the second quarter of 2021 and increased by $213 m</w:t>
      </w:r>
      <w:r>
        <w:rPr>
          <w:rFonts w:eastAsia="Times New Roman"/>
          <w:color w:val="000000"/>
          <w:sz w:val="20"/>
          <w:szCs w:val="20"/>
        </w:rPr>
        <w:t>illion to $2.2 billion in the first six months of 2021 primarily driven by growth in our auto loan portfolio as well as continued investment in infrastructure and technology.</w:t>
      </w:r>
    </w:p>
    <w:p w:rsidR="00000000" w:rsidRDefault="00AF3814">
      <w:pPr>
        <w:ind w:hanging="360"/>
        <w:jc w:val="both"/>
        <w:divId w:val="771441530"/>
        <w:rPr>
          <w:rFonts w:eastAsia="Times New Roman"/>
        </w:rPr>
      </w:pPr>
      <w:r>
        <w:rPr>
          <w:rFonts w:eastAsia="Times New Roman"/>
          <w:i/>
          <w:iCs/>
          <w:color w:val="000000"/>
          <w:sz w:val="20"/>
          <w:szCs w:val="20"/>
        </w:rPr>
        <w:t>•Loans Held for Investment:</w:t>
      </w:r>
      <w:r>
        <w:rPr>
          <w:rFonts w:eastAsia="Times New Roman"/>
          <w:color w:val="000000"/>
          <w:sz w:val="20"/>
          <w:szCs w:val="20"/>
        </w:rPr>
        <w:t> </w:t>
      </w:r>
      <w:r>
        <w:rPr>
          <w:rFonts w:eastAsia="Times New Roman"/>
          <w:color w:val="000000"/>
          <w:sz w:val="20"/>
          <w:szCs w:val="20"/>
        </w:rPr>
        <w:t>Period-end loans held for investment increased by $5.9 billion to $74.8 billion as of June 30, 2021 from December 31, 2020, and average loans held for investment increased by $7.9 billion to $72.7 billion in the second quarter of 2021 compared to the secon</w:t>
      </w:r>
      <w:r>
        <w:rPr>
          <w:rFonts w:eastAsia="Times New Roman"/>
          <w:color w:val="000000"/>
          <w:sz w:val="20"/>
          <w:szCs w:val="20"/>
        </w:rPr>
        <w:t>d quarter of 2020 and increased by $6.7 billion to $71.0 billion in the first six months of 2021 compared to the first six months of 2020 primarily driven by growth in our auto loan portfolio due to higher originations.</w:t>
      </w:r>
    </w:p>
    <w:p w:rsidR="00000000" w:rsidRDefault="00AF3814">
      <w:pPr>
        <w:ind w:hanging="360"/>
        <w:jc w:val="both"/>
        <w:divId w:val="920069802"/>
        <w:rPr>
          <w:rFonts w:eastAsia="Times New Roman"/>
        </w:rPr>
      </w:pPr>
      <w:r>
        <w:rPr>
          <w:rFonts w:eastAsia="Times New Roman"/>
          <w:i/>
          <w:iCs/>
          <w:color w:val="000000"/>
          <w:sz w:val="20"/>
          <w:szCs w:val="20"/>
        </w:rPr>
        <w:t>•Deposits:</w:t>
      </w:r>
      <w:r>
        <w:rPr>
          <w:rFonts w:eastAsia="Times New Roman"/>
          <w:color w:val="000000"/>
          <w:sz w:val="20"/>
          <w:szCs w:val="20"/>
        </w:rPr>
        <w:t> Period-end deposits incre</w:t>
      </w:r>
      <w:r>
        <w:rPr>
          <w:rFonts w:eastAsia="Times New Roman"/>
          <w:color w:val="000000"/>
          <w:sz w:val="20"/>
          <w:szCs w:val="20"/>
        </w:rPr>
        <w:t>ased by $1.3 billion to $251.2 billion as of June 30, 2021 from December 31, 2020 primarily driven by increased consumer savings</w:t>
      </w:r>
      <w:r>
        <w:rPr>
          <w:rFonts w:eastAsia="Times New Roman"/>
          <w:i/>
          <w:iCs/>
          <w:color w:val="000000"/>
          <w:sz w:val="20"/>
          <w:szCs w:val="20"/>
        </w:rPr>
        <w:t>.</w:t>
      </w:r>
    </w:p>
    <w:p w:rsidR="00000000" w:rsidRDefault="00AF3814">
      <w:pPr>
        <w:ind w:hanging="360"/>
        <w:jc w:val="both"/>
        <w:divId w:val="1661077213"/>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The net charge-off rate decreased by 125 basis points to a net recovery of 0.06% in t</w:t>
      </w:r>
      <w:r>
        <w:rPr>
          <w:rFonts w:eastAsia="Times New Roman"/>
          <w:color w:val="000000"/>
          <w:sz w:val="20"/>
          <w:szCs w:val="20"/>
        </w:rPr>
        <w:t>he second quarter of 2021 compared to the second quarter of 2020 and decreased by 113 basis points to 0.23% in the first six months of 2021 compared to the first six months of 2020 primarily driven by strong credit performance and the impact of elevated au</w:t>
      </w:r>
      <w:r>
        <w:rPr>
          <w:rFonts w:eastAsia="Times New Roman"/>
          <w:color w:val="000000"/>
          <w:sz w:val="20"/>
          <w:szCs w:val="20"/>
        </w:rPr>
        <w:t>ction prices on recoveries.</w:t>
      </w:r>
    </w:p>
    <w:p w:rsidR="00000000" w:rsidRDefault="00AF3814">
      <w:pPr>
        <w:jc w:val="both"/>
        <w:divId w:val="1755277152"/>
        <w:rPr>
          <w:rFonts w:eastAsia="Times New Roman"/>
        </w:rPr>
      </w:pPr>
      <w:r>
        <w:rPr>
          <w:rFonts w:eastAsia="Times New Roman"/>
          <w:color w:val="000000"/>
          <w:sz w:val="20"/>
          <w:szCs w:val="20"/>
        </w:rPr>
        <w:t>The 30+ day delinquency rate decreased by 160 basis points to 3.40% as of June 30, 2021 from December 31, 2020 driven by seasonally lower delinquency inventories and strong credit performance in our auto loan portfolio.</w:t>
      </w:r>
    </w:p>
    <w:p w:rsidR="00000000" w:rsidRDefault="00AF3814">
      <w:pPr>
        <w:divId w:val="2130663369"/>
        <w:rPr>
          <w:rFonts w:eastAsia="Times New Roman"/>
        </w:rPr>
      </w:pPr>
      <w:r>
        <w:rPr>
          <w:rFonts w:eastAsia="Times New Roman"/>
          <w:b/>
          <w:bCs/>
          <w:color w:val="000000"/>
          <w:sz w:val="20"/>
          <w:szCs w:val="20"/>
        </w:rPr>
        <w:t>Commerci</w:t>
      </w:r>
      <w:r>
        <w:rPr>
          <w:rFonts w:eastAsia="Times New Roman"/>
          <w:b/>
          <w:bCs/>
          <w:color w:val="000000"/>
          <w:sz w:val="20"/>
          <w:szCs w:val="20"/>
        </w:rPr>
        <w:t>al Banking Business</w:t>
      </w:r>
    </w:p>
    <w:p w:rsidR="00000000" w:rsidRDefault="00AF3814">
      <w:pPr>
        <w:jc w:val="both"/>
        <w:divId w:val="1816870387"/>
        <w:rPr>
          <w:rFonts w:eastAsia="Times New Roman"/>
        </w:rPr>
      </w:pPr>
      <w:r>
        <w:rPr>
          <w:rFonts w:eastAsia="Times New Roman"/>
          <w:color w:val="000000"/>
          <w:sz w:val="20"/>
          <w:szCs w:val="20"/>
        </w:rPr>
        <w:t>The primary sources of revenue for our Commercial Banking business are net interest income from loans and deposits and non-interest income earned from products and services provided to our clients such as capital markets and treasury ma</w:t>
      </w:r>
      <w:r>
        <w:rPr>
          <w:rFonts w:eastAsia="Times New Roman"/>
          <w:color w:val="000000"/>
          <w:sz w:val="20"/>
          <w:szCs w:val="20"/>
        </w:rPr>
        <w:t>nagement. Because our Commercial Banking business has loans and investments that generate tax-exempt income, tax credits or other tax benefits, we present the revenues on a taxable-equivalent basis. Expenses primarily consist of the provision for credit lo</w:t>
      </w:r>
      <w:r>
        <w:rPr>
          <w:rFonts w:eastAsia="Times New Roman"/>
          <w:color w:val="000000"/>
          <w:sz w:val="20"/>
          <w:szCs w:val="20"/>
        </w:rPr>
        <w:t>sses and operating costs.</w:t>
      </w:r>
    </w:p>
    <w:p w:rsidR="00000000" w:rsidRDefault="00AF3814">
      <w:pPr>
        <w:jc w:val="both"/>
        <w:divId w:val="903836077"/>
        <w:rPr>
          <w:rFonts w:eastAsia="Times New Roman"/>
        </w:rPr>
      </w:pPr>
      <w:r>
        <w:rPr>
          <w:rFonts w:eastAsia="Times New Roman"/>
          <w:color w:val="000000"/>
          <w:sz w:val="20"/>
          <w:szCs w:val="20"/>
        </w:rPr>
        <w:t>Our Commercial Banking business generated net income from continuing operations of $396 million and $812 million in the second quarter of 2021, respectively, compared to net loss of $118 million and $529 million in the second quar</w:t>
      </w:r>
      <w:r>
        <w:rPr>
          <w:rFonts w:eastAsia="Times New Roman"/>
          <w:color w:val="000000"/>
          <w:sz w:val="20"/>
          <w:szCs w:val="20"/>
        </w:rPr>
        <w:t>ter and first six months of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00341728"/>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500341728"/>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500341728"/>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51" style="width:0;height:1.5pt" o:hralign="center" o:hrstd="t" o:hr="t" fillcolor="#a0a0a0" stroked="f"/>
        </w:pict>
      </w:r>
    </w:p>
    <w:p w:rsidR="00000000" w:rsidRDefault="00AF3814">
      <w:pPr>
        <w:ind w:hanging="360"/>
        <w:jc w:val="both"/>
        <w:divId w:val="153171904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154448180"/>
        <w:rPr>
          <w:rFonts w:eastAsia="Times New Roman"/>
        </w:rPr>
      </w:pPr>
      <w:r>
        <w:rPr>
          <w:rFonts w:eastAsia="Times New Roman"/>
          <w:color w:val="000000"/>
          <w:sz w:val="20"/>
          <w:szCs w:val="20"/>
        </w:rPr>
        <w:t>Table 12 summarizes the financial results of our Commercial Banking business and displays selected key metrics for the periods indicated.</w:t>
      </w:r>
    </w:p>
    <w:p w:rsidR="00000000" w:rsidRDefault="00AF3814">
      <w:pPr>
        <w:divId w:val="338585742"/>
        <w:rPr>
          <w:rFonts w:eastAsia="Times New Roman"/>
        </w:rPr>
      </w:pPr>
      <w:r>
        <w:rPr>
          <w:rFonts w:eastAsia="Times New Roman"/>
          <w:b/>
          <w:bCs/>
          <w:color w:val="000000"/>
          <w:sz w:val="18"/>
          <w:szCs w:val="18"/>
        </w:rPr>
        <w:t>Table</w:t>
      </w:r>
      <w:r>
        <w:rPr>
          <w:rFonts w:eastAsia="Times New Roman"/>
          <w:b/>
          <w:bCs/>
          <w:color w:val="000000"/>
          <w:sz w:val="18"/>
          <w:szCs w:val="18"/>
        </w:rPr>
        <w:t xml:space="preserve"> 12: Commercial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2291"/>
        <w:gridCol w:w="39"/>
        <w:gridCol w:w="36"/>
        <w:gridCol w:w="36"/>
        <w:gridCol w:w="36"/>
        <w:gridCol w:w="110"/>
        <w:gridCol w:w="540"/>
        <w:gridCol w:w="200"/>
        <w:gridCol w:w="36"/>
        <w:gridCol w:w="36"/>
        <w:gridCol w:w="36"/>
        <w:gridCol w:w="110"/>
        <w:gridCol w:w="540"/>
        <w:gridCol w:w="170"/>
        <w:gridCol w:w="36"/>
        <w:gridCol w:w="36"/>
        <w:gridCol w:w="36"/>
        <w:gridCol w:w="61"/>
        <w:gridCol w:w="498"/>
        <w:gridCol w:w="271"/>
        <w:gridCol w:w="36"/>
        <w:gridCol w:w="36"/>
        <w:gridCol w:w="36"/>
        <w:gridCol w:w="110"/>
        <w:gridCol w:w="540"/>
        <w:gridCol w:w="200"/>
        <w:gridCol w:w="36"/>
        <w:gridCol w:w="36"/>
        <w:gridCol w:w="36"/>
        <w:gridCol w:w="110"/>
        <w:gridCol w:w="540"/>
        <w:gridCol w:w="170"/>
        <w:gridCol w:w="36"/>
        <w:gridCol w:w="36"/>
        <w:gridCol w:w="36"/>
        <w:gridCol w:w="36"/>
        <w:gridCol w:w="36"/>
        <w:gridCol w:w="61"/>
        <w:gridCol w:w="498"/>
        <w:gridCol w:w="271"/>
        <w:gridCol w:w="36"/>
        <w:gridCol w:w="36"/>
        <w:gridCol w:w="36"/>
        <w:gridCol w:w="36"/>
        <w:gridCol w:w="36"/>
        <w:gridCol w:w="36"/>
      </w:tblGrid>
      <w:tr w:rsidR="00000000">
        <w:trPr>
          <w:divId w:val="309747704"/>
        </w:trPr>
        <w:tc>
          <w:tcPr>
            <w:tcW w:w="50" w:type="pct"/>
            <w:vAlign w:val="center"/>
            <w:hideMark/>
          </w:tcPr>
          <w:p w:rsidR="00000000" w:rsidRDefault="00AF3814">
            <w:pPr>
              <w:rPr>
                <w:rFonts w:eastAsia="Times New Roman"/>
              </w:rPr>
            </w:pPr>
          </w:p>
        </w:tc>
        <w:tc>
          <w:tcPr>
            <w:tcW w:w="191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651955310"/>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813791186"/>
              <w:rPr>
                <w:rFonts w:eastAsia="Times New Roman"/>
              </w:rPr>
            </w:pPr>
            <w:r>
              <w:rPr>
                <w:rFonts w:eastAsia="Times New Roman"/>
                <w:color w:val="000000"/>
                <w:sz w:val="18"/>
                <w:szCs w:val="18"/>
              </w:rPr>
              <w:t>Provision (benefit)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1,283 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1,063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30,124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31,723 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29,991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31,402 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43,960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48,036 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44,135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46,699 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74,084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79,759 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74,126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78,101 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666327808"/>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2.74</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3.43 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Average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42,311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34,635 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41,215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33,437 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Average deposits interest rate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0.30 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0.58 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charge-offs (recoveries)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 xml:space="preserve">Net charge-off (recovery) rate </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0.51 </w:t>
            </w:r>
          </w:p>
        </w:tc>
        <w:tc>
          <w:tcPr>
            <w:tcW w:w="0" w:type="auto"/>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0.54 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Height w:val="24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29,616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30,681 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44,205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45,099 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73,821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75,780 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Nonperforming loan rate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0.86 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891964120"/>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0.86 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411467344"/>
              <w:rPr>
                <w:rFonts w:eastAsia="Times New Roman"/>
              </w:rPr>
            </w:pPr>
            <w:r>
              <w:rPr>
                <w:rFonts w:eastAsia="Times New Roman"/>
                <w:color w:val="000000"/>
                <w:sz w:val="18"/>
                <w:szCs w:val="18"/>
              </w:rPr>
              <w:t>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1,658 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42,973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39,590 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097477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serviced for others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45,898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44,162 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divId w:val="1466847947"/>
        <w:rPr>
          <w:rFonts w:eastAsia="Times New Roman"/>
        </w:rPr>
      </w:pPr>
      <w:r>
        <w:rPr>
          <w:rFonts w:eastAsia="Times New Roman"/>
          <w:color w:val="000000"/>
          <w:sz w:val="20"/>
          <w:szCs w:val="20"/>
        </w:rPr>
        <w:t>__________</w:t>
      </w:r>
    </w:p>
    <w:p w:rsidR="00000000" w:rsidRDefault="00AF3814">
      <w:pPr>
        <w:ind w:hanging="360"/>
        <w:jc w:val="both"/>
        <w:divId w:val="139947803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w:t>
      </w:r>
      <w:r>
        <w:rPr>
          <w:rFonts w:eastAsia="Times New Roman"/>
          <w:color w:val="000000"/>
          <w:sz w:val="16"/>
          <w:szCs w:val="16"/>
        </w:rPr>
        <w:t>its or other tax benefits. Accordingly, we present our Commercial Banking revenue and yields on a taxable-equivalent basis, calculated using the federal statutory tax rate of 21% and state taxes where applicable, with offsetting reductions to the Other cat</w:t>
      </w:r>
      <w:r>
        <w:rPr>
          <w:rFonts w:eastAsia="Times New Roman"/>
          <w:color w:val="000000"/>
          <w:sz w:val="16"/>
          <w:szCs w:val="16"/>
        </w:rPr>
        <w:t>egory.</w:t>
      </w:r>
    </w:p>
    <w:p w:rsidR="00000000" w:rsidRDefault="00AF3814">
      <w:pPr>
        <w:ind w:hanging="360"/>
        <w:jc w:val="both"/>
        <w:divId w:val="94981697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provision for losses on unfunded lending commitments is included in the provision for credit losses in our consolidated statements of income and the related reserve is included in other liabilities on our consolidated balance sheets. Our rese</w:t>
      </w:r>
      <w:r>
        <w:rPr>
          <w:rFonts w:eastAsia="Times New Roman"/>
          <w:color w:val="000000"/>
          <w:sz w:val="16"/>
          <w:szCs w:val="16"/>
        </w:rPr>
        <w:t>rve for unfunded lending commitments totaled $164 million and $195 million as of June 30, 2021 and December 31, 2020, respectively.</w:t>
      </w:r>
    </w:p>
    <w:p w:rsidR="00000000" w:rsidRDefault="00AF3814">
      <w:pPr>
        <w:ind w:hanging="360"/>
        <w:jc w:val="both"/>
        <w:divId w:val="210399219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w:t>
      </w:r>
      <w:r>
        <w:rPr>
          <w:rFonts w:eastAsia="Times New Roman"/>
          <w:color w:val="000000"/>
          <w:sz w:val="16"/>
          <w:szCs w:val="16"/>
        </w:rPr>
        <w:t xml:space="preserve"> and does not include any allocations, such as funds transfer pricing.</w:t>
      </w:r>
    </w:p>
    <w:p w:rsidR="00000000" w:rsidRDefault="00AF3814">
      <w:pPr>
        <w:ind w:hanging="360"/>
        <w:jc w:val="both"/>
        <w:divId w:val="1358656638"/>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Nonperforming assets consist of nonperforming loans and other foreclosed assets. The total nonperforming asset rate is calculated based on total nonperforming assets divided by the combined period-end total loans held for investment and other foreclosed as</w:t>
      </w:r>
      <w:r>
        <w:rPr>
          <w:rFonts w:eastAsia="Times New Roman"/>
          <w:color w:val="000000"/>
          <w:sz w:val="16"/>
          <w:szCs w:val="16"/>
        </w:rPr>
        <w:t>sets.</w:t>
      </w:r>
    </w:p>
    <w:p w:rsidR="00000000" w:rsidRDefault="00AF3814">
      <w:pPr>
        <w:ind w:hanging="360"/>
        <w:jc w:val="both"/>
        <w:divId w:val="826433054"/>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95273155"/>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9527315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9527315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52" style="width:0;height:1.5pt" o:hralign="center" o:hrstd="t" o:hr="t" fillcolor="#a0a0a0" stroked="f"/>
        </w:pict>
      </w:r>
    </w:p>
    <w:p w:rsidR="00000000" w:rsidRDefault="00AF3814">
      <w:pPr>
        <w:ind w:hanging="360"/>
        <w:jc w:val="both"/>
        <w:divId w:val="339428091"/>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795442106"/>
        <w:rPr>
          <w:rFonts w:eastAsia="Times New Roman"/>
        </w:rPr>
      </w:pPr>
      <w:r>
        <w:rPr>
          <w:rFonts w:eastAsia="Times New Roman"/>
          <w:color w:val="000000"/>
          <w:sz w:val="20"/>
          <w:szCs w:val="20"/>
        </w:rPr>
        <w:t>Key factors affecting the results of our Commercial Banking business for the second quarter and first six months of 2021 compared to the second</w:t>
      </w:r>
      <w:r>
        <w:rPr>
          <w:rFonts w:eastAsia="Times New Roman"/>
          <w:color w:val="000000"/>
          <w:sz w:val="20"/>
          <w:szCs w:val="20"/>
        </w:rPr>
        <w:t xml:space="preserve"> quarter and first six months of 2020, and changes in financial condition and credit performance between June 30, 2021 and December 31, 2020 include the following:</w:t>
      </w:r>
    </w:p>
    <w:p w:rsidR="00000000" w:rsidRDefault="00AF3814">
      <w:pPr>
        <w:ind w:hanging="360"/>
        <w:jc w:val="both"/>
        <w:divId w:val="1288121204"/>
        <w:rPr>
          <w:rFonts w:eastAsia="Times New Roman"/>
        </w:rPr>
      </w:pPr>
      <w:r>
        <w:rPr>
          <w:rFonts w:eastAsia="Times New Roman"/>
          <w:i/>
          <w:iCs/>
          <w:color w:val="000000"/>
          <w:sz w:val="20"/>
          <w:szCs w:val="20"/>
        </w:rPr>
        <w:t>•Net Interest Income:</w:t>
      </w:r>
      <w:r>
        <w:rPr>
          <w:rFonts w:eastAsia="Times New Roman"/>
          <w:color w:val="000000"/>
          <w:sz w:val="20"/>
          <w:szCs w:val="20"/>
        </w:rPr>
        <w:t xml:space="preserve"> Net interest income decreased by $58 million to $460 million in the se</w:t>
      </w:r>
      <w:r>
        <w:rPr>
          <w:rFonts w:eastAsia="Times New Roman"/>
          <w:color w:val="000000"/>
          <w:sz w:val="20"/>
          <w:szCs w:val="20"/>
        </w:rPr>
        <w:t>cond quarter of 2021 and decreased by $29 million to $980 million in the first six months of 2021 primarily driven by a one-time charge for unwinding the internal funding related to moving $1.5 billion in loans to held for sale, as well as lower average lo</w:t>
      </w:r>
      <w:r>
        <w:rPr>
          <w:rFonts w:eastAsia="Times New Roman"/>
          <w:color w:val="000000"/>
          <w:sz w:val="20"/>
          <w:szCs w:val="20"/>
        </w:rPr>
        <w:t>an balances and higher average deposits.</w:t>
      </w:r>
    </w:p>
    <w:p w:rsidR="00000000" w:rsidRDefault="00AF3814">
      <w:pPr>
        <w:ind w:hanging="360"/>
        <w:jc w:val="both"/>
        <w:divId w:val="68037210"/>
        <w:rPr>
          <w:rFonts w:eastAsia="Times New Roman"/>
        </w:rPr>
      </w:pPr>
      <w:r>
        <w:rPr>
          <w:rFonts w:eastAsia="Times New Roman"/>
          <w:i/>
          <w:iCs/>
          <w:color w:val="000000"/>
          <w:sz w:val="20"/>
          <w:szCs w:val="20"/>
        </w:rPr>
        <w:t xml:space="preserve">•Non-Interest Income: </w:t>
      </w:r>
      <w:r>
        <w:rPr>
          <w:rFonts w:eastAsia="Times New Roman"/>
          <w:color w:val="000000"/>
          <w:sz w:val="20"/>
          <w:szCs w:val="20"/>
        </w:rPr>
        <w:t>Non-interest income increased by $77 million to $257 million in the second quarter of 2021 and increased by $79 million to $497 million in the first six months of 2021 driven by higher activity</w:t>
      </w:r>
      <w:r>
        <w:rPr>
          <w:rFonts w:eastAsia="Times New Roman"/>
          <w:color w:val="000000"/>
          <w:sz w:val="20"/>
          <w:szCs w:val="20"/>
        </w:rPr>
        <w:t xml:space="preserve"> in our capital markets business.</w:t>
      </w:r>
    </w:p>
    <w:p w:rsidR="00000000" w:rsidRDefault="00AF3814">
      <w:pPr>
        <w:ind w:hanging="360"/>
        <w:jc w:val="both"/>
        <w:divId w:val="1385519029"/>
        <w:rPr>
          <w:rFonts w:eastAsia="Times New Roman"/>
        </w:rPr>
      </w:pPr>
      <w:r>
        <w:rPr>
          <w:rFonts w:eastAsia="Times New Roman"/>
          <w:i/>
          <w:iCs/>
          <w:color w:val="000000"/>
          <w:sz w:val="20"/>
          <w:szCs w:val="20"/>
        </w:rPr>
        <w:t>•Provision for Credit Losses:</w:t>
      </w:r>
      <w:r>
        <w:rPr>
          <w:rFonts w:eastAsia="Times New Roman"/>
          <w:color w:val="000000"/>
          <w:sz w:val="20"/>
          <w:szCs w:val="20"/>
        </w:rPr>
        <w:t xml:space="preserve"> </w:t>
      </w:r>
      <w:r>
        <w:rPr>
          <w:rFonts w:eastAsia="Times New Roman"/>
          <w:color w:val="000000"/>
          <w:sz w:val="20"/>
          <w:szCs w:val="20"/>
        </w:rPr>
        <w:t>Provision for credit losses decreased by $646 million to a benefit of $219 million in the second quarter of 2021 and decreased by $1.7 billion to a benefit of $422 million in the first six months of 2021 resulting from allowance releases due to an improved</w:t>
      </w:r>
      <w:r>
        <w:rPr>
          <w:rFonts w:eastAsia="Times New Roman"/>
          <w:color w:val="000000"/>
          <w:sz w:val="20"/>
          <w:szCs w:val="20"/>
        </w:rPr>
        <w:t xml:space="preserve"> economic outlook and improvement in our energy portfolio, compared to allowance builds in the first and second quarter of 2020 driven by expectations of economic worsening at the start of the COVID-19 pandemic as well as credit deterioration in our energy</w:t>
      </w:r>
      <w:r>
        <w:rPr>
          <w:rFonts w:eastAsia="Times New Roman"/>
          <w:color w:val="000000"/>
          <w:sz w:val="20"/>
          <w:szCs w:val="20"/>
        </w:rPr>
        <w:t xml:space="preserve"> loan portfolio. </w:t>
      </w:r>
    </w:p>
    <w:p w:rsidR="00000000" w:rsidRDefault="00AF3814">
      <w:pPr>
        <w:ind w:hanging="360"/>
        <w:jc w:val="both"/>
        <w:divId w:val="1336423446"/>
        <w:rPr>
          <w:rFonts w:eastAsia="Times New Roman"/>
        </w:rPr>
      </w:pPr>
      <w:r>
        <w:rPr>
          <w:rFonts w:eastAsia="Times New Roman"/>
          <w:i/>
          <w:iCs/>
          <w:color w:val="000000"/>
          <w:sz w:val="20"/>
          <w:szCs w:val="20"/>
        </w:rPr>
        <w:t xml:space="preserve">•Non-Interest Expense: </w:t>
      </w:r>
      <w:r>
        <w:rPr>
          <w:rFonts w:eastAsia="Times New Roman"/>
          <w:color w:val="000000"/>
          <w:sz w:val="20"/>
          <w:szCs w:val="20"/>
        </w:rPr>
        <w:t>Non-interest expense has remained substantially flat at $417 million in the second quarter of 2021 and $836 million in the first six months of 2021.</w:t>
      </w:r>
    </w:p>
    <w:p w:rsidR="00000000" w:rsidRDefault="00AF3814">
      <w:pPr>
        <w:ind w:hanging="360"/>
        <w:divId w:val="1027216186"/>
        <w:rPr>
          <w:rFonts w:eastAsia="Times New Roman"/>
        </w:rPr>
      </w:pPr>
      <w:r>
        <w:rPr>
          <w:rFonts w:eastAsia="Times New Roman"/>
          <w:b/>
          <w:bCs/>
          <w:color w:val="000000"/>
          <w:sz w:val="18"/>
          <w:szCs w:val="18"/>
        </w:rPr>
        <w:t>•</w:t>
      </w:r>
      <w:r>
        <w:rPr>
          <w:rFonts w:eastAsia="Times New Roman"/>
          <w:i/>
          <w:iCs/>
          <w:color w:val="000000"/>
          <w:sz w:val="20"/>
          <w:szCs w:val="20"/>
        </w:rPr>
        <w:t>Loans Held for Investment:</w:t>
      </w:r>
      <w:r>
        <w:rPr>
          <w:rFonts w:eastAsia="Times New Roman"/>
          <w:color w:val="000000"/>
          <w:sz w:val="20"/>
          <w:szCs w:val="20"/>
        </w:rPr>
        <w:t xml:space="preserve"> </w:t>
      </w:r>
    </w:p>
    <w:p w:rsidR="00000000" w:rsidRDefault="00AF3814">
      <w:pPr>
        <w:spacing w:before="180" w:after="180"/>
        <w:ind w:hanging="360"/>
        <w:jc w:val="both"/>
        <w:divId w:val="683166805"/>
        <w:rPr>
          <w:rFonts w:eastAsia="Times New Roman"/>
        </w:rPr>
      </w:pPr>
      <w:r>
        <w:rPr>
          <w:rFonts w:eastAsia="Times New Roman"/>
          <w:color w:val="000000"/>
          <w:sz w:val="20"/>
          <w:szCs w:val="20"/>
        </w:rPr>
        <w:t>◦</w:t>
      </w:r>
      <w:r>
        <w:rPr>
          <w:rFonts w:eastAsia="Times New Roman"/>
          <w:color w:val="000000"/>
          <w:sz w:val="20"/>
          <w:szCs w:val="20"/>
        </w:rPr>
        <w:t>Period-end loans held for investment</w:t>
      </w:r>
      <w:r>
        <w:rPr>
          <w:rFonts w:eastAsia="Times New Roman"/>
          <w:color w:val="000000"/>
          <w:sz w:val="20"/>
          <w:szCs w:val="20"/>
        </w:rPr>
        <w:t xml:space="preserve"> decreased by $2.0 billion to $73.8 billion as of June 30, 2021 from December 31, 2020 primarily driven by higher utilization of credit lines in 2020 due to the COVID-19 pandemic and the transfer of $1.5 billion in loans to held for sale as of June 30, 202</w:t>
      </w:r>
      <w:r>
        <w:rPr>
          <w:rFonts w:eastAsia="Times New Roman"/>
          <w:color w:val="000000"/>
          <w:sz w:val="20"/>
          <w:szCs w:val="20"/>
        </w:rPr>
        <w:t xml:space="preserve">1. </w:t>
      </w:r>
    </w:p>
    <w:p w:rsidR="00000000" w:rsidRDefault="00AF3814">
      <w:pPr>
        <w:spacing w:before="180" w:after="180"/>
        <w:ind w:hanging="360"/>
        <w:jc w:val="both"/>
        <w:divId w:val="2140490399"/>
        <w:rPr>
          <w:rFonts w:eastAsia="Times New Roman"/>
        </w:rPr>
      </w:pPr>
      <w:r>
        <w:rPr>
          <w:rFonts w:eastAsia="Times New Roman"/>
          <w:color w:val="000000"/>
          <w:sz w:val="20"/>
          <w:szCs w:val="20"/>
        </w:rPr>
        <w:t>◦</w:t>
      </w:r>
      <w:r>
        <w:rPr>
          <w:rFonts w:eastAsia="Times New Roman"/>
          <w:color w:val="000000"/>
          <w:sz w:val="20"/>
          <w:szCs w:val="20"/>
        </w:rPr>
        <w:t xml:space="preserve">Average loans held for investment decreased by $5.7 billion to $74.1 billion in the second quarter of 2021 compared to the second quarter of 2020 and decreased by $4.0 billion to $74.1 billion in the first six months of 2021 compared to the first six </w:t>
      </w:r>
      <w:r>
        <w:rPr>
          <w:rFonts w:eastAsia="Times New Roman"/>
          <w:color w:val="000000"/>
          <w:sz w:val="20"/>
          <w:szCs w:val="20"/>
        </w:rPr>
        <w:t xml:space="preserve">months of 2020 driven by higher utilization of credit lines in 2020 due to the COVID-19 pandemic. </w:t>
      </w:r>
    </w:p>
    <w:p w:rsidR="00000000" w:rsidRDefault="00AF3814">
      <w:pPr>
        <w:ind w:hanging="360"/>
        <w:jc w:val="both"/>
        <w:divId w:val="1712606893"/>
        <w:rPr>
          <w:rFonts w:eastAsia="Times New Roman"/>
        </w:rPr>
      </w:pPr>
      <w:r>
        <w:rPr>
          <w:rFonts w:eastAsia="Times New Roman"/>
          <w:color w:val="000000"/>
          <w:sz w:val="20"/>
          <w:szCs w:val="20"/>
        </w:rPr>
        <w:t>•</w:t>
      </w:r>
      <w:r>
        <w:rPr>
          <w:rFonts w:eastAsia="Times New Roman"/>
          <w:i/>
          <w:iCs/>
          <w:color w:val="000000"/>
          <w:sz w:val="20"/>
          <w:szCs w:val="20"/>
        </w:rPr>
        <w:t>Deposits:</w:t>
      </w:r>
      <w:r>
        <w:rPr>
          <w:rFonts w:eastAsia="Times New Roman"/>
          <w:color w:val="000000"/>
          <w:sz w:val="20"/>
          <w:szCs w:val="20"/>
        </w:rPr>
        <w:t xml:space="preserve"> Period-end deposits increased by $3.4 billion to $43.0 billion as of June 30, 2021 from December 31, 2020 primarily driven by elevated client liqu</w:t>
      </w:r>
      <w:r>
        <w:rPr>
          <w:rFonts w:eastAsia="Times New Roman"/>
          <w:color w:val="000000"/>
          <w:sz w:val="20"/>
          <w:szCs w:val="20"/>
        </w:rPr>
        <w:t>idity.</w:t>
      </w:r>
    </w:p>
    <w:p w:rsidR="00000000" w:rsidRDefault="00AF3814">
      <w:pPr>
        <w:ind w:hanging="360"/>
        <w:jc w:val="both"/>
        <w:divId w:val="1780294207"/>
        <w:rPr>
          <w:rFonts w:eastAsia="Times New Roman"/>
        </w:rPr>
      </w:pPr>
      <w:r>
        <w:rPr>
          <w:rFonts w:eastAsia="Times New Roman"/>
          <w:i/>
          <w:iCs/>
          <w:color w:val="000000"/>
          <w:sz w:val="20"/>
          <w:szCs w:val="20"/>
        </w:rPr>
        <w:t>•Net Charge-Off and Nonperforming Metrics:</w:t>
      </w:r>
      <w:r>
        <w:rPr>
          <w:rFonts w:eastAsia="Times New Roman"/>
          <w:color w:val="000000"/>
          <w:sz w:val="20"/>
          <w:szCs w:val="20"/>
        </w:rPr>
        <w:t xml:space="preserve"> The net charge-off rate decreased by 62 basis points to a net recovery of 0.11% in the second quarter of 2021 and decreased by 55 basis points to a net recovery of 0.01% in the first six months of 2021 prim</w:t>
      </w:r>
      <w:r>
        <w:rPr>
          <w:rFonts w:eastAsia="Times New Roman"/>
          <w:color w:val="000000"/>
          <w:sz w:val="20"/>
          <w:szCs w:val="20"/>
        </w:rPr>
        <w:t>arily driven by lower net charge-offs in our energy loan portfolio.</w:t>
      </w:r>
    </w:p>
    <w:p w:rsidR="00000000" w:rsidRDefault="00AF3814">
      <w:pPr>
        <w:ind w:hanging="360"/>
        <w:jc w:val="both"/>
        <w:divId w:val="1656226927"/>
        <w:rPr>
          <w:rFonts w:eastAsia="Times New Roman"/>
        </w:rPr>
      </w:pPr>
      <w:r>
        <w:rPr>
          <w:rFonts w:eastAsia="Times New Roman"/>
          <w:color w:val="000000"/>
          <w:sz w:val="20"/>
          <w:szCs w:val="20"/>
        </w:rPr>
        <w:t>The nonperforming loan rate increased by 17 basis points to 1.03% as of June 30, 2021 from December 31, 2020 driven by isolated credit downgrades in our real estate portfolio.</w:t>
      </w:r>
    </w:p>
    <w:p w:rsidR="00000000" w:rsidRDefault="00AF3814">
      <w:pPr>
        <w:divId w:val="416026638"/>
        <w:rPr>
          <w:rFonts w:eastAsia="Times New Roman"/>
        </w:rPr>
      </w:pPr>
      <w:r>
        <w:rPr>
          <w:rFonts w:eastAsia="Times New Roman"/>
          <w:b/>
          <w:bCs/>
          <w:color w:val="000000"/>
          <w:sz w:val="20"/>
          <w:szCs w:val="20"/>
        </w:rPr>
        <w:t>Other Catego</w:t>
      </w:r>
      <w:r>
        <w:rPr>
          <w:rFonts w:eastAsia="Times New Roman"/>
          <w:b/>
          <w:bCs/>
          <w:color w:val="000000"/>
          <w:sz w:val="20"/>
          <w:szCs w:val="20"/>
        </w:rPr>
        <w:t>ry</w:t>
      </w:r>
    </w:p>
    <w:p w:rsidR="00000000" w:rsidRDefault="00AF3814">
      <w:pPr>
        <w:jc w:val="both"/>
        <w:divId w:val="1988706776"/>
        <w:rPr>
          <w:rFonts w:eastAsia="Times New Roman"/>
        </w:rPr>
      </w:pPr>
      <w:r>
        <w:rPr>
          <w:rFonts w:eastAsia="Times New Roman"/>
          <w:color w:val="000000"/>
          <w:sz w:val="20"/>
          <w:szCs w:val="20"/>
        </w:rPr>
        <w:t>Other includes unallocated amounts related to our centralized Corporate Treasury group activities, such as management of our corporate investment securities portfolio, asset/liability management and certain capital management activities. Other also include</w:t>
      </w:r>
      <w:r>
        <w:rPr>
          <w:rFonts w:eastAsia="Times New Roman"/>
          <w:color w:val="000000"/>
          <w:sz w:val="20"/>
          <w:szCs w:val="20"/>
        </w:rPr>
        <w:t>s:</w:t>
      </w:r>
    </w:p>
    <w:p w:rsidR="00000000" w:rsidRDefault="00AF3814">
      <w:pPr>
        <w:ind w:hanging="360"/>
        <w:jc w:val="both"/>
        <w:divId w:val="605038215"/>
        <w:rPr>
          <w:rFonts w:eastAsia="Times New Roman"/>
        </w:rPr>
      </w:pPr>
      <w:r>
        <w:rPr>
          <w:rFonts w:eastAsia="Times New Roman"/>
          <w:color w:val="000000"/>
          <w:sz w:val="20"/>
          <w:szCs w:val="20"/>
        </w:rPr>
        <w:t>•unallocated corporate revenue and expenses that do not directly support the operations of the business segments or for which the business segments are not considered financially accountable in evaluating their performance, such as certain restructuring</w:t>
      </w:r>
      <w:r>
        <w:rPr>
          <w:rFonts w:eastAsia="Times New Roman"/>
          <w:color w:val="000000"/>
          <w:sz w:val="20"/>
          <w:szCs w:val="20"/>
        </w:rPr>
        <w:t xml:space="preserve"> charges;</w:t>
      </w:r>
    </w:p>
    <w:p w:rsidR="00000000" w:rsidRDefault="00AF3814">
      <w:pPr>
        <w:ind w:hanging="360"/>
        <w:jc w:val="both"/>
        <w:divId w:val="793644950"/>
        <w:rPr>
          <w:rFonts w:eastAsia="Times New Roman"/>
        </w:rPr>
      </w:pPr>
      <w:r>
        <w:rPr>
          <w:rFonts w:eastAsia="Times New Roman"/>
          <w:color w:val="000000"/>
          <w:sz w:val="20"/>
          <w:szCs w:val="20"/>
        </w:rPr>
        <w:t>•offsets related to certain line-item reclassifications;</w:t>
      </w:r>
    </w:p>
    <w:p w:rsidR="00000000" w:rsidRDefault="00AF3814">
      <w:pPr>
        <w:ind w:hanging="360"/>
        <w:jc w:val="both"/>
        <w:divId w:val="170875756"/>
        <w:rPr>
          <w:rFonts w:eastAsia="Times New Roman"/>
        </w:rPr>
      </w:pPr>
      <w:r>
        <w:rPr>
          <w:rFonts w:eastAsia="Times New Roman"/>
          <w:color w:val="000000"/>
          <w:sz w:val="20"/>
          <w:szCs w:val="20"/>
        </w:rPr>
        <w:t>•residual tax expense or benefit to arrive at the consolidated effective tax rate that is not assessed to our primary business segments; and</w:t>
      </w:r>
    </w:p>
    <w:p w:rsidR="00000000" w:rsidRDefault="00AF3814">
      <w:pPr>
        <w:ind w:hanging="360"/>
        <w:jc w:val="both"/>
        <w:divId w:val="1386370784"/>
        <w:rPr>
          <w:rFonts w:eastAsia="Times New Roman"/>
        </w:rPr>
      </w:pPr>
      <w:r>
        <w:rPr>
          <w:rFonts w:eastAsia="Times New Roman"/>
          <w:color w:val="000000"/>
          <w:sz w:val="20"/>
          <w:szCs w:val="20"/>
        </w:rPr>
        <w:t>•foreign exchange-rate fluctuations on foreign c</w:t>
      </w:r>
      <w:r>
        <w:rPr>
          <w:rFonts w:eastAsia="Times New Roman"/>
          <w:color w:val="000000"/>
          <w:sz w:val="20"/>
          <w:szCs w:val="20"/>
        </w:rPr>
        <w:t>urrency-denominated balances.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36186984"/>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83618698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83618698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53" style="width:0;height:1.5pt" o:hralign="center" o:hrstd="t" o:hr="t" fillcolor="#a0a0a0" stroked="f"/>
        </w:pict>
      </w:r>
    </w:p>
    <w:p w:rsidR="00000000" w:rsidRDefault="00AF3814">
      <w:pPr>
        <w:ind w:hanging="360"/>
        <w:jc w:val="both"/>
        <w:divId w:val="93625186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2130663978"/>
        <w:rPr>
          <w:rFonts w:eastAsia="Times New Roman"/>
        </w:rPr>
      </w:pPr>
      <w:r>
        <w:rPr>
          <w:rFonts w:eastAsia="Times New Roman"/>
          <w:color w:val="000000"/>
          <w:sz w:val="20"/>
          <w:szCs w:val="20"/>
        </w:rPr>
        <w:t>Table 13 summarizes the financial results of our Other category for the periods indicated.</w:t>
      </w:r>
    </w:p>
    <w:p w:rsidR="00000000" w:rsidRDefault="00AF3814">
      <w:pPr>
        <w:divId w:val="250091705"/>
        <w:rPr>
          <w:rFonts w:eastAsia="Times New Roman"/>
        </w:rPr>
      </w:pPr>
      <w:r>
        <w:rPr>
          <w:rFonts w:eastAsia="Times New Roman"/>
          <w:b/>
          <w:bCs/>
          <w:color w:val="000000"/>
          <w:sz w:val="18"/>
          <w:szCs w:val="18"/>
        </w:rPr>
        <w:t>Table 13: Other Category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3046"/>
        <w:gridCol w:w="37"/>
        <w:gridCol w:w="36"/>
        <w:gridCol w:w="36"/>
        <w:gridCol w:w="36"/>
        <w:gridCol w:w="110"/>
        <w:gridCol w:w="510"/>
        <w:gridCol w:w="36"/>
        <w:gridCol w:w="36"/>
        <w:gridCol w:w="36"/>
        <w:gridCol w:w="36"/>
        <w:gridCol w:w="110"/>
        <w:gridCol w:w="510"/>
        <w:gridCol w:w="36"/>
        <w:gridCol w:w="36"/>
        <w:gridCol w:w="36"/>
        <w:gridCol w:w="36"/>
        <w:gridCol w:w="62"/>
        <w:gridCol w:w="497"/>
        <w:gridCol w:w="170"/>
        <w:gridCol w:w="36"/>
        <w:gridCol w:w="36"/>
        <w:gridCol w:w="36"/>
        <w:gridCol w:w="110"/>
        <w:gridCol w:w="469"/>
        <w:gridCol w:w="36"/>
        <w:gridCol w:w="36"/>
        <w:gridCol w:w="36"/>
        <w:gridCol w:w="36"/>
        <w:gridCol w:w="110"/>
        <w:gridCol w:w="512"/>
        <w:gridCol w:w="36"/>
        <w:gridCol w:w="36"/>
        <w:gridCol w:w="36"/>
        <w:gridCol w:w="40"/>
        <w:gridCol w:w="207"/>
        <w:gridCol w:w="39"/>
        <w:gridCol w:w="62"/>
        <w:gridCol w:w="525"/>
        <w:gridCol w:w="170"/>
        <w:gridCol w:w="36"/>
        <w:gridCol w:w="36"/>
        <w:gridCol w:w="36"/>
        <w:gridCol w:w="36"/>
        <w:gridCol w:w="36"/>
        <w:gridCol w:w="36"/>
      </w:tblGrid>
      <w:tr w:rsidR="00000000">
        <w:trPr>
          <w:divId w:val="972296307"/>
        </w:trPr>
        <w:tc>
          <w:tcPr>
            <w:tcW w:w="50" w:type="pct"/>
            <w:vAlign w:val="center"/>
            <w:hideMark/>
          </w:tcPr>
          <w:p w:rsidR="00000000" w:rsidRDefault="00AF3814">
            <w:pPr>
              <w:rPr>
                <w:rFonts w:eastAsia="Times New Roman"/>
              </w:rPr>
            </w:pPr>
          </w:p>
        </w:tc>
        <w:tc>
          <w:tcPr>
            <w:tcW w:w="196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Change</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(62)</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6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025744737"/>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665428218"/>
              <w:rPr>
                <w:rFonts w:eastAsia="Times New Roman"/>
              </w:rPr>
            </w:pPr>
            <w:r>
              <w:rPr>
                <w:rFonts w:eastAsia="Times New Roman"/>
                <w:color w:val="000000"/>
                <w:sz w:val="18"/>
                <w:szCs w:val="18"/>
              </w:rPr>
              <w:t>Non-interest expens</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(52)</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benefit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7229630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6"/>
                <w:szCs w:val="16"/>
              </w:rPr>
              <w:t>**</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divId w:val="223181442"/>
        <w:rPr>
          <w:rFonts w:eastAsia="Times New Roman"/>
        </w:rPr>
      </w:pPr>
      <w:r>
        <w:rPr>
          <w:rFonts w:eastAsia="Times New Roman"/>
          <w:color w:val="000000"/>
          <w:sz w:val="20"/>
          <w:szCs w:val="20"/>
        </w:rPr>
        <w:t>__________</w:t>
      </w:r>
    </w:p>
    <w:p w:rsidR="00000000" w:rsidRDefault="00AF3814">
      <w:pPr>
        <w:ind w:hanging="360"/>
        <w:jc w:val="both"/>
        <w:divId w:val="196542973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w:t>
      </w:r>
      <w:r>
        <w:rPr>
          <w:rFonts w:eastAsia="Times New Roman"/>
          <w:color w:val="000000"/>
          <w:sz w:val="16"/>
          <w:szCs w:val="16"/>
        </w:rPr>
        <w:t>its or other tax benefits. Accordingly, we present our Commercial Banking revenue and yields on a taxable-equivalent basis, calculated using the federal statutory tax rate of 21% and state taxes where applicable, with offsetting reductions to the Other cat</w:t>
      </w:r>
      <w:r>
        <w:rPr>
          <w:rFonts w:eastAsia="Times New Roman"/>
          <w:color w:val="000000"/>
          <w:sz w:val="16"/>
          <w:szCs w:val="16"/>
        </w:rPr>
        <w:t>egory.</w:t>
      </w:r>
    </w:p>
    <w:p w:rsidR="00000000" w:rsidRDefault="00AF3814">
      <w:pPr>
        <w:ind w:hanging="360"/>
        <w:jc w:val="both"/>
        <w:divId w:val="119206258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legal reserve builds of $55 million in the second quarter and first six months of 2021 and $265 million and $310 million in the second quarter and first six months of 2020, respectively.</w:t>
      </w:r>
    </w:p>
    <w:p w:rsidR="00000000" w:rsidRDefault="00AF3814">
      <w:pPr>
        <w:ind w:hanging="360"/>
        <w:jc w:val="both"/>
        <w:divId w:val="513416874"/>
        <w:rPr>
          <w:rFonts w:eastAsia="Times New Roman"/>
        </w:rPr>
      </w:pPr>
      <w:r>
        <w:rPr>
          <w:rFonts w:eastAsia="Times New Roman"/>
          <w:color w:val="000000"/>
          <w:sz w:val="16"/>
          <w:szCs w:val="16"/>
        </w:rPr>
        <w:t>**    Not meaningful.</w:t>
      </w:r>
    </w:p>
    <w:p w:rsidR="00000000" w:rsidRDefault="00AF3814">
      <w:pPr>
        <w:jc w:val="both"/>
        <w:divId w:val="1756432783"/>
        <w:rPr>
          <w:rFonts w:eastAsia="Times New Roman"/>
        </w:rPr>
      </w:pPr>
      <w:r>
        <w:rPr>
          <w:rFonts w:eastAsia="Times New Roman"/>
          <w:color w:val="000000"/>
          <w:sz w:val="20"/>
          <w:szCs w:val="20"/>
        </w:rPr>
        <w:t>Loss from continuing operati</w:t>
      </w:r>
      <w:r>
        <w:rPr>
          <w:rFonts w:eastAsia="Times New Roman"/>
          <w:color w:val="000000"/>
          <w:sz w:val="20"/>
          <w:szCs w:val="20"/>
        </w:rPr>
        <w:t xml:space="preserve">ons decreased by $32 million to a loss of $120 million in the second quarter of 2021, primarily driven by lower legal reserve builds in non-interest expense, as well as a one-time earned fee in net interest income (loss) for unwinding the internal funding </w:t>
      </w:r>
      <w:r>
        <w:rPr>
          <w:rFonts w:eastAsia="Times New Roman"/>
          <w:color w:val="000000"/>
          <w:sz w:val="20"/>
          <w:szCs w:val="20"/>
        </w:rPr>
        <w:t>related to moving $1.5 billion in commercial loans to held for sale, partially offset by a decrease in income tax benefit due to an improvement in pre-tax loss and the relative impact of the tax credits.</w:t>
      </w:r>
    </w:p>
    <w:p w:rsidR="00000000" w:rsidRDefault="00AF3814">
      <w:pPr>
        <w:jc w:val="both"/>
        <w:divId w:val="797070724"/>
        <w:rPr>
          <w:rFonts w:eastAsia="Times New Roman"/>
        </w:rPr>
      </w:pPr>
      <w:r>
        <w:rPr>
          <w:rFonts w:eastAsia="Times New Roman"/>
          <w:color w:val="000000"/>
          <w:sz w:val="20"/>
          <w:szCs w:val="20"/>
        </w:rPr>
        <w:t>Loss from continuing operations increased by $178 mi</w:t>
      </w:r>
      <w:r>
        <w:rPr>
          <w:rFonts w:eastAsia="Times New Roman"/>
          <w:color w:val="000000"/>
          <w:sz w:val="20"/>
          <w:szCs w:val="20"/>
        </w:rPr>
        <w:t xml:space="preserve">llion to a loss of $216 million in the first six months of 2021, primarily driven by the decrease in net interest income (loss) from a decline in market interest rates and reduced funding needs of our business segments, as well as a decrease in income tax </w:t>
      </w:r>
      <w:r>
        <w:rPr>
          <w:rFonts w:eastAsia="Times New Roman"/>
          <w:color w:val="000000"/>
          <w:sz w:val="20"/>
          <w:szCs w:val="20"/>
        </w:rPr>
        <w:t>benefit due to the relative impact of the tax credits, partially offset by lower legal reserve builds in non-interest expense.</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061518647"/>
        </w:trPr>
        <w:tc>
          <w:tcPr>
            <w:tcW w:w="50" w:type="pct"/>
            <w:vAlign w:val="center"/>
            <w:hideMark/>
          </w:tcPr>
          <w:p w:rsidR="00000000" w:rsidRDefault="00AF3814">
            <w:pPr>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6151864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CRITICAL ACCOUNTING POLICIES AND ESTIMATES</w:t>
            </w:r>
          </w:p>
        </w:tc>
      </w:tr>
    </w:tbl>
    <w:p w:rsidR="00000000" w:rsidRDefault="00AF3814">
      <w:pPr>
        <w:jc w:val="both"/>
        <w:divId w:val="377244636"/>
        <w:rPr>
          <w:rFonts w:eastAsia="Times New Roman"/>
        </w:rPr>
      </w:pPr>
      <w:r>
        <w:rPr>
          <w:rFonts w:eastAsia="Times New Roman"/>
          <w:color w:val="000000"/>
          <w:sz w:val="20"/>
          <w:szCs w:val="20"/>
        </w:rPr>
        <w:t>The preparation of financial statements in accordance with U.S. GAAP requires management to make a number of judgments, estimates and assumptions that affect the amount of assets, liabilities, income and expenses on the consolidated financial statements. U</w:t>
      </w:r>
      <w:r>
        <w:rPr>
          <w:rFonts w:eastAsia="Times New Roman"/>
          <w:color w:val="000000"/>
          <w:sz w:val="20"/>
          <w:szCs w:val="20"/>
        </w:rPr>
        <w:t xml:space="preserve">nderstanding our accounting policies and the extent to which we use management judgment and estimates in applying these policies is integral to understanding our financial statements. We provide a summary of our significant accounting policies under “Note </w:t>
      </w:r>
      <w:r>
        <w:rPr>
          <w:rFonts w:eastAsia="Times New Roman"/>
          <w:color w:val="000000"/>
          <w:sz w:val="20"/>
          <w:szCs w:val="20"/>
        </w:rPr>
        <w:t>1—Summary of Significant Accounting Policies” in our 2020 Form 10-K.</w:t>
      </w:r>
    </w:p>
    <w:p w:rsidR="00000000" w:rsidRDefault="00AF3814">
      <w:pPr>
        <w:jc w:val="both"/>
        <w:divId w:val="1552577698"/>
        <w:rPr>
          <w:rFonts w:eastAsia="Times New Roman"/>
        </w:rPr>
      </w:pPr>
      <w:r>
        <w:rPr>
          <w:rFonts w:eastAsia="Times New Roman"/>
          <w:color w:val="000000"/>
          <w:sz w:val="20"/>
          <w:szCs w:val="20"/>
        </w:rPr>
        <w:t xml:space="preserve">We have identified the following accounting estimates as critical because they require significant judgments and assumptions about highly complex and inherently uncertain matters and the </w:t>
      </w:r>
      <w:r>
        <w:rPr>
          <w:rFonts w:eastAsia="Times New Roman"/>
          <w:color w:val="000000"/>
          <w:sz w:val="20"/>
          <w:szCs w:val="20"/>
        </w:rPr>
        <w:t>use of reasonably different estimates and assumptions could have a material impact on our results of operations or financial condition. Our critical accounting policies and estimates are as follows:</w:t>
      </w:r>
    </w:p>
    <w:p w:rsidR="00000000" w:rsidRDefault="00AF3814">
      <w:pPr>
        <w:ind w:hanging="360"/>
        <w:divId w:val="60956464"/>
        <w:rPr>
          <w:rFonts w:eastAsia="Times New Roman"/>
        </w:rPr>
      </w:pPr>
      <w:r>
        <w:rPr>
          <w:rFonts w:eastAsia="Times New Roman"/>
          <w:color w:val="000000"/>
          <w:sz w:val="20"/>
          <w:szCs w:val="20"/>
        </w:rPr>
        <w:t>•Loan loss reserves</w:t>
      </w:r>
    </w:p>
    <w:p w:rsidR="00000000" w:rsidRDefault="00AF3814">
      <w:pPr>
        <w:ind w:hanging="360"/>
        <w:divId w:val="2049449748"/>
        <w:rPr>
          <w:rFonts w:eastAsia="Times New Roman"/>
        </w:rPr>
      </w:pPr>
      <w:r>
        <w:rPr>
          <w:rFonts w:eastAsia="Times New Roman"/>
          <w:color w:val="000000"/>
          <w:sz w:val="20"/>
          <w:szCs w:val="20"/>
        </w:rPr>
        <w:t>•Asset impairment</w:t>
      </w:r>
    </w:p>
    <w:p w:rsidR="00000000" w:rsidRDefault="00AF3814">
      <w:pPr>
        <w:ind w:hanging="360"/>
        <w:divId w:val="1457064034"/>
        <w:rPr>
          <w:rFonts w:eastAsia="Times New Roman"/>
        </w:rPr>
      </w:pPr>
      <w:r>
        <w:rPr>
          <w:rFonts w:eastAsia="Times New Roman"/>
          <w:color w:val="000000"/>
          <w:sz w:val="20"/>
          <w:szCs w:val="20"/>
        </w:rPr>
        <w:t>•Fair value of fina</w:t>
      </w:r>
      <w:r>
        <w:rPr>
          <w:rFonts w:eastAsia="Times New Roman"/>
          <w:color w:val="000000"/>
          <w:sz w:val="20"/>
          <w:szCs w:val="20"/>
        </w:rPr>
        <w:t>ncial instruments</w:t>
      </w:r>
    </w:p>
    <w:p w:rsidR="00000000" w:rsidRDefault="00AF3814">
      <w:pPr>
        <w:ind w:hanging="360"/>
        <w:divId w:val="495193340"/>
        <w:rPr>
          <w:rFonts w:eastAsia="Times New Roman"/>
        </w:rPr>
      </w:pPr>
      <w:r>
        <w:rPr>
          <w:rFonts w:eastAsia="Times New Roman"/>
          <w:color w:val="000000"/>
          <w:sz w:val="20"/>
          <w:szCs w:val="20"/>
        </w:rPr>
        <w:t>•Customer rewards reserve</w:t>
      </w:r>
    </w:p>
    <w:p w:rsidR="00000000" w:rsidRDefault="00AF3814">
      <w:pPr>
        <w:jc w:val="both"/>
        <w:divId w:val="815538136"/>
        <w:rPr>
          <w:rFonts w:eastAsia="Times New Roman"/>
        </w:rPr>
      </w:pPr>
      <w:r>
        <w:rPr>
          <w:rFonts w:eastAsia="Times New Roman"/>
          <w:color w:val="000000"/>
          <w:sz w:val="20"/>
          <w:szCs w:val="20"/>
        </w:rPr>
        <w:t>We evaluate our critical accounting estimates and judgments on an ongoing basis and update them as necessary, based on changing conditions. There have been no changes to our critical accounting policies and estim</w:t>
      </w:r>
      <w:r>
        <w:rPr>
          <w:rFonts w:eastAsia="Times New Roman"/>
          <w:color w:val="000000"/>
          <w:sz w:val="20"/>
          <w:szCs w:val="20"/>
        </w:rPr>
        <w:t>ates described in our December 31, 2020 Form 10-K under “MD&amp;A—Critical Accounting Policies and Estimates.”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9184028"/>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79184028"/>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79184028"/>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29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54" style="width:0;height:1.5pt" o:hralign="center" o:hrstd="t" o:hr="t" fillcolor="#a0a0a0" stroked="f"/>
        </w:pict>
      </w:r>
    </w:p>
    <w:p w:rsidR="00000000" w:rsidRDefault="00AF3814">
      <w:pPr>
        <w:ind w:hanging="360"/>
        <w:jc w:val="both"/>
        <w:divId w:val="2092458169"/>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15807862"/>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51580786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ACCOUNTING CHANGES AND DEVELOPMENTS</w:t>
            </w:r>
          </w:p>
        </w:tc>
      </w:tr>
    </w:tbl>
    <w:p w:rsidR="00000000" w:rsidRDefault="00AF3814">
      <w:pPr>
        <w:divId w:val="993724004"/>
        <w:rPr>
          <w:rFonts w:eastAsia="Times New Roman"/>
        </w:rPr>
      </w:pPr>
      <w:r>
        <w:rPr>
          <w:rFonts w:eastAsia="Times New Roman"/>
          <w:b/>
          <w:bCs/>
          <w:color w:val="000000"/>
          <w:sz w:val="20"/>
          <w:szCs w:val="20"/>
        </w:rPr>
        <w:t xml:space="preserve">Accounting Standards Issued but Not Adopted as of June 30, 2021 </w:t>
      </w:r>
    </w:p>
    <w:p w:rsidR="00000000" w:rsidRDefault="00AF3814">
      <w:pPr>
        <w:jc w:val="both"/>
        <w:divId w:val="815533077"/>
        <w:rPr>
          <w:rFonts w:eastAsia="Times New Roman"/>
        </w:rPr>
      </w:pPr>
      <w:r>
        <w:rPr>
          <w:rFonts w:eastAsia="Times New Roman"/>
          <w:color w:val="000000"/>
          <w:sz w:val="20"/>
          <w:szCs w:val="20"/>
        </w:rPr>
        <w:t>There were no relevant new accounting standards issued but not adopted as of June 30, 2021. See “Note 1—Summary of Significant Accounting Policies” for information on the accounting standards</w:t>
      </w:r>
      <w:r>
        <w:rPr>
          <w:rFonts w:eastAsia="Times New Roman"/>
          <w:color w:val="000000"/>
          <w:sz w:val="20"/>
          <w:szCs w:val="20"/>
        </w:rPr>
        <w:t xml:space="preserve"> we adopted in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453327459"/>
        </w:trPr>
        <w:tc>
          <w:tcPr>
            <w:tcW w:w="50" w:type="pct"/>
            <w:vAlign w:val="center"/>
            <w:hideMark/>
          </w:tcPr>
          <w:p w:rsidR="00000000" w:rsidRDefault="00AF3814">
            <w:pPr>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53327459"/>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20"/>
                <w:szCs w:val="20"/>
              </w:rPr>
              <w:t>CAPITAL MANAGEMENT</w:t>
            </w:r>
          </w:p>
        </w:tc>
      </w:tr>
    </w:tbl>
    <w:p w:rsidR="00000000" w:rsidRDefault="00AF3814">
      <w:pPr>
        <w:jc w:val="both"/>
        <w:divId w:val="1585529761"/>
        <w:rPr>
          <w:rFonts w:eastAsia="Times New Roman"/>
        </w:rPr>
      </w:pPr>
      <w:r>
        <w:rPr>
          <w:rFonts w:eastAsia="Times New Roman"/>
          <w:color w:val="000000"/>
          <w:sz w:val="20"/>
          <w:szCs w:val="20"/>
        </w:rPr>
        <w:t>The level and composition of our capital are determined by multiple factors, including our consolidated regulatory capital requirements as described in more detail below and internal risk-based capital assessments such as internal stress testing and econom</w:t>
      </w:r>
      <w:r>
        <w:rPr>
          <w:rFonts w:eastAsia="Times New Roman"/>
          <w:color w:val="000000"/>
          <w:sz w:val="20"/>
          <w:szCs w:val="20"/>
        </w:rPr>
        <w:t>ic capital. The level and composition of our capital may also be influenced by rating agency guidelines, subsidiary capital requirements, business environment, conditions in the financial markets and assessments of potential future losses due to adverse ch</w:t>
      </w:r>
      <w:r>
        <w:rPr>
          <w:rFonts w:eastAsia="Times New Roman"/>
          <w:color w:val="000000"/>
          <w:sz w:val="20"/>
          <w:szCs w:val="20"/>
        </w:rPr>
        <w:t xml:space="preserve">anges in our business and market environments. </w:t>
      </w:r>
    </w:p>
    <w:p w:rsidR="00000000" w:rsidRDefault="00AF3814">
      <w:pPr>
        <w:divId w:val="497814935"/>
        <w:rPr>
          <w:rFonts w:eastAsia="Times New Roman"/>
        </w:rPr>
      </w:pPr>
      <w:r>
        <w:rPr>
          <w:rFonts w:eastAsia="Times New Roman"/>
          <w:b/>
          <w:bCs/>
          <w:color w:val="000000"/>
          <w:sz w:val="20"/>
          <w:szCs w:val="20"/>
        </w:rPr>
        <w:t>Capital Standards and Prompt Corrective Action</w:t>
      </w:r>
    </w:p>
    <w:p w:rsidR="00000000" w:rsidRDefault="00AF3814">
      <w:pPr>
        <w:jc w:val="both"/>
        <w:divId w:val="1445921372"/>
        <w:rPr>
          <w:rFonts w:eastAsia="Times New Roman"/>
        </w:rPr>
      </w:pPr>
      <w:r>
        <w:rPr>
          <w:rFonts w:eastAsia="Times New Roman"/>
          <w:color w:val="000000"/>
          <w:sz w:val="20"/>
          <w:szCs w:val="20"/>
        </w:rPr>
        <w:t xml:space="preserve">The Company and the Banks are subject to the Basel III Capital Rules established by the Board of Governors of the Federal Reserve System (“Federal Reserve”) and </w:t>
      </w:r>
      <w:r>
        <w:rPr>
          <w:rFonts w:eastAsia="Times New Roman"/>
          <w:color w:val="000000"/>
          <w:sz w:val="20"/>
          <w:szCs w:val="20"/>
        </w:rPr>
        <w:t>the Office of the Comptroller of the Currency (“OCC”) respectively (the “Basel III Capital Rules”). The Basel III Capital Rules implement certain capital requirements published by the Basel Committee on Banking Supervision (“Basel Committee”), along with c</w:t>
      </w:r>
      <w:r>
        <w:rPr>
          <w:rFonts w:eastAsia="Times New Roman"/>
          <w:color w:val="000000"/>
          <w:sz w:val="20"/>
          <w:szCs w:val="20"/>
        </w:rPr>
        <w:t>ertain provisions of the Dodd-Frank Wall Street Reform and Consumer Protection Act of 2010 (“Dodd-Frank Act”) and other capital provisions. Moreover, the Banks, as insured depository institutions, are subject to prompt corrective action (“PCA”) capital reg</w:t>
      </w:r>
      <w:r>
        <w:rPr>
          <w:rFonts w:eastAsia="Times New Roman"/>
          <w:color w:val="000000"/>
          <w:sz w:val="20"/>
          <w:szCs w:val="20"/>
        </w:rPr>
        <w:t>ulations.</w:t>
      </w:r>
    </w:p>
    <w:p w:rsidR="00000000" w:rsidRDefault="00AF3814">
      <w:pPr>
        <w:jc w:val="both"/>
        <w:divId w:val="161613"/>
        <w:rPr>
          <w:rFonts w:eastAsia="Times New Roman"/>
        </w:rPr>
      </w:pPr>
      <w:r>
        <w:rPr>
          <w:rFonts w:eastAsia="Times New Roman"/>
          <w:b/>
          <w:bCs/>
          <w:i/>
          <w:iCs/>
          <w:color w:val="000000"/>
          <w:sz w:val="20"/>
          <w:szCs w:val="20"/>
        </w:rPr>
        <w:t>Basel III and United States Capital Rules</w:t>
      </w:r>
    </w:p>
    <w:p w:rsidR="00000000" w:rsidRDefault="00AF3814">
      <w:pPr>
        <w:jc w:val="both"/>
        <w:divId w:val="2062634537"/>
        <w:rPr>
          <w:rFonts w:eastAsia="Times New Roman"/>
        </w:rPr>
      </w:pPr>
      <w:r>
        <w:rPr>
          <w:rFonts w:eastAsia="Times New Roman"/>
          <w:color w:val="000000"/>
          <w:sz w:val="20"/>
          <w:szCs w:val="20"/>
        </w:rPr>
        <w:t>Under the Basel III Capital Rules, we must maintain a minimum common equity Tier 1 (“CET1”) capital ratio of 4.5%, a Tier 1 capital ratio of 6.0%, and a total capital ratio of 8.0%, in each case in relati</w:t>
      </w:r>
      <w:r>
        <w:rPr>
          <w:rFonts w:eastAsia="Times New Roman"/>
          <w:color w:val="000000"/>
          <w:sz w:val="20"/>
          <w:szCs w:val="20"/>
        </w:rPr>
        <w:t>on to risk-weighted assets. In addition, we must maintain a minimum leverage ratio of 4.0% and a minimum supplementary leverage ratio of 3.0%. We are also subject to the capital conservation buffer and countercyclical capital buffer requirements, as descri</w:t>
      </w:r>
      <w:r>
        <w:rPr>
          <w:rFonts w:eastAsia="Times New Roman"/>
          <w:color w:val="000000"/>
          <w:sz w:val="20"/>
          <w:szCs w:val="20"/>
        </w:rPr>
        <w:t>bed below.</w:t>
      </w:r>
    </w:p>
    <w:p w:rsidR="00000000" w:rsidRDefault="00AF3814">
      <w:pPr>
        <w:jc w:val="both"/>
        <w:divId w:val="142429446"/>
        <w:rPr>
          <w:rFonts w:eastAsia="Times New Roman"/>
        </w:rPr>
      </w:pPr>
      <w:r>
        <w:rPr>
          <w:rFonts w:eastAsia="Times New Roman"/>
          <w:color w:val="000000"/>
          <w:sz w:val="20"/>
          <w:szCs w:val="20"/>
        </w:rPr>
        <w:t>In October 2019, the Federal Reserve, OCC and Federal Deposit Insurance Corporation (the “FDIC,” and collectively, the “Federal Banking Agencies”) amended the Basel III Capital Rules to provide for tailored application of certain capital require</w:t>
      </w:r>
      <w:r>
        <w:rPr>
          <w:rFonts w:eastAsia="Times New Roman"/>
          <w:color w:val="000000"/>
          <w:sz w:val="20"/>
          <w:szCs w:val="20"/>
        </w:rPr>
        <w:t>ments across different categories of banking institutions (the “Tailoring Rules”). These categories are determined primarily by an institution’s asset size, with adjustments to a more stringent category possible if the institution exceeds certain risk-base</w:t>
      </w:r>
      <w:r>
        <w:rPr>
          <w:rFonts w:eastAsia="Times New Roman"/>
          <w:color w:val="000000"/>
          <w:sz w:val="20"/>
          <w:szCs w:val="20"/>
        </w:rPr>
        <w:t>d thresholds. As a bank holding company (“BHC”) with total consolidated assets of at least $250 billion that does not exceed any of the applicable risk-based thresholds, we are a Category III institution under the Tailoring Rules. Therefore, effective Janu</w:t>
      </w:r>
      <w:r>
        <w:rPr>
          <w:rFonts w:eastAsia="Times New Roman"/>
          <w:color w:val="000000"/>
          <w:sz w:val="20"/>
          <w:szCs w:val="20"/>
        </w:rPr>
        <w:t>ary 1, 2020, we are no longer subject to the Basel III “Advanced Approaches” framework and certain associated capital requirements, and we have elected to exclude certain elements of accumulated other comprehensive income (“AOCI”) from our regulatory capit</w:t>
      </w:r>
      <w:r>
        <w:rPr>
          <w:rFonts w:eastAsia="Times New Roman"/>
          <w:color w:val="000000"/>
          <w:sz w:val="20"/>
          <w:szCs w:val="20"/>
        </w:rPr>
        <w:t>al as permitted by the Tailoring Rules. We remain subject to the countercyclical capital buffer requirement (which is currently set at 0%) and supplementary leverage ratio requirement, which were previously required only for Basel III Advanced Approaches i</w:t>
      </w:r>
      <w:r>
        <w:rPr>
          <w:rFonts w:eastAsia="Times New Roman"/>
          <w:color w:val="000000"/>
          <w:sz w:val="20"/>
          <w:szCs w:val="20"/>
        </w:rPr>
        <w:t>nstitutions.</w:t>
      </w:r>
    </w:p>
    <w:p w:rsidR="00000000" w:rsidRDefault="00AF3814">
      <w:pPr>
        <w:jc w:val="both"/>
        <w:divId w:val="1897230278"/>
        <w:rPr>
          <w:rFonts w:eastAsia="Times New Roman"/>
        </w:rPr>
      </w:pPr>
      <w:r>
        <w:rPr>
          <w:rFonts w:eastAsia="Times New Roman"/>
          <w:color w:val="000000"/>
          <w:sz w:val="20"/>
          <w:szCs w:val="20"/>
        </w:rPr>
        <w:t>Global systemically important banks (“G-SIBs”</w:t>
      </w:r>
      <w:r>
        <w:rPr>
          <w:rFonts w:eastAsia="Times New Roman"/>
          <w:color w:val="000000"/>
          <w:sz w:val="20"/>
          <w:szCs w:val="20"/>
        </w:rPr>
        <w:t>) that are based in the U.S. are subject to an additional CET1 capital requirement known as the G-SIB Surcharge. We are not a G-SIB based on the most recent available data and thus we are not subject to a G-SIB Surcharge.</w:t>
      </w:r>
    </w:p>
    <w:p w:rsidR="00000000" w:rsidRDefault="00AF3814">
      <w:pPr>
        <w:jc w:val="both"/>
        <w:divId w:val="989285943"/>
        <w:rPr>
          <w:rFonts w:eastAsia="Times New Roman"/>
        </w:rPr>
      </w:pPr>
      <w:r>
        <w:rPr>
          <w:rFonts w:eastAsia="Times New Roman"/>
          <w:b/>
          <w:bCs/>
          <w:i/>
          <w:iCs/>
          <w:color w:val="000000"/>
          <w:sz w:val="20"/>
          <w:szCs w:val="20"/>
        </w:rPr>
        <w:t>Stress Capital Buffer Rule</w:t>
      </w:r>
    </w:p>
    <w:p w:rsidR="00000000" w:rsidRDefault="00AF3814">
      <w:pPr>
        <w:jc w:val="both"/>
        <w:divId w:val="779030713"/>
        <w:rPr>
          <w:rFonts w:eastAsia="Times New Roman"/>
        </w:rPr>
      </w:pPr>
      <w:r>
        <w:rPr>
          <w:rFonts w:eastAsia="Times New Roman"/>
          <w:color w:val="000000"/>
          <w:sz w:val="20"/>
          <w:szCs w:val="20"/>
        </w:rPr>
        <w:t>The Bas</w:t>
      </w:r>
      <w:r>
        <w:rPr>
          <w:rFonts w:eastAsia="Times New Roman"/>
          <w:color w:val="000000"/>
          <w:sz w:val="20"/>
          <w:szCs w:val="20"/>
        </w:rPr>
        <w:t>el III Capital Rules require banking institutions to maintain a capital conservation buffer, composed of CET1 capital, above the regulatory minimum ratios. The capital conservation buffer for BHCs was previously fixed at 2.5%. In March 2020, the Federal Re</w:t>
      </w:r>
      <w:r>
        <w:rPr>
          <w:rFonts w:eastAsia="Times New Roman"/>
          <w:color w:val="000000"/>
          <w:sz w:val="20"/>
          <w:szCs w:val="20"/>
        </w:rPr>
        <w:t>serve issued a final rule to implement the stress capital buffer requirement (the “Stress Capital Buffer Rule”). The stress capital buffer requirement is institution-specific and replaces the fixed 2.5% capital conservation buffer for BHCs.</w:t>
      </w:r>
    </w:p>
    <w:p w:rsidR="00000000" w:rsidRDefault="00AF3814">
      <w:pPr>
        <w:jc w:val="both"/>
        <w:divId w:val="283193222"/>
        <w:rPr>
          <w:rFonts w:eastAsia="Times New Roman"/>
        </w:rPr>
      </w:pPr>
      <w:r>
        <w:rPr>
          <w:rFonts w:eastAsia="Times New Roman"/>
          <w:color w:val="000000"/>
          <w:sz w:val="20"/>
          <w:szCs w:val="20"/>
        </w:rPr>
        <w:t>Pursuant to the</w:t>
      </w:r>
      <w:r>
        <w:rPr>
          <w:rFonts w:eastAsia="Times New Roman"/>
          <w:color w:val="000000"/>
          <w:sz w:val="20"/>
          <w:szCs w:val="20"/>
        </w:rPr>
        <w:t xml:space="preserve"> Stress Capital Buffer Rule, the Federal Reserve will use the results of its supervisory stress test to determine the size of a BHC’s stress capital buffer requirement. In particular, a BHC’s stress capital buffer requirement will equal, subject to a floor</w:t>
      </w:r>
      <w:r>
        <w:rPr>
          <w:rFonts w:eastAsia="Times New Roman"/>
          <w:color w:val="000000"/>
          <w:sz w:val="20"/>
          <w:szCs w:val="20"/>
        </w:rPr>
        <w:t xml:space="preserve"> of 2.5%, the sum of (i) the difference between the BHC’s starting CET1 capital ratio and its lowest projected CET1 capital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16035875"/>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1603587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1603587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55" style="width:0;height:1.5pt" o:hralign="center" o:hrstd="t" o:hr="t" fillcolor="#a0a0a0" stroked="f"/>
        </w:pict>
      </w:r>
    </w:p>
    <w:p w:rsidR="00000000" w:rsidRDefault="00AF3814">
      <w:pPr>
        <w:ind w:hanging="360"/>
        <w:jc w:val="both"/>
        <w:divId w:val="128596082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575017996"/>
        <w:rPr>
          <w:rFonts w:eastAsia="Times New Roman"/>
        </w:rPr>
      </w:pPr>
      <w:r>
        <w:rPr>
          <w:rFonts w:eastAsia="Times New Roman"/>
          <w:color w:val="000000"/>
          <w:sz w:val="20"/>
          <w:szCs w:val="20"/>
        </w:rPr>
        <w:t>ratio under the severely adverse scenario of the Federal Reserve’s supervisory stress test plus (ii) the ratio of the BHC’s projected four quar</w:t>
      </w:r>
      <w:r>
        <w:rPr>
          <w:rFonts w:eastAsia="Times New Roman"/>
          <w:color w:val="000000"/>
          <w:sz w:val="20"/>
          <w:szCs w:val="20"/>
        </w:rPr>
        <w:t>ters of common stock dividends (for the fourth to seventh quarters of the planning horizon) to the projected risk-weighted assets for the quarter in which the BHC’s projected CET1 capital ratio reaches its minimum under the supervisory stress test.</w:t>
      </w:r>
    </w:p>
    <w:p w:rsidR="00000000" w:rsidRDefault="00AF3814">
      <w:pPr>
        <w:jc w:val="both"/>
        <w:divId w:val="681513981"/>
        <w:rPr>
          <w:rFonts w:eastAsia="Times New Roman"/>
        </w:rPr>
      </w:pPr>
      <w:r>
        <w:rPr>
          <w:rFonts w:eastAsia="Times New Roman"/>
          <w:color w:val="000000"/>
          <w:sz w:val="20"/>
          <w:szCs w:val="20"/>
        </w:rPr>
        <w:t>Under t</w:t>
      </w:r>
      <w:r>
        <w:rPr>
          <w:rFonts w:eastAsia="Times New Roman"/>
          <w:color w:val="000000"/>
          <w:sz w:val="20"/>
          <w:szCs w:val="20"/>
        </w:rPr>
        <w:t>he Stress Capital Buffer Rule framework, the Company’s new “standardized approach capital conservation buffer” includes its stress capital buffer requirement (which will be recalibrated every year based on the Company’s supervisory stress test results), an</w:t>
      </w:r>
      <w:r>
        <w:rPr>
          <w:rFonts w:eastAsia="Times New Roman"/>
          <w:color w:val="000000"/>
          <w:sz w:val="20"/>
          <w:szCs w:val="20"/>
        </w:rPr>
        <w:t>y G-SIB surcharge (which is not applicable to us) and the countercyclical capital buffer requirement (which is currently set at 0%). Any determination to increase the countercyclical capital buffer generally would be effective twelve months after the annou</w:t>
      </w:r>
      <w:r>
        <w:rPr>
          <w:rFonts w:eastAsia="Times New Roman"/>
          <w:color w:val="000000"/>
          <w:sz w:val="20"/>
          <w:szCs w:val="20"/>
        </w:rPr>
        <w:t>ncement of such an increase, unless the Federal Banking Agencies set an earlier effective date.</w:t>
      </w:r>
    </w:p>
    <w:p w:rsidR="00000000" w:rsidRDefault="00AF3814">
      <w:pPr>
        <w:jc w:val="both"/>
        <w:divId w:val="1673416475"/>
        <w:rPr>
          <w:rFonts w:eastAsia="Times New Roman"/>
        </w:rPr>
      </w:pPr>
      <w:r>
        <w:rPr>
          <w:rFonts w:eastAsia="Times New Roman"/>
          <w:color w:val="000000"/>
          <w:sz w:val="20"/>
          <w:szCs w:val="20"/>
        </w:rPr>
        <w:t>Based on the Company’s 2020 supervisory stress testing results, the Company’s stress capital buffer requirement is 5.6% for the period from October 1, 2020 thro</w:t>
      </w:r>
      <w:r>
        <w:rPr>
          <w:rFonts w:eastAsia="Times New Roman"/>
          <w:color w:val="000000"/>
          <w:sz w:val="20"/>
          <w:szCs w:val="20"/>
        </w:rPr>
        <w:t>ugh September 30, 2021. Therefore, the Company’s minimum capital requirements plus the standardized approach capital conservation buffer for CET1 capital, Tier 1 capital and total capital ratios under the stress capital buffer framework are 10.1%, 11.6% an</w:t>
      </w:r>
      <w:r>
        <w:rPr>
          <w:rFonts w:eastAsia="Times New Roman"/>
          <w:color w:val="000000"/>
          <w:sz w:val="20"/>
          <w:szCs w:val="20"/>
        </w:rPr>
        <w:t>d 13.6%, respectively, for the period from October 1, 2020 through September 30, 2021.</w:t>
      </w:r>
    </w:p>
    <w:p w:rsidR="00000000" w:rsidRDefault="00AF3814">
      <w:pPr>
        <w:jc w:val="both"/>
        <w:divId w:val="1456867849"/>
        <w:rPr>
          <w:rFonts w:eastAsia="Times New Roman"/>
        </w:rPr>
      </w:pPr>
      <w:r>
        <w:rPr>
          <w:rFonts w:eastAsia="Times New Roman"/>
          <w:color w:val="000000"/>
          <w:sz w:val="20"/>
          <w:szCs w:val="20"/>
        </w:rPr>
        <w:t>Based on the Company’s 2021 supervisory stress testing results, the Company’</w:t>
      </w:r>
      <w:r>
        <w:rPr>
          <w:rFonts w:eastAsia="Times New Roman"/>
          <w:color w:val="000000"/>
          <w:sz w:val="20"/>
          <w:szCs w:val="20"/>
        </w:rPr>
        <w:t>s stress capital buffer requirement for the period beginning on October 1, 2021 through September 30, 2022 is 2.5%. Therefore, the Company’s minimum capital requirements plus the standardized approach capital conservation buffer for CET1 capital, Tier 1 ca</w:t>
      </w:r>
      <w:r>
        <w:rPr>
          <w:rFonts w:eastAsia="Times New Roman"/>
          <w:color w:val="000000"/>
          <w:sz w:val="20"/>
          <w:szCs w:val="20"/>
        </w:rPr>
        <w:t>pital and total capital ratios under the stress capital buffer framework are 7.0%, 8.5% and 10.5%, respectively, for the period from October 1, 2021 through September 30, 2022.</w:t>
      </w:r>
    </w:p>
    <w:p w:rsidR="00000000" w:rsidRDefault="00AF3814">
      <w:pPr>
        <w:jc w:val="both"/>
        <w:divId w:val="215313700"/>
        <w:rPr>
          <w:rFonts w:eastAsia="Times New Roman"/>
        </w:rPr>
      </w:pPr>
      <w:r>
        <w:rPr>
          <w:rFonts w:eastAsia="Times New Roman"/>
          <w:color w:val="000000"/>
          <w:sz w:val="20"/>
          <w:szCs w:val="20"/>
        </w:rPr>
        <w:t>The Stress Capital Buffer Rule does not apply to the Banks. The capital conserv</w:t>
      </w:r>
      <w:r>
        <w:rPr>
          <w:rFonts w:eastAsia="Times New Roman"/>
          <w:color w:val="000000"/>
          <w:sz w:val="20"/>
          <w:szCs w:val="20"/>
        </w:rPr>
        <w:t>ation buffer for the Banks continues to be fixed at 2.5%. Accordingly, each Bank’s minimum capital requirements plus its capital conservation buffer for CET1 capital, Tier 1 capital and total capital ratios remain at 7.0%, 8.5% and 10.5% respectively.</w:t>
      </w:r>
    </w:p>
    <w:p w:rsidR="00000000" w:rsidRDefault="00AF3814">
      <w:pPr>
        <w:jc w:val="both"/>
        <w:divId w:val="388499616"/>
        <w:rPr>
          <w:rFonts w:eastAsia="Times New Roman"/>
        </w:rPr>
      </w:pPr>
      <w:r>
        <w:rPr>
          <w:rFonts w:eastAsia="Times New Roman"/>
          <w:color w:val="000000"/>
          <w:sz w:val="20"/>
          <w:szCs w:val="20"/>
        </w:rPr>
        <w:t>If w</w:t>
      </w:r>
      <w:r>
        <w:rPr>
          <w:rFonts w:eastAsia="Times New Roman"/>
          <w:color w:val="000000"/>
          <w:sz w:val="20"/>
          <w:szCs w:val="20"/>
        </w:rPr>
        <w:t>e fail to maintain our capital ratios above the minimum capital requirements plus the applicable buffer requirements, we will face increasingly strict automatic limitations on capital distributions and discretionary bonus payments to certain executive offi</w:t>
      </w:r>
      <w:r>
        <w:rPr>
          <w:rFonts w:eastAsia="Times New Roman"/>
          <w:color w:val="000000"/>
          <w:sz w:val="20"/>
          <w:szCs w:val="20"/>
        </w:rPr>
        <w:t>cers.</w:t>
      </w:r>
    </w:p>
    <w:p w:rsidR="00000000" w:rsidRDefault="00AF3814">
      <w:pPr>
        <w:jc w:val="both"/>
        <w:divId w:val="1755321602"/>
        <w:rPr>
          <w:rFonts w:eastAsia="Times New Roman"/>
        </w:rPr>
      </w:pPr>
      <w:r>
        <w:rPr>
          <w:rFonts w:eastAsia="Times New Roman"/>
          <w:color w:val="000000"/>
          <w:sz w:val="20"/>
          <w:szCs w:val="20"/>
        </w:rPr>
        <w:t>As of June 30, 2021 and December 31, 2020, respectively, each of the Company and the Banks exceeded the minimum capital requirements and the buffer requirements applicable to them, and each of the Banks was “well capitalized” under PCA requirements.</w:t>
      </w:r>
    </w:p>
    <w:p w:rsidR="00000000" w:rsidRDefault="00AF3814">
      <w:pPr>
        <w:jc w:val="both"/>
        <w:divId w:val="1771732670"/>
        <w:rPr>
          <w:rFonts w:eastAsia="Times New Roman"/>
        </w:rPr>
      </w:pPr>
      <w:r>
        <w:rPr>
          <w:rFonts w:eastAsia="Times New Roman"/>
          <w:b/>
          <w:bCs/>
          <w:i/>
          <w:iCs/>
          <w:color w:val="000000"/>
          <w:sz w:val="20"/>
          <w:szCs w:val="20"/>
        </w:rPr>
        <w:t>Market Risk Rule</w:t>
      </w:r>
    </w:p>
    <w:p w:rsidR="00000000" w:rsidRDefault="00AF3814">
      <w:pPr>
        <w:jc w:val="both"/>
        <w:divId w:val="1661304252"/>
        <w:rPr>
          <w:rFonts w:eastAsia="Times New Roman"/>
        </w:rPr>
      </w:pPr>
      <w:r>
        <w:rPr>
          <w:rFonts w:eastAsia="Times New Roman"/>
          <w:color w:val="000000"/>
          <w:sz w:val="20"/>
          <w:szCs w:val="20"/>
        </w:rPr>
        <w:t>The “Market Risk Rule” supplements the Basel III Capital Rules by requiring institutions subject to the rule to adjust their risk-based capital ratios to reflect the market risk in their trading portfolios. The Market Risk Rule generally a</w:t>
      </w:r>
      <w:r>
        <w:rPr>
          <w:rFonts w:eastAsia="Times New Roman"/>
          <w:color w:val="000000"/>
          <w:sz w:val="20"/>
          <w:szCs w:val="20"/>
        </w:rPr>
        <w:t>pplies to institutions with aggregate trading assets and liabilities equal to 10% or more of total assets or $1 billion or more. As of June 30, 2021, the Company and CONA are subject to the Market Risk Rule. See “MD&amp;A—Market Risk Profile” below for additio</w:t>
      </w:r>
      <w:r>
        <w:rPr>
          <w:rFonts w:eastAsia="Times New Roman"/>
          <w:color w:val="000000"/>
          <w:sz w:val="20"/>
          <w:szCs w:val="20"/>
        </w:rPr>
        <w:t xml:space="preserve">nal information. </w:t>
      </w:r>
    </w:p>
    <w:p w:rsidR="00000000" w:rsidRDefault="00AF3814">
      <w:pPr>
        <w:jc w:val="both"/>
        <w:divId w:val="962660955"/>
        <w:rPr>
          <w:rFonts w:eastAsia="Times New Roman"/>
        </w:rPr>
      </w:pPr>
      <w:r>
        <w:rPr>
          <w:rFonts w:eastAsia="Times New Roman"/>
          <w:b/>
          <w:bCs/>
          <w:i/>
          <w:iCs/>
          <w:color w:val="000000"/>
          <w:sz w:val="20"/>
          <w:szCs w:val="20"/>
        </w:rPr>
        <w:t>CECL Transition Rule</w:t>
      </w:r>
    </w:p>
    <w:p w:rsidR="00000000" w:rsidRDefault="00AF3814">
      <w:pPr>
        <w:jc w:val="both"/>
        <w:divId w:val="1309818454"/>
        <w:rPr>
          <w:rFonts w:eastAsia="Times New Roman"/>
        </w:rPr>
      </w:pPr>
      <w:r>
        <w:rPr>
          <w:rFonts w:eastAsia="Times New Roman"/>
          <w:color w:val="000000"/>
          <w:sz w:val="20"/>
          <w:szCs w:val="20"/>
        </w:rPr>
        <w:t>The Federal Banking Agencies adopted a final rule (the “2020 CECL Transition Rule”) that provides banking institutions an optional five-year transition period to phase in the impact of the current expected credit loss</w:t>
      </w:r>
      <w:r>
        <w:rPr>
          <w:rFonts w:eastAsia="Times New Roman"/>
          <w:color w:val="000000"/>
          <w:sz w:val="20"/>
          <w:szCs w:val="20"/>
        </w:rPr>
        <w:t xml:space="preserve"> (“CECL”) standard on their regulatory capital (the “2020 CECL Transition Election”).</w:t>
      </w:r>
    </w:p>
    <w:p w:rsidR="00000000" w:rsidRDefault="00AF3814">
      <w:pPr>
        <w:jc w:val="both"/>
        <w:divId w:val="188418773"/>
        <w:rPr>
          <w:rFonts w:eastAsia="Times New Roman"/>
        </w:rPr>
      </w:pPr>
      <w:r>
        <w:rPr>
          <w:rFonts w:eastAsia="Times New Roman"/>
          <w:color w:val="000000"/>
          <w:sz w:val="20"/>
          <w:szCs w:val="20"/>
        </w:rPr>
        <w:t>Pursuant to the 2020 CECL Transition Rule, a banking institution may elect to delay the estimated impact of adopting CECL on its regulatory capital through December 31, 2</w:t>
      </w:r>
      <w:r>
        <w:rPr>
          <w:rFonts w:eastAsia="Times New Roman"/>
          <w:color w:val="000000"/>
          <w:sz w:val="20"/>
          <w:szCs w:val="20"/>
        </w:rPr>
        <w:t>021 and then phase in the estimated cumulative impact from January 1, 2022 through December 31, 2024. For the “day 2” ongoing impact of CECL during the initial two years, the Federal Banking Agencies use a uniform “scaling factor” of 25% as an approximatio</w:t>
      </w:r>
      <w:r>
        <w:rPr>
          <w:rFonts w:eastAsia="Times New Roman"/>
          <w:color w:val="000000"/>
          <w:sz w:val="20"/>
          <w:szCs w:val="20"/>
        </w:rPr>
        <w:t xml:space="preserve">n of the increase in the allowance under the CECL standard compared to the prior incurred loss methodology. Accordingly, from January 1, 2020 through December 31, 2021, electing banking institutions are permitted to add back to their regulatory capital an </w:t>
      </w:r>
      <w:r>
        <w:rPr>
          <w:rFonts w:eastAsia="Times New Roman"/>
          <w:color w:val="000000"/>
          <w:sz w:val="20"/>
          <w:szCs w:val="20"/>
        </w:rPr>
        <w:t xml:space="preserve">amount equal to the sum of the after-tax “day 1” CECL adoption impact and 25% of the increase in the allowance since the adoption of the CECL standard. Beginning January 1, 2022 through December 31, 2024, the after-tax “day 1” CECL adoption impact and the </w:t>
      </w:r>
      <w:r>
        <w:rPr>
          <w:rFonts w:eastAsia="Times New Roman"/>
          <w:color w:val="000000"/>
          <w:sz w:val="20"/>
          <w:szCs w:val="20"/>
        </w:rPr>
        <w:t>cumulative “day 2” ongoing impact will be phased in to regulatory capital at 25% per year. The following table summarizes the capital impact delay and phase in period on our regulatory capital from years 2020 to 2025.</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85307007"/>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85307007"/>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585307007"/>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56" style="width:0;height:1.5pt" o:hralign="center" o:hrstd="t" o:hr="t" fillcolor="#a0a0a0" stroked="f"/>
        </w:pict>
      </w:r>
    </w:p>
    <w:p w:rsidR="00000000" w:rsidRDefault="00AF3814">
      <w:pPr>
        <w:ind w:hanging="360"/>
        <w:jc w:val="both"/>
        <w:divId w:val="271788105"/>
        <w:rPr>
          <w:rFonts w:eastAsia="Times New Roman"/>
        </w:rPr>
      </w:pPr>
      <w:hyperlink w:anchor="id204df94663d4fc396719e5188ae3420_10" w:history="1">
        <w:r>
          <w:rPr>
            <w:rStyle w:val="a3"/>
            <w:rFonts w:eastAsia="Times New Roman"/>
            <w:sz w:val="16"/>
            <w:szCs w:val="16"/>
          </w:rPr>
          <w:t>Table of Contents</w:t>
        </w:r>
      </w:hyperlink>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trPr>
          <w:divId w:val="563953740"/>
        </w:trPr>
        <w:tc>
          <w:tcPr>
            <w:tcW w:w="50" w:type="pct"/>
            <w:vAlign w:val="center"/>
            <w:hideMark/>
          </w:tcPr>
          <w:p w:rsidR="00000000" w:rsidRDefault="00AF3814">
            <w:pPr>
              <w:ind w:hanging="360"/>
              <w:jc w:val="both"/>
              <w:rPr>
                <w:rFonts w:eastAsia="Times New Roman"/>
              </w:rPr>
            </w:pPr>
          </w:p>
        </w:tc>
        <w:tc>
          <w:tcPr>
            <w:tcW w:w="141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6395374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Phase In Period</w:t>
            </w:r>
          </w:p>
        </w:tc>
      </w:tr>
      <w:tr w:rsidR="00000000">
        <w:trPr>
          <w:divId w:val="56395374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2025</w:t>
            </w:r>
          </w:p>
        </w:tc>
      </w:tr>
      <w:tr w:rsidR="00000000">
        <w:trPr>
          <w:divId w:val="563953740"/>
          <w:trHeight w:val="48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“Day 1” CECL adoption impact</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color w:val="000000"/>
                <w:sz w:val="18"/>
                <w:szCs w:val="18"/>
              </w:rPr>
              <w:t>Fully Phased In</w:t>
            </w:r>
          </w:p>
        </w:tc>
      </w:tr>
      <w:tr w:rsidR="00000000">
        <w:trPr>
          <w:divId w:val="563953740"/>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color w:val="000000"/>
                <w:sz w:val="18"/>
                <w:szCs w:val="18"/>
              </w:rPr>
              <w:t> </w:t>
            </w:r>
            <w:r>
              <w:rPr>
                <w:rFonts w:eastAsia="Times New Roman"/>
                <w:color w:val="000000"/>
                <w:sz w:val="18"/>
                <w:szCs w:val="18"/>
              </w:rPr>
              <w:t>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AF3814">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AF3814">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AF3814">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AF3814">
            <w:pPr>
              <w:spacing w:after="100"/>
              <w:rPr>
                <w:rFonts w:eastAsia="Times New Roman"/>
              </w:rPr>
            </w:pPr>
          </w:p>
        </w:tc>
      </w:tr>
    </w:tbl>
    <w:p w:rsidR="00000000" w:rsidRDefault="00AF3814">
      <w:pPr>
        <w:jc w:val="both"/>
        <w:divId w:val="791169598"/>
        <w:rPr>
          <w:rFonts w:eastAsia="Times New Roman"/>
        </w:rPr>
      </w:pPr>
      <w:r>
        <w:rPr>
          <w:rFonts w:eastAsia="Times New Roman"/>
          <w:color w:val="000000"/>
          <w:sz w:val="20"/>
          <w:szCs w:val="20"/>
        </w:rPr>
        <w:t>We adopted the CECL standard (for accounting purposes) as of January 1, 2020, and made the 2020 CECL Transition Election (for regulatory capital purposes) in the first quarter of 2020. Therefore, the applicable amounts presented in this Report reflect such</w:t>
      </w:r>
      <w:r>
        <w:rPr>
          <w:rFonts w:eastAsia="Times New Roman"/>
          <w:color w:val="000000"/>
          <w:sz w:val="20"/>
          <w:szCs w:val="20"/>
        </w:rPr>
        <w:t xml:space="preserve"> election. </w:t>
      </w:r>
    </w:p>
    <w:p w:rsidR="00000000" w:rsidRDefault="00AF3814">
      <w:pPr>
        <w:jc w:val="both"/>
        <w:divId w:val="1042366545"/>
        <w:rPr>
          <w:rFonts w:eastAsia="Times New Roman"/>
        </w:rPr>
      </w:pPr>
      <w:r>
        <w:rPr>
          <w:rFonts w:eastAsia="Times New Roman"/>
          <w:color w:val="000000"/>
          <w:sz w:val="20"/>
          <w:szCs w:val="20"/>
        </w:rPr>
        <w:t>For the description of the regulatory capital rules we are subject to, see “MD&amp;A—Supervision and Regulation” in this Report as well as “Part I—Item 1. Business—Supervision and Regulation” in our 2020 Form 10-K.</w:t>
      </w:r>
    </w:p>
    <w:p w:rsidR="00000000" w:rsidRDefault="00AF3814">
      <w:pPr>
        <w:jc w:val="both"/>
        <w:divId w:val="1981882083"/>
        <w:rPr>
          <w:rFonts w:eastAsia="Times New Roman"/>
        </w:rPr>
      </w:pPr>
      <w:r>
        <w:rPr>
          <w:rFonts w:eastAsia="Times New Roman"/>
          <w:color w:val="000000"/>
          <w:sz w:val="20"/>
          <w:szCs w:val="20"/>
        </w:rPr>
        <w:t xml:space="preserve">Table 14 provides a comparison of our regulatory capital ratios under the Basel III Standardized Approach, the regulatory minimum capital adequacy ratios and the PCA well-capitalized level for each ratio, where applicable, as of June 30, 2021 and December </w:t>
      </w:r>
      <w:r>
        <w:rPr>
          <w:rFonts w:eastAsia="Times New Roman"/>
          <w:color w:val="000000"/>
          <w:sz w:val="20"/>
          <w:szCs w:val="20"/>
        </w:rPr>
        <w:t>31, 2020.</w:t>
      </w:r>
    </w:p>
    <w:p w:rsidR="00000000" w:rsidRDefault="00AF3814">
      <w:pPr>
        <w:divId w:val="241985544"/>
        <w:rPr>
          <w:rFonts w:eastAsia="Times New Roman"/>
        </w:rPr>
      </w:pPr>
      <w:r>
        <w:rPr>
          <w:rFonts w:eastAsia="Times New Roman"/>
          <w:b/>
          <w:bCs/>
          <w:color w:val="000000"/>
          <w:sz w:val="18"/>
          <w:szCs w:val="18"/>
        </w:rPr>
        <w:t>Table 14: Capital Ratios Under Basel II</w:t>
      </w:r>
      <w:r>
        <w:rPr>
          <w:rFonts w:eastAsia="Times New Roman"/>
          <w:b/>
          <w:bCs/>
          <w:color w:val="000000"/>
          <w:sz w:val="18"/>
          <w:szCs w:val="18"/>
        </w:rPr>
        <w:t>I</w:t>
      </w:r>
      <w:r>
        <w:rPr>
          <w:rFonts w:eastAsia="Times New Roman"/>
          <w:b/>
          <w:bCs/>
          <w:color w:val="000000"/>
          <w:sz w:val="12"/>
          <w:szCs w:val="12"/>
        </w:rPr>
        <w:t>(1)(2</w:t>
      </w:r>
      <w:r>
        <w:rPr>
          <w:rFonts w:eastAsia="Times New Roman"/>
          <w:b/>
          <w:bCs/>
          <w:color w:val="000000"/>
          <w:sz w:val="12"/>
          <w:szCs w:val="12"/>
        </w:rPr>
        <w:t>)</w:t>
      </w:r>
    </w:p>
    <w:tbl>
      <w:tblPr>
        <w:tblW w:w="4978" w:type="pct"/>
        <w:tblCellMar>
          <w:top w:w="15" w:type="dxa"/>
          <w:left w:w="15" w:type="dxa"/>
          <w:bottom w:w="15" w:type="dxa"/>
          <w:right w:w="15" w:type="dxa"/>
        </w:tblCellMar>
        <w:tblLook w:val="04A0" w:firstRow="1" w:lastRow="0" w:firstColumn="1" w:lastColumn="0" w:noHBand="0" w:noVBand="1"/>
      </w:tblPr>
      <w:tblGrid>
        <w:gridCol w:w="39"/>
        <w:gridCol w:w="2554"/>
        <w:gridCol w:w="38"/>
        <w:gridCol w:w="36"/>
        <w:gridCol w:w="36"/>
        <w:gridCol w:w="36"/>
        <w:gridCol w:w="52"/>
        <w:gridCol w:w="357"/>
        <w:gridCol w:w="200"/>
        <w:gridCol w:w="36"/>
        <w:gridCol w:w="36"/>
        <w:gridCol w:w="36"/>
        <w:gridCol w:w="87"/>
        <w:gridCol w:w="630"/>
        <w:gridCol w:w="200"/>
        <w:gridCol w:w="36"/>
        <w:gridCol w:w="36"/>
        <w:gridCol w:w="36"/>
        <w:gridCol w:w="93"/>
        <w:gridCol w:w="721"/>
        <w:gridCol w:w="200"/>
        <w:gridCol w:w="36"/>
        <w:gridCol w:w="36"/>
        <w:gridCol w:w="36"/>
        <w:gridCol w:w="52"/>
        <w:gridCol w:w="357"/>
        <w:gridCol w:w="170"/>
        <w:gridCol w:w="36"/>
        <w:gridCol w:w="36"/>
        <w:gridCol w:w="36"/>
        <w:gridCol w:w="87"/>
        <w:gridCol w:w="630"/>
        <w:gridCol w:w="170"/>
        <w:gridCol w:w="36"/>
        <w:gridCol w:w="36"/>
        <w:gridCol w:w="36"/>
        <w:gridCol w:w="92"/>
        <w:gridCol w:w="722"/>
        <w:gridCol w:w="170"/>
      </w:tblGrid>
      <w:tr w:rsidR="00000000">
        <w:trPr>
          <w:divId w:val="1132940361"/>
        </w:trPr>
        <w:tc>
          <w:tcPr>
            <w:tcW w:w="50" w:type="pct"/>
            <w:vAlign w:val="center"/>
            <w:hideMark/>
          </w:tcPr>
          <w:p w:rsidR="00000000" w:rsidRDefault="00AF3814">
            <w:pPr>
              <w:rPr>
                <w:rFonts w:eastAsia="Times New Roman"/>
              </w:rPr>
            </w:pPr>
          </w:p>
        </w:tc>
        <w:tc>
          <w:tcPr>
            <w:tcW w:w="21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32940361"/>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132940361"/>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r>
      <w:tr w:rsidR="00000000">
        <w:trPr>
          <w:divId w:val="113294036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Capital One Financial Corp:</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329403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365179439"/>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N/A</w:t>
            </w:r>
          </w:p>
        </w:tc>
      </w:tr>
      <w:tr w:rsidR="00000000">
        <w:trPr>
          <w:divId w:val="113294036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283078961"/>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11329403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320646818"/>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3294036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87242716"/>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N/A</w:t>
            </w:r>
          </w:p>
        </w:tc>
      </w:tr>
      <w:tr w:rsidR="00000000">
        <w:trPr>
          <w:divId w:val="11329403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406465565"/>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(7)(8</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N/A</w:t>
            </w:r>
          </w:p>
        </w:tc>
      </w:tr>
      <w:tr w:rsidR="00000000">
        <w:trPr>
          <w:divId w:val="113294036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COBNA: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329403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001275574"/>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3294036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869443885"/>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329403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643202465"/>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3294036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179662061"/>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329403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759957783"/>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N/A</w:t>
            </w:r>
          </w:p>
        </w:tc>
      </w:tr>
      <w:tr w:rsidR="00000000">
        <w:trPr>
          <w:divId w:val="113294036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CONA: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329403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805245293"/>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3294036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26222987"/>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329403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622416559"/>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(5</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3294036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2119332060"/>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3294036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075274141"/>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color w:val="000000"/>
                <w:sz w:val="18"/>
                <w:szCs w:val="18"/>
              </w:rPr>
              <w:t>N/A</w:t>
            </w:r>
          </w:p>
        </w:tc>
      </w:tr>
    </w:tbl>
    <w:p w:rsidR="00000000" w:rsidRDefault="00AF3814">
      <w:pPr>
        <w:divId w:val="1132940361"/>
        <w:rPr>
          <w:rFonts w:eastAsia="Times New Roman"/>
        </w:rPr>
      </w:pPr>
      <w:r>
        <w:rPr>
          <w:rFonts w:eastAsia="Times New Roman"/>
          <w:color w:val="000000"/>
          <w:sz w:val="20"/>
          <w:szCs w:val="20"/>
        </w:rPr>
        <w:t>__________</w:t>
      </w:r>
    </w:p>
    <w:p w:rsidR="00000000" w:rsidRDefault="00AF3814">
      <w:pPr>
        <w:ind w:hanging="360"/>
        <w:jc w:val="both"/>
        <w:divId w:val="102100678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requirements that are not applicable are denoted by “N/A.”</w:t>
      </w:r>
    </w:p>
    <w:p w:rsidR="00000000" w:rsidRDefault="00AF3814">
      <w:pPr>
        <w:ind w:hanging="360"/>
        <w:jc w:val="both"/>
        <w:divId w:val="57698576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Ratios as of June 30, 2021 are preliminary. As we continue to validate our data, the calculations are subject to change until we file our June 3</w:t>
      </w:r>
      <w:r>
        <w:rPr>
          <w:rFonts w:eastAsia="Times New Roman"/>
          <w:color w:val="000000"/>
          <w:sz w:val="16"/>
          <w:szCs w:val="16"/>
        </w:rPr>
        <w:t>0, 2021 Form FR Y-9C—Consolidated Financial Statements for Holding Companies and Call Reports.</w:t>
      </w:r>
    </w:p>
    <w:p w:rsidR="00000000" w:rsidRDefault="00AF3814">
      <w:pPr>
        <w:ind w:hanging="360"/>
        <w:jc w:val="both"/>
        <w:divId w:val="91370468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Common equity Tier 1 capital ratio is a regulatory capital measure calculated based on common equity Tier 1 capital divided by risk-weighted assets.</w:t>
      </w:r>
    </w:p>
    <w:p w:rsidR="00000000" w:rsidRDefault="00AF3814">
      <w:pPr>
        <w:ind w:hanging="360"/>
        <w:jc w:val="both"/>
        <w:divId w:val="62855598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Tier 1</w:t>
      </w:r>
      <w:r>
        <w:rPr>
          <w:rFonts w:eastAsia="Times New Roman"/>
          <w:color w:val="000000"/>
          <w:sz w:val="16"/>
          <w:szCs w:val="16"/>
        </w:rPr>
        <w:t xml:space="preserve"> capital ratio is a regulatory capital measure calculated based on Tier 1 capital divided by risk-weighted assets.</w:t>
      </w:r>
    </w:p>
    <w:p w:rsidR="00000000" w:rsidRDefault="00AF3814">
      <w:pPr>
        <w:ind w:hanging="360"/>
        <w:jc w:val="both"/>
        <w:divId w:val="1663122461"/>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Total capital ratio is a regulatory capital measure calculated based on total capital divided by risk-weighted assets.</w:t>
      </w:r>
    </w:p>
    <w:p w:rsidR="00000000" w:rsidRDefault="00AF3814">
      <w:pPr>
        <w:ind w:hanging="360"/>
        <w:jc w:val="both"/>
        <w:divId w:val="1169557752"/>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 xml:space="preserve">Tier 1 leverage </w:t>
      </w:r>
      <w:r>
        <w:rPr>
          <w:rFonts w:eastAsia="Times New Roman"/>
          <w:color w:val="000000"/>
          <w:sz w:val="16"/>
          <w:szCs w:val="16"/>
        </w:rPr>
        <w:t>ratio is a regulatory capital measure calculated based on Tier 1 capital divided by adjusted average assets.</w:t>
      </w:r>
    </w:p>
    <w:p w:rsidR="00000000" w:rsidRDefault="00AF3814">
      <w:pPr>
        <w:ind w:hanging="360"/>
        <w:jc w:val="both"/>
        <w:divId w:val="179125809"/>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 xml:space="preserve">Supplementary leverage ratio is a regulatory capital measure calculated based on Tier 1 capital divided by total leverage exposure.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83437121"/>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68343712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68343712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57" style="width:0;height:1.5pt" o:hralign="center" o:hrstd="t" o:hr="t" fillcolor="#a0a0a0" stroked="f"/>
        </w:pict>
      </w:r>
    </w:p>
    <w:p w:rsidR="00000000" w:rsidRDefault="00AF3814">
      <w:pPr>
        <w:ind w:hanging="360"/>
        <w:jc w:val="both"/>
        <w:divId w:val="124513963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ind w:hanging="360"/>
        <w:jc w:val="both"/>
        <w:divId w:val="1236550293"/>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The Company’</w:t>
      </w:r>
      <w:r>
        <w:rPr>
          <w:rFonts w:eastAsia="Times New Roman"/>
          <w:color w:val="000000"/>
          <w:sz w:val="16"/>
          <w:szCs w:val="16"/>
        </w:rPr>
        <w:t>s supplementary leverage ratio as of December 31, 2020 reflected the temporary exclusions of U.S Treasury securities and deposits at Federal Reserve Banks from the denominator of the supplementary leverage ratio. See “Part I—Item 1. Business—Supervision an</w:t>
      </w:r>
      <w:r>
        <w:rPr>
          <w:rFonts w:eastAsia="Times New Roman"/>
          <w:color w:val="000000"/>
          <w:sz w:val="16"/>
          <w:szCs w:val="16"/>
        </w:rPr>
        <w:t>d Regulation—Capital and Liquidity Regulation” in our 2020 Form 10-K for additional details.</w:t>
      </w:r>
    </w:p>
    <w:p w:rsidR="00000000" w:rsidRDefault="00AF3814">
      <w:pPr>
        <w:jc w:val="both"/>
        <w:divId w:val="1937857525"/>
        <w:rPr>
          <w:rFonts w:eastAsia="Times New Roman"/>
        </w:rPr>
      </w:pPr>
      <w:r>
        <w:rPr>
          <w:rFonts w:eastAsia="Times New Roman"/>
          <w:color w:val="000000"/>
          <w:sz w:val="20"/>
          <w:szCs w:val="20"/>
        </w:rPr>
        <w:t xml:space="preserve">Table 15 presents regulatory capital under the Basel III Standardized Approach and regulatory capital metrics as of June 30, 2021 and December 31, 2020. </w:t>
      </w:r>
    </w:p>
    <w:p w:rsidR="00000000" w:rsidRDefault="00AF3814">
      <w:pPr>
        <w:divId w:val="1477453090"/>
        <w:rPr>
          <w:rFonts w:eastAsia="Times New Roman"/>
        </w:rPr>
      </w:pPr>
      <w:r>
        <w:rPr>
          <w:rFonts w:eastAsia="Times New Roman"/>
          <w:b/>
          <w:bCs/>
          <w:color w:val="000000"/>
          <w:sz w:val="18"/>
          <w:szCs w:val="18"/>
        </w:rPr>
        <w:t>Table 15:</w:t>
      </w:r>
      <w:r>
        <w:rPr>
          <w:rFonts w:eastAsia="Times New Roman"/>
          <w:b/>
          <w:bCs/>
          <w:color w:val="000000"/>
          <w:sz w:val="18"/>
          <w:szCs w:val="18"/>
        </w:rPr>
        <w:t xml:space="preserve"> Regulatory Risk-Based Capital Components and Regulatory Capital Metrics</w:t>
      </w:r>
    </w:p>
    <w:tbl>
      <w:tblPr>
        <w:tblW w:w="4970" w:type="pct"/>
        <w:tblCellMar>
          <w:top w:w="15" w:type="dxa"/>
          <w:left w:w="15" w:type="dxa"/>
          <w:bottom w:w="15" w:type="dxa"/>
          <w:right w:w="15" w:type="dxa"/>
        </w:tblCellMar>
        <w:tblLook w:val="04A0" w:firstRow="1" w:lastRow="0" w:firstColumn="1" w:lastColumn="0" w:noHBand="0" w:noVBand="1"/>
      </w:tblPr>
      <w:tblGrid>
        <w:gridCol w:w="41"/>
        <w:gridCol w:w="5650"/>
        <w:gridCol w:w="37"/>
        <w:gridCol w:w="36"/>
        <w:gridCol w:w="36"/>
        <w:gridCol w:w="36"/>
        <w:gridCol w:w="110"/>
        <w:gridCol w:w="1033"/>
        <w:gridCol w:w="36"/>
        <w:gridCol w:w="36"/>
        <w:gridCol w:w="36"/>
        <w:gridCol w:w="36"/>
        <w:gridCol w:w="110"/>
        <w:gridCol w:w="987"/>
        <w:gridCol w:w="36"/>
      </w:tblGrid>
      <w:tr w:rsidR="00000000">
        <w:trPr>
          <w:divId w:val="1394041484"/>
        </w:trPr>
        <w:tc>
          <w:tcPr>
            <w:tcW w:w="50" w:type="pct"/>
            <w:vAlign w:val="center"/>
            <w:hideMark/>
          </w:tcPr>
          <w:p w:rsidR="00000000" w:rsidRDefault="00AF3814">
            <w:pPr>
              <w:rPr>
                <w:rFonts w:eastAsia="Times New Roman"/>
              </w:rPr>
            </w:pPr>
          </w:p>
        </w:tc>
        <w:tc>
          <w:tcPr>
            <w:tcW w:w="34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4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9404148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39404148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8"/>
                <w:szCs w:val="18"/>
              </w:rPr>
              <w:t>Regulatory Capital Under Basel III Standardized Approach</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9404148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Common equity excluding AOCI</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58,969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55,299 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Adjustments: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9404148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divId w:val="683048899"/>
              <w:rPr>
                <w:rFonts w:eastAsia="Times New Roman"/>
              </w:rPr>
            </w:pPr>
            <w:r>
              <w:rPr>
                <w:rFonts w:eastAsia="Times New Roman"/>
                <w:color w:val="000000"/>
                <w:sz w:val="18"/>
                <w:szCs w:val="18"/>
              </w:rPr>
              <w:t>AOCI, net of ta</w:t>
            </w:r>
            <w:r>
              <w:rPr>
                <w:rFonts w:eastAsia="Times New Roman"/>
                <w:color w:val="000000"/>
                <w:sz w:val="18"/>
                <w:szCs w:val="18"/>
              </w:rPr>
              <w:t>x</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CCEEFF"/>
            <w:tcMar>
              <w:top w:w="30" w:type="dxa"/>
              <w:left w:w="245"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Goodwill, net of related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(14,440)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(14,448)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FFFFFF"/>
            <w:tcMar>
              <w:top w:w="30" w:type="dxa"/>
              <w:left w:w="245"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Intangible assets, net of related 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divId w:val="377125550"/>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Common equity Tier 1 capital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44,432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40,736 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Tier 1 capital instruments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6,488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4,847 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404148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Tier 1 capital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50,920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45,583 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Tier 2 capital instruments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3,385 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Qualifying 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3,820 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Tier 2 capital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7,012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7,205 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Total capital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57,932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52,788 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Height w:val="280"/>
        </w:trPr>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9404148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8"/>
                <w:szCs w:val="18"/>
              </w:rPr>
              <w:t>Regulatory Capital Metrics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9404148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Risk-weighted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307,334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297,903 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Adjusted average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411,032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406,762 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404148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Total leverage exposure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477,932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427,522 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both"/>
        <w:divId w:val="1394041484"/>
        <w:rPr>
          <w:rFonts w:eastAsia="Times New Roman"/>
        </w:rPr>
      </w:pPr>
      <w:r>
        <w:rPr>
          <w:rFonts w:eastAsia="Times New Roman"/>
          <w:color w:val="000000"/>
          <w:sz w:val="20"/>
          <w:szCs w:val="20"/>
        </w:rPr>
        <w:t>__________</w:t>
      </w:r>
    </w:p>
    <w:p w:rsidR="00000000" w:rsidRDefault="00AF3814">
      <w:pPr>
        <w:ind w:hanging="360"/>
        <w:jc w:val="both"/>
        <w:divId w:val="115533760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Excludes certain components of AOCI as permitted under the Tailoring Rules.</w:t>
      </w:r>
    </w:p>
    <w:p w:rsidR="00000000" w:rsidRDefault="00AF3814">
      <w:pPr>
        <w:ind w:hanging="360"/>
        <w:jc w:val="both"/>
        <w:divId w:val="198227211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deferred tax assets deducted from regulatory capital.</w:t>
      </w:r>
    </w:p>
    <w:p w:rsidR="00000000" w:rsidRDefault="00AF3814">
      <w:pPr>
        <w:divId w:val="1511411438"/>
        <w:rPr>
          <w:rFonts w:eastAsia="Times New Roman"/>
        </w:rPr>
      </w:pPr>
      <w:r>
        <w:rPr>
          <w:rFonts w:eastAsia="Times New Roman"/>
          <w:b/>
          <w:bCs/>
          <w:color w:val="000000"/>
          <w:sz w:val="20"/>
          <w:szCs w:val="20"/>
        </w:rPr>
        <w:t>Capital Planning and Regulatory Stress Testing</w:t>
      </w:r>
    </w:p>
    <w:p w:rsidR="00000000" w:rsidRDefault="00AF3814">
      <w:pPr>
        <w:jc w:val="both"/>
        <w:divId w:val="249778274"/>
        <w:rPr>
          <w:rFonts w:eastAsia="Times New Roman"/>
        </w:rPr>
      </w:pPr>
      <w:r>
        <w:rPr>
          <w:rFonts w:eastAsia="Times New Roman"/>
          <w:color w:val="000000"/>
          <w:sz w:val="20"/>
          <w:szCs w:val="20"/>
        </w:rPr>
        <w:t>On June 24, 2021, the Federal Reserve released the results of its supervisory stress tests for the 2021 cycle. Based on the results, all participating BHCs, including the Company, remained above their risk-based minimum capital requirements in the hypothet</w:t>
      </w:r>
      <w:r>
        <w:rPr>
          <w:rFonts w:eastAsia="Times New Roman"/>
          <w:color w:val="000000"/>
          <w:sz w:val="20"/>
          <w:szCs w:val="20"/>
        </w:rPr>
        <w:t>ical stress scenario. Accordingly, as laid out previously by the Federal Reserve, the temporary capital distribution restrictions put in place in the third quarter of 2020 following the outbreak of COVID-19 ended for all participating BHCs, including the C</w:t>
      </w:r>
      <w:r>
        <w:rPr>
          <w:rFonts w:eastAsia="Times New Roman"/>
          <w:color w:val="000000"/>
          <w:sz w:val="20"/>
          <w:szCs w:val="20"/>
        </w:rPr>
        <w:t>ompany, after the second quarter of 2021. All participating BHCs, including the Company, remain subject to the normal capital distribution restrictions of the stress capital buffer framework.</w:t>
      </w:r>
    </w:p>
    <w:p w:rsidR="00000000" w:rsidRDefault="00AF3814">
      <w:pPr>
        <w:jc w:val="both"/>
        <w:divId w:val="1888224142"/>
        <w:rPr>
          <w:rFonts w:eastAsia="Times New Roman"/>
        </w:rPr>
      </w:pPr>
      <w:r>
        <w:rPr>
          <w:rFonts w:eastAsia="Times New Roman"/>
          <w:color w:val="000000"/>
          <w:sz w:val="20"/>
          <w:szCs w:val="20"/>
        </w:rPr>
        <w:t>On January 25, 2021, our Board of Directors authorized the repur</w:t>
      </w:r>
      <w:r>
        <w:rPr>
          <w:rFonts w:eastAsia="Times New Roman"/>
          <w:color w:val="000000"/>
          <w:sz w:val="20"/>
          <w:szCs w:val="20"/>
        </w:rPr>
        <w:t>chase of up to $7.5 billion of shares of our common stock. We repurchased approximately $1.7 billion of shares of our common stock during the second quarter of 2021 and $2.2 billion during the first six months of 2021, consistent with the Federal Reserve’s</w:t>
      </w:r>
      <w:r>
        <w:rPr>
          <w:rFonts w:eastAsia="Times New Roman"/>
          <w:color w:val="000000"/>
          <w:sz w:val="20"/>
          <w:szCs w:val="20"/>
        </w:rPr>
        <w:t xml:space="preserve"> temporary capital distribution restrictions in place during the first six months of 2021. On July 28, 2021, our Board of Directors authorized a special dividend of $0.60 per share of common stock payable in the third quarter of 2021. In addition to the sp</w:t>
      </w:r>
      <w:r>
        <w:rPr>
          <w:rFonts w:eastAsia="Times New Roman"/>
          <w:color w:val="000000"/>
          <w:sz w:val="20"/>
          <w:szCs w:val="20"/>
        </w:rPr>
        <w:t>ecial dividend, the Board of Directors authorized an increase to our quarterly common stock dividend from $0.40 per share to $0.60 per share beginning with our dividend payable in the third quarter of 2021.</w:t>
      </w:r>
    </w:p>
    <w:p w:rsidR="00000000" w:rsidRDefault="00AF3814">
      <w:pPr>
        <w:jc w:val="both"/>
        <w:divId w:val="1484469127"/>
        <w:rPr>
          <w:rFonts w:eastAsia="Times New Roman"/>
        </w:rPr>
      </w:pPr>
      <w:r>
        <w:rPr>
          <w:rFonts w:eastAsia="Times New Roman"/>
          <w:color w:val="000000"/>
          <w:sz w:val="20"/>
          <w:szCs w:val="20"/>
        </w:rPr>
        <w:t>For the description of the regulatory capital planning rules we are subject to, see “MD&amp;A—Supervision and Regulation” in this Report as well as “Part I—Item 1. Business—Supervision and Regulation” 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48086706"/>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48086706"/>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48086706"/>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58" style="width:0;height:1.5pt" o:hralign="center" o:hrstd="t" o:hr="t" fillcolor="#a0a0a0" stroked="f"/>
        </w:pict>
      </w:r>
    </w:p>
    <w:p w:rsidR="00000000" w:rsidRDefault="00AF3814">
      <w:pPr>
        <w:ind w:hanging="360"/>
        <w:jc w:val="both"/>
        <w:divId w:val="45425559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270895560"/>
        <w:rPr>
          <w:rFonts w:eastAsia="Times New Roman"/>
        </w:rPr>
      </w:pPr>
      <w:r>
        <w:rPr>
          <w:rFonts w:eastAsia="Times New Roman"/>
          <w:b/>
          <w:bCs/>
          <w:color w:val="000000"/>
          <w:sz w:val="20"/>
          <w:szCs w:val="20"/>
        </w:rPr>
        <w:t>Equity Offerings and Transactions</w:t>
      </w:r>
    </w:p>
    <w:p w:rsidR="00000000" w:rsidRDefault="00AF3814">
      <w:pPr>
        <w:jc w:val="both"/>
        <w:divId w:val="959578734"/>
        <w:rPr>
          <w:rFonts w:eastAsia="Times New Roman"/>
        </w:rPr>
      </w:pPr>
      <w:r>
        <w:rPr>
          <w:rFonts w:eastAsia="Times New Roman"/>
          <w:color w:val="000000"/>
          <w:sz w:val="20"/>
          <w:szCs w:val="20"/>
        </w:rPr>
        <w:t>On May 4, 2021, we issued 27,000,000 depositary shares, each representing a 1/40th interest in a share of Fix</w:t>
      </w:r>
      <w:r>
        <w:rPr>
          <w:rFonts w:eastAsia="Times New Roman"/>
          <w:color w:val="000000"/>
          <w:sz w:val="20"/>
          <w:szCs w:val="20"/>
        </w:rPr>
        <w:t>ed Rate Non-Cumulative Perpetual Preferred Stock, Series L, $0.01 par value, with a liquidation preference of $25 per depositary share (“Series L Preferred Stock”). The net proceeds of the offering of Series L Preferred Stock were approximately $652.9 mill</w:t>
      </w:r>
      <w:r>
        <w:rPr>
          <w:rFonts w:eastAsia="Times New Roman"/>
          <w:color w:val="000000"/>
          <w:sz w:val="20"/>
          <w:szCs w:val="20"/>
        </w:rPr>
        <w:t>ion after deducting underwriting commissions and offering expenses. Dividends on the Series L Preferred Stock are payable quarterly in arrears at a rate of 4.375% per annum.</w:t>
      </w:r>
    </w:p>
    <w:p w:rsidR="00000000" w:rsidRDefault="00AF3814">
      <w:pPr>
        <w:jc w:val="both"/>
        <w:divId w:val="940139420"/>
        <w:rPr>
          <w:rFonts w:eastAsia="Times New Roman"/>
        </w:rPr>
      </w:pPr>
      <w:r>
        <w:rPr>
          <w:rFonts w:eastAsia="Times New Roman"/>
          <w:color w:val="000000"/>
          <w:sz w:val="20"/>
          <w:szCs w:val="20"/>
        </w:rPr>
        <w:t>On June 10, 2021, we issued 1,000,000 shares of Fixed Rate Reset Non-Cumulative Pe</w:t>
      </w:r>
      <w:r>
        <w:rPr>
          <w:rFonts w:eastAsia="Times New Roman"/>
          <w:color w:val="000000"/>
          <w:sz w:val="20"/>
          <w:szCs w:val="20"/>
        </w:rPr>
        <w:t>rpetual Preferred Stock, Series M, $0.01 par value, with a liquidation preference of $1,000 per share (the “Series M Preferred Stock”). The net proceeds of the offering of Series M Preferred Stock were approximately $988.2 million, after deducting underwri</w:t>
      </w:r>
      <w:r>
        <w:rPr>
          <w:rFonts w:eastAsia="Times New Roman"/>
          <w:color w:val="000000"/>
          <w:sz w:val="20"/>
          <w:szCs w:val="20"/>
        </w:rPr>
        <w:t>ting commissions and offering expenses. Dividends on the Series M Preferred Stock are payable quarterly in arrears at a rate of 3.950% per annum through August 31, 2026. Effective September 1, 2026, and at every subsequent five-year anniversary, the divide</w:t>
      </w:r>
      <w:r>
        <w:rPr>
          <w:rFonts w:eastAsia="Times New Roman"/>
          <w:color w:val="000000"/>
          <w:sz w:val="20"/>
          <w:szCs w:val="20"/>
        </w:rPr>
        <w:t xml:space="preserve">nd rate resets to the 5-Year Treasury Rate plus 3.157% per annum. </w:t>
      </w:r>
    </w:p>
    <w:p w:rsidR="00000000" w:rsidRDefault="00AF3814">
      <w:pPr>
        <w:jc w:val="both"/>
        <w:divId w:val="69470375"/>
        <w:rPr>
          <w:rFonts w:eastAsia="Times New Roman"/>
        </w:rPr>
      </w:pPr>
      <w:r>
        <w:rPr>
          <w:rFonts w:eastAsia="Times New Roman"/>
          <w:color w:val="000000"/>
          <w:sz w:val="20"/>
          <w:szCs w:val="20"/>
        </w:rPr>
        <w:t>On July 29, 2021, we issued 17,000,000 depositary shares, each representing a 1/40th interest in a share of Fixed Rate Non-Cumulative Perpetual Preferred Stock, Series N, $0.01 par value, w</w:t>
      </w:r>
      <w:r>
        <w:rPr>
          <w:rFonts w:eastAsia="Times New Roman"/>
          <w:color w:val="000000"/>
          <w:sz w:val="20"/>
          <w:szCs w:val="20"/>
        </w:rPr>
        <w:t xml:space="preserve">ith a liquidation preference of $25 per depositary share (“Series N Preferred Stock”). The net proceeds of the offering of Series N Preferred Stock were approximately $411.8 million after deducting underwriting commissions and offering expenses. Dividends </w:t>
      </w:r>
      <w:r>
        <w:rPr>
          <w:rFonts w:eastAsia="Times New Roman"/>
          <w:color w:val="000000"/>
          <w:sz w:val="20"/>
          <w:szCs w:val="20"/>
        </w:rPr>
        <w:t>on the Series N Preferred Stock are payable quarterly in arrears at a rate of 4.25% per annum.</w:t>
      </w:r>
    </w:p>
    <w:p w:rsidR="00000000" w:rsidRDefault="00AF3814">
      <w:pPr>
        <w:jc w:val="both"/>
        <w:divId w:val="2134400776"/>
        <w:rPr>
          <w:rFonts w:eastAsia="Times New Roman"/>
        </w:rPr>
      </w:pPr>
      <w:r>
        <w:rPr>
          <w:rFonts w:eastAsia="Times New Roman"/>
          <w:color w:val="000000"/>
          <w:sz w:val="20"/>
          <w:szCs w:val="20"/>
        </w:rPr>
        <w:t>On July 29, 2021, we announced that we will redeem all outstanding shares of our Fixed-to-Floating Rate Non-Cumulative Perpetual Preferred Stock, Series E, $0.01</w:t>
      </w:r>
      <w:r>
        <w:rPr>
          <w:rFonts w:eastAsia="Times New Roman"/>
          <w:color w:val="000000"/>
          <w:sz w:val="20"/>
          <w:szCs w:val="20"/>
        </w:rPr>
        <w:t xml:space="preserve"> par value per share on September 1, 2021. We expect this redemption will reduce net income available to common shareholders by approximately $12 million in the third quarter of 2021.</w:t>
      </w:r>
    </w:p>
    <w:p w:rsidR="00000000" w:rsidRDefault="00AF3814">
      <w:pPr>
        <w:jc w:val="both"/>
        <w:divId w:val="1589996712"/>
        <w:rPr>
          <w:rFonts w:eastAsia="Times New Roman"/>
        </w:rPr>
      </w:pPr>
    </w:p>
    <w:p w:rsidR="00000000" w:rsidRDefault="00AF3814">
      <w:pPr>
        <w:jc w:val="both"/>
        <w:divId w:val="249969696"/>
        <w:rPr>
          <w:rFonts w:eastAsia="Times New Roman"/>
        </w:rPr>
      </w:pPr>
    </w:p>
    <w:p w:rsidR="00000000" w:rsidRDefault="00AF3814">
      <w:pPr>
        <w:jc w:val="both"/>
        <w:divId w:val="659624634"/>
        <w:rPr>
          <w:rFonts w:eastAsia="Times New Roman"/>
        </w:rPr>
      </w:pPr>
    </w:p>
    <w:p w:rsidR="00000000" w:rsidRDefault="00AF3814">
      <w:pPr>
        <w:jc w:val="both"/>
        <w:divId w:val="179143962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11642183"/>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311642183"/>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311642183"/>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59" style="width:0;height:1.5pt" o:hralign="center" o:hrstd="t" o:hr="t" fillcolor="#a0a0a0" stroked="f"/>
        </w:pict>
      </w:r>
    </w:p>
    <w:p w:rsidR="00000000" w:rsidRDefault="00AF3814">
      <w:pPr>
        <w:ind w:hanging="360"/>
        <w:jc w:val="both"/>
        <w:divId w:val="935136364"/>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704788303"/>
        <w:rPr>
          <w:rFonts w:eastAsia="Times New Roman"/>
        </w:rPr>
      </w:pPr>
      <w:r>
        <w:rPr>
          <w:rFonts w:eastAsia="Times New Roman"/>
          <w:b/>
          <w:bCs/>
          <w:color w:val="000000"/>
          <w:sz w:val="20"/>
          <w:szCs w:val="20"/>
        </w:rPr>
        <w:t xml:space="preserve">Dividend Policy and Stock Purchases </w:t>
      </w:r>
    </w:p>
    <w:p w:rsidR="00000000" w:rsidRDefault="00AF3814">
      <w:pPr>
        <w:jc w:val="both"/>
        <w:divId w:val="1887596625"/>
        <w:rPr>
          <w:rFonts w:eastAsia="Times New Roman"/>
        </w:rPr>
      </w:pPr>
      <w:r>
        <w:rPr>
          <w:rFonts w:eastAsia="Times New Roman"/>
          <w:color w:val="000000"/>
          <w:sz w:val="20"/>
          <w:szCs w:val="20"/>
        </w:rPr>
        <w:t>In the first six months of 2021, we declared and paid common stock dividends of $367 million, or $0.80 per share, and preferred stock dividends of $121 million. The following table summarizes the dividends paid per share on our various preferred stock seri</w:t>
      </w:r>
      <w:r>
        <w:rPr>
          <w:rFonts w:eastAsia="Times New Roman"/>
          <w:color w:val="000000"/>
          <w:sz w:val="20"/>
          <w:szCs w:val="20"/>
        </w:rPr>
        <w:t>es in the first six months of 2021.</w:t>
      </w:r>
    </w:p>
    <w:p w:rsidR="00000000" w:rsidRDefault="00AF3814">
      <w:pPr>
        <w:divId w:val="2135908179"/>
        <w:rPr>
          <w:rFonts w:eastAsia="Times New Roman"/>
        </w:rPr>
      </w:pPr>
      <w:r>
        <w:rPr>
          <w:rFonts w:eastAsia="Times New Roman"/>
          <w:b/>
          <w:bCs/>
          <w:color w:val="000000"/>
          <w:sz w:val="18"/>
          <w:szCs w:val="18"/>
        </w:rPr>
        <w:t xml:space="preserve">Table 16: Preferred Stock Dividends Paid Per Share </w:t>
      </w:r>
    </w:p>
    <w:tbl>
      <w:tblPr>
        <w:tblW w:w="5000" w:type="pct"/>
        <w:tblCellMar>
          <w:top w:w="15" w:type="dxa"/>
          <w:left w:w="15" w:type="dxa"/>
          <w:bottom w:w="15" w:type="dxa"/>
          <w:right w:w="15" w:type="dxa"/>
        </w:tblCellMar>
        <w:tblLook w:val="04A0" w:firstRow="1" w:lastRow="0" w:firstColumn="1" w:lastColumn="0" w:noHBand="0" w:noVBand="1"/>
      </w:tblPr>
      <w:tblGrid>
        <w:gridCol w:w="63"/>
        <w:gridCol w:w="590"/>
        <w:gridCol w:w="36"/>
        <w:gridCol w:w="36"/>
        <w:gridCol w:w="36"/>
        <w:gridCol w:w="36"/>
        <w:gridCol w:w="54"/>
        <w:gridCol w:w="1343"/>
        <w:gridCol w:w="36"/>
        <w:gridCol w:w="36"/>
        <w:gridCol w:w="36"/>
        <w:gridCol w:w="36"/>
        <w:gridCol w:w="53"/>
        <w:gridCol w:w="1236"/>
        <w:gridCol w:w="37"/>
        <w:gridCol w:w="36"/>
        <w:gridCol w:w="36"/>
        <w:gridCol w:w="36"/>
        <w:gridCol w:w="54"/>
        <w:gridCol w:w="1343"/>
        <w:gridCol w:w="38"/>
        <w:gridCol w:w="36"/>
        <w:gridCol w:w="36"/>
        <w:gridCol w:w="36"/>
        <w:gridCol w:w="56"/>
        <w:gridCol w:w="1190"/>
        <w:gridCol w:w="37"/>
        <w:gridCol w:w="36"/>
        <w:gridCol w:w="36"/>
        <w:gridCol w:w="36"/>
        <w:gridCol w:w="68"/>
        <w:gridCol w:w="568"/>
        <w:gridCol w:w="37"/>
        <w:gridCol w:w="37"/>
        <w:gridCol w:w="36"/>
        <w:gridCol w:w="36"/>
        <w:gridCol w:w="68"/>
        <w:gridCol w:w="570"/>
        <w:gridCol w:w="36"/>
        <w:gridCol w:w="36"/>
        <w:gridCol w:w="36"/>
        <w:gridCol w:w="36"/>
        <w:gridCol w:w="36"/>
      </w:tblGrid>
      <w:tr w:rsidR="00000000">
        <w:trPr>
          <w:divId w:val="606813585"/>
        </w:trPr>
        <w:tc>
          <w:tcPr>
            <w:tcW w:w="50" w:type="pct"/>
            <w:vAlign w:val="center"/>
            <w:hideMark/>
          </w:tcPr>
          <w:p w:rsidR="00000000" w:rsidRDefault="00AF3814">
            <w:pPr>
              <w:rPr>
                <w:rFonts w:eastAsia="Times New Roman"/>
              </w:rPr>
            </w:pPr>
          </w:p>
        </w:tc>
        <w:tc>
          <w:tcPr>
            <w:tcW w:w="38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85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78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85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75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8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06813585"/>
          <w:trHeight w:val="280"/>
        </w:trPr>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Series</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Description</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Issuance Date</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 xml:space="preserve">Per Annum </w:t>
            </w:r>
            <w:r>
              <w:rPr>
                <w:rFonts w:eastAsia="Times New Roman"/>
                <w:b/>
                <w:bCs/>
                <w:color w:val="000000"/>
                <w:sz w:val="18"/>
                <w:szCs w:val="18"/>
              </w:rPr>
              <w:br/>
              <w:t>Dividend Rate</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Dividend Frequency</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06813585"/>
          <w:trHeight w:val="280"/>
        </w:trPr>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Q2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8"/>
                <w:szCs w:val="18"/>
              </w:rPr>
              <w:t>Q1</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06813585"/>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b/>
                <w:bCs/>
                <w:color w:val="000000"/>
                <w:sz w:val="20"/>
                <w:szCs w:val="20"/>
              </w:rPr>
              <w:t>Series 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Fixed-to-Floating Rate</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May 14, 2015</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 xml:space="preserve">5.550% through 5/31/2020; </w:t>
            </w:r>
            <w:r>
              <w:rPr>
                <w:rFonts w:eastAsia="Times New Roman"/>
                <w:color w:val="000000"/>
                <w:sz w:val="20"/>
                <w:szCs w:val="20"/>
              </w:rPr>
              <w:br/>
              <w:t>3-mo. LIBOR + 380 bps thereafter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Semi-Annually through 5/31/2020;</w:t>
            </w:r>
            <w:r>
              <w:rPr>
                <w:rFonts w:eastAsia="Times New Roman"/>
                <w:color w:val="000000"/>
                <w:sz w:val="20"/>
                <w:szCs w:val="20"/>
              </w:rPr>
              <w:br/>
              <w:t>Quarterly thereafter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20"/>
                <w:szCs w:val="20"/>
              </w:rPr>
              <w:t>$10.20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$10.06</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06813585"/>
        </w:trPr>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b/>
                <w:bCs/>
                <w:color w:val="000000"/>
                <w:sz w:val="20"/>
                <w:szCs w:val="20"/>
              </w:rPr>
              <w:t>Series 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5.200%</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July 29, 2016</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5.200%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20"/>
                <w:szCs w:val="20"/>
              </w:rPr>
              <w:t>13.00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13.00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06813585"/>
        </w:trPr>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b/>
                <w:bCs/>
                <w:color w:val="000000"/>
                <w:sz w:val="20"/>
                <w:szCs w:val="20"/>
              </w:rPr>
              <w:t>Series H</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 xml:space="preserve">6.000% </w:t>
            </w:r>
            <w:r>
              <w:rPr>
                <w:rFonts w:eastAsia="Times New Roman"/>
                <w:color w:val="000000"/>
                <w:sz w:val="20"/>
                <w:szCs w:val="20"/>
              </w:rPr>
              <w:br/>
            </w:r>
            <w:r>
              <w:rPr>
                <w:rFonts w:eastAsia="Times New Roman"/>
                <w:color w:val="000000"/>
                <w:sz w:val="20"/>
                <w:szCs w:val="20"/>
              </w:rPr>
              <w:t>Non-Cumulative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November 29, 2016</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6.000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20"/>
                <w:szCs w:val="20"/>
              </w:rPr>
              <w:t>15.00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15.00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06813585"/>
        </w:trPr>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b/>
                <w:bCs/>
                <w:color w:val="000000"/>
                <w:sz w:val="20"/>
                <w:szCs w:val="20"/>
              </w:rPr>
              <w:t>Series I</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 xml:space="preserve">5.000% </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September 11, 2019</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5.000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20"/>
                <w:szCs w:val="20"/>
              </w:rPr>
              <w:t>12.50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12.50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06813585"/>
        </w:trPr>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b/>
                <w:bCs/>
                <w:color w:val="000000"/>
                <w:sz w:val="20"/>
                <w:szCs w:val="20"/>
              </w:rPr>
              <w:t>Series J</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 xml:space="preserve">4.800% </w:t>
            </w:r>
            <w:r>
              <w:rPr>
                <w:rFonts w:eastAsia="Times New Roman"/>
                <w:color w:val="000000"/>
                <w:sz w:val="20"/>
                <w:szCs w:val="20"/>
              </w:rPr>
              <w:br/>
            </w:r>
            <w:r>
              <w:rPr>
                <w:rFonts w:eastAsia="Times New Roman"/>
                <w:color w:val="000000"/>
                <w:sz w:val="20"/>
                <w:szCs w:val="20"/>
              </w:rPr>
              <w:t>Non-Cumulative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January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4.800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20"/>
                <w:szCs w:val="20"/>
              </w:rPr>
              <w:t>12.00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12.00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06813585"/>
        </w:trPr>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b/>
                <w:bCs/>
                <w:color w:val="000000"/>
                <w:sz w:val="20"/>
                <w:szCs w:val="20"/>
              </w:rPr>
              <w:t>Series 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4.625%</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September 17,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4.625</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20"/>
                <w:szCs w:val="20"/>
              </w:rPr>
              <w:t>11.56</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11.56</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06813585"/>
        </w:trPr>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b/>
                <w:bCs/>
                <w:color w:val="000000"/>
                <w:sz w:val="20"/>
                <w:szCs w:val="20"/>
              </w:rPr>
              <w:t>Series 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4.375%</w:t>
            </w:r>
            <w:r>
              <w:rPr>
                <w:rFonts w:eastAsia="Times New Roman"/>
                <w:color w:val="000000"/>
                <w:sz w:val="20"/>
                <w:szCs w:val="20"/>
              </w:rPr>
              <w:br/>
            </w:r>
            <w:r>
              <w:rPr>
                <w:rFonts w:eastAsia="Times New Roman"/>
                <w:color w:val="000000"/>
                <w:sz w:val="20"/>
                <w:szCs w:val="20"/>
              </w:rPr>
              <w:t>Non-Cumulative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May 4,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4.375</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06813585"/>
        </w:trPr>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b/>
                <w:bCs/>
                <w:color w:val="000000"/>
                <w:sz w:val="20"/>
                <w:szCs w:val="20"/>
              </w:rPr>
              <w:t>Series M</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3.950% Fixed Rate Reset</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June 10,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3.950% through 8/31/2026; resets 9/1/2026 and every subsequent 5 year anniversary at 5-Year Treasury +3.157%</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20"/>
                <w:szCs w:val="20"/>
              </w:rPr>
              <w:t>—</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jc w:val="both"/>
        <w:divId w:val="2086101469"/>
        <w:rPr>
          <w:rFonts w:eastAsia="Times New Roman"/>
        </w:rPr>
      </w:pPr>
      <w:r>
        <w:rPr>
          <w:rFonts w:eastAsia="Times New Roman"/>
          <w:color w:val="000000"/>
          <w:sz w:val="20"/>
          <w:szCs w:val="20"/>
        </w:rPr>
        <w:t>The declaration and payment of dividends to our stockholders, as well as the amount thereof, are subject to the discretion of our Board of Directors and depend upon our results of operations, financial condition, capital leve</w:t>
      </w:r>
      <w:r>
        <w:rPr>
          <w:rFonts w:eastAsia="Times New Roman"/>
          <w:color w:val="000000"/>
          <w:sz w:val="20"/>
          <w:szCs w:val="20"/>
        </w:rPr>
        <w:t>ls, cash requirements, future prospects, regulatory requirements and other factors deemed relevant by the Board of Directors. As a BHC, our ability to pay dividends is largely dependent upon the receipt of dividends or other payments from our subsidiaries.</w:t>
      </w:r>
      <w:r>
        <w:rPr>
          <w:rFonts w:eastAsia="Times New Roman"/>
          <w:color w:val="000000"/>
          <w:sz w:val="20"/>
          <w:szCs w:val="20"/>
        </w:rPr>
        <w:t xml:space="preserve"> The Banks are subject to regulatory restrictions that limit their ability to transfer funds to our BHC. As of June 30, 2021, funds available for dividend payments from COBNA and CONA were </w:t>
      </w:r>
      <w:r>
        <w:rPr>
          <w:rFonts w:eastAsia="Times New Roman"/>
          <w:color w:val="000000"/>
          <w:sz w:val="20"/>
          <w:szCs w:val="20"/>
          <w:shd w:val="clear" w:color="auto" w:fill="FFFFFF"/>
        </w:rPr>
        <w:t>$2.1 billion</w:t>
      </w:r>
      <w:r>
        <w:rPr>
          <w:rFonts w:eastAsia="Times New Roman"/>
          <w:color w:val="000000"/>
          <w:sz w:val="20"/>
          <w:szCs w:val="20"/>
        </w:rPr>
        <w:t xml:space="preserve"> and </w:t>
      </w:r>
      <w:r>
        <w:rPr>
          <w:rFonts w:eastAsia="Times New Roman"/>
          <w:color w:val="000000"/>
          <w:sz w:val="20"/>
          <w:szCs w:val="20"/>
          <w:shd w:val="clear" w:color="auto" w:fill="FFFFFF"/>
        </w:rPr>
        <w:t>$1.5 billion</w:t>
      </w:r>
      <w:r>
        <w:rPr>
          <w:rFonts w:eastAsia="Times New Roman"/>
          <w:color w:val="000000"/>
          <w:sz w:val="20"/>
          <w:szCs w:val="20"/>
        </w:rPr>
        <w:t xml:space="preserve">, respectively. </w:t>
      </w:r>
      <w:r>
        <w:rPr>
          <w:rFonts w:eastAsia="Times New Roman"/>
          <w:color w:val="000000"/>
          <w:sz w:val="20"/>
          <w:szCs w:val="20"/>
          <w:shd w:val="clear" w:color="auto" w:fill="FFFFFF"/>
        </w:rPr>
        <w:t>There can be no assura</w:t>
      </w:r>
      <w:r>
        <w:rPr>
          <w:rFonts w:eastAsia="Times New Roman"/>
          <w:color w:val="000000"/>
          <w:sz w:val="20"/>
          <w:szCs w:val="20"/>
          <w:shd w:val="clear" w:color="auto" w:fill="FFFFFF"/>
        </w:rPr>
        <w:t>nce that we will declare and pay any dividends to stockholders.</w:t>
      </w:r>
    </w:p>
    <w:p w:rsidR="00000000" w:rsidRDefault="00AF3814">
      <w:pPr>
        <w:jc w:val="both"/>
        <w:divId w:val="67726708"/>
        <w:rPr>
          <w:rFonts w:eastAsia="Times New Roman"/>
        </w:rPr>
      </w:pPr>
      <w:r>
        <w:rPr>
          <w:rFonts w:eastAsia="Times New Roman"/>
          <w:color w:val="000000"/>
          <w:sz w:val="20"/>
          <w:szCs w:val="20"/>
        </w:rPr>
        <w:t>On January 25, 2021, our Board of Directors authorized the repurchase of up to $7.5 billion of shares of our common stock. We repurchased approximately $1.7 billion of shares of our common sto</w:t>
      </w:r>
      <w:r>
        <w:rPr>
          <w:rFonts w:eastAsia="Times New Roman"/>
          <w:color w:val="000000"/>
          <w:sz w:val="20"/>
          <w:szCs w:val="20"/>
        </w:rPr>
        <w:t xml:space="preserve">ck during the second quarter of 2021 and $2.2 billion during the first six months of 2021, consistent with the Federal Reserve’s temporary capital distribution restrictions in place during the first six months of 2021. </w:t>
      </w:r>
    </w:p>
    <w:p w:rsidR="00000000" w:rsidRDefault="00AF3814">
      <w:pPr>
        <w:jc w:val="both"/>
        <w:divId w:val="575865182"/>
        <w:rPr>
          <w:rFonts w:eastAsia="Times New Roman"/>
        </w:rPr>
      </w:pPr>
      <w:r>
        <w:rPr>
          <w:rFonts w:eastAsia="Times New Roman"/>
          <w:color w:val="000000"/>
          <w:sz w:val="20"/>
          <w:szCs w:val="20"/>
        </w:rPr>
        <w:t>The timing and exact amount of any f</w:t>
      </w:r>
      <w:r>
        <w:rPr>
          <w:rFonts w:eastAsia="Times New Roman"/>
          <w:color w:val="000000"/>
          <w:sz w:val="20"/>
          <w:szCs w:val="20"/>
        </w:rPr>
        <w:t>uture common stock repurchases will depend on various factors, including regulatory approval, market conditions, opportunities for growth, our capital position and the amount of retained earnings. Our stock repurchase program does not include specific pric</w:t>
      </w:r>
      <w:r>
        <w:rPr>
          <w:rFonts w:eastAsia="Times New Roman"/>
          <w:color w:val="000000"/>
          <w:sz w:val="20"/>
          <w:szCs w:val="20"/>
        </w:rPr>
        <w:t>e targets, may be executed through open market purchases or privately negotiated transactions, including utilizing Rule 10b5-1 programs, and may be suspended at any time. For additional information on dividends and stock repurchases, see “MD&amp;A—Capital Mana</w:t>
      </w:r>
      <w:r>
        <w:rPr>
          <w:rFonts w:eastAsia="Times New Roman"/>
          <w:color w:val="000000"/>
          <w:sz w:val="20"/>
          <w:szCs w:val="20"/>
        </w:rPr>
        <w:t>gement—Capital Planning and Regulatory Stress Testing” and “Part I—Item 1. Business—Supervision and Regulation—Dividends, Stock Repurchases and Transfers of Funds”in our 2020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10762487"/>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710762487"/>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10762487"/>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60" style="width:0;height:1.5pt" o:hralign="center" o:hrstd="t" o:hr="t" fillcolor="#a0a0a0" stroked="f"/>
        </w:pict>
      </w:r>
    </w:p>
    <w:p w:rsidR="00000000" w:rsidRDefault="00AF3814">
      <w:pPr>
        <w:ind w:hanging="360"/>
        <w:jc w:val="both"/>
        <w:divId w:val="798840633"/>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100563360"/>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00563360"/>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20"/>
                <w:szCs w:val="20"/>
              </w:rPr>
              <w:t>RISK MANAGEMENT</w:t>
            </w:r>
          </w:p>
        </w:tc>
      </w:tr>
    </w:tbl>
    <w:p w:rsidR="00000000" w:rsidRDefault="00AF3814">
      <w:pPr>
        <w:divId w:val="1911306026"/>
        <w:rPr>
          <w:rFonts w:eastAsia="Times New Roman"/>
        </w:rPr>
      </w:pPr>
      <w:r>
        <w:rPr>
          <w:rFonts w:eastAsia="Times New Roman"/>
          <w:b/>
          <w:bCs/>
          <w:color w:val="000000"/>
          <w:sz w:val="20"/>
          <w:szCs w:val="20"/>
        </w:rPr>
        <w:t>Risk Management Framework</w:t>
      </w:r>
    </w:p>
    <w:p w:rsidR="00000000" w:rsidRDefault="00AF3814">
      <w:pPr>
        <w:jc w:val="both"/>
        <w:divId w:val="1440904401"/>
        <w:rPr>
          <w:rFonts w:eastAsia="Times New Roman"/>
        </w:rPr>
      </w:pPr>
      <w:r>
        <w:rPr>
          <w:rFonts w:eastAsia="Times New Roman"/>
          <w:color w:val="000000"/>
          <w:sz w:val="20"/>
          <w:szCs w:val="20"/>
        </w:rPr>
        <w:t>Our Risk Management Framework (the “Framework”</w:t>
      </w:r>
      <w:r>
        <w:rPr>
          <w:rFonts w:eastAsia="Times New Roman"/>
          <w:color w:val="000000"/>
          <w:sz w:val="20"/>
          <w:szCs w:val="20"/>
        </w:rPr>
        <w:t>) sets consistent expectations for risk management across the Company. It also sets expectations for our “Three Lines of Defense” model, which defines the roles, responsibilities and accountabilities for taking and managing risk across the Company. Account</w:t>
      </w:r>
      <w:r>
        <w:rPr>
          <w:rFonts w:eastAsia="Times New Roman"/>
          <w:color w:val="000000"/>
          <w:sz w:val="20"/>
          <w:szCs w:val="20"/>
        </w:rPr>
        <w:t xml:space="preserve">ability for overseeing an effective Framework resides with our Board of Directors either directly or through its committees. </w:t>
      </w:r>
    </w:p>
    <w:p w:rsidR="00000000" w:rsidRDefault="00AF3814">
      <w:pPr>
        <w:jc w:val="both"/>
        <w:divId w:val="252323790"/>
        <w:rPr>
          <w:rFonts w:eastAsia="Times New Roman"/>
        </w:rPr>
      </w:pPr>
      <w:r>
        <w:rPr>
          <w:rFonts w:eastAsia="Times New Roman"/>
          <w:color w:val="000000"/>
          <w:sz w:val="20"/>
          <w:szCs w:val="20"/>
        </w:rPr>
        <w:t>The “First Line of Defense” consists of any line of business or function that is accountable for risk taking and is responsible fo</w:t>
      </w:r>
      <w:r>
        <w:rPr>
          <w:rFonts w:eastAsia="Times New Roman"/>
          <w:color w:val="000000"/>
          <w:sz w:val="20"/>
          <w:szCs w:val="20"/>
        </w:rPr>
        <w:t xml:space="preserve">r: (i) engaging in activities designed to generate revenue or reduce expenses; (ii) providing operational support or servicing to any business function for the delivery of products or services to customers; or (iii) providing technology services in direct </w:t>
      </w:r>
      <w:r>
        <w:rPr>
          <w:rFonts w:eastAsia="Times New Roman"/>
          <w:color w:val="000000"/>
          <w:sz w:val="20"/>
          <w:szCs w:val="20"/>
        </w:rPr>
        <w:t>support of first line business areas. Each line of business or first line function is responsible for managing the risks associated with their activities, including identifying, assessing, measuring, monitoring, controlling and reporting the risks within i</w:t>
      </w:r>
      <w:r>
        <w:rPr>
          <w:rFonts w:eastAsia="Times New Roman"/>
          <w:color w:val="000000"/>
          <w:sz w:val="20"/>
          <w:szCs w:val="20"/>
        </w:rPr>
        <w:t>ts business activities, consistent with the risk framework. The “Second Line of Defense” consists of two types of functions: Independent Risk Management (“IRM”) and Support Functions. IRM oversees risk-taking activities and assesses risks and issues indepe</w:t>
      </w:r>
      <w:r>
        <w:rPr>
          <w:rFonts w:eastAsia="Times New Roman"/>
          <w:color w:val="000000"/>
          <w:sz w:val="20"/>
          <w:szCs w:val="20"/>
        </w:rPr>
        <w:t xml:space="preserve">ndent from the first line of defense. Support Functions are centers of specialized expertise (e.g., Human Resources, Accounting, Legal) that provide support services to the Company. The “Third Line of Defense” is comprised of the Internal Audit and Credit </w:t>
      </w:r>
      <w:r>
        <w:rPr>
          <w:rFonts w:eastAsia="Times New Roman"/>
          <w:color w:val="000000"/>
          <w:sz w:val="20"/>
          <w:szCs w:val="20"/>
        </w:rPr>
        <w:t>Review functions. The third line provides independent and objective assurance to senior management and to the Board of Directors that the first and second lines of defense have systems and governance processes which are well-designed and working as intende</w:t>
      </w:r>
      <w:r>
        <w:rPr>
          <w:rFonts w:eastAsia="Times New Roman"/>
          <w:color w:val="000000"/>
          <w:sz w:val="20"/>
          <w:szCs w:val="20"/>
        </w:rPr>
        <w:t xml:space="preserve">d, and that the Framework is appropriate for our size, complexity and risk profile. </w:t>
      </w:r>
    </w:p>
    <w:p w:rsidR="00000000" w:rsidRDefault="00AF3814">
      <w:pPr>
        <w:jc w:val="both"/>
        <w:divId w:val="800073415"/>
        <w:rPr>
          <w:rFonts w:eastAsia="Times New Roman"/>
        </w:rPr>
      </w:pPr>
      <w:r>
        <w:rPr>
          <w:rFonts w:eastAsia="Times New Roman"/>
          <w:color w:val="000000"/>
          <w:sz w:val="20"/>
          <w:szCs w:val="20"/>
        </w:rPr>
        <w:t xml:space="preserve">Our Framework consists of the following nine elements: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7"/>
        <w:gridCol w:w="37"/>
        <w:gridCol w:w="37"/>
        <w:gridCol w:w="37"/>
        <w:gridCol w:w="46"/>
        <w:gridCol w:w="1903"/>
        <w:gridCol w:w="36"/>
        <w:gridCol w:w="36"/>
        <w:gridCol w:w="36"/>
        <w:gridCol w:w="36"/>
        <w:gridCol w:w="40"/>
        <w:gridCol w:w="1912"/>
        <w:gridCol w:w="36"/>
        <w:gridCol w:w="36"/>
        <w:gridCol w:w="36"/>
        <w:gridCol w:w="36"/>
        <w:gridCol w:w="43"/>
        <w:gridCol w:w="1909"/>
        <w:gridCol w:w="36"/>
      </w:tblGrid>
      <w:tr w:rsidR="00000000">
        <w:trPr>
          <w:divId w:val="1048644979"/>
        </w:trPr>
        <w:tc>
          <w:tcPr>
            <w:tcW w:w="50" w:type="pct"/>
            <w:vAlign w:val="center"/>
            <w:hideMark/>
          </w:tcPr>
          <w:p w:rsidR="00000000" w:rsidRDefault="00AF3814">
            <w:pPr>
              <w:jc w:val="both"/>
              <w:rPr>
                <w:rFonts w:eastAsia="Times New Roman"/>
              </w:rPr>
            </w:pPr>
          </w:p>
        </w:tc>
        <w:tc>
          <w:tcPr>
            <w:tcW w:w="116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16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16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16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048644979"/>
        </w:trPr>
        <w:tc>
          <w:tcPr>
            <w:tcW w:w="0" w:type="auto"/>
            <w:gridSpan w:val="21"/>
            <w:shd w:val="clear" w:color="auto" w:fill="004977"/>
            <w:tcMar>
              <w:top w:w="30" w:type="dxa"/>
              <w:left w:w="20" w:type="dxa"/>
              <w:bottom w:w="30" w:type="dxa"/>
              <w:right w:w="20" w:type="dxa"/>
            </w:tcMar>
            <w:vAlign w:val="center"/>
            <w:hideMark/>
          </w:tcPr>
          <w:p w:rsidR="00000000" w:rsidRDefault="00AF3814">
            <w:pPr>
              <w:spacing w:after="100"/>
              <w:jc w:val="center"/>
              <w:rPr>
                <w:rFonts w:eastAsia="Times New Roman"/>
              </w:rPr>
            </w:pPr>
          </w:p>
          <w:p w:rsidR="00000000" w:rsidRDefault="00AF3814">
            <w:pPr>
              <w:spacing w:after="100"/>
              <w:jc w:val="center"/>
              <w:rPr>
                <w:rFonts w:eastAsia="Times New Roman"/>
              </w:rPr>
            </w:pPr>
            <w:r>
              <w:rPr>
                <w:rFonts w:eastAsia="Times New Roman"/>
                <w:b/>
                <w:bCs/>
                <w:color w:val="FFFFFF"/>
                <w:sz w:val="18"/>
                <w:szCs w:val="18"/>
              </w:rPr>
              <w:t> Governance and Accountability</w:t>
            </w:r>
          </w:p>
          <w:p w:rsidR="00000000" w:rsidRDefault="00AF3814">
            <w:pPr>
              <w:spacing w:after="100"/>
              <w:jc w:val="center"/>
              <w:rPr>
                <w:rFonts w:eastAsia="Times New Roman"/>
              </w:rPr>
            </w:pPr>
          </w:p>
        </w:tc>
      </w:tr>
      <w:tr w:rsidR="00000000">
        <w:trPr>
          <w:divId w:val="1048644979"/>
          <w:trHeight w:val="60"/>
        </w:trPr>
        <w:tc>
          <w:tcPr>
            <w:tcW w:w="0" w:type="auto"/>
            <w:gridSpan w:val="21"/>
            <w:tcMar>
              <w:top w:w="0" w:type="dxa"/>
              <w:left w:w="20" w:type="dxa"/>
              <w:bottom w:w="0" w:type="dxa"/>
              <w:right w:w="20" w:type="dxa"/>
            </w:tcMar>
            <w:vAlign w:val="center"/>
            <w:hideMark/>
          </w:tcPr>
          <w:p w:rsidR="00000000" w:rsidRDefault="00AF3814">
            <w:pPr>
              <w:spacing w:after="100"/>
              <w:jc w:val="center"/>
              <w:rPr>
                <w:rFonts w:eastAsia="Times New Roman"/>
              </w:rPr>
            </w:pPr>
          </w:p>
        </w:tc>
      </w:tr>
      <w:tr w:rsidR="00000000">
        <w:trPr>
          <w:divId w:val="1048644979"/>
        </w:trPr>
        <w:tc>
          <w:tcPr>
            <w:tcW w:w="0" w:type="auto"/>
            <w:gridSpan w:val="21"/>
            <w:shd w:val="clear" w:color="auto" w:fill="004977"/>
            <w:tcMar>
              <w:top w:w="30" w:type="dxa"/>
              <w:left w:w="20" w:type="dxa"/>
              <w:bottom w:w="30" w:type="dxa"/>
              <w:right w:w="20" w:type="dxa"/>
            </w:tcMar>
            <w:vAlign w:val="center"/>
            <w:hideMark/>
          </w:tcPr>
          <w:p w:rsidR="00000000" w:rsidRDefault="00AF3814">
            <w:pPr>
              <w:spacing w:after="100"/>
              <w:jc w:val="center"/>
              <w:rPr>
                <w:rFonts w:eastAsia="Times New Roman"/>
              </w:rPr>
            </w:pPr>
          </w:p>
          <w:p w:rsidR="00000000" w:rsidRDefault="00AF3814">
            <w:pPr>
              <w:spacing w:after="100"/>
              <w:jc w:val="center"/>
              <w:rPr>
                <w:rFonts w:eastAsia="Times New Roman"/>
              </w:rPr>
            </w:pPr>
            <w:r>
              <w:rPr>
                <w:rFonts w:eastAsia="Times New Roman"/>
                <w:b/>
                <w:bCs/>
                <w:color w:val="FFFFFF"/>
                <w:sz w:val="18"/>
                <w:szCs w:val="18"/>
              </w:rPr>
              <w:t>Strategy and Risk Alignment</w:t>
            </w:r>
          </w:p>
          <w:p w:rsidR="00000000" w:rsidRDefault="00AF3814">
            <w:pPr>
              <w:spacing w:after="100"/>
              <w:jc w:val="center"/>
              <w:rPr>
                <w:rFonts w:eastAsia="Times New Roman"/>
              </w:rPr>
            </w:pPr>
          </w:p>
        </w:tc>
      </w:tr>
      <w:tr w:rsidR="00000000">
        <w:trPr>
          <w:divId w:val="1048644979"/>
          <w:trHeight w:val="6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048644979"/>
        </w:trPr>
        <w:tc>
          <w:tcPr>
            <w:tcW w:w="0" w:type="auto"/>
            <w:gridSpan w:val="3"/>
            <w:shd w:val="clear" w:color="auto" w:fill="004977"/>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sz w:val="18"/>
                <w:szCs w:val="18"/>
              </w:rPr>
              <w:br/>
            </w:r>
            <w:r>
              <w:rPr>
                <w:rFonts w:eastAsia="Times New Roman"/>
                <w:b/>
                <w:bCs/>
                <w:color w:val="FFFFFF"/>
                <w:sz w:val="18"/>
                <w:szCs w:val="18"/>
              </w:rPr>
              <w:t>Risk Identification</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AF3814">
            <w:pPr>
              <w:spacing w:after="100"/>
              <w:jc w:val="center"/>
              <w:rPr>
                <w:rFonts w:eastAsia="Times New Roman"/>
              </w:rPr>
            </w:pPr>
          </w:p>
          <w:p w:rsidR="00000000" w:rsidRDefault="00AF3814">
            <w:pPr>
              <w:spacing w:after="100"/>
              <w:jc w:val="center"/>
              <w:rPr>
                <w:rFonts w:eastAsia="Times New Roman"/>
              </w:rPr>
            </w:pPr>
            <w:r>
              <w:rPr>
                <w:rFonts w:eastAsia="Times New Roman"/>
                <w:b/>
                <w:bCs/>
                <w:color w:val="FFFFFF"/>
                <w:sz w:val="18"/>
                <w:szCs w:val="18"/>
              </w:rPr>
              <w:t>Assessment, Measurement</w:t>
            </w:r>
          </w:p>
          <w:p w:rsidR="00000000" w:rsidRDefault="00AF3814">
            <w:pPr>
              <w:spacing w:after="100"/>
              <w:jc w:val="center"/>
              <w:rPr>
                <w:rFonts w:eastAsia="Times New Roman"/>
              </w:rPr>
            </w:pPr>
            <w:r>
              <w:rPr>
                <w:rFonts w:eastAsia="Times New Roman"/>
                <w:b/>
                <w:bCs/>
                <w:color w:val="FFFFFF"/>
                <w:sz w:val="18"/>
                <w:szCs w:val="18"/>
              </w:rPr>
              <w:t>and Response</w:t>
            </w:r>
          </w:p>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AF3814">
            <w:pPr>
              <w:spacing w:after="100"/>
              <w:jc w:val="center"/>
              <w:rPr>
                <w:rFonts w:eastAsia="Times New Roman"/>
              </w:rPr>
            </w:pPr>
          </w:p>
          <w:p w:rsidR="00000000" w:rsidRDefault="00AF3814">
            <w:pPr>
              <w:spacing w:after="100"/>
              <w:jc w:val="center"/>
              <w:rPr>
                <w:rFonts w:eastAsia="Times New Roman"/>
              </w:rPr>
            </w:pPr>
            <w:r>
              <w:rPr>
                <w:rFonts w:eastAsia="Times New Roman"/>
                <w:b/>
                <w:bCs/>
                <w:color w:val="FFFFFF"/>
                <w:sz w:val="18"/>
                <w:szCs w:val="18"/>
              </w:rPr>
              <w:t>Monitoring and Testing</w:t>
            </w:r>
          </w:p>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AF3814">
            <w:pPr>
              <w:spacing w:after="100"/>
              <w:jc w:val="center"/>
              <w:rPr>
                <w:rFonts w:eastAsia="Times New Roman"/>
              </w:rPr>
            </w:pPr>
          </w:p>
          <w:p w:rsidR="00000000" w:rsidRDefault="00AF3814">
            <w:pPr>
              <w:spacing w:after="100"/>
              <w:jc w:val="center"/>
              <w:rPr>
                <w:rFonts w:eastAsia="Times New Roman"/>
              </w:rPr>
            </w:pPr>
            <w:r>
              <w:rPr>
                <w:rFonts w:eastAsia="Times New Roman"/>
                <w:b/>
                <w:bCs/>
                <w:color w:val="FFFFFF"/>
                <w:sz w:val="18"/>
                <w:szCs w:val="18"/>
              </w:rPr>
              <w:t>Aggregation, Reporting and Escalation</w:t>
            </w:r>
          </w:p>
          <w:p w:rsidR="00000000" w:rsidRDefault="00AF3814">
            <w:pPr>
              <w:spacing w:after="100"/>
              <w:jc w:val="center"/>
              <w:rPr>
                <w:rFonts w:eastAsia="Times New Roman"/>
              </w:rPr>
            </w:pPr>
          </w:p>
        </w:tc>
      </w:tr>
      <w:tr w:rsidR="00000000">
        <w:trPr>
          <w:divId w:val="1048644979"/>
          <w:trHeight w:val="6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048644979"/>
        </w:trPr>
        <w:tc>
          <w:tcPr>
            <w:tcW w:w="0" w:type="auto"/>
            <w:gridSpan w:val="21"/>
            <w:shd w:val="clear" w:color="auto" w:fill="004977"/>
            <w:tcMar>
              <w:top w:w="30" w:type="dxa"/>
              <w:left w:w="20" w:type="dxa"/>
              <w:bottom w:w="30" w:type="dxa"/>
              <w:right w:w="20" w:type="dxa"/>
            </w:tcMar>
            <w:vAlign w:val="center"/>
            <w:hideMark/>
          </w:tcPr>
          <w:p w:rsidR="00000000" w:rsidRDefault="00AF3814">
            <w:pPr>
              <w:spacing w:after="100"/>
              <w:jc w:val="center"/>
              <w:rPr>
                <w:rFonts w:eastAsia="Times New Roman"/>
              </w:rPr>
            </w:pPr>
          </w:p>
          <w:p w:rsidR="00000000" w:rsidRDefault="00AF3814">
            <w:pPr>
              <w:spacing w:after="100"/>
              <w:jc w:val="center"/>
              <w:rPr>
                <w:rFonts w:eastAsia="Times New Roman"/>
              </w:rPr>
            </w:pPr>
            <w:r>
              <w:rPr>
                <w:rFonts w:eastAsia="Times New Roman"/>
                <w:b/>
                <w:bCs/>
                <w:color w:val="FFFFFF"/>
                <w:sz w:val="18"/>
                <w:szCs w:val="18"/>
              </w:rPr>
              <w:t>Capital and Liquidity Management (including Stress Testing)</w:t>
            </w:r>
          </w:p>
          <w:p w:rsidR="00000000" w:rsidRDefault="00AF3814">
            <w:pPr>
              <w:spacing w:after="100"/>
              <w:jc w:val="center"/>
              <w:rPr>
                <w:rFonts w:eastAsia="Times New Roman"/>
              </w:rPr>
            </w:pPr>
          </w:p>
        </w:tc>
      </w:tr>
      <w:tr w:rsidR="00000000">
        <w:trPr>
          <w:divId w:val="1048644979"/>
          <w:trHeight w:val="60"/>
        </w:trPr>
        <w:tc>
          <w:tcPr>
            <w:tcW w:w="0" w:type="auto"/>
            <w:gridSpan w:val="21"/>
            <w:tcMar>
              <w:top w:w="0" w:type="dxa"/>
              <w:left w:w="20" w:type="dxa"/>
              <w:bottom w:w="0" w:type="dxa"/>
              <w:right w:w="20" w:type="dxa"/>
            </w:tcMar>
            <w:vAlign w:val="center"/>
            <w:hideMark/>
          </w:tcPr>
          <w:p w:rsidR="00000000" w:rsidRDefault="00AF3814">
            <w:pPr>
              <w:spacing w:after="100"/>
              <w:jc w:val="center"/>
              <w:rPr>
                <w:rFonts w:eastAsia="Times New Roman"/>
              </w:rPr>
            </w:pPr>
          </w:p>
        </w:tc>
      </w:tr>
      <w:tr w:rsidR="00000000">
        <w:trPr>
          <w:divId w:val="1048644979"/>
        </w:trPr>
        <w:tc>
          <w:tcPr>
            <w:tcW w:w="0" w:type="auto"/>
            <w:gridSpan w:val="21"/>
            <w:shd w:val="clear" w:color="auto" w:fill="004977"/>
            <w:tcMar>
              <w:top w:w="30" w:type="dxa"/>
              <w:left w:w="20" w:type="dxa"/>
              <w:bottom w:w="30" w:type="dxa"/>
              <w:right w:w="20" w:type="dxa"/>
            </w:tcMar>
            <w:vAlign w:val="center"/>
            <w:hideMark/>
          </w:tcPr>
          <w:p w:rsidR="00000000" w:rsidRDefault="00AF3814">
            <w:pPr>
              <w:spacing w:after="100"/>
              <w:jc w:val="center"/>
              <w:rPr>
                <w:rFonts w:eastAsia="Times New Roman"/>
              </w:rPr>
            </w:pPr>
          </w:p>
          <w:p w:rsidR="00000000" w:rsidRDefault="00AF3814">
            <w:pPr>
              <w:spacing w:after="100"/>
              <w:jc w:val="center"/>
              <w:rPr>
                <w:rFonts w:eastAsia="Times New Roman"/>
              </w:rPr>
            </w:pPr>
            <w:r>
              <w:rPr>
                <w:rFonts w:eastAsia="Times New Roman"/>
                <w:b/>
                <w:bCs/>
                <w:color w:val="FFFFFF"/>
                <w:sz w:val="18"/>
                <w:szCs w:val="18"/>
              </w:rPr>
              <w:t>Risk Data and Enabling Technology</w:t>
            </w:r>
          </w:p>
          <w:p w:rsidR="00000000" w:rsidRDefault="00AF3814">
            <w:pPr>
              <w:spacing w:after="100"/>
              <w:jc w:val="center"/>
              <w:rPr>
                <w:rFonts w:eastAsia="Times New Roman"/>
              </w:rPr>
            </w:pPr>
          </w:p>
        </w:tc>
      </w:tr>
      <w:tr w:rsidR="00000000">
        <w:trPr>
          <w:divId w:val="1048644979"/>
          <w:trHeight w:val="60"/>
        </w:trPr>
        <w:tc>
          <w:tcPr>
            <w:tcW w:w="0" w:type="auto"/>
            <w:gridSpan w:val="21"/>
            <w:tcMar>
              <w:top w:w="0" w:type="dxa"/>
              <w:left w:w="20" w:type="dxa"/>
              <w:bottom w:w="0" w:type="dxa"/>
              <w:right w:w="20" w:type="dxa"/>
            </w:tcMar>
            <w:vAlign w:val="center"/>
            <w:hideMark/>
          </w:tcPr>
          <w:p w:rsidR="00000000" w:rsidRDefault="00AF3814">
            <w:pPr>
              <w:spacing w:after="100"/>
              <w:jc w:val="center"/>
              <w:rPr>
                <w:rFonts w:eastAsia="Times New Roman"/>
              </w:rPr>
            </w:pPr>
          </w:p>
        </w:tc>
      </w:tr>
      <w:tr w:rsidR="00000000">
        <w:trPr>
          <w:divId w:val="1048644979"/>
        </w:trPr>
        <w:tc>
          <w:tcPr>
            <w:tcW w:w="0" w:type="auto"/>
            <w:gridSpan w:val="21"/>
            <w:shd w:val="clear" w:color="auto" w:fill="004977"/>
            <w:tcMar>
              <w:top w:w="30" w:type="dxa"/>
              <w:left w:w="20" w:type="dxa"/>
              <w:bottom w:w="30" w:type="dxa"/>
              <w:right w:w="20" w:type="dxa"/>
            </w:tcMar>
            <w:vAlign w:val="center"/>
            <w:hideMark/>
          </w:tcPr>
          <w:p w:rsidR="00000000" w:rsidRDefault="00AF3814">
            <w:pPr>
              <w:spacing w:after="100"/>
              <w:jc w:val="center"/>
              <w:rPr>
                <w:rFonts w:eastAsia="Times New Roman"/>
              </w:rPr>
            </w:pPr>
          </w:p>
          <w:p w:rsidR="00000000" w:rsidRDefault="00AF3814">
            <w:pPr>
              <w:spacing w:after="100"/>
              <w:jc w:val="center"/>
              <w:rPr>
                <w:rFonts w:eastAsia="Times New Roman"/>
              </w:rPr>
            </w:pPr>
            <w:r>
              <w:rPr>
                <w:rFonts w:eastAsia="Times New Roman"/>
                <w:b/>
                <w:bCs/>
                <w:color w:val="FFFFFF"/>
                <w:sz w:val="18"/>
                <w:szCs w:val="18"/>
              </w:rPr>
              <w:t>Culture and Talent Management</w:t>
            </w:r>
          </w:p>
          <w:p w:rsidR="00000000" w:rsidRDefault="00AF3814">
            <w:pPr>
              <w:spacing w:after="100"/>
              <w:jc w:val="center"/>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61" style="width:0;height:1.5pt" o:hralign="center" o:hrstd="t" o:hr="t" fillcolor="#a0a0a0" stroked="f"/>
        </w:pict>
      </w:r>
    </w:p>
    <w:p w:rsidR="00000000" w:rsidRDefault="00AF3814">
      <w:pPr>
        <w:ind w:hanging="360"/>
        <w:jc w:val="both"/>
        <w:divId w:val="89531908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2009363388"/>
        <w:rPr>
          <w:rFonts w:eastAsia="Times New Roman"/>
        </w:rPr>
      </w:pPr>
      <w:r>
        <w:rPr>
          <w:rFonts w:eastAsia="Times New Roman"/>
          <w:color w:val="000000"/>
          <w:sz w:val="20"/>
          <w:szCs w:val="20"/>
        </w:rPr>
        <w:t>We provide additional discussion of our risk management principles, roles and responsibilities, framework and risk appetite under “MD&amp;A—</w:t>
      </w:r>
      <w:r>
        <w:rPr>
          <w:rFonts w:eastAsia="Times New Roman"/>
          <w:color w:val="000000"/>
          <w:sz w:val="20"/>
          <w:szCs w:val="20"/>
        </w:rPr>
        <w:t>Risk Management” in our 2020 Form 10-K.</w:t>
      </w:r>
    </w:p>
    <w:p w:rsidR="00000000" w:rsidRDefault="00AF3814">
      <w:pPr>
        <w:divId w:val="438109144"/>
        <w:rPr>
          <w:rFonts w:eastAsia="Times New Roman"/>
        </w:rPr>
      </w:pPr>
      <w:r>
        <w:rPr>
          <w:rFonts w:eastAsia="Times New Roman"/>
          <w:b/>
          <w:bCs/>
          <w:color w:val="000000"/>
          <w:sz w:val="20"/>
          <w:szCs w:val="20"/>
        </w:rPr>
        <w:t>Risk Categories</w:t>
      </w:r>
    </w:p>
    <w:p w:rsidR="00000000" w:rsidRDefault="00AF3814">
      <w:pPr>
        <w:jc w:val="both"/>
        <w:divId w:val="1815759050"/>
        <w:rPr>
          <w:rFonts w:eastAsia="Times New Roman"/>
        </w:rPr>
      </w:pPr>
      <w:r>
        <w:rPr>
          <w:rFonts w:eastAsia="Times New Roman"/>
          <w:color w:val="000000"/>
          <w:sz w:val="20"/>
          <w:szCs w:val="20"/>
        </w:rPr>
        <w:t>We apply our Framework to protect the Company from the major categories of risk that we are exposed to through our business activities. We have seven major categories of risk as noted below. We provid</w:t>
      </w:r>
      <w:r>
        <w:rPr>
          <w:rFonts w:eastAsia="Times New Roman"/>
          <w:color w:val="000000"/>
          <w:sz w:val="20"/>
          <w:szCs w:val="20"/>
        </w:rPr>
        <w:t>e a description of these categories and how we manage them under “MD&amp;A—Risk Management” in our 2020 Form 10-K.</w:t>
      </w:r>
    </w:p>
    <w:p w:rsidR="00000000" w:rsidRDefault="00AF3814">
      <w:pPr>
        <w:ind w:hanging="360"/>
        <w:jc w:val="both"/>
        <w:divId w:val="495996377"/>
        <w:rPr>
          <w:rFonts w:eastAsia="Times New Roman"/>
        </w:rPr>
      </w:pPr>
      <w:r>
        <w:rPr>
          <w:rFonts w:eastAsia="Times New Roman"/>
          <w:color w:val="000000"/>
          <w:sz w:val="20"/>
          <w:szCs w:val="20"/>
        </w:rPr>
        <w:t>•Compliance risk</w:t>
      </w:r>
    </w:p>
    <w:p w:rsidR="00000000" w:rsidRDefault="00AF3814">
      <w:pPr>
        <w:ind w:hanging="360"/>
        <w:jc w:val="both"/>
        <w:divId w:val="409501019"/>
        <w:rPr>
          <w:rFonts w:eastAsia="Times New Roman"/>
        </w:rPr>
      </w:pPr>
      <w:r>
        <w:rPr>
          <w:rFonts w:eastAsia="Times New Roman"/>
          <w:color w:val="000000"/>
          <w:sz w:val="20"/>
          <w:szCs w:val="20"/>
        </w:rPr>
        <w:t>•Credit risk</w:t>
      </w:r>
    </w:p>
    <w:p w:rsidR="00000000" w:rsidRDefault="00AF3814">
      <w:pPr>
        <w:ind w:hanging="360"/>
        <w:jc w:val="both"/>
        <w:divId w:val="824080027"/>
        <w:rPr>
          <w:rFonts w:eastAsia="Times New Roman"/>
        </w:rPr>
      </w:pPr>
      <w:r>
        <w:rPr>
          <w:rFonts w:eastAsia="Times New Roman"/>
          <w:color w:val="000000"/>
          <w:sz w:val="20"/>
          <w:szCs w:val="20"/>
        </w:rPr>
        <w:t>•Liquidity risk</w:t>
      </w:r>
    </w:p>
    <w:p w:rsidR="00000000" w:rsidRDefault="00AF3814">
      <w:pPr>
        <w:ind w:hanging="360"/>
        <w:jc w:val="both"/>
        <w:divId w:val="1285575965"/>
        <w:rPr>
          <w:rFonts w:eastAsia="Times New Roman"/>
        </w:rPr>
      </w:pPr>
      <w:r>
        <w:rPr>
          <w:rFonts w:eastAsia="Times New Roman"/>
          <w:color w:val="000000"/>
          <w:sz w:val="20"/>
          <w:szCs w:val="20"/>
        </w:rPr>
        <w:t>•Market risk</w:t>
      </w:r>
    </w:p>
    <w:p w:rsidR="00000000" w:rsidRDefault="00AF3814">
      <w:pPr>
        <w:ind w:hanging="360"/>
        <w:jc w:val="both"/>
        <w:divId w:val="1504857022"/>
        <w:rPr>
          <w:rFonts w:eastAsia="Times New Roman"/>
        </w:rPr>
      </w:pPr>
      <w:r>
        <w:rPr>
          <w:rFonts w:eastAsia="Times New Roman"/>
          <w:color w:val="000000"/>
          <w:sz w:val="20"/>
          <w:szCs w:val="20"/>
        </w:rPr>
        <w:t>•Operational risk</w:t>
      </w:r>
    </w:p>
    <w:p w:rsidR="00000000" w:rsidRDefault="00AF3814">
      <w:pPr>
        <w:ind w:hanging="360"/>
        <w:jc w:val="both"/>
        <w:divId w:val="1728453263"/>
        <w:rPr>
          <w:rFonts w:eastAsia="Times New Roman"/>
        </w:rPr>
      </w:pPr>
      <w:r>
        <w:rPr>
          <w:rFonts w:eastAsia="Times New Roman"/>
          <w:color w:val="000000"/>
          <w:sz w:val="20"/>
          <w:szCs w:val="20"/>
        </w:rPr>
        <w:t>•Reputation risk</w:t>
      </w:r>
    </w:p>
    <w:p w:rsidR="00000000" w:rsidRDefault="00AF3814">
      <w:pPr>
        <w:ind w:hanging="360"/>
        <w:jc w:val="both"/>
        <w:divId w:val="1577977022"/>
        <w:rPr>
          <w:rFonts w:eastAsia="Times New Roman"/>
        </w:rPr>
      </w:pPr>
      <w:r>
        <w:rPr>
          <w:rFonts w:eastAsia="Times New Roman"/>
          <w:color w:val="000000"/>
          <w:sz w:val="20"/>
          <w:szCs w:val="20"/>
        </w:rPr>
        <w:t>•Strategic risk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19485627"/>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1948562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CREDIT RISK PROFILE</w:t>
            </w:r>
          </w:p>
        </w:tc>
      </w:tr>
    </w:tbl>
    <w:p w:rsidR="00000000" w:rsidRDefault="00AF3814">
      <w:pPr>
        <w:jc w:val="both"/>
        <w:divId w:val="865826145"/>
        <w:rPr>
          <w:rFonts w:eastAsia="Times New Roman"/>
        </w:rPr>
      </w:pPr>
      <w:r>
        <w:rPr>
          <w:rFonts w:eastAsia="Times New Roman"/>
          <w:color w:val="000000"/>
          <w:sz w:val="20"/>
          <w:szCs w:val="20"/>
        </w:rPr>
        <w:t xml:space="preserve">Our loan portfolio accounts for the substantial majority of our credit risk exposure. Our lending activities are governed under our credit policy and are subject to independent review and approval. Below we provide information about the composition of our </w:t>
      </w:r>
      <w:r>
        <w:rPr>
          <w:rFonts w:eastAsia="Times New Roman"/>
          <w:color w:val="000000"/>
          <w:sz w:val="20"/>
          <w:szCs w:val="20"/>
        </w:rPr>
        <w:t>loan portfolio, key concentrations and credit performance metrics.</w:t>
      </w:r>
    </w:p>
    <w:p w:rsidR="00000000" w:rsidRDefault="00AF3814">
      <w:pPr>
        <w:jc w:val="both"/>
        <w:divId w:val="1100755994"/>
        <w:rPr>
          <w:rFonts w:eastAsia="Times New Roman"/>
        </w:rPr>
      </w:pPr>
      <w:r>
        <w:rPr>
          <w:rFonts w:eastAsia="Times New Roman"/>
          <w:color w:val="000000"/>
          <w:sz w:val="20"/>
          <w:szCs w:val="20"/>
        </w:rPr>
        <w:t>We also engage in certain non-lending activities that may give rise to ongoing credit and counterparty settlement risk, including purchasing securities for our investment securities portfol</w:t>
      </w:r>
      <w:r>
        <w:rPr>
          <w:rFonts w:eastAsia="Times New Roman"/>
          <w:color w:val="000000"/>
          <w:sz w:val="20"/>
          <w:szCs w:val="20"/>
        </w:rPr>
        <w:t>io, entering into derivative transactions to manage our market risk exposure and to accommodate customers, extending short-term advances on syndication activity including bridge financing transactions we have underwritten, depositing certain operational ca</w:t>
      </w:r>
      <w:r>
        <w:rPr>
          <w:rFonts w:eastAsia="Times New Roman"/>
          <w:color w:val="000000"/>
          <w:sz w:val="20"/>
          <w:szCs w:val="20"/>
        </w:rPr>
        <w:t>sh balances in other financial institutions, executing certain foreign exchange transactions and extending customer overdrafts. We provide additional information related to our investment securities portfolio under “MD&amp;A—Consolidated Balance Sheets Analysi</w:t>
      </w:r>
      <w:r>
        <w:rPr>
          <w:rFonts w:eastAsia="Times New Roman"/>
          <w:color w:val="000000"/>
          <w:sz w:val="20"/>
          <w:szCs w:val="20"/>
        </w:rPr>
        <w:t>s—Investment Securities” and credit risk related to derivative transactions in “Note 8—Derivative Instruments and Hedging Activities.”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42582218"/>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42582218"/>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42582218"/>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62" style="width:0;height:1.5pt" o:hralign="center" o:hrstd="t" o:hr="t" fillcolor="#a0a0a0" stroked="f"/>
        </w:pict>
      </w:r>
    </w:p>
    <w:p w:rsidR="00000000" w:rsidRDefault="00AF3814">
      <w:pPr>
        <w:ind w:hanging="360"/>
        <w:jc w:val="both"/>
        <w:divId w:val="118871574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50463907"/>
        <w:rPr>
          <w:rFonts w:eastAsia="Times New Roman"/>
        </w:rPr>
      </w:pPr>
      <w:r>
        <w:rPr>
          <w:rFonts w:eastAsia="Times New Roman"/>
          <w:b/>
          <w:bCs/>
          <w:color w:val="000000"/>
          <w:sz w:val="20"/>
          <w:szCs w:val="20"/>
        </w:rPr>
        <w:t>Portfolio Composition and Maturity Profile of Loans Held for Investment</w:t>
      </w:r>
    </w:p>
    <w:p w:rsidR="00000000" w:rsidRDefault="00AF3814">
      <w:pPr>
        <w:jc w:val="both"/>
        <w:divId w:val="1884168963"/>
        <w:rPr>
          <w:rFonts w:eastAsia="Times New Roman"/>
        </w:rPr>
      </w:pPr>
      <w:r>
        <w:rPr>
          <w:rFonts w:eastAsia="Times New Roman"/>
          <w:color w:val="000000"/>
          <w:sz w:val="20"/>
          <w:szCs w:val="20"/>
        </w:rPr>
        <w:t xml:space="preserve">We provide a variety of lending products. Our primary products include </w:t>
      </w:r>
      <w:r>
        <w:rPr>
          <w:rFonts w:eastAsia="Times New Roman"/>
          <w:color w:val="000000"/>
          <w:sz w:val="20"/>
          <w:szCs w:val="20"/>
        </w:rPr>
        <w:t>credit cards, auto loans and commercial lending products. For information on our lending policies and procedures, including our underwriting criteria for our primary loan products, see “MD&amp;A—Credit Risk Profile” in our 2020 Form 10-K.</w:t>
      </w:r>
    </w:p>
    <w:p w:rsidR="00000000" w:rsidRDefault="00AF3814">
      <w:pPr>
        <w:jc w:val="both"/>
        <w:divId w:val="1106926327"/>
        <w:rPr>
          <w:rFonts w:eastAsia="Times New Roman"/>
        </w:rPr>
      </w:pPr>
      <w:r>
        <w:rPr>
          <w:rFonts w:eastAsia="Times New Roman"/>
          <w:color w:val="000000"/>
          <w:sz w:val="20"/>
          <w:szCs w:val="20"/>
        </w:rPr>
        <w:t>Our loan portfolio co</w:t>
      </w:r>
      <w:r>
        <w:rPr>
          <w:rFonts w:eastAsia="Times New Roman"/>
          <w:color w:val="000000"/>
          <w:sz w:val="20"/>
          <w:szCs w:val="20"/>
        </w:rPr>
        <w:t>nsists of loans held for investment, including loans held in our consolidated trusts, and loans held for sale. The information presented in this section excludes loans held for sale, which totaled $6.5 billion and $2.7 billion as of June 30, 2021 and Decem</w:t>
      </w:r>
      <w:r>
        <w:rPr>
          <w:rFonts w:eastAsia="Times New Roman"/>
          <w:color w:val="000000"/>
          <w:sz w:val="20"/>
          <w:szCs w:val="20"/>
        </w:rPr>
        <w:t xml:space="preserve">ber 31, 2020, respectively. </w:t>
      </w:r>
    </w:p>
    <w:p w:rsidR="00000000" w:rsidRDefault="00AF3814">
      <w:pPr>
        <w:jc w:val="both"/>
        <w:divId w:val="1313565264"/>
        <w:rPr>
          <w:rFonts w:eastAsia="Times New Roman"/>
        </w:rPr>
      </w:pPr>
      <w:r>
        <w:rPr>
          <w:rFonts w:eastAsia="Times New Roman"/>
          <w:color w:val="000000"/>
          <w:sz w:val="20"/>
          <w:szCs w:val="20"/>
        </w:rPr>
        <w:t xml:space="preserve">Table 17 presents the composition of our portfolio of loans held for investment by portfolio segment as of June 30, 2021 and December 31, 2020. </w:t>
      </w:r>
    </w:p>
    <w:p w:rsidR="00000000" w:rsidRDefault="00AF3814">
      <w:pPr>
        <w:divId w:val="677342994"/>
        <w:rPr>
          <w:rFonts w:eastAsia="Times New Roman"/>
        </w:rPr>
      </w:pPr>
      <w:r>
        <w:rPr>
          <w:rFonts w:eastAsia="Times New Roman"/>
          <w:b/>
          <w:bCs/>
          <w:color w:val="000000"/>
          <w:sz w:val="18"/>
          <w:szCs w:val="18"/>
        </w:rPr>
        <w:t xml:space="preserve">Table 17: Portfolio Composition of Loans Held for Investment </w:t>
      </w:r>
    </w:p>
    <w:tbl>
      <w:tblPr>
        <w:tblW w:w="4992" w:type="pct"/>
        <w:tblCellMar>
          <w:top w:w="15" w:type="dxa"/>
          <w:left w:w="15" w:type="dxa"/>
          <w:bottom w:w="15" w:type="dxa"/>
          <w:right w:w="15" w:type="dxa"/>
        </w:tblCellMar>
        <w:tblLook w:val="04A0" w:firstRow="1" w:lastRow="0" w:firstColumn="1" w:lastColumn="0" w:noHBand="0" w:noVBand="1"/>
      </w:tblPr>
      <w:tblGrid>
        <w:gridCol w:w="39"/>
        <w:gridCol w:w="4757"/>
        <w:gridCol w:w="38"/>
        <w:gridCol w:w="36"/>
        <w:gridCol w:w="36"/>
        <w:gridCol w:w="36"/>
        <w:gridCol w:w="110"/>
        <w:gridCol w:w="630"/>
        <w:gridCol w:w="36"/>
        <w:gridCol w:w="36"/>
        <w:gridCol w:w="36"/>
        <w:gridCol w:w="36"/>
        <w:gridCol w:w="51"/>
        <w:gridCol w:w="482"/>
        <w:gridCol w:w="200"/>
        <w:gridCol w:w="36"/>
        <w:gridCol w:w="36"/>
        <w:gridCol w:w="36"/>
        <w:gridCol w:w="110"/>
        <w:gridCol w:w="630"/>
        <w:gridCol w:w="36"/>
        <w:gridCol w:w="36"/>
        <w:gridCol w:w="36"/>
        <w:gridCol w:w="36"/>
        <w:gridCol w:w="51"/>
        <w:gridCol w:w="485"/>
        <w:gridCol w:w="170"/>
        <w:gridCol w:w="36"/>
      </w:tblGrid>
      <w:tr w:rsidR="00000000">
        <w:trPr>
          <w:divId w:val="497572416"/>
        </w:trPr>
        <w:tc>
          <w:tcPr>
            <w:tcW w:w="50" w:type="pct"/>
            <w:vAlign w:val="center"/>
            <w:hideMark/>
          </w:tcPr>
          <w:p w:rsidR="00000000" w:rsidRDefault="00AF3814">
            <w:pPr>
              <w:rPr>
                <w:rFonts w:eastAsia="Times New Roman"/>
              </w:rPr>
            </w:pPr>
          </w:p>
        </w:tc>
        <w:tc>
          <w:tcPr>
            <w:tcW w:w="292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497572416"/>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AF3814">
            <w:pPr>
              <w:spacing w:after="100"/>
              <w:jc w:val="center"/>
              <w:rPr>
                <w:rFonts w:eastAsia="Times New Roman"/>
              </w:rPr>
            </w:pPr>
          </w:p>
        </w:tc>
      </w:tr>
      <w:tr w:rsidR="00000000">
        <w:trPr>
          <w:divId w:val="49757241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w:t>
            </w:r>
          </w:p>
        </w:tc>
        <w:tc>
          <w:tcPr>
            <w:tcW w:w="0" w:type="auto"/>
            <w:vAlign w:val="center"/>
            <w:hideMark/>
          </w:tcPr>
          <w:p w:rsidR="00000000" w:rsidRDefault="00AF3814">
            <w:pPr>
              <w:spacing w:after="100"/>
              <w:jc w:val="center"/>
              <w:rPr>
                <w:rFonts w:eastAsia="Times New Roman"/>
              </w:rPr>
            </w:pPr>
          </w:p>
        </w:tc>
      </w:tr>
      <w:tr w:rsidR="00000000">
        <w:trPr>
          <w:divId w:val="49757241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49757241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95,309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98,504 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r>
      <w:tr w:rsidR="00000000">
        <w:trPr>
          <w:divId w:val="49757241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8,452 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49757241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101,017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106,956 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49757241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49757241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71,713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65,762 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49757241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050114308"/>
              <w:rPr>
                <w:rFonts w:eastAsia="Times New Roman"/>
              </w:rPr>
            </w:pPr>
            <w:r>
              <w:rPr>
                <w:rFonts w:eastAsia="Times New Roman"/>
                <w:color w:val="000000"/>
                <w:sz w:val="18"/>
                <w:szCs w:val="18"/>
              </w:rPr>
              <w:t>Retail bankin</w:t>
            </w:r>
            <w:r>
              <w:rPr>
                <w:rFonts w:eastAsia="Times New Roman"/>
                <w:color w:val="000000"/>
                <w:sz w:val="18"/>
                <w:szCs w:val="18"/>
              </w:rPr>
              <w:t>g</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3,126 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49757241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74,759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68,888 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49757241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689651020"/>
              <w:rPr>
                <w:rFonts w:eastAsia="Times New Roman"/>
              </w:rPr>
            </w:pPr>
            <w:r>
              <w:rPr>
                <w:rFonts w:eastAsia="Times New Roman"/>
                <w:b/>
                <w:bCs/>
                <w:color w:val="000000"/>
                <w:sz w:val="18"/>
                <w:szCs w:val="18"/>
              </w:rPr>
              <w:t>Commercial Banking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49757241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29,616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30,681 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49757241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44,205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45,099 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49757241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73,821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75,780 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49757241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249,597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251,624 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r>
    </w:tbl>
    <w:p w:rsidR="00000000" w:rsidRDefault="00AF3814">
      <w:pPr>
        <w:divId w:val="497572416"/>
        <w:rPr>
          <w:rFonts w:eastAsia="Times New Roman"/>
        </w:rPr>
      </w:pPr>
      <w:r>
        <w:rPr>
          <w:rFonts w:eastAsia="Times New Roman"/>
          <w:color w:val="000000"/>
          <w:sz w:val="20"/>
          <w:szCs w:val="20"/>
        </w:rPr>
        <w:t>__________</w:t>
      </w:r>
    </w:p>
    <w:p w:rsidR="00000000" w:rsidRDefault="00AF3814">
      <w:pPr>
        <w:ind w:hanging="360"/>
        <w:jc w:val="both"/>
        <w:divId w:val="165078741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Paycheck Protection Program (“PPP”) loans of $1.1 billion and $296 million in our retail and comm</w:t>
      </w:r>
      <w:r>
        <w:rPr>
          <w:rFonts w:eastAsia="Times New Roman"/>
          <w:color w:val="000000"/>
          <w:sz w:val="16"/>
          <w:szCs w:val="16"/>
        </w:rPr>
        <w:t xml:space="preserve">ercial loan portfolios, respectively, as of June 30, 2021 and $919 million and $238 million as of December 31, 2020, respectively.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8222829"/>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38222829"/>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938222829"/>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63" style="width:0;height:1.5pt" o:hralign="center" o:hrstd="t" o:hr="t" fillcolor="#a0a0a0" stroked="f"/>
        </w:pict>
      </w:r>
    </w:p>
    <w:p w:rsidR="00000000" w:rsidRDefault="00AF3814">
      <w:pPr>
        <w:ind w:hanging="360"/>
        <w:jc w:val="both"/>
        <w:divId w:val="137442256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556479845"/>
        <w:rPr>
          <w:rFonts w:eastAsia="Times New Roman"/>
        </w:rPr>
      </w:pPr>
      <w:r>
        <w:rPr>
          <w:rFonts w:eastAsia="Times New Roman"/>
          <w:b/>
          <w:bCs/>
          <w:color w:val="000000"/>
          <w:sz w:val="20"/>
          <w:szCs w:val="20"/>
        </w:rPr>
        <w:t>Geographic Composition</w:t>
      </w:r>
    </w:p>
    <w:p w:rsidR="00000000" w:rsidRDefault="00AF3814">
      <w:pPr>
        <w:jc w:val="both"/>
        <w:divId w:val="141849348"/>
        <w:rPr>
          <w:rFonts w:eastAsia="Times New Roman"/>
        </w:rPr>
      </w:pPr>
      <w:r>
        <w:rPr>
          <w:rFonts w:eastAsia="Times New Roman"/>
          <w:color w:val="000000"/>
          <w:sz w:val="20"/>
          <w:szCs w:val="20"/>
        </w:rPr>
        <w:t>We market our credit card products throughout the United States, Canada and the United Kingdom. Our credit card loan por</w:t>
      </w:r>
      <w:r>
        <w:rPr>
          <w:rFonts w:eastAsia="Times New Roman"/>
          <w:color w:val="000000"/>
          <w:sz w:val="20"/>
          <w:szCs w:val="20"/>
        </w:rPr>
        <w:t>tfolio is geographically diversified due to our product and marketing approach. The table below presents the geographic profile of our credit card loan portfolio as of June 30, 2021 and December 31, 2020.</w:t>
      </w:r>
    </w:p>
    <w:p w:rsidR="00000000" w:rsidRDefault="00AF3814">
      <w:pPr>
        <w:divId w:val="2098744444"/>
        <w:rPr>
          <w:rFonts w:eastAsia="Times New Roman"/>
        </w:rPr>
      </w:pPr>
      <w:r>
        <w:rPr>
          <w:rFonts w:eastAsia="Times New Roman"/>
          <w:b/>
          <w:bCs/>
          <w:color w:val="000000"/>
          <w:sz w:val="18"/>
          <w:szCs w:val="18"/>
        </w:rPr>
        <w:t>Table 18: Credit Card Portfolio by Geographic Regio</w:t>
      </w:r>
      <w:r>
        <w:rPr>
          <w:rFonts w:eastAsia="Times New Roman"/>
          <w:b/>
          <w:bCs/>
          <w:color w:val="000000"/>
          <w:sz w:val="18"/>
          <w:szCs w:val="18"/>
        </w:rPr>
        <w:t xml:space="preserve">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78"/>
        <w:gridCol w:w="39"/>
        <w:gridCol w:w="36"/>
        <w:gridCol w:w="36"/>
        <w:gridCol w:w="36"/>
        <w:gridCol w:w="110"/>
        <w:gridCol w:w="630"/>
        <w:gridCol w:w="36"/>
        <w:gridCol w:w="36"/>
        <w:gridCol w:w="36"/>
        <w:gridCol w:w="36"/>
        <w:gridCol w:w="51"/>
        <w:gridCol w:w="489"/>
        <w:gridCol w:w="200"/>
        <w:gridCol w:w="36"/>
        <w:gridCol w:w="36"/>
        <w:gridCol w:w="36"/>
        <w:gridCol w:w="110"/>
        <w:gridCol w:w="630"/>
        <w:gridCol w:w="36"/>
        <w:gridCol w:w="36"/>
        <w:gridCol w:w="36"/>
        <w:gridCol w:w="36"/>
        <w:gridCol w:w="51"/>
        <w:gridCol w:w="491"/>
        <w:gridCol w:w="170"/>
      </w:tblGrid>
      <w:tr w:rsidR="00000000">
        <w:trPr>
          <w:divId w:val="360324046"/>
        </w:trPr>
        <w:tc>
          <w:tcPr>
            <w:tcW w:w="50" w:type="pct"/>
            <w:vAlign w:val="center"/>
            <w:hideMark/>
          </w:tcPr>
          <w:p w:rsidR="00000000" w:rsidRDefault="00AF3814">
            <w:pPr>
              <w:rPr>
                <w:rFonts w:eastAsia="Times New Roman"/>
              </w:rPr>
            </w:pPr>
          </w:p>
        </w:tc>
        <w:tc>
          <w:tcPr>
            <w:tcW w:w="292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360324046"/>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36032404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w:t>
            </w:r>
          </w:p>
        </w:tc>
      </w:tr>
      <w:tr w:rsidR="00000000">
        <w:trPr>
          <w:divId w:val="36032404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Domestic 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36032404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California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9,698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9,943 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36032404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Texas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7,899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8,090 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Florida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6,650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6,910 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6,327 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Pennsylvania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4,158 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Illinois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4,149 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Ohio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New Jersey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3,179 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Georgia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3,046 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Michigan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3,010 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44,623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46,047 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95,309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98,504 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36032404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Canada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5,728 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United Kingdom</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5,708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6032404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101,017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106,956 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64" style="width:0;height:1.5pt" o:hralign="center" o:hrstd="t" o:hr="t" fillcolor="#a0a0a0" stroked="f"/>
        </w:pict>
      </w:r>
    </w:p>
    <w:p w:rsidR="00000000" w:rsidRDefault="00AF3814">
      <w:pPr>
        <w:ind w:hanging="360"/>
        <w:jc w:val="both"/>
        <w:divId w:val="645203418"/>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489983614"/>
        <w:rPr>
          <w:rFonts w:eastAsia="Times New Roman"/>
        </w:rPr>
      </w:pPr>
      <w:r>
        <w:rPr>
          <w:rFonts w:eastAsia="Times New Roman"/>
          <w:color w:val="000000"/>
          <w:sz w:val="20"/>
          <w:szCs w:val="20"/>
        </w:rPr>
        <w:t>Our auto loan portfolio is geographically diversified in the United States due to our product and marketing approach. Retail banking includes s</w:t>
      </w:r>
      <w:r>
        <w:rPr>
          <w:rFonts w:eastAsia="Times New Roman"/>
          <w:color w:val="000000"/>
          <w:sz w:val="20"/>
          <w:szCs w:val="20"/>
        </w:rPr>
        <w:t>mall business loans and other consumer lending products originated through our branch network. The table below presents the geographic profile of our auto loan and retail banking portfolios as of June 30, 2021 and December 31, 2020.</w:t>
      </w:r>
    </w:p>
    <w:p w:rsidR="00000000" w:rsidRDefault="00AF3814">
      <w:pPr>
        <w:divId w:val="157691055"/>
        <w:rPr>
          <w:rFonts w:eastAsia="Times New Roman"/>
        </w:rPr>
      </w:pPr>
      <w:r>
        <w:rPr>
          <w:rFonts w:eastAsia="Times New Roman"/>
          <w:b/>
          <w:bCs/>
          <w:color w:val="000000"/>
          <w:sz w:val="18"/>
          <w:szCs w:val="18"/>
        </w:rPr>
        <w:t>Table 19: Consumer Bank</w:t>
      </w:r>
      <w:r>
        <w:rPr>
          <w:rFonts w:eastAsia="Times New Roman"/>
          <w:b/>
          <w:bCs/>
          <w:color w:val="000000"/>
          <w:sz w:val="18"/>
          <w:szCs w:val="18"/>
        </w:rPr>
        <w:t xml:space="preserve">ing Portfolio by Geographic Region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89"/>
        <w:gridCol w:w="39"/>
        <w:gridCol w:w="36"/>
        <w:gridCol w:w="36"/>
        <w:gridCol w:w="36"/>
        <w:gridCol w:w="110"/>
        <w:gridCol w:w="561"/>
        <w:gridCol w:w="36"/>
        <w:gridCol w:w="36"/>
        <w:gridCol w:w="36"/>
        <w:gridCol w:w="36"/>
        <w:gridCol w:w="51"/>
        <w:gridCol w:w="547"/>
        <w:gridCol w:w="200"/>
        <w:gridCol w:w="36"/>
        <w:gridCol w:w="36"/>
        <w:gridCol w:w="36"/>
        <w:gridCol w:w="110"/>
        <w:gridCol w:w="574"/>
        <w:gridCol w:w="36"/>
        <w:gridCol w:w="36"/>
        <w:gridCol w:w="36"/>
        <w:gridCol w:w="36"/>
        <w:gridCol w:w="51"/>
        <w:gridCol w:w="547"/>
        <w:gridCol w:w="170"/>
      </w:tblGrid>
      <w:tr w:rsidR="00000000">
        <w:trPr>
          <w:divId w:val="473524006"/>
        </w:trPr>
        <w:tc>
          <w:tcPr>
            <w:tcW w:w="50" w:type="pct"/>
            <w:vAlign w:val="center"/>
            <w:hideMark/>
          </w:tcPr>
          <w:p w:rsidR="00000000" w:rsidRDefault="00AF3814">
            <w:pPr>
              <w:rPr>
                <w:rFonts w:eastAsia="Times New Roman"/>
              </w:rPr>
            </w:pPr>
          </w:p>
        </w:tc>
        <w:tc>
          <w:tcPr>
            <w:tcW w:w="293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7352400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47352400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w:t>
            </w:r>
          </w:p>
        </w:tc>
      </w:tr>
      <w:tr w:rsidR="00000000">
        <w:trPr>
          <w:divId w:val="4735240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7352400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Texas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8,207 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47352400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California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7,573 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Florida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5,544 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Georgia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2,989 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Ohio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2,770 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Pennsylvania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2,569 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Illinois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2,431 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North Carolina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2,280 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34,171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31,399 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71,713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7352400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1,081 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Louisiana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634 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Texas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Maryland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New Jersey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Virginia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retail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7352400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74,759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68,888 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65" style="width:0;height:1.5pt" o:hralign="center" o:hrstd="t" o:hr="t" fillcolor="#a0a0a0" stroked="f"/>
        </w:pict>
      </w:r>
    </w:p>
    <w:p w:rsidR="00000000" w:rsidRDefault="00AF3814">
      <w:pPr>
        <w:ind w:hanging="360"/>
        <w:jc w:val="both"/>
        <w:divId w:val="170826362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344787133"/>
        <w:rPr>
          <w:rFonts w:eastAsia="Times New Roman"/>
        </w:rPr>
      </w:pPr>
      <w:r>
        <w:rPr>
          <w:rFonts w:eastAsia="Times New Roman"/>
          <w:color w:val="000000"/>
          <w:sz w:val="20"/>
          <w:szCs w:val="20"/>
        </w:rPr>
        <w:t>We originate commercial and multifamily real estate loans in most regions of the United States. The table below presents the geographic profile</w:t>
      </w:r>
      <w:r>
        <w:rPr>
          <w:rFonts w:eastAsia="Times New Roman"/>
          <w:color w:val="000000"/>
          <w:sz w:val="20"/>
          <w:szCs w:val="20"/>
        </w:rPr>
        <w:t xml:space="preserve"> of our commercial real estate portfolio of June 30, 2021 and December 31, 2020.</w:t>
      </w:r>
    </w:p>
    <w:p w:rsidR="00000000" w:rsidRDefault="00AF3814">
      <w:pPr>
        <w:jc w:val="both"/>
        <w:divId w:val="1126854841"/>
        <w:rPr>
          <w:rFonts w:eastAsia="Times New Roman"/>
        </w:rPr>
      </w:pPr>
      <w:r>
        <w:rPr>
          <w:rFonts w:eastAsia="Times New Roman"/>
          <w:b/>
          <w:bCs/>
          <w:color w:val="000000"/>
          <w:sz w:val="18"/>
          <w:szCs w:val="18"/>
        </w:rPr>
        <w:t>Table 20: Commercial Real Estate Portfolio by Region</w:t>
      </w:r>
    </w:p>
    <w:tbl>
      <w:tblPr>
        <w:tblW w:w="5000" w:type="pct"/>
        <w:tblCellMar>
          <w:top w:w="15" w:type="dxa"/>
          <w:left w:w="15" w:type="dxa"/>
          <w:bottom w:w="15" w:type="dxa"/>
          <w:right w:w="15" w:type="dxa"/>
        </w:tblCellMar>
        <w:tblLook w:val="04A0" w:firstRow="1" w:lastRow="0" w:firstColumn="1" w:lastColumn="0" w:noHBand="0" w:noVBand="1"/>
      </w:tblPr>
      <w:tblGrid>
        <w:gridCol w:w="41"/>
        <w:gridCol w:w="4401"/>
        <w:gridCol w:w="36"/>
        <w:gridCol w:w="36"/>
        <w:gridCol w:w="36"/>
        <w:gridCol w:w="36"/>
        <w:gridCol w:w="110"/>
        <w:gridCol w:w="659"/>
        <w:gridCol w:w="36"/>
        <w:gridCol w:w="36"/>
        <w:gridCol w:w="36"/>
        <w:gridCol w:w="36"/>
        <w:gridCol w:w="54"/>
        <w:gridCol w:w="623"/>
        <w:gridCol w:w="200"/>
        <w:gridCol w:w="36"/>
        <w:gridCol w:w="36"/>
        <w:gridCol w:w="36"/>
        <w:gridCol w:w="110"/>
        <w:gridCol w:w="718"/>
        <w:gridCol w:w="36"/>
        <w:gridCol w:w="36"/>
        <w:gridCol w:w="36"/>
        <w:gridCol w:w="36"/>
        <w:gridCol w:w="54"/>
        <w:gridCol w:w="626"/>
        <w:gridCol w:w="170"/>
      </w:tblGrid>
      <w:tr w:rsidR="00000000">
        <w:trPr>
          <w:divId w:val="551161875"/>
        </w:trPr>
        <w:tc>
          <w:tcPr>
            <w:tcW w:w="50" w:type="pct"/>
            <w:vAlign w:val="center"/>
            <w:hideMark/>
          </w:tcPr>
          <w:p w:rsidR="00000000" w:rsidRDefault="00AF3814">
            <w:pPr>
              <w:jc w:val="both"/>
              <w:rPr>
                <w:rFonts w:eastAsia="Times New Roman"/>
              </w:rPr>
            </w:pPr>
          </w:p>
        </w:tc>
        <w:tc>
          <w:tcPr>
            <w:tcW w:w="270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5116187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5116187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551161875"/>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w:t>
            </w:r>
          </w:p>
        </w:tc>
      </w:tr>
      <w:tr w:rsidR="00000000">
        <w:trPr>
          <w:divId w:val="55116187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441731020"/>
              <w:rPr>
                <w:rFonts w:eastAsia="Times New Roman"/>
              </w:rPr>
            </w:pPr>
            <w:r>
              <w:rPr>
                <w:rFonts w:eastAsia="Times New Roman"/>
                <w:b/>
                <w:bCs/>
                <w:color w:val="000000"/>
                <w:sz w:val="18"/>
                <w:szCs w:val="18"/>
              </w:rPr>
              <w:t>Geographic concentration</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55116187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Northeast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15,334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17,290 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56.35 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55116187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South</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3,806 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55116187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Pacific West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3,657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11.16 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55116187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Mid-Atlantic</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3,344 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10.90 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55116187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Midwest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1,993 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55116187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Mountain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55116187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29,616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30,681 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bl>
    <w:p w:rsidR="00000000" w:rsidRDefault="00AF3814">
      <w:pPr>
        <w:jc w:val="both"/>
        <w:divId w:val="551161875"/>
        <w:rPr>
          <w:rFonts w:eastAsia="Times New Roman"/>
        </w:rPr>
      </w:pPr>
      <w:r>
        <w:rPr>
          <w:rFonts w:eastAsia="Times New Roman"/>
          <w:color w:val="000000"/>
          <w:sz w:val="20"/>
          <w:szCs w:val="20"/>
        </w:rPr>
        <w:t>__________</w:t>
      </w:r>
    </w:p>
    <w:p w:rsidR="00000000" w:rsidRDefault="00AF3814">
      <w:pPr>
        <w:ind w:hanging="360"/>
        <w:jc w:val="both"/>
        <w:divId w:val="73651841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Geographic concentration is generally determined by the location of the borrower’s business or the location o</w:t>
      </w:r>
      <w:r>
        <w:rPr>
          <w:rFonts w:eastAsia="Times New Roman"/>
          <w:color w:val="000000"/>
          <w:sz w:val="16"/>
          <w:szCs w:val="16"/>
        </w:rPr>
        <w:t>f the collateral associated with the loan. Northeast consists of CT, MA, ME, NH, NJ, NY, PA, RI and VT. South consists of AL, AR, FL, GA, KY, LA, MS, NC, SC, TN and TX. Pacific West consists of: AK, CA, HI, OR and WA. Mid-Atlantic consists of DC, DE, MD, V</w:t>
      </w:r>
      <w:r>
        <w:rPr>
          <w:rFonts w:eastAsia="Times New Roman"/>
          <w:color w:val="000000"/>
          <w:sz w:val="16"/>
          <w:szCs w:val="16"/>
        </w:rPr>
        <w:t>A and WV. Midwest consists of: IA, IL, IN, KS, MI, MN, MO, NB, ND, OH, SD and WS. Mountain consists of: AZ, CO, ID, MT, NM, NV, UT and WY.</w:t>
      </w:r>
    </w:p>
    <w:p w:rsidR="00000000" w:rsidRDefault="00AF3814">
      <w:pPr>
        <w:divId w:val="1219246553"/>
        <w:rPr>
          <w:rFonts w:eastAsia="Times New Roman"/>
        </w:rPr>
      </w:pPr>
      <w:r>
        <w:rPr>
          <w:rFonts w:eastAsia="Times New Roman"/>
          <w:b/>
          <w:bCs/>
          <w:color w:val="000000"/>
          <w:sz w:val="20"/>
          <w:szCs w:val="20"/>
        </w:rPr>
        <w:t>Commercial Loans by Industry</w:t>
      </w:r>
    </w:p>
    <w:p w:rsidR="00000000" w:rsidRDefault="00AF3814">
      <w:pPr>
        <w:jc w:val="both"/>
        <w:divId w:val="1092748742"/>
        <w:rPr>
          <w:rFonts w:eastAsia="Times New Roman"/>
        </w:rPr>
      </w:pPr>
      <w:r>
        <w:rPr>
          <w:rFonts w:eastAsia="Times New Roman"/>
          <w:color w:val="000000"/>
          <w:sz w:val="20"/>
          <w:szCs w:val="20"/>
        </w:rPr>
        <w:t>Table 21 summarizes our commercial loans held for investment portfolio by industry class</w:t>
      </w:r>
      <w:r>
        <w:rPr>
          <w:rFonts w:eastAsia="Times New Roman"/>
          <w:color w:val="000000"/>
          <w:sz w:val="20"/>
          <w:szCs w:val="20"/>
        </w:rPr>
        <w:t xml:space="preserve">ification as of June 30, 2021 and December 31, 2020. Industry classifications below are based on our interpretation of the North American Industry Classification System codes as they pertain to each individual loan. </w:t>
      </w:r>
    </w:p>
    <w:p w:rsidR="00000000" w:rsidRDefault="00AF3814">
      <w:pPr>
        <w:divId w:val="60569929"/>
        <w:rPr>
          <w:rFonts w:eastAsia="Times New Roman"/>
        </w:rPr>
      </w:pPr>
      <w:r>
        <w:rPr>
          <w:rFonts w:eastAsia="Times New Roman"/>
          <w:b/>
          <w:bCs/>
          <w:color w:val="000000"/>
          <w:sz w:val="18"/>
          <w:szCs w:val="18"/>
        </w:rPr>
        <w:t>Table 21: Commercial Loans by Industry</w:t>
      </w:r>
    </w:p>
    <w:tbl>
      <w:tblPr>
        <w:tblW w:w="5000" w:type="pct"/>
        <w:tblCellMar>
          <w:top w:w="15" w:type="dxa"/>
          <w:left w:w="15" w:type="dxa"/>
          <w:bottom w:w="15" w:type="dxa"/>
          <w:right w:w="15" w:type="dxa"/>
        </w:tblCellMar>
        <w:tblLook w:val="04A0" w:firstRow="1" w:lastRow="0" w:firstColumn="1" w:lastColumn="0" w:noHBand="0" w:noVBand="1"/>
      </w:tblPr>
      <w:tblGrid>
        <w:gridCol w:w="39"/>
        <w:gridCol w:w="5415"/>
        <w:gridCol w:w="38"/>
        <w:gridCol w:w="36"/>
        <w:gridCol w:w="36"/>
        <w:gridCol w:w="36"/>
        <w:gridCol w:w="37"/>
        <w:gridCol w:w="1076"/>
        <w:gridCol w:w="200"/>
        <w:gridCol w:w="36"/>
        <w:gridCol w:w="36"/>
        <w:gridCol w:w="36"/>
        <w:gridCol w:w="47"/>
        <w:gridCol w:w="1068"/>
        <w:gridCol w:w="170"/>
      </w:tblGrid>
      <w:tr w:rsidR="00000000">
        <w:trPr>
          <w:divId w:val="1729259973"/>
        </w:trPr>
        <w:tc>
          <w:tcPr>
            <w:tcW w:w="50" w:type="pct"/>
            <w:vAlign w:val="center"/>
            <w:hideMark/>
          </w:tcPr>
          <w:p w:rsidR="00000000" w:rsidRDefault="00AF3814">
            <w:pPr>
              <w:rPr>
                <w:rFonts w:eastAsia="Times New Roman"/>
              </w:rPr>
            </w:pPr>
          </w:p>
        </w:tc>
        <w:tc>
          <w:tcPr>
            <w:tcW w:w="330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72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72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729259973"/>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(Percentage of portfolio)</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72925997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Industry Classification: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2925997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172925997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Finance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2925997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Healthcare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2925997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Business services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2925997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Educational services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2925997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Public administration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2925997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Construction and land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2925997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trade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2925997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Oil and gas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2925997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2925997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66" style="width:0;height:1.5pt" o:hralign="center" o:hrstd="t" o:hr="t" fillcolor="#a0a0a0" stroked="f"/>
        </w:pict>
      </w:r>
    </w:p>
    <w:p w:rsidR="00000000" w:rsidRDefault="00AF3814">
      <w:pPr>
        <w:ind w:hanging="360"/>
        <w:jc w:val="both"/>
        <w:divId w:val="114585921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828396648"/>
        <w:rPr>
          <w:rFonts w:eastAsia="Times New Roman"/>
        </w:rPr>
      </w:pPr>
      <w:r>
        <w:rPr>
          <w:rFonts w:eastAsia="Times New Roman"/>
          <w:b/>
          <w:bCs/>
          <w:color w:val="000000"/>
          <w:sz w:val="20"/>
          <w:szCs w:val="20"/>
        </w:rPr>
        <w:t>Credit Risk Measurement</w:t>
      </w:r>
    </w:p>
    <w:p w:rsidR="00000000" w:rsidRDefault="00AF3814">
      <w:pPr>
        <w:jc w:val="both"/>
        <w:divId w:val="533615729"/>
        <w:rPr>
          <w:rFonts w:eastAsia="Times New Roman"/>
        </w:rPr>
      </w:pPr>
      <w:r>
        <w:rPr>
          <w:rFonts w:eastAsia="Times New Roman"/>
          <w:color w:val="000000"/>
          <w:sz w:val="20"/>
          <w:szCs w:val="20"/>
        </w:rPr>
        <w:t>We closely monitor economic conditions and loan performance trends to assess and manage our exposure to credit risk. Tr</w:t>
      </w:r>
      <w:r>
        <w:rPr>
          <w:rFonts w:eastAsia="Times New Roman"/>
          <w:color w:val="000000"/>
          <w:sz w:val="20"/>
          <w:szCs w:val="20"/>
        </w:rPr>
        <w:t>ends in delinquency rates are the key credit quality indicator for our credit card and retail banking loan portfolios as changes in delinquency rates can provide an early warning of changes in potential future credit losses. The key indicator we monitor wh</w:t>
      </w:r>
      <w:r>
        <w:rPr>
          <w:rFonts w:eastAsia="Times New Roman"/>
          <w:color w:val="000000"/>
          <w:sz w:val="20"/>
          <w:szCs w:val="20"/>
        </w:rPr>
        <w:t>en assessing the credit quality and risk of our auto loan portfolio is borrower credit scores as they provide insight into borrower risk profiles, which give indications of potential future credit losses. The key credit quality indicator for our commercial</w:t>
      </w:r>
      <w:r>
        <w:rPr>
          <w:rFonts w:eastAsia="Times New Roman"/>
          <w:color w:val="000000"/>
          <w:sz w:val="20"/>
          <w:szCs w:val="20"/>
        </w:rPr>
        <w:t xml:space="preserve"> loan portfolios is our internal risk ratings as we generally classify loans that have been delinquent for an extended period of time and other loans with significant risk of loss as nonperforming. In addition to these credit quality indicators, we also ma</w:t>
      </w:r>
      <w:r>
        <w:rPr>
          <w:rFonts w:eastAsia="Times New Roman"/>
          <w:color w:val="000000"/>
          <w:sz w:val="20"/>
          <w:szCs w:val="20"/>
        </w:rPr>
        <w:t xml:space="preserve">nage and monitor other credit quality metrics such as level of nonperforming loans and net charge-off rates. </w:t>
      </w:r>
    </w:p>
    <w:p w:rsidR="00000000" w:rsidRDefault="00AF3814">
      <w:pPr>
        <w:jc w:val="both"/>
        <w:divId w:val="38288554"/>
        <w:rPr>
          <w:rFonts w:eastAsia="Times New Roman"/>
        </w:rPr>
      </w:pPr>
      <w:r>
        <w:rPr>
          <w:rFonts w:eastAsia="Times New Roman"/>
          <w:color w:val="000000"/>
          <w:sz w:val="20"/>
          <w:szCs w:val="20"/>
        </w:rPr>
        <w:t>We underwrite most consumer loans using proprietary models, which typically include credit bureau data, such as borrower credit scores, applicatio</w:t>
      </w:r>
      <w:r>
        <w:rPr>
          <w:rFonts w:eastAsia="Times New Roman"/>
          <w:color w:val="000000"/>
          <w:sz w:val="20"/>
          <w:szCs w:val="20"/>
        </w:rPr>
        <w:t>n information and, where applicable, collateral and deal structure data. We continuously adjust our management of credit lines and collection strategies based on customer behavior and risk profile changes. We also use borrower credit scores for subprime cl</w:t>
      </w:r>
      <w:r>
        <w:rPr>
          <w:rFonts w:eastAsia="Times New Roman"/>
          <w:color w:val="000000"/>
          <w:sz w:val="20"/>
          <w:szCs w:val="20"/>
        </w:rPr>
        <w:t>assification, for competitive benchmarking and, in some cases, to drive product segmentation decisions. </w:t>
      </w:r>
    </w:p>
    <w:p w:rsidR="00000000" w:rsidRDefault="00AF3814">
      <w:pPr>
        <w:jc w:val="both"/>
        <w:divId w:val="1398481654"/>
        <w:rPr>
          <w:rFonts w:eastAsia="Times New Roman"/>
        </w:rPr>
      </w:pPr>
      <w:r>
        <w:rPr>
          <w:rFonts w:eastAsia="Times New Roman"/>
          <w:color w:val="000000"/>
          <w:sz w:val="20"/>
          <w:szCs w:val="20"/>
        </w:rPr>
        <w:t>Table 22 provides details on the credit scores of our domestic credit card and auto loan portfolios as of June 30, 2021 and December 31, 2020.</w:t>
      </w:r>
    </w:p>
    <w:p w:rsidR="00000000" w:rsidRDefault="00AF3814">
      <w:pPr>
        <w:divId w:val="1059590767"/>
        <w:rPr>
          <w:rFonts w:eastAsia="Times New Roman"/>
        </w:rPr>
      </w:pPr>
      <w:r>
        <w:rPr>
          <w:rFonts w:eastAsia="Times New Roman"/>
          <w:b/>
          <w:bCs/>
          <w:color w:val="000000"/>
          <w:sz w:val="18"/>
          <w:szCs w:val="18"/>
        </w:rPr>
        <w:t>Table 22</w:t>
      </w:r>
      <w:r>
        <w:rPr>
          <w:rFonts w:eastAsia="Times New Roman"/>
          <w:b/>
          <w:bCs/>
          <w:color w:val="000000"/>
          <w:sz w:val="18"/>
          <w:szCs w:val="18"/>
        </w:rPr>
        <w:t>: Credit Score Distribution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5369"/>
        <w:gridCol w:w="37"/>
        <w:gridCol w:w="36"/>
        <w:gridCol w:w="36"/>
        <w:gridCol w:w="36"/>
        <w:gridCol w:w="37"/>
        <w:gridCol w:w="1065"/>
        <w:gridCol w:w="200"/>
        <w:gridCol w:w="36"/>
        <w:gridCol w:w="36"/>
        <w:gridCol w:w="36"/>
        <w:gridCol w:w="47"/>
        <w:gridCol w:w="1055"/>
        <w:gridCol w:w="170"/>
        <w:gridCol w:w="36"/>
        <w:gridCol w:w="36"/>
      </w:tblGrid>
      <w:tr w:rsidR="00000000">
        <w:trPr>
          <w:divId w:val="1828940866"/>
        </w:trPr>
        <w:tc>
          <w:tcPr>
            <w:tcW w:w="50" w:type="pct"/>
            <w:vAlign w:val="center"/>
            <w:hideMark/>
          </w:tcPr>
          <w:p w:rsidR="00000000" w:rsidRDefault="00AF3814">
            <w:pPr>
              <w:rPr>
                <w:rFonts w:eastAsia="Times New Roman"/>
              </w:rPr>
            </w:pPr>
          </w:p>
        </w:tc>
        <w:tc>
          <w:tcPr>
            <w:tcW w:w="330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72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72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82894086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(Percentage of portfolio)</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18289408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964240062"/>
              <w:rPr>
                <w:rFonts w:eastAsia="Times New Roman"/>
              </w:rPr>
            </w:pPr>
            <w:r>
              <w:rPr>
                <w:rFonts w:eastAsia="Times New Roman"/>
                <w:b/>
                <w:bCs/>
                <w:color w:val="000000"/>
                <w:sz w:val="18"/>
                <w:szCs w:val="18"/>
              </w:rPr>
              <w:t>Domestic credit card—Refreshed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82894086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182894086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660 or below</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82894086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182894086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919165426"/>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82894086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182894086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621 - 660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82894086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82894086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divId w:val="1828940866"/>
        <w:rPr>
          <w:rFonts w:eastAsia="Times New Roman"/>
        </w:rPr>
      </w:pPr>
      <w:r>
        <w:rPr>
          <w:rFonts w:eastAsia="Times New Roman"/>
          <w:color w:val="000000"/>
          <w:sz w:val="20"/>
          <w:szCs w:val="20"/>
        </w:rPr>
        <w:t>__________</w:t>
      </w:r>
    </w:p>
    <w:p w:rsidR="00000000" w:rsidRDefault="00AF3814">
      <w:pPr>
        <w:ind w:hanging="360"/>
        <w:jc w:val="both"/>
        <w:divId w:val="130392782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color w:val="000000"/>
          <w:sz w:val="16"/>
          <w:szCs w:val="16"/>
        </w:rPr>
        <w:t>hereafter. We approximate non-FICO credit scores to comparable FICO scores for consistency purposes. Balances for which no credit score is available or the credit score is invalid are included in the 660 or below category.</w:t>
      </w:r>
    </w:p>
    <w:p w:rsidR="00000000" w:rsidRDefault="00AF3814">
      <w:pPr>
        <w:ind w:hanging="360"/>
        <w:jc w:val="both"/>
        <w:divId w:val="193613340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Percentages represent period-e</w:t>
      </w:r>
      <w:r>
        <w:rPr>
          <w:rFonts w:eastAsia="Times New Roman"/>
          <w:color w:val="000000"/>
          <w:sz w:val="16"/>
          <w:szCs w:val="16"/>
        </w:rPr>
        <w:t>nd loans held for investment in each credit score category. Auto credit scores generally represent average FICO scores obtained from three credit bureaus at the time of application and are not refreshed thereafter. Balances for which no credit score is ava</w:t>
      </w:r>
      <w:r>
        <w:rPr>
          <w:rFonts w:eastAsia="Times New Roman"/>
          <w:color w:val="000000"/>
          <w:sz w:val="16"/>
          <w:szCs w:val="16"/>
        </w:rPr>
        <w:t>ilable or the credit score is invalid are included in the 620 or below category.</w:t>
      </w:r>
    </w:p>
    <w:p w:rsidR="00000000" w:rsidRDefault="00AF3814">
      <w:pPr>
        <w:jc w:val="both"/>
        <w:divId w:val="307633634"/>
        <w:rPr>
          <w:rFonts w:eastAsia="Times New Roman"/>
        </w:rPr>
      </w:pPr>
      <w:r>
        <w:rPr>
          <w:rFonts w:eastAsia="Times New Roman"/>
          <w:color w:val="000000"/>
          <w:sz w:val="20"/>
          <w:szCs w:val="20"/>
        </w:rPr>
        <w:t xml:space="preserve">We present information in the section below on the credit performance of our loan portfolio, including the key metrics we use in tracking changes in the credit quality of our loan portfolio. See “Note 3—Loans” for additional credit quality information and </w:t>
      </w:r>
      <w:r>
        <w:rPr>
          <w:rFonts w:eastAsia="Times New Roman"/>
          <w:color w:val="000000"/>
          <w:sz w:val="20"/>
          <w:szCs w:val="20"/>
        </w:rPr>
        <w:t>see “Note 1—Summary of Significant Accounting Policies” for information on our accounting policies for delinquent and nonperforming loans, charge-offs and troubled debt restructurings (“TDRs”) for each of our loan categories.</w:t>
      </w:r>
    </w:p>
    <w:p w:rsidR="00000000" w:rsidRDefault="00AF3814">
      <w:pPr>
        <w:divId w:val="142625170"/>
        <w:rPr>
          <w:rFonts w:eastAsia="Times New Roman"/>
        </w:rPr>
      </w:pPr>
      <w:r>
        <w:rPr>
          <w:rFonts w:eastAsia="Times New Roman"/>
          <w:b/>
          <w:bCs/>
          <w:i/>
          <w:iCs/>
          <w:color w:val="000000"/>
          <w:sz w:val="20"/>
          <w:szCs w:val="20"/>
        </w:rPr>
        <w:t>Delinquency Rates</w:t>
      </w:r>
    </w:p>
    <w:p w:rsidR="00000000" w:rsidRDefault="00AF3814">
      <w:pPr>
        <w:jc w:val="both"/>
        <w:divId w:val="2030448144"/>
        <w:rPr>
          <w:rFonts w:eastAsia="Times New Roman"/>
        </w:rPr>
      </w:pPr>
      <w:r>
        <w:rPr>
          <w:rFonts w:eastAsia="Times New Roman"/>
          <w:color w:val="000000"/>
          <w:sz w:val="20"/>
          <w:szCs w:val="20"/>
        </w:rPr>
        <w:t xml:space="preserve">We consider </w:t>
      </w:r>
      <w:r>
        <w:rPr>
          <w:rFonts w:eastAsia="Times New Roman"/>
          <w:color w:val="000000"/>
          <w:sz w:val="20"/>
          <w:szCs w:val="20"/>
        </w:rPr>
        <w:t>the entire balance of an account to be delinquent if the minimum required payment is not received by the customer’s due date, measured at each balance sheet date. Our 30+ day delinquency metrics include all loans held for investment that are 30 or more day</w:t>
      </w:r>
      <w:r>
        <w:rPr>
          <w:rFonts w:eastAsia="Times New Roman"/>
          <w:color w:val="000000"/>
          <w:sz w:val="20"/>
          <w:szCs w:val="20"/>
        </w:rPr>
        <w:t>s past due, whereas our 30+ day performing delinquency metrics include all loans held for investment that are 30 or more days past due but are currently classified as performing and accruing interest. The 30+ day delinquency and 30+ day performing delinque</w:t>
      </w:r>
      <w:r>
        <w:rPr>
          <w:rFonts w:eastAsia="Times New Roman"/>
          <w:color w:val="000000"/>
          <w:sz w:val="20"/>
          <w:szCs w:val="20"/>
        </w:rPr>
        <w:t xml:space="preserve">ncy metrics are the same for domestic credit card loans, as we continue to classify these loans as performing until the account is charged off, typically when the account is 180 days past due. See “Note 1—Summary of Significant Accounting Policies” in our </w:t>
      </w:r>
      <w:r>
        <w:rPr>
          <w:rFonts w:eastAsia="Times New Roman"/>
          <w:color w:val="000000"/>
          <w:sz w:val="20"/>
          <w:szCs w:val="20"/>
        </w:rPr>
        <w:t xml:space="preserve">2020 Form 10-K for information on our policies for classifying loans as nonperforming for each of our loan categories. We provide additional information on our credit quality metrics in “MD&amp;A—Business Segment Financial Performance.”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50591010"/>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50591010"/>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5059101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67" style="width:0;height:1.5pt" o:hralign="center" o:hrstd="t" o:hr="t" fillcolor="#a0a0a0" stroked="f"/>
        </w:pict>
      </w:r>
    </w:p>
    <w:p w:rsidR="00000000" w:rsidRDefault="00AF3814">
      <w:pPr>
        <w:ind w:hanging="360"/>
        <w:jc w:val="both"/>
        <w:divId w:val="102262999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971278727"/>
        <w:rPr>
          <w:rFonts w:eastAsia="Times New Roman"/>
        </w:rPr>
      </w:pPr>
      <w:r>
        <w:rPr>
          <w:rFonts w:eastAsia="Times New Roman"/>
          <w:color w:val="000000"/>
          <w:sz w:val="20"/>
          <w:szCs w:val="20"/>
        </w:rPr>
        <w:t>Table 23 presents our 30+ day performing delinquency rates and 30+ day delinquency rates of our portfolio of loans held for investment, by portfolio segment, as of June 30, 2021 and December 31, 2020.</w:t>
      </w:r>
    </w:p>
    <w:p w:rsidR="00000000" w:rsidRDefault="00AF3814">
      <w:pPr>
        <w:divId w:val="1887837383"/>
        <w:rPr>
          <w:rFonts w:eastAsia="Times New Roman"/>
        </w:rPr>
      </w:pPr>
      <w:r>
        <w:rPr>
          <w:rFonts w:eastAsia="Times New Roman"/>
          <w:b/>
          <w:bCs/>
          <w:color w:val="000000"/>
          <w:sz w:val="18"/>
          <w:szCs w:val="18"/>
        </w:rPr>
        <w:t>Table 23: 30+ Day Delinquencies</w:t>
      </w:r>
    </w:p>
    <w:tbl>
      <w:tblPr>
        <w:tblW w:w="4978" w:type="pct"/>
        <w:tblCellMar>
          <w:top w:w="15" w:type="dxa"/>
          <w:left w:w="15" w:type="dxa"/>
          <w:bottom w:w="15" w:type="dxa"/>
          <w:right w:w="15" w:type="dxa"/>
        </w:tblCellMar>
        <w:tblLook w:val="04A0" w:firstRow="1" w:lastRow="0" w:firstColumn="1" w:lastColumn="0" w:noHBand="0" w:noVBand="1"/>
      </w:tblPr>
      <w:tblGrid>
        <w:gridCol w:w="39"/>
        <w:gridCol w:w="2092"/>
        <w:gridCol w:w="38"/>
        <w:gridCol w:w="36"/>
        <w:gridCol w:w="36"/>
        <w:gridCol w:w="36"/>
        <w:gridCol w:w="112"/>
        <w:gridCol w:w="508"/>
        <w:gridCol w:w="38"/>
        <w:gridCol w:w="37"/>
        <w:gridCol w:w="36"/>
        <w:gridCol w:w="36"/>
        <w:gridCol w:w="67"/>
        <w:gridCol w:w="398"/>
        <w:gridCol w:w="200"/>
        <w:gridCol w:w="36"/>
        <w:gridCol w:w="36"/>
        <w:gridCol w:w="36"/>
        <w:gridCol w:w="112"/>
        <w:gridCol w:w="508"/>
        <w:gridCol w:w="38"/>
        <w:gridCol w:w="37"/>
        <w:gridCol w:w="36"/>
        <w:gridCol w:w="36"/>
        <w:gridCol w:w="67"/>
        <w:gridCol w:w="398"/>
        <w:gridCol w:w="200"/>
        <w:gridCol w:w="36"/>
        <w:gridCol w:w="36"/>
        <w:gridCol w:w="36"/>
        <w:gridCol w:w="112"/>
        <w:gridCol w:w="508"/>
        <w:gridCol w:w="38"/>
        <w:gridCol w:w="37"/>
        <w:gridCol w:w="36"/>
        <w:gridCol w:w="36"/>
        <w:gridCol w:w="67"/>
        <w:gridCol w:w="398"/>
        <w:gridCol w:w="170"/>
        <w:gridCol w:w="36"/>
        <w:gridCol w:w="36"/>
        <w:gridCol w:w="36"/>
        <w:gridCol w:w="112"/>
        <w:gridCol w:w="508"/>
        <w:gridCol w:w="38"/>
        <w:gridCol w:w="37"/>
        <w:gridCol w:w="36"/>
        <w:gridCol w:w="36"/>
        <w:gridCol w:w="67"/>
        <w:gridCol w:w="398"/>
        <w:gridCol w:w="170"/>
      </w:tblGrid>
      <w:tr w:rsidR="00000000">
        <w:trPr>
          <w:divId w:val="238753802"/>
        </w:trPr>
        <w:tc>
          <w:tcPr>
            <w:tcW w:w="50" w:type="pct"/>
            <w:vAlign w:val="center"/>
            <w:hideMark/>
          </w:tcPr>
          <w:p w:rsidR="00000000" w:rsidRDefault="00AF3814">
            <w:pPr>
              <w:rPr>
                <w:rFonts w:eastAsia="Times New Roman"/>
              </w:rPr>
            </w:pPr>
          </w:p>
        </w:tc>
        <w:tc>
          <w:tcPr>
            <w:tcW w:w="183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3875380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23875380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30+ Day Delinquencies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30+ Day Delinquencies</w:t>
            </w:r>
          </w:p>
        </w:tc>
      </w:tr>
      <w:tr w:rsidR="00000000">
        <w:trPr>
          <w:divId w:val="23875380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23875380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23875380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2,388 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2,388 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23875380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3875380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3875380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3875380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3,140 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3,381 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3875380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3875380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2,360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3875380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3875380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0.66 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3875380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0.19 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0.35 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3875380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0.38 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0.66 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23875380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4,357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238753802"/>
        <w:rPr>
          <w:rFonts w:eastAsia="Times New Roman"/>
        </w:rPr>
      </w:pPr>
      <w:r>
        <w:rPr>
          <w:rFonts w:eastAsia="Times New Roman"/>
          <w:color w:val="000000"/>
          <w:sz w:val="20"/>
          <w:szCs w:val="20"/>
        </w:rPr>
        <w:t>__________</w:t>
      </w:r>
    </w:p>
    <w:p w:rsidR="00000000" w:rsidRDefault="00AF3814">
      <w:pPr>
        <w:ind w:hanging="360"/>
        <w:jc w:val="both"/>
        <w:divId w:val="147324978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Delinquency rates are calculated </w:t>
      </w:r>
      <w:r>
        <w:rPr>
          <w:rFonts w:eastAsia="Times New Roman"/>
          <w:color w:val="000000"/>
          <w:sz w:val="16"/>
          <w:szCs w:val="16"/>
        </w:rPr>
        <w:t>by dividing delinquency amounts by period-end loans held for investment for each specified loan category.</w:t>
      </w:r>
    </w:p>
    <w:p w:rsidR="00000000" w:rsidRDefault="00AF3814">
      <w:pPr>
        <w:jc w:val="both"/>
        <w:divId w:val="2133547814"/>
        <w:rPr>
          <w:rFonts w:eastAsia="Times New Roman"/>
        </w:rPr>
      </w:pPr>
      <w:r>
        <w:rPr>
          <w:rFonts w:eastAsia="Times New Roman"/>
          <w:color w:val="000000"/>
          <w:sz w:val="20"/>
          <w:szCs w:val="20"/>
        </w:rPr>
        <w:t>Table 24 presents our 30+ day delinquent loans, by aging and geography, as of June 30, 2021 and December 31, 2020.</w:t>
      </w:r>
    </w:p>
    <w:p w:rsidR="00000000" w:rsidRDefault="00AF3814">
      <w:pPr>
        <w:divId w:val="1576011674"/>
        <w:rPr>
          <w:rFonts w:eastAsia="Times New Roman"/>
        </w:rPr>
      </w:pPr>
      <w:r>
        <w:rPr>
          <w:rFonts w:eastAsia="Times New Roman"/>
          <w:b/>
          <w:bCs/>
          <w:color w:val="000000"/>
          <w:sz w:val="18"/>
          <w:szCs w:val="18"/>
        </w:rPr>
        <w:t>Table 24: Aging and Geography of 30</w:t>
      </w:r>
      <w:r>
        <w:rPr>
          <w:rFonts w:eastAsia="Times New Roman"/>
          <w:b/>
          <w:bCs/>
          <w:color w:val="000000"/>
          <w:sz w:val="18"/>
          <w:szCs w:val="18"/>
        </w:rPr>
        <w:t>+ Day Delinquent Loans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4449"/>
        <w:gridCol w:w="38"/>
        <w:gridCol w:w="36"/>
        <w:gridCol w:w="36"/>
        <w:gridCol w:w="36"/>
        <w:gridCol w:w="111"/>
        <w:gridCol w:w="658"/>
        <w:gridCol w:w="36"/>
        <w:gridCol w:w="36"/>
        <w:gridCol w:w="36"/>
        <w:gridCol w:w="36"/>
        <w:gridCol w:w="46"/>
        <w:gridCol w:w="635"/>
        <w:gridCol w:w="200"/>
        <w:gridCol w:w="36"/>
        <w:gridCol w:w="36"/>
        <w:gridCol w:w="36"/>
        <w:gridCol w:w="111"/>
        <w:gridCol w:w="660"/>
        <w:gridCol w:w="37"/>
        <w:gridCol w:w="36"/>
        <w:gridCol w:w="36"/>
        <w:gridCol w:w="36"/>
        <w:gridCol w:w="46"/>
        <w:gridCol w:w="638"/>
        <w:gridCol w:w="170"/>
      </w:tblGrid>
      <w:tr w:rsidR="00000000">
        <w:trPr>
          <w:divId w:val="1675842825"/>
        </w:trPr>
        <w:tc>
          <w:tcPr>
            <w:tcW w:w="50" w:type="pct"/>
            <w:vAlign w:val="center"/>
            <w:hideMark/>
          </w:tcPr>
          <w:p w:rsidR="00000000" w:rsidRDefault="00AF3814">
            <w:pPr>
              <w:rPr>
                <w:rFonts w:eastAsia="Times New Roman"/>
              </w:rPr>
            </w:pPr>
          </w:p>
        </w:tc>
        <w:tc>
          <w:tcPr>
            <w:tcW w:w="27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675842825"/>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675842825"/>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67584282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Delinquency status: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7584282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30 – 59 days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3,330 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167584282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60 – 89 days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1,485 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0.59 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7584282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433331606"/>
              <w:rPr>
                <w:rFonts w:eastAsia="Times New Roman"/>
              </w:rPr>
            </w:pPr>
            <w:r>
              <w:rPr>
                <w:rFonts w:eastAsia="Times New Roman"/>
                <w:color w:val="000000"/>
                <w:sz w:val="18"/>
                <w:szCs w:val="18"/>
                <w:u w:val="single"/>
              </w:rPr>
              <w:t>&gt;</w:t>
            </w:r>
            <w:r>
              <w:rPr>
                <w:rFonts w:eastAsia="Times New Roman"/>
                <w:color w:val="000000"/>
                <w:sz w:val="18"/>
                <w:szCs w:val="18"/>
              </w:rPr>
              <w:t xml:space="preserve"> 90 days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1,749 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0.70 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7584282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167584282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Geographic region:</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7584282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6,330 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167584282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7584282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bl>
    <w:p w:rsidR="00000000" w:rsidRDefault="00AF3814">
      <w:pPr>
        <w:jc w:val="both"/>
        <w:divId w:val="1675842825"/>
        <w:rPr>
          <w:rFonts w:eastAsia="Times New Roman"/>
        </w:rPr>
      </w:pPr>
      <w:r>
        <w:rPr>
          <w:rFonts w:eastAsia="Times New Roman"/>
          <w:color w:val="000000"/>
          <w:sz w:val="20"/>
          <w:szCs w:val="20"/>
        </w:rPr>
        <w:t>__________</w:t>
      </w:r>
    </w:p>
    <w:p w:rsidR="00000000" w:rsidRDefault="00AF3814">
      <w:pPr>
        <w:ind w:hanging="360"/>
        <w:jc w:val="both"/>
        <w:divId w:val="124625791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total period-end loans held for investment.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23512077"/>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23512077"/>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023512077"/>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68" style="width:0;height:1.5pt" o:hralign="center" o:hrstd="t" o:hr="t" fillcolor="#a0a0a0" stroked="f"/>
        </w:pict>
      </w:r>
    </w:p>
    <w:p w:rsidR="00000000" w:rsidRDefault="00AF3814">
      <w:pPr>
        <w:ind w:hanging="360"/>
        <w:jc w:val="both"/>
        <w:divId w:val="109786655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963657243"/>
        <w:rPr>
          <w:rFonts w:eastAsia="Times New Roman"/>
        </w:rPr>
      </w:pPr>
      <w:r>
        <w:rPr>
          <w:rFonts w:eastAsia="Times New Roman"/>
          <w:color w:val="000000"/>
          <w:sz w:val="20"/>
          <w:szCs w:val="20"/>
        </w:rPr>
        <w:t>Table 25 summarizes loans that were 90+ days delinquent as to interest or principal, and still accruing interest as of June 30, 2021 and Decemb</w:t>
      </w:r>
      <w:r>
        <w:rPr>
          <w:rFonts w:eastAsia="Times New Roman"/>
          <w:color w:val="000000"/>
          <w:sz w:val="20"/>
          <w:szCs w:val="20"/>
        </w:rPr>
        <w:t>er 31, 2020. These loans consist primarily of credit card accounts between 90 days and 179 days past due. As permitted by regulatory guidance issued by the Federal Financial Institutions Examination Council, we continue to accrue interest and fees on domes</w:t>
      </w:r>
      <w:r>
        <w:rPr>
          <w:rFonts w:eastAsia="Times New Roman"/>
          <w:color w:val="000000"/>
          <w:sz w:val="20"/>
          <w:szCs w:val="20"/>
        </w:rPr>
        <w:t>tic credit card loans through the date of charge off, which is typically in the period the account becomes 180 days past due.</w:t>
      </w:r>
    </w:p>
    <w:p w:rsidR="00000000" w:rsidRDefault="00AF3814">
      <w:pPr>
        <w:divId w:val="1014379574"/>
        <w:rPr>
          <w:rFonts w:eastAsia="Times New Roman"/>
        </w:rPr>
      </w:pPr>
      <w:r>
        <w:rPr>
          <w:rFonts w:eastAsia="Times New Roman"/>
          <w:b/>
          <w:bCs/>
          <w:color w:val="000000"/>
          <w:sz w:val="18"/>
          <w:szCs w:val="18"/>
        </w:rPr>
        <w:t>Table 25: 90+ Day Delinquent Loans Accruing Interest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448"/>
        <w:gridCol w:w="38"/>
        <w:gridCol w:w="36"/>
        <w:gridCol w:w="36"/>
        <w:gridCol w:w="36"/>
        <w:gridCol w:w="111"/>
        <w:gridCol w:w="658"/>
        <w:gridCol w:w="36"/>
        <w:gridCol w:w="36"/>
        <w:gridCol w:w="36"/>
        <w:gridCol w:w="36"/>
        <w:gridCol w:w="46"/>
        <w:gridCol w:w="635"/>
        <w:gridCol w:w="200"/>
        <w:gridCol w:w="36"/>
        <w:gridCol w:w="36"/>
        <w:gridCol w:w="36"/>
        <w:gridCol w:w="111"/>
        <w:gridCol w:w="660"/>
        <w:gridCol w:w="37"/>
        <w:gridCol w:w="36"/>
        <w:gridCol w:w="36"/>
        <w:gridCol w:w="36"/>
        <w:gridCol w:w="46"/>
        <w:gridCol w:w="638"/>
        <w:gridCol w:w="170"/>
      </w:tblGrid>
      <w:tr w:rsidR="00000000">
        <w:trPr>
          <w:divId w:val="2128308496"/>
        </w:trPr>
        <w:tc>
          <w:tcPr>
            <w:tcW w:w="50" w:type="pct"/>
            <w:vAlign w:val="center"/>
            <w:hideMark/>
          </w:tcPr>
          <w:p w:rsidR="00000000" w:rsidRDefault="00AF3814">
            <w:pPr>
              <w:rPr>
                <w:rFonts w:eastAsia="Times New Roman"/>
              </w:rPr>
            </w:pPr>
          </w:p>
        </w:tc>
        <w:tc>
          <w:tcPr>
            <w:tcW w:w="27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128308496"/>
        </w:trPr>
        <w:tc>
          <w:tcPr>
            <w:tcW w:w="0" w:type="auto"/>
            <w:gridSpan w:val="3"/>
            <w:tcMar>
              <w:top w:w="30" w:type="dxa"/>
              <w:left w:w="245"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212830849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21283084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Loan category: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2830849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1,251 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212830849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2830849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0.52 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2830849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Geographic region: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2830849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1,220 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0.50 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212830849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0.97 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2830849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0.52 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2128308496"/>
        <w:rPr>
          <w:rFonts w:eastAsia="Times New Roman"/>
        </w:rPr>
      </w:pPr>
      <w:r>
        <w:rPr>
          <w:rFonts w:eastAsia="Times New Roman"/>
          <w:color w:val="000000"/>
          <w:sz w:val="20"/>
          <w:szCs w:val="20"/>
        </w:rPr>
        <w:t>__________</w:t>
      </w:r>
    </w:p>
    <w:p w:rsidR="00000000" w:rsidRDefault="00AF3814">
      <w:pPr>
        <w:ind w:hanging="360"/>
        <w:jc w:val="both"/>
        <w:divId w:val="76141030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period-end loans held for investment for each specified loan category.</w:t>
      </w:r>
    </w:p>
    <w:p w:rsidR="00000000" w:rsidRDefault="00AF3814">
      <w:pPr>
        <w:divId w:val="816653258"/>
        <w:rPr>
          <w:rFonts w:eastAsia="Times New Roman"/>
        </w:rPr>
      </w:pPr>
      <w:r>
        <w:rPr>
          <w:rFonts w:eastAsia="Times New Roman"/>
          <w:b/>
          <w:bCs/>
          <w:i/>
          <w:iCs/>
          <w:color w:val="000000"/>
          <w:sz w:val="20"/>
          <w:szCs w:val="20"/>
        </w:rPr>
        <w:t>Nonperforming Loans and Nonperforming Assets</w:t>
      </w:r>
    </w:p>
    <w:p w:rsidR="00000000" w:rsidRDefault="00AF3814">
      <w:pPr>
        <w:jc w:val="both"/>
        <w:divId w:val="561529781"/>
        <w:rPr>
          <w:rFonts w:eastAsia="Times New Roman"/>
        </w:rPr>
      </w:pPr>
      <w:r>
        <w:rPr>
          <w:rFonts w:eastAsia="Times New Roman"/>
          <w:color w:val="000000"/>
          <w:sz w:val="20"/>
          <w:szCs w:val="20"/>
        </w:rPr>
        <w:t>Nonperforming assets consist of nonperforming loans, repossessed asse</w:t>
      </w:r>
      <w:r>
        <w:rPr>
          <w:rFonts w:eastAsia="Times New Roman"/>
          <w:color w:val="000000"/>
          <w:sz w:val="20"/>
          <w:szCs w:val="20"/>
        </w:rPr>
        <w:t>ts and other foreclosed assets. Nonperforming loans include loans that have been placed on nonaccrual status. See “Note 1—Summary of Significant Accounting Policies” in our 2020 Form 10-K for information on our policies for classifying loans as nonperformi</w:t>
      </w:r>
      <w:r>
        <w:rPr>
          <w:rFonts w:eastAsia="Times New Roman"/>
          <w:color w:val="000000"/>
          <w:sz w:val="20"/>
          <w:szCs w:val="20"/>
        </w:rPr>
        <w:t>ng for each of our loan categories.</w:t>
      </w:r>
    </w:p>
    <w:p w:rsidR="00000000" w:rsidRDefault="00AF3814">
      <w:pPr>
        <w:jc w:val="both"/>
        <w:divId w:val="214121499"/>
        <w:rPr>
          <w:rFonts w:eastAsia="Times New Roman"/>
        </w:rPr>
      </w:pPr>
      <w:r>
        <w:rPr>
          <w:rFonts w:eastAsia="Times New Roman"/>
          <w:color w:val="000000"/>
          <w:sz w:val="20"/>
          <w:szCs w:val="20"/>
        </w:rPr>
        <w:t>Table 26 presents our nonperforming loans, by portfolio segment, and other nonperforming assets as of June 30, 2021 and December 31, 2020. We do not classify loans held for sale as nonperforming. We provide additional in</w:t>
      </w:r>
      <w:r>
        <w:rPr>
          <w:rFonts w:eastAsia="Times New Roman"/>
          <w:color w:val="000000"/>
          <w:sz w:val="20"/>
          <w:szCs w:val="20"/>
        </w:rPr>
        <w:t>formation on our credit quality metrics in “MD&amp;A—Business Segment Financial Performance.”</w:t>
      </w:r>
    </w:p>
    <w:p w:rsidR="00000000" w:rsidRDefault="00AF3814">
      <w:pPr>
        <w:divId w:val="1652365374"/>
        <w:rPr>
          <w:rFonts w:eastAsia="Times New Roman"/>
        </w:rPr>
      </w:pPr>
      <w:r>
        <w:rPr>
          <w:rFonts w:eastAsia="Times New Roman"/>
          <w:b/>
          <w:bCs/>
          <w:color w:val="000000"/>
          <w:sz w:val="18"/>
          <w:szCs w:val="18"/>
        </w:rPr>
        <w:t>Table 26: Nonperforming Loans and Other Nonperforming Asset</w:t>
      </w:r>
      <w:r>
        <w:rPr>
          <w:rFonts w:eastAsia="Times New Roman"/>
          <w:b/>
          <w:bCs/>
          <w:color w:val="000000"/>
          <w:sz w:val="18"/>
          <w:szCs w:val="18"/>
        </w:rPr>
        <w:t>s</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646"/>
        <w:gridCol w:w="37"/>
        <w:gridCol w:w="36"/>
        <w:gridCol w:w="36"/>
        <w:gridCol w:w="36"/>
        <w:gridCol w:w="111"/>
        <w:gridCol w:w="608"/>
        <w:gridCol w:w="36"/>
        <w:gridCol w:w="36"/>
        <w:gridCol w:w="36"/>
        <w:gridCol w:w="36"/>
        <w:gridCol w:w="40"/>
        <w:gridCol w:w="594"/>
        <w:gridCol w:w="200"/>
        <w:gridCol w:w="36"/>
        <w:gridCol w:w="36"/>
        <w:gridCol w:w="36"/>
        <w:gridCol w:w="111"/>
        <w:gridCol w:w="610"/>
        <w:gridCol w:w="37"/>
        <w:gridCol w:w="36"/>
        <w:gridCol w:w="36"/>
        <w:gridCol w:w="36"/>
        <w:gridCol w:w="40"/>
        <w:gridCol w:w="596"/>
        <w:gridCol w:w="170"/>
      </w:tblGrid>
      <w:tr w:rsidR="00000000">
        <w:trPr>
          <w:divId w:val="717555160"/>
        </w:trPr>
        <w:tc>
          <w:tcPr>
            <w:tcW w:w="50" w:type="pct"/>
            <w:vAlign w:val="center"/>
            <w:hideMark/>
          </w:tcPr>
          <w:p w:rsidR="00000000" w:rsidRDefault="00AF3814">
            <w:pPr>
              <w:rPr>
                <w:rFonts w:eastAsia="Times New Roman"/>
              </w:rPr>
            </w:pPr>
          </w:p>
        </w:tc>
        <w:tc>
          <w:tcPr>
            <w:tcW w:w="28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717555160"/>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71755516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Rate</w:t>
            </w:r>
          </w:p>
        </w:tc>
      </w:tr>
      <w:tr w:rsidR="00000000">
        <w:trPr>
          <w:divId w:val="7175551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154731119"/>
              <w:rPr>
                <w:rFonts w:eastAsia="Times New Roman"/>
              </w:rPr>
            </w:pPr>
            <w:r>
              <w:rPr>
                <w:rFonts w:eastAsia="Times New Roman"/>
                <w:b/>
                <w:bCs/>
                <w:color w:val="000000"/>
                <w:sz w:val="18"/>
                <w:szCs w:val="18"/>
              </w:rPr>
              <w:t>Nonperforming loans held for investment</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7175551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71755516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0.24 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7175551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7175551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71755516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71755516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0.96 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7175551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7175551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71755516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0.65 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71755516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7175551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0.86 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7175551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831093965"/>
              <w:rPr>
                <w:rFonts w:eastAsia="Times New Roman"/>
              </w:rPr>
            </w:pPr>
            <w:r>
              <w:rPr>
                <w:rFonts w:eastAsia="Times New Roman"/>
                <w:color w:val="000000"/>
                <w:sz w:val="18"/>
                <w:szCs w:val="18"/>
              </w:rPr>
              <w:t>Total nonperforming loans held for investmen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1,033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0.40 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7175551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205947393"/>
              <w:rPr>
                <w:rFonts w:eastAsia="Times New Roman"/>
              </w:rPr>
            </w:pPr>
            <w:r>
              <w:rPr>
                <w:rFonts w:eastAsia="Times New Roman"/>
                <w:color w:val="000000"/>
                <w:sz w:val="18"/>
                <w:szCs w:val="18"/>
              </w:rPr>
              <w:t>Other nonperforming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7175551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nonperforming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0.41 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717555160"/>
        <w:rPr>
          <w:rFonts w:eastAsia="Times New Roman"/>
        </w:rPr>
      </w:pPr>
      <w:r>
        <w:rPr>
          <w:rFonts w:eastAsia="Times New Roman"/>
          <w:color w:val="000000"/>
          <w:sz w:val="20"/>
          <w:szCs w:val="20"/>
        </w:rPr>
        <w:t>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97059294"/>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9705929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59705929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69" style="width:0;height:1.5pt" o:hralign="center" o:hrstd="t" o:hr="t" fillcolor="#a0a0a0" stroked="f"/>
        </w:pict>
      </w:r>
    </w:p>
    <w:p w:rsidR="00000000" w:rsidRDefault="00AF3814">
      <w:pPr>
        <w:ind w:hanging="360"/>
        <w:jc w:val="both"/>
        <w:divId w:val="193928984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ind w:hanging="360"/>
        <w:jc w:val="both"/>
        <w:divId w:val="120752080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$8 million and $11 million in the first six months of 2021 and 2020, respectively. Interest income foregone related to nonperforming loans was $30 million and $35 million in the first s</w:t>
      </w:r>
      <w:r>
        <w:rPr>
          <w:rFonts w:eastAsia="Times New Roman"/>
          <w:color w:val="000000"/>
          <w:sz w:val="16"/>
          <w:szCs w:val="16"/>
        </w:rPr>
        <w:t xml:space="preserve">ix months of 2021 and 2020, respectively. Foregone interest income represents the amount of interest income in excess of recognized interest income that would have been recorded during the period for nonperforming loans as of the end of the period had the </w:t>
      </w:r>
      <w:r>
        <w:rPr>
          <w:rFonts w:eastAsia="Times New Roman"/>
          <w:color w:val="000000"/>
          <w:sz w:val="16"/>
          <w:szCs w:val="16"/>
        </w:rPr>
        <w:t>loans performed according to their contractual terms.</w:t>
      </w:r>
    </w:p>
    <w:p w:rsidR="00000000" w:rsidRDefault="00AF3814">
      <w:pPr>
        <w:ind w:hanging="360"/>
        <w:jc w:val="both"/>
        <w:divId w:val="169576861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loan rates are calculated based on nonperforming loans for each category divided by period-end total loans held for investment for each respective category.</w:t>
      </w:r>
    </w:p>
    <w:p w:rsidR="00000000" w:rsidRDefault="00AF3814">
      <w:pPr>
        <w:ind w:hanging="360"/>
        <w:jc w:val="both"/>
        <w:divId w:val="201020944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Excluding the impact of d</w:t>
      </w:r>
      <w:r>
        <w:rPr>
          <w:rFonts w:eastAsia="Times New Roman"/>
          <w:color w:val="000000"/>
          <w:sz w:val="16"/>
          <w:szCs w:val="16"/>
        </w:rPr>
        <w:t>omestic credit card loans, nonperforming loans as a percentage of total loans held for investment was 0.67% and 0.65% as of June 30, 2021 and December 31, 2020, respectively.</w:t>
      </w:r>
    </w:p>
    <w:p w:rsidR="00000000" w:rsidRDefault="00AF3814">
      <w:pPr>
        <w:ind w:hanging="360"/>
        <w:jc w:val="both"/>
        <w:divId w:val="1342315661"/>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The denominators used in calculating nonperforming asset rates consist of tota</w:t>
      </w:r>
      <w:r>
        <w:rPr>
          <w:rFonts w:eastAsia="Times New Roman"/>
          <w:color w:val="000000"/>
          <w:sz w:val="16"/>
          <w:szCs w:val="16"/>
        </w:rPr>
        <w:t xml:space="preserve">l loans held for investment and other nonperforming assets. </w:t>
      </w:r>
    </w:p>
    <w:p w:rsidR="00000000" w:rsidRDefault="00AF3814">
      <w:pPr>
        <w:divId w:val="1310405217"/>
        <w:rPr>
          <w:rFonts w:eastAsia="Times New Roman"/>
        </w:rPr>
      </w:pPr>
      <w:r>
        <w:rPr>
          <w:rFonts w:eastAsia="Times New Roman"/>
          <w:b/>
          <w:bCs/>
          <w:i/>
          <w:iCs/>
          <w:color w:val="000000"/>
          <w:sz w:val="20"/>
          <w:szCs w:val="20"/>
        </w:rPr>
        <w:t>Net Charge-Offs</w:t>
      </w:r>
    </w:p>
    <w:p w:rsidR="00000000" w:rsidRDefault="00AF3814">
      <w:pPr>
        <w:jc w:val="both"/>
        <w:divId w:val="1247569220"/>
        <w:rPr>
          <w:rFonts w:eastAsia="Times New Roman"/>
        </w:rPr>
      </w:pPr>
      <w:r>
        <w:rPr>
          <w:rFonts w:eastAsia="Times New Roman"/>
          <w:color w:val="000000"/>
          <w:sz w:val="20"/>
          <w:szCs w:val="20"/>
        </w:rPr>
        <w:t>Net charge-offs consist of the amortized cost basis, excluding accrued interest, of loans held for investment that we determine to be uncollectible, net of recovered amounts. We c</w:t>
      </w:r>
      <w:r>
        <w:rPr>
          <w:rFonts w:eastAsia="Times New Roman"/>
          <w:color w:val="000000"/>
          <w:sz w:val="20"/>
          <w:szCs w:val="20"/>
        </w:rPr>
        <w:t xml:space="preserve">harge off loans as a reduction to the allowance for credit losses when we determine the loan is uncollectible and record subsequent recoveries of previously charged off amounts as increases to the allowance for credit losses. Uncollectible finance charges </w:t>
      </w:r>
      <w:r>
        <w:rPr>
          <w:rFonts w:eastAsia="Times New Roman"/>
          <w:color w:val="000000"/>
          <w:sz w:val="20"/>
          <w:szCs w:val="20"/>
        </w:rPr>
        <w:t>and fees are reversed through revenue and certain fraud losses are recorded in other non-interest expense. Generally, costs to recover charged off loans are recorded as collection expenses as incurred and included in our consolidated statements of income a</w:t>
      </w:r>
      <w:r>
        <w:rPr>
          <w:rFonts w:eastAsia="Times New Roman"/>
          <w:color w:val="000000"/>
          <w:sz w:val="20"/>
          <w:szCs w:val="20"/>
        </w:rPr>
        <w:t>s a component of other non-interest expense. Our charge-off policy for loans varies based on the loan type. See “Note 1—Summary of Significant Accounting Policies” in our 2020 Form 10-K for information on our charge-off policy for each of our loan categori</w:t>
      </w:r>
      <w:r>
        <w:rPr>
          <w:rFonts w:eastAsia="Times New Roman"/>
          <w:color w:val="000000"/>
          <w:sz w:val="20"/>
          <w:szCs w:val="20"/>
        </w:rPr>
        <w:t>es.</w:t>
      </w:r>
    </w:p>
    <w:p w:rsidR="00000000" w:rsidRDefault="00AF3814">
      <w:pPr>
        <w:jc w:val="both"/>
        <w:divId w:val="317996558"/>
        <w:rPr>
          <w:rFonts w:eastAsia="Times New Roman"/>
        </w:rPr>
      </w:pPr>
      <w:r>
        <w:rPr>
          <w:rFonts w:eastAsia="Times New Roman"/>
          <w:color w:val="000000"/>
          <w:sz w:val="20"/>
          <w:szCs w:val="20"/>
        </w:rPr>
        <w:t>Table 27 presents our net charge-off amounts and rates, by portfolio segment, in the second quarter and first six months of 2021 and 2020.</w:t>
      </w:r>
    </w:p>
    <w:p w:rsidR="00000000" w:rsidRDefault="00AF3814">
      <w:pPr>
        <w:divId w:val="1075207007"/>
        <w:rPr>
          <w:rFonts w:eastAsia="Times New Roman"/>
        </w:rPr>
      </w:pPr>
      <w:r>
        <w:rPr>
          <w:rFonts w:eastAsia="Times New Roman"/>
          <w:b/>
          <w:bCs/>
          <w:color w:val="000000"/>
          <w:sz w:val="18"/>
          <w:szCs w:val="18"/>
        </w:rPr>
        <w:t>Table 27: Net Charge-Offs (Recoveries)</w:t>
      </w:r>
    </w:p>
    <w:tbl>
      <w:tblPr>
        <w:tblW w:w="5000" w:type="pct"/>
        <w:tblCellMar>
          <w:top w:w="15" w:type="dxa"/>
          <w:left w:w="15" w:type="dxa"/>
          <w:bottom w:w="15" w:type="dxa"/>
          <w:right w:w="15" w:type="dxa"/>
        </w:tblCellMar>
        <w:tblLook w:val="04A0" w:firstRow="1" w:lastRow="0" w:firstColumn="1" w:lastColumn="0" w:noHBand="0" w:noVBand="1"/>
      </w:tblPr>
      <w:tblGrid>
        <w:gridCol w:w="39"/>
        <w:gridCol w:w="1385"/>
        <w:gridCol w:w="38"/>
        <w:gridCol w:w="36"/>
        <w:gridCol w:w="36"/>
        <w:gridCol w:w="36"/>
        <w:gridCol w:w="110"/>
        <w:gridCol w:w="630"/>
        <w:gridCol w:w="36"/>
        <w:gridCol w:w="36"/>
        <w:gridCol w:w="36"/>
        <w:gridCol w:w="36"/>
        <w:gridCol w:w="62"/>
        <w:gridCol w:w="409"/>
        <w:gridCol w:w="200"/>
        <w:gridCol w:w="36"/>
        <w:gridCol w:w="36"/>
        <w:gridCol w:w="36"/>
        <w:gridCol w:w="110"/>
        <w:gridCol w:w="630"/>
        <w:gridCol w:w="36"/>
        <w:gridCol w:w="36"/>
        <w:gridCol w:w="36"/>
        <w:gridCol w:w="36"/>
        <w:gridCol w:w="62"/>
        <w:gridCol w:w="409"/>
        <w:gridCol w:w="170"/>
        <w:gridCol w:w="36"/>
        <w:gridCol w:w="36"/>
        <w:gridCol w:w="36"/>
        <w:gridCol w:w="110"/>
        <w:gridCol w:w="630"/>
        <w:gridCol w:w="36"/>
        <w:gridCol w:w="36"/>
        <w:gridCol w:w="36"/>
        <w:gridCol w:w="36"/>
        <w:gridCol w:w="62"/>
        <w:gridCol w:w="409"/>
        <w:gridCol w:w="200"/>
        <w:gridCol w:w="36"/>
        <w:gridCol w:w="36"/>
        <w:gridCol w:w="36"/>
        <w:gridCol w:w="110"/>
        <w:gridCol w:w="630"/>
        <w:gridCol w:w="36"/>
        <w:gridCol w:w="36"/>
        <w:gridCol w:w="36"/>
        <w:gridCol w:w="36"/>
        <w:gridCol w:w="62"/>
        <w:gridCol w:w="409"/>
        <w:gridCol w:w="170"/>
        <w:gridCol w:w="36"/>
        <w:gridCol w:w="36"/>
        <w:gridCol w:w="36"/>
        <w:gridCol w:w="36"/>
        <w:gridCol w:w="36"/>
        <w:gridCol w:w="36"/>
        <w:gridCol w:w="36"/>
      </w:tblGrid>
      <w:tr w:rsidR="00000000">
        <w:trPr>
          <w:divId w:val="338696424"/>
        </w:trPr>
        <w:tc>
          <w:tcPr>
            <w:tcW w:w="50" w:type="pct"/>
            <w:vAlign w:val="center"/>
            <w:hideMark/>
          </w:tcPr>
          <w:p w:rsidR="00000000" w:rsidRDefault="00AF3814">
            <w:pPr>
              <w:rPr>
                <w:rFonts w:eastAsia="Times New Roman"/>
              </w:rPr>
            </w:pPr>
          </w:p>
        </w:tc>
        <w:tc>
          <w:tcPr>
            <w:tcW w:w="156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38696424"/>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38696424"/>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38696424"/>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3869642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4.53 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2,474 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4.46 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1,204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3869642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33869642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(0.21)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0.78 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0.87 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0.51 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0.54 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net 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33869642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Average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246,463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253,358 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245,207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258,124 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bl>
    <w:p w:rsidR="00000000" w:rsidRDefault="00AF3814">
      <w:pPr>
        <w:divId w:val="338696424"/>
        <w:rPr>
          <w:rFonts w:eastAsia="Times New Roman"/>
        </w:rPr>
      </w:pPr>
      <w:r>
        <w:rPr>
          <w:rFonts w:eastAsia="Times New Roman"/>
          <w:color w:val="000000"/>
          <w:sz w:val="20"/>
          <w:szCs w:val="20"/>
        </w:rPr>
        <w:t>__________</w:t>
      </w:r>
    </w:p>
    <w:p w:rsidR="00000000" w:rsidRDefault="00AF3814">
      <w:pPr>
        <w:ind w:hanging="360"/>
        <w:jc w:val="both"/>
        <w:divId w:val="10396067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Net charge-off (recovery) rates a</w:t>
      </w:r>
      <w:r>
        <w:rPr>
          <w:rFonts w:eastAsia="Times New Roman"/>
          <w:color w:val="000000"/>
          <w:sz w:val="16"/>
          <w:szCs w:val="16"/>
        </w:rPr>
        <w:t>re calculated by dividing annualized net charge-offs (recoveries) by average loans held for investment for the period for each loan category.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80695040"/>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80695040"/>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8069504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70" style="width:0;height:1.5pt" o:hralign="center" o:hrstd="t" o:hr="t" fillcolor="#a0a0a0" stroked="f"/>
        </w:pict>
      </w:r>
    </w:p>
    <w:p w:rsidR="00000000" w:rsidRDefault="00AF3814">
      <w:pPr>
        <w:ind w:hanging="360"/>
        <w:jc w:val="both"/>
        <w:divId w:val="1124930714"/>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2102674049"/>
        <w:rPr>
          <w:rFonts w:eastAsia="Times New Roman"/>
        </w:rPr>
      </w:pPr>
      <w:r>
        <w:rPr>
          <w:rFonts w:eastAsia="Times New Roman"/>
          <w:b/>
          <w:bCs/>
          <w:color w:val="000000"/>
          <w:sz w:val="20"/>
          <w:szCs w:val="20"/>
        </w:rPr>
        <w:t>Troubled Debt Restructurings</w:t>
      </w:r>
    </w:p>
    <w:p w:rsidR="00000000" w:rsidRDefault="00AF3814">
      <w:pPr>
        <w:jc w:val="both"/>
        <w:divId w:val="1582985187"/>
        <w:rPr>
          <w:rFonts w:eastAsia="Times New Roman"/>
        </w:rPr>
      </w:pPr>
      <w:r>
        <w:rPr>
          <w:rFonts w:eastAsia="Times New Roman"/>
          <w:color w:val="000000"/>
          <w:sz w:val="20"/>
          <w:szCs w:val="20"/>
        </w:rPr>
        <w:t xml:space="preserve">As part of our loss mitigation efforts, we may provide short-term (three to twelve months) or long-term (greater than twelve months) modifications to a borrower experiencing financial difficulty to improve long-term collectability of the loan and to avoid </w:t>
      </w:r>
      <w:r>
        <w:rPr>
          <w:rFonts w:eastAsia="Times New Roman"/>
          <w:color w:val="000000"/>
          <w:sz w:val="20"/>
          <w:szCs w:val="20"/>
        </w:rPr>
        <w:t>the need for repossession or foreclosure of collateral.</w:t>
      </w:r>
    </w:p>
    <w:p w:rsidR="00000000" w:rsidRDefault="00AF3814">
      <w:pPr>
        <w:jc w:val="both"/>
        <w:divId w:val="129713461"/>
        <w:rPr>
          <w:rFonts w:eastAsia="Times New Roman"/>
        </w:rPr>
      </w:pPr>
      <w:r>
        <w:rPr>
          <w:rFonts w:eastAsia="Times New Roman"/>
          <w:color w:val="000000"/>
          <w:sz w:val="20"/>
          <w:szCs w:val="20"/>
        </w:rPr>
        <w:t>Guidance issued by the Federal Banking Agencies and contained in the Coronavirus Aid, Relief, and Economic Security Act (the “CARES Act”) provides banking organizations with TDR relief for loan modifi</w:t>
      </w:r>
      <w:r>
        <w:rPr>
          <w:rFonts w:eastAsia="Times New Roman"/>
          <w:color w:val="000000"/>
          <w:sz w:val="20"/>
          <w:szCs w:val="20"/>
        </w:rPr>
        <w:t>cations to current borrowers impacted by the COVID-19 pandemic. The majority of enrollments in our COVID-19 programs through June 30, 2021 would generally not have resulted in TDR classification under our existing policies as the concession granted was ins</w:t>
      </w:r>
      <w:r>
        <w:rPr>
          <w:rFonts w:eastAsia="Times New Roman"/>
          <w:color w:val="000000"/>
          <w:sz w:val="20"/>
          <w:szCs w:val="20"/>
        </w:rPr>
        <w:t>ignificant. We consider the impact of all loan modifications, including those classified as TDRs and those offered in response to the COVID-19 pandemic, when estimating the credit quality of our loan portfolio and establishing allowance levels.</w:t>
      </w:r>
    </w:p>
    <w:p w:rsidR="00000000" w:rsidRDefault="00AF3814">
      <w:pPr>
        <w:jc w:val="both"/>
        <w:divId w:val="232787432"/>
        <w:rPr>
          <w:rFonts w:eastAsia="Times New Roman"/>
        </w:rPr>
      </w:pPr>
      <w:r>
        <w:rPr>
          <w:rFonts w:eastAsia="Times New Roman"/>
          <w:color w:val="000000"/>
          <w:sz w:val="20"/>
          <w:szCs w:val="20"/>
        </w:rPr>
        <w:t>Table 28 pr</w:t>
      </w:r>
      <w:r>
        <w:rPr>
          <w:rFonts w:eastAsia="Times New Roman"/>
          <w:color w:val="000000"/>
          <w:sz w:val="20"/>
          <w:szCs w:val="20"/>
        </w:rPr>
        <w:t>esents our amortized cost of loans modified in TDRs as of June 30, 2021 and December 31, 2020, which excludes loan modifications that do not meet the definition of a TDR and loans that received relief under the guidance issued by the Federal Banking Agenci</w:t>
      </w:r>
      <w:r>
        <w:rPr>
          <w:rFonts w:eastAsia="Times New Roman"/>
          <w:color w:val="000000"/>
          <w:sz w:val="20"/>
          <w:szCs w:val="20"/>
        </w:rPr>
        <w:t>es and contained in the CARES Act in response to the COVID-19 pandemic.</w:t>
      </w:r>
    </w:p>
    <w:p w:rsidR="00000000" w:rsidRDefault="00AF3814">
      <w:pPr>
        <w:divId w:val="149568765"/>
        <w:rPr>
          <w:rFonts w:eastAsia="Times New Roman"/>
        </w:rPr>
      </w:pPr>
      <w:r>
        <w:rPr>
          <w:rFonts w:eastAsia="Times New Roman"/>
          <w:b/>
          <w:bCs/>
          <w:color w:val="000000"/>
          <w:sz w:val="18"/>
          <w:szCs w:val="18"/>
        </w:rPr>
        <w:t>Table 28: Troubled Debt Restructurings</w:t>
      </w:r>
    </w:p>
    <w:tbl>
      <w:tblPr>
        <w:tblW w:w="4992" w:type="pct"/>
        <w:tblCellMar>
          <w:top w:w="15" w:type="dxa"/>
          <w:left w:w="15" w:type="dxa"/>
          <w:bottom w:w="15" w:type="dxa"/>
          <w:right w:w="15" w:type="dxa"/>
        </w:tblCellMar>
        <w:tblLook w:val="04A0" w:firstRow="1" w:lastRow="0" w:firstColumn="1" w:lastColumn="0" w:noHBand="0" w:noVBand="1"/>
      </w:tblPr>
      <w:tblGrid>
        <w:gridCol w:w="41"/>
        <w:gridCol w:w="4091"/>
        <w:gridCol w:w="39"/>
        <w:gridCol w:w="36"/>
        <w:gridCol w:w="36"/>
        <w:gridCol w:w="36"/>
        <w:gridCol w:w="111"/>
        <w:gridCol w:w="538"/>
        <w:gridCol w:w="36"/>
        <w:gridCol w:w="36"/>
        <w:gridCol w:w="36"/>
        <w:gridCol w:w="36"/>
        <w:gridCol w:w="94"/>
        <w:gridCol w:w="880"/>
        <w:gridCol w:w="200"/>
        <w:gridCol w:w="36"/>
        <w:gridCol w:w="36"/>
        <w:gridCol w:w="36"/>
        <w:gridCol w:w="111"/>
        <w:gridCol w:w="539"/>
        <w:gridCol w:w="37"/>
        <w:gridCol w:w="36"/>
        <w:gridCol w:w="36"/>
        <w:gridCol w:w="36"/>
        <w:gridCol w:w="94"/>
        <w:gridCol w:w="880"/>
        <w:gridCol w:w="170"/>
      </w:tblGrid>
      <w:tr w:rsidR="00000000">
        <w:trPr>
          <w:divId w:val="1877572683"/>
        </w:trPr>
        <w:tc>
          <w:tcPr>
            <w:tcW w:w="50" w:type="pct"/>
            <w:vAlign w:val="center"/>
            <w:hideMark/>
          </w:tcPr>
          <w:p w:rsidR="00000000" w:rsidRDefault="00AF3814">
            <w:pPr>
              <w:rPr>
                <w:rFonts w:eastAsia="Times New Roman"/>
              </w:rPr>
            </w:pPr>
          </w:p>
        </w:tc>
        <w:tc>
          <w:tcPr>
            <w:tcW w:w="26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77572683"/>
        </w:trPr>
        <w:tc>
          <w:tcPr>
            <w:tcW w:w="0" w:type="auto"/>
            <w:gridSpan w:val="3"/>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877572683"/>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of Total Modifications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Total Modifications</w:t>
            </w:r>
          </w:p>
        </w:tc>
      </w:tr>
      <w:tr w:rsidR="00000000">
        <w:trPr>
          <w:divId w:val="187757268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77572683"/>
        </w:trPr>
        <w:tc>
          <w:tcPr>
            <w:tcW w:w="0" w:type="auto"/>
            <w:gridSpan w:val="3"/>
            <w:shd w:val="clear" w:color="auto" w:fill="FFFFFF"/>
            <w:tcMar>
              <w:top w:w="30" w:type="dxa"/>
              <w:left w:w="245"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1877572683"/>
        </w:trPr>
        <w:tc>
          <w:tcPr>
            <w:tcW w:w="0" w:type="auto"/>
            <w:gridSpan w:val="3"/>
            <w:shd w:val="clear" w:color="auto" w:fill="CCEEFF"/>
            <w:tcMar>
              <w:top w:w="30" w:type="dxa"/>
              <w:left w:w="245"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b/>
                <w:bCs/>
                <w:color w:val="000000"/>
                <w:sz w:val="18"/>
                <w:szCs w:val="18"/>
              </w:rPr>
              <w:t>10.3</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7757268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AF3814">
            <w:pPr>
              <w:spacing w:after="100"/>
              <w:jc w:val="right"/>
              <w:rPr>
                <w:rFonts w:eastAsia="Times New Roman"/>
              </w:rPr>
            </w:pPr>
            <w:r>
              <w:rPr>
                <w:rFonts w:eastAsia="Times New Roman"/>
                <w:b/>
                <w:bCs/>
                <w:color w:val="000000"/>
                <w:sz w:val="18"/>
                <w:szCs w:val="18"/>
              </w:rPr>
              <w:t>34.4</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775726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7757268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7757268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775726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775726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775726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187757268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Status of TDRs: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7757268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Performing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1,718 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187757268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Nonperforming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7757268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bl>
    <w:p w:rsidR="00000000" w:rsidRDefault="00AF3814">
      <w:pPr>
        <w:jc w:val="both"/>
        <w:divId w:val="145129330"/>
        <w:rPr>
          <w:rFonts w:eastAsia="Times New Roman"/>
        </w:rPr>
      </w:pPr>
      <w:r>
        <w:rPr>
          <w:rFonts w:eastAsia="Times New Roman"/>
          <w:color w:val="000000"/>
          <w:sz w:val="20"/>
          <w:szCs w:val="20"/>
        </w:rPr>
        <w:t>In our Credit Card business, the majority of our credit card loans modified in TDRs involve reducing the interest rate on the account and placing the customer on a fixed payment plan not exceeding 60 months. The effective interest rate in effect imm</w:t>
      </w:r>
      <w:r>
        <w:rPr>
          <w:rFonts w:eastAsia="Times New Roman"/>
          <w:color w:val="000000"/>
          <w:sz w:val="20"/>
          <w:szCs w:val="20"/>
        </w:rPr>
        <w:t>ediately prior to the loan modification is used as the effective interest rate for purposes of measuring impairment using the present value of expected cash flows. If the customer does not comply with the modified payment terms, then the credit card loan a</w:t>
      </w:r>
      <w:r>
        <w:rPr>
          <w:rFonts w:eastAsia="Times New Roman"/>
          <w:color w:val="000000"/>
          <w:sz w:val="20"/>
          <w:szCs w:val="20"/>
        </w:rPr>
        <w:t>greement may revert to its original payment terms, generally resulting in any loan outstanding reflected in the appropriate delinquency category and charged off in accordance with our standard charge-off policy.</w:t>
      </w:r>
    </w:p>
    <w:p w:rsidR="00000000" w:rsidRDefault="00AF3814">
      <w:pPr>
        <w:jc w:val="both"/>
        <w:divId w:val="1713647688"/>
        <w:rPr>
          <w:rFonts w:eastAsia="Times New Roman"/>
        </w:rPr>
      </w:pPr>
      <w:r>
        <w:rPr>
          <w:rFonts w:eastAsia="Times New Roman"/>
          <w:color w:val="000000"/>
          <w:sz w:val="20"/>
          <w:szCs w:val="20"/>
        </w:rPr>
        <w:t>In our Consumer Banking business, the majori</w:t>
      </w:r>
      <w:r>
        <w:rPr>
          <w:rFonts w:eastAsia="Times New Roman"/>
          <w:color w:val="000000"/>
          <w:sz w:val="20"/>
          <w:szCs w:val="20"/>
        </w:rPr>
        <w:t>ty of our loans modified in TDRs receive an extension, an interest rate reduction or principal reduction, or a combination of these concessions. In addition, TDRs also occur in connection with bankruptcy of the borrower. In certain bankruptcy discharges, t</w:t>
      </w:r>
      <w:r>
        <w:rPr>
          <w:rFonts w:eastAsia="Times New Roman"/>
          <w:color w:val="000000"/>
          <w:sz w:val="20"/>
          <w:szCs w:val="20"/>
        </w:rPr>
        <w:t>he loan is written down to the collateral value and the charged off amount is reported as principal reduction. Impairment is determined using the present value of expected cash flows or a collateral evaluation for certain auto loans where the collateral va</w:t>
      </w:r>
      <w:r>
        <w:rPr>
          <w:rFonts w:eastAsia="Times New Roman"/>
          <w:color w:val="000000"/>
          <w:sz w:val="20"/>
          <w:szCs w:val="20"/>
        </w:rPr>
        <w:t>lue is lower than the amortized cost.</w:t>
      </w:r>
    </w:p>
    <w:p w:rsidR="00000000" w:rsidRDefault="00AF3814">
      <w:pPr>
        <w:jc w:val="both"/>
        <w:divId w:val="1086994825"/>
        <w:rPr>
          <w:rFonts w:eastAsia="Times New Roman"/>
        </w:rPr>
      </w:pPr>
      <w:r>
        <w:rPr>
          <w:rFonts w:eastAsia="Times New Roman"/>
          <w:color w:val="000000"/>
          <w:sz w:val="20"/>
          <w:szCs w:val="20"/>
        </w:rPr>
        <w:t>In our Commercial Banking business, the majority of loans modified in TDRs receive an extension, with a portion of these loans receiving an interest rate reduction or a gross balance reduction. The impairment on modifi</w:t>
      </w:r>
      <w:r>
        <w:rPr>
          <w:rFonts w:eastAsia="Times New Roman"/>
          <w:color w:val="000000"/>
          <w:sz w:val="20"/>
          <w:szCs w:val="20"/>
        </w:rPr>
        <w:t>ed commercial loans is generally determined based on the underlying collateral value.</w:t>
      </w:r>
    </w:p>
    <w:p w:rsidR="00000000" w:rsidRDefault="00AF3814">
      <w:pPr>
        <w:jc w:val="both"/>
        <w:divId w:val="1721780134"/>
        <w:rPr>
          <w:rFonts w:eastAsia="Times New Roman"/>
        </w:rPr>
      </w:pPr>
      <w:r>
        <w:rPr>
          <w:rFonts w:eastAsia="Times New Roman"/>
          <w:color w:val="000000"/>
          <w:sz w:val="20"/>
          <w:szCs w:val="20"/>
        </w:rPr>
        <w:t xml:space="preserve">We provide additional information on modified loans accounted for as TDRs, including the performance of those loans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46934312"/>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46934312"/>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946934312"/>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71" style="width:0;height:1.5pt" o:hralign="center" o:hrstd="t" o:hr="t" fillcolor="#a0a0a0" stroked="f"/>
        </w:pict>
      </w:r>
    </w:p>
    <w:p w:rsidR="00000000" w:rsidRDefault="00AF3814">
      <w:pPr>
        <w:ind w:hanging="360"/>
        <w:jc w:val="both"/>
        <w:divId w:val="1511676643"/>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657421579"/>
        <w:rPr>
          <w:rFonts w:eastAsia="Times New Roman"/>
        </w:rPr>
      </w:pPr>
      <w:r>
        <w:rPr>
          <w:rFonts w:eastAsia="Times New Roman"/>
          <w:color w:val="000000"/>
          <w:sz w:val="20"/>
          <w:szCs w:val="20"/>
        </w:rPr>
        <w:t>subsequent to modification, in “Note 3—Loans.”</w:t>
      </w:r>
    </w:p>
    <w:p w:rsidR="00000000" w:rsidRDefault="00AF3814">
      <w:pPr>
        <w:divId w:val="1692295064"/>
        <w:rPr>
          <w:rFonts w:eastAsia="Times New Roman"/>
        </w:rPr>
      </w:pPr>
      <w:r>
        <w:rPr>
          <w:rFonts w:eastAsia="Times New Roman"/>
          <w:b/>
          <w:bCs/>
          <w:color w:val="000000"/>
          <w:sz w:val="20"/>
          <w:szCs w:val="20"/>
        </w:rPr>
        <w:t>Allowance for Credit Losses and Reserve for Unfunded Lending Commitments</w:t>
      </w:r>
    </w:p>
    <w:p w:rsidR="00000000" w:rsidRDefault="00AF3814">
      <w:pPr>
        <w:jc w:val="both"/>
        <w:divId w:val="1612781222"/>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sheet</w:t>
      </w:r>
      <w:r>
        <w:rPr>
          <w:rFonts w:eastAsia="Times New Roman"/>
          <w:color w:val="000000"/>
          <w:sz w:val="20"/>
          <w:szCs w:val="20"/>
        </w:rPr>
        <w:t xml:space="preserve"> date. Expected recoveries of amounts previously charged off or expected to be charged off are recognized within the allowance. We also estimate expected credit losses related to unfunded lending commitments that are not unconditionally cancellable. The pr</w:t>
      </w:r>
      <w:r>
        <w:rPr>
          <w:rFonts w:eastAsia="Times New Roman"/>
          <w:color w:val="000000"/>
          <w:sz w:val="20"/>
          <w:szCs w:val="20"/>
        </w:rPr>
        <w:t>ovision for losses on unfunded lending commitments is included in the provision for credit losses in our consolidated statements of income and the related reserve for unfunded lending commitments is included in other liabilities on our consolidated balance</w:t>
      </w:r>
      <w:r>
        <w:rPr>
          <w:rFonts w:eastAsia="Times New Roman"/>
          <w:color w:val="000000"/>
          <w:sz w:val="20"/>
          <w:szCs w:val="20"/>
        </w:rPr>
        <w:t xml:space="preserve"> sheets. We provide additional information on the methodologies and key assumptions used in determining our allowance for credit losses in “Note 1—Summary of Significant Accounting Policies” in our 2020 Form 10-K. </w:t>
      </w:r>
    </w:p>
    <w:p w:rsidR="00000000" w:rsidRDefault="00AF3814">
      <w:pPr>
        <w:jc w:val="both"/>
        <w:divId w:val="2052456673"/>
        <w:rPr>
          <w:rFonts w:eastAsia="Times New Roman"/>
        </w:rPr>
      </w:pPr>
      <w:r>
        <w:rPr>
          <w:rFonts w:eastAsia="Times New Roman"/>
          <w:color w:val="000000"/>
          <w:sz w:val="20"/>
          <w:szCs w:val="20"/>
        </w:rPr>
        <w:t>Table 29 presents changes in our allowanc</w:t>
      </w:r>
      <w:r>
        <w:rPr>
          <w:rFonts w:eastAsia="Times New Roman"/>
          <w:color w:val="000000"/>
          <w:sz w:val="20"/>
          <w:szCs w:val="20"/>
        </w:rPr>
        <w:t xml:space="preserve">e for credit losses and reserve for unfunded lending commitments for the second quarter and first six months of 2021 and 2020, and details by portfolio segment for the provision for credit losses, charge-offs and recoveries. </w:t>
      </w:r>
    </w:p>
    <w:p w:rsidR="00000000" w:rsidRDefault="00AF3814">
      <w:pPr>
        <w:divId w:val="1277710759"/>
        <w:rPr>
          <w:rFonts w:eastAsia="Times New Roman"/>
        </w:rPr>
      </w:pPr>
      <w:r>
        <w:rPr>
          <w:rFonts w:eastAsia="Times New Roman"/>
          <w:b/>
          <w:bCs/>
          <w:color w:val="000000"/>
          <w:sz w:val="18"/>
          <w:szCs w:val="18"/>
        </w:rPr>
        <w:t>Table 29: Allowance for Credit</w:t>
      </w:r>
      <w:r>
        <w:rPr>
          <w:rFonts w:eastAsia="Times New Roman"/>
          <w:b/>
          <w:bCs/>
          <w:color w:val="000000"/>
          <w:sz w:val="18"/>
          <w:szCs w:val="18"/>
        </w:rPr>
        <w:t xml:space="preserve"> Losses and Reserve for Unfunded Lending Commitments Activity</w:t>
      </w:r>
    </w:p>
    <w:tbl>
      <w:tblPr>
        <w:tblW w:w="4985" w:type="pct"/>
        <w:tblCellMar>
          <w:top w:w="15" w:type="dxa"/>
          <w:left w:w="15" w:type="dxa"/>
          <w:bottom w:w="15" w:type="dxa"/>
          <w:right w:w="15" w:type="dxa"/>
        </w:tblCellMar>
        <w:tblLook w:val="04A0" w:firstRow="1" w:lastRow="0" w:firstColumn="1" w:lastColumn="0" w:noHBand="0" w:noVBand="1"/>
      </w:tblPr>
      <w:tblGrid>
        <w:gridCol w:w="40"/>
        <w:gridCol w:w="2420"/>
        <w:gridCol w:w="39"/>
        <w:gridCol w:w="36"/>
        <w:gridCol w:w="36"/>
        <w:gridCol w:w="36"/>
        <w:gridCol w:w="100"/>
        <w:gridCol w:w="400"/>
        <w:gridCol w:w="36"/>
        <w:gridCol w:w="36"/>
        <w:gridCol w:w="36"/>
        <w:gridCol w:w="36"/>
        <w:gridCol w:w="101"/>
        <w:gridCol w:w="623"/>
        <w:gridCol w:w="36"/>
        <w:gridCol w:w="36"/>
        <w:gridCol w:w="36"/>
        <w:gridCol w:w="36"/>
        <w:gridCol w:w="100"/>
        <w:gridCol w:w="480"/>
        <w:gridCol w:w="36"/>
        <w:gridCol w:w="36"/>
        <w:gridCol w:w="36"/>
        <w:gridCol w:w="36"/>
        <w:gridCol w:w="100"/>
        <w:gridCol w:w="400"/>
        <w:gridCol w:w="36"/>
        <w:gridCol w:w="36"/>
        <w:gridCol w:w="36"/>
        <w:gridCol w:w="36"/>
        <w:gridCol w:w="101"/>
        <w:gridCol w:w="393"/>
        <w:gridCol w:w="36"/>
        <w:gridCol w:w="36"/>
        <w:gridCol w:w="36"/>
        <w:gridCol w:w="36"/>
        <w:gridCol w:w="101"/>
        <w:gridCol w:w="476"/>
        <w:gridCol w:w="36"/>
        <w:gridCol w:w="36"/>
        <w:gridCol w:w="36"/>
        <w:gridCol w:w="36"/>
        <w:gridCol w:w="101"/>
        <w:gridCol w:w="574"/>
        <w:gridCol w:w="36"/>
        <w:gridCol w:w="36"/>
        <w:gridCol w:w="36"/>
        <w:gridCol w:w="36"/>
        <w:gridCol w:w="100"/>
        <w:gridCol w:w="480"/>
        <w:gridCol w:w="36"/>
      </w:tblGrid>
      <w:tr w:rsidR="00000000">
        <w:trPr>
          <w:divId w:val="1391728374"/>
        </w:trPr>
        <w:tc>
          <w:tcPr>
            <w:tcW w:w="50" w:type="pct"/>
            <w:vAlign w:val="center"/>
            <w:hideMark/>
          </w:tcPr>
          <w:p w:rsidR="00000000" w:rsidRDefault="00AF3814">
            <w:pPr>
              <w:rPr>
                <w:rFonts w:eastAsia="Times New Roman"/>
              </w:rPr>
            </w:pPr>
          </w:p>
        </w:tc>
        <w:tc>
          <w:tcPr>
            <w:tcW w:w="19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Three Months Ended June 30, 2021</w:t>
            </w:r>
          </w:p>
        </w:tc>
      </w:tr>
      <w:tr w:rsidR="00000000">
        <w:trPr>
          <w:divId w:val="1391728374"/>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2"/>
                <w:szCs w:val="12"/>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Total Credit Card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Total Consumer Banking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Commercial Banking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Total</w:t>
            </w:r>
          </w:p>
        </w:tc>
      </w:tr>
      <w:tr w:rsidR="00000000">
        <w:trPr>
          <w:divId w:val="139172837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39172837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March 31,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9,572 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10,072 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2,405 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2,498 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14,017 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divId w:val="465707194"/>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(874)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(967)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(245)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(260)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(1,235)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divId w:val="116415253"/>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396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267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271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694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Net recoveries (charge-offs)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(522)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(571)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(561)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(635)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(305)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(306)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(196)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(1,137)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(1,083)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(283)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(177)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divId w:val="1543051275"/>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8,489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384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8,873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2,122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2,203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1,270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12,346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187 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187 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391728374"/>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Combined allowance and reserve as of June 30,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8,489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384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8,873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2,122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2,203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1,434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12,510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91728374"/>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91728374"/>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72" style="width:0;height:1.5pt" o:hralign="center" o:hrstd="t" o:hr="t" fillcolor="#a0a0a0" stroked="f"/>
        </w:pict>
      </w:r>
    </w:p>
    <w:p w:rsidR="00000000" w:rsidRDefault="00AF3814">
      <w:pPr>
        <w:ind w:hanging="360"/>
        <w:jc w:val="both"/>
        <w:divId w:val="1553033839"/>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2185"/>
        <w:gridCol w:w="39"/>
        <w:gridCol w:w="36"/>
        <w:gridCol w:w="36"/>
        <w:gridCol w:w="36"/>
        <w:gridCol w:w="100"/>
        <w:gridCol w:w="480"/>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30"/>
        <w:gridCol w:w="36"/>
        <w:gridCol w:w="36"/>
        <w:gridCol w:w="36"/>
        <w:gridCol w:w="36"/>
        <w:gridCol w:w="100"/>
        <w:gridCol w:w="480"/>
        <w:gridCol w:w="36"/>
      </w:tblGrid>
      <w:tr w:rsidR="00000000">
        <w:trPr>
          <w:divId w:val="1310090173"/>
        </w:trPr>
        <w:tc>
          <w:tcPr>
            <w:tcW w:w="50" w:type="pct"/>
            <w:vAlign w:val="center"/>
            <w:hideMark/>
          </w:tcPr>
          <w:p w:rsidR="00000000" w:rsidRDefault="00AF3814">
            <w:pPr>
              <w:ind w:hanging="360"/>
              <w:jc w:val="both"/>
              <w:rPr>
                <w:rFonts w:eastAsia="Times New Roman"/>
              </w:rPr>
            </w:pPr>
          </w:p>
        </w:tc>
        <w:tc>
          <w:tcPr>
            <w:tcW w:w="191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1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5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10090173"/>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5"/>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3"/>
                <w:szCs w:val="13"/>
              </w:rPr>
              <w:t>Six Months Ended June 30, 2021</w:t>
            </w:r>
          </w:p>
        </w:tc>
      </w:tr>
      <w:tr w:rsidR="00000000">
        <w:trPr>
          <w:divId w:val="1310090173"/>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10090173"/>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Total</w:t>
            </w:r>
          </w:p>
        </w:tc>
      </w:tr>
      <w:tr w:rsidR="00000000">
        <w:trPr>
          <w:divId w:val="131009017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31009017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10,650 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541 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11,191 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2,615 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1,658 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15,564 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10090173"/>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divId w:val="123279707"/>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(1,778)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(182)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(1,960)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(569)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(602)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(2,589)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1009017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divId w:val="1439835540"/>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669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756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522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1,308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10090173"/>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Net recoveries (charge-offs)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(1,109)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(1,204)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(1,281)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1009017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(1,052)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(1,127)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(437)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(432)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(391)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(1,950)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1009017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(2,161)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(2,331)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(493)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(3,231)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1009017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divId w:val="765199445"/>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10090173"/>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8,489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384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8,873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2,122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2,203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1,270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12,346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1009017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10090173"/>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1009017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310090173"/>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31009017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Combined allowance and reserve as of June 30,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8,489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384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5"/>
                <w:szCs w:val="15"/>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5"/>
                <w:szCs w:val="15"/>
              </w:rPr>
              <w:t>8,873</w:t>
            </w:r>
            <w:r>
              <w:rPr>
                <w:rFonts w:eastAsia="Times New Roman"/>
                <w:color w:val="000000"/>
                <w:sz w:val="15"/>
                <w:szCs w:val="15"/>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2,122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2,203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1,434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12,510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both"/>
        <w:divId w:val="164600462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04"/>
        <w:gridCol w:w="1937"/>
        <w:gridCol w:w="39"/>
        <w:gridCol w:w="36"/>
        <w:gridCol w:w="36"/>
        <w:gridCol w:w="36"/>
        <w:gridCol w:w="100"/>
        <w:gridCol w:w="479"/>
        <w:gridCol w:w="1"/>
        <w:gridCol w:w="36"/>
        <w:gridCol w:w="36"/>
        <w:gridCol w:w="36"/>
        <w:gridCol w:w="35"/>
        <w:gridCol w:w="1"/>
        <w:gridCol w:w="101"/>
        <w:gridCol w:w="42"/>
        <w:gridCol w:w="632"/>
        <w:gridCol w:w="36"/>
        <w:gridCol w:w="36"/>
        <w:gridCol w:w="36"/>
        <w:gridCol w:w="36"/>
        <w:gridCol w:w="100"/>
        <w:gridCol w:w="480"/>
        <w:gridCol w:w="36"/>
        <w:gridCol w:w="36"/>
        <w:gridCol w:w="36"/>
        <w:gridCol w:w="36"/>
        <w:gridCol w:w="100"/>
        <w:gridCol w:w="400"/>
        <w:gridCol w:w="36"/>
        <w:gridCol w:w="36"/>
        <w:gridCol w:w="36"/>
        <w:gridCol w:w="36"/>
        <w:gridCol w:w="101"/>
        <w:gridCol w:w="416"/>
        <w:gridCol w:w="15"/>
        <w:gridCol w:w="21"/>
        <w:gridCol w:w="36"/>
        <w:gridCol w:w="36"/>
        <w:gridCol w:w="36"/>
        <w:gridCol w:w="15"/>
        <w:gridCol w:w="86"/>
        <w:gridCol w:w="58"/>
        <w:gridCol w:w="468"/>
        <w:gridCol w:w="36"/>
        <w:gridCol w:w="36"/>
        <w:gridCol w:w="36"/>
        <w:gridCol w:w="36"/>
        <w:gridCol w:w="101"/>
        <w:gridCol w:w="630"/>
        <w:gridCol w:w="36"/>
        <w:gridCol w:w="36"/>
        <w:gridCol w:w="36"/>
        <w:gridCol w:w="36"/>
        <w:gridCol w:w="36"/>
        <w:gridCol w:w="36"/>
        <w:gridCol w:w="36"/>
        <w:gridCol w:w="36"/>
        <w:gridCol w:w="100"/>
        <w:gridCol w:w="480"/>
        <w:gridCol w:w="36"/>
        <w:gridCol w:w="429"/>
        <w:gridCol w:w="144"/>
      </w:tblGrid>
      <w:tr w:rsidR="00000000">
        <w:trPr>
          <w:gridAfter w:val="2"/>
          <w:divId w:val="1388992440"/>
        </w:trPr>
        <w:tc>
          <w:tcPr>
            <w:tcW w:w="50" w:type="pct"/>
            <w:vAlign w:val="center"/>
            <w:hideMark/>
          </w:tcPr>
          <w:p w:rsidR="00000000" w:rsidRDefault="00AF3814">
            <w:pPr>
              <w:jc w:val="both"/>
              <w:rPr>
                <w:rFonts w:eastAsia="Times New Roman"/>
              </w:rPr>
            </w:pPr>
          </w:p>
        </w:tc>
        <w:tc>
          <w:tcPr>
            <w:tcW w:w="1904"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6"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1"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1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317"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5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gridAfter w:val="2"/>
          <w:divId w:val="1388992440"/>
        </w:trPr>
        <w:tc>
          <w:tcPr>
            <w:tcW w:w="0" w:type="auto"/>
            <w:gridSpan w:val="4"/>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Three Months Ended June 30, 2020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gridAfter w:val="2"/>
          <w:divId w:val="1388992440"/>
        </w:trPr>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gridAfter w:val="2"/>
          <w:divId w:val="1388992440"/>
        </w:trPr>
        <w:tc>
          <w:tcPr>
            <w:tcW w:w="0" w:type="auto"/>
            <w:gridSpan w:val="4"/>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Domestic Card</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Total</w:t>
            </w:r>
          </w:p>
        </w:tc>
      </w:tr>
      <w:tr w:rsidR="00000000">
        <w:trPr>
          <w:gridAfter w:val="2"/>
          <w:divId w:val="1388992440"/>
        </w:trPr>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gridAfter w:val="2"/>
          <w:divId w:val="1388992440"/>
        </w:trPr>
        <w:tc>
          <w:tcPr>
            <w:tcW w:w="0" w:type="auto"/>
            <w:gridSpan w:val="4"/>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March 31,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9,806 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540 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10,346 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2,058 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96 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2,154 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1,573 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14,073 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
          <w:divId w:val="1388992440"/>
        </w:trPr>
        <w:tc>
          <w:tcPr>
            <w:tcW w:w="0" w:type="auto"/>
            <w:gridSpan w:val="4"/>
            <w:shd w:val="clear" w:color="auto" w:fill="CCEEFF"/>
            <w:tcMar>
              <w:top w:w="30" w:type="dxa"/>
              <w:left w:w="20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(1,493)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(1,612)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(399)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(416)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(2,131)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
          <w:divId w:val="1388992440"/>
        </w:trPr>
        <w:tc>
          <w:tcPr>
            <w:tcW w:w="0" w:type="auto"/>
            <w:gridSpan w:val="4"/>
            <w:shd w:val="clear" w:color="auto" w:fill="FFFFFF"/>
            <w:tcMar>
              <w:top w:w="30" w:type="dxa"/>
              <w:left w:w="20" w:type="dxa"/>
              <w:bottom w:w="30" w:type="dxa"/>
              <w:right w:w="20" w:type="dxa"/>
            </w:tcMar>
            <w:vAlign w:val="bottom"/>
            <w:hideMark/>
          </w:tcPr>
          <w:p w:rsidR="00000000" w:rsidRDefault="00AF3814">
            <w:pPr>
              <w:spacing w:after="100"/>
              <w:divId w:val="178475275"/>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350 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626 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
          <w:divId w:val="1388992440"/>
        </w:trPr>
        <w:tc>
          <w:tcPr>
            <w:tcW w:w="0" w:type="auto"/>
            <w:gridSpan w:val="4"/>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(1,143)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(13)</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(192)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(1,505)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
          <w:divId w:val="1388992440"/>
        </w:trPr>
        <w:tc>
          <w:tcPr>
            <w:tcW w:w="0" w:type="auto"/>
            <w:gridSpan w:val="4"/>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2,906 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2,944 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847 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29 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876 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432 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4,252 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
          <w:divId w:val="1388992440"/>
        </w:trPr>
        <w:tc>
          <w:tcPr>
            <w:tcW w:w="0" w:type="auto"/>
            <w:gridSpan w:val="4"/>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
          <w:divId w:val="1388992440"/>
        </w:trPr>
        <w:tc>
          <w:tcPr>
            <w:tcW w:w="0" w:type="auto"/>
            <w:gridSpan w:val="4"/>
            <w:shd w:val="clear" w:color="auto" w:fill="FFFFFF"/>
            <w:tcMar>
              <w:top w:w="30" w:type="dxa"/>
              <w:left w:w="20" w:type="dxa"/>
              <w:bottom w:w="30" w:type="dxa"/>
              <w:right w:w="20" w:type="dxa"/>
            </w:tcMar>
            <w:vAlign w:val="bottom"/>
            <w:hideMark/>
          </w:tcPr>
          <w:p w:rsidR="00000000" w:rsidRDefault="00AF3814">
            <w:pPr>
              <w:spacing w:after="100"/>
              <w:divId w:val="767969293"/>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
          <w:divId w:val="1388992440"/>
        </w:trPr>
        <w:tc>
          <w:tcPr>
            <w:tcW w:w="0" w:type="auto"/>
            <w:gridSpan w:val="4"/>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June 30,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11,569 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12,091 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112 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2,838 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1,903 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16,832 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gridAfter w:val="2"/>
          <w:divId w:val="1388992440"/>
        </w:trPr>
        <w:tc>
          <w:tcPr>
            <w:tcW w:w="0" w:type="auto"/>
            <w:gridSpan w:val="4"/>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gridAfter w:val="2"/>
          <w:divId w:val="1388992440"/>
        </w:trPr>
        <w:tc>
          <w:tcPr>
            <w:tcW w:w="0" w:type="auto"/>
            <w:gridSpan w:val="4"/>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March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
          <w:divId w:val="1388992440"/>
        </w:trPr>
        <w:tc>
          <w:tcPr>
            <w:tcW w:w="0" w:type="auto"/>
            <w:gridSpan w:val="4"/>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gridAfter w:val="2"/>
          <w:divId w:val="1388992440"/>
        </w:trPr>
        <w:tc>
          <w:tcPr>
            <w:tcW w:w="0" w:type="auto"/>
            <w:gridSpan w:val="4"/>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June 30,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
          <w:divId w:val="1388992440"/>
        </w:trPr>
        <w:tc>
          <w:tcPr>
            <w:tcW w:w="0" w:type="auto"/>
            <w:gridSpan w:val="4"/>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Combined allowance and reserve as of June 30,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11,569 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12,091 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112 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2,838 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17,050 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blPrEx>
          <w:tblW w:w="4992" w:type="pct"/>
          <w:jc w:val="center"/>
        </w:tblPrEx>
        <w:trPr>
          <w:jc w:val="center"/>
        </w:trPr>
        <w:tc>
          <w:tcPr>
            <w:tcW w:w="50" w:type="pct"/>
            <w:gridSpan w:val="2"/>
            <w:vAlign w:val="center"/>
            <w:hideMark/>
          </w:tcPr>
          <w:p w:rsidR="00000000" w:rsidRDefault="00AF3814">
            <w:pPr>
              <w:jc w:val="both"/>
              <w:rPr>
                <w:rFonts w:eastAsia="Times New Roman"/>
              </w:rPr>
            </w:pPr>
          </w:p>
        </w:tc>
        <w:tc>
          <w:tcPr>
            <w:tcW w:w="1606" w:type="pct"/>
            <w:gridSpan w:val="7"/>
            <w:vAlign w:val="center"/>
            <w:hideMark/>
          </w:tcPr>
          <w:p w:rsidR="00000000" w:rsidRDefault="00AF3814">
            <w:pPr>
              <w:spacing w:after="100"/>
              <w:rPr>
                <w:rFonts w:eastAsia="Times New Roman"/>
                <w:sz w:val="20"/>
                <w:szCs w:val="20"/>
              </w:rPr>
            </w:pPr>
          </w:p>
        </w:tc>
        <w:tc>
          <w:tcPr>
            <w:tcW w:w="5" w:type="pct"/>
            <w:gridSpan w:val="5"/>
            <w:vAlign w:val="center"/>
            <w:hideMark/>
          </w:tcPr>
          <w:p w:rsidR="00000000" w:rsidRDefault="00AF3814">
            <w:pPr>
              <w:spacing w:after="100"/>
              <w:rPr>
                <w:rFonts w:eastAsia="Times New Roman"/>
                <w:sz w:val="20"/>
                <w:szCs w:val="20"/>
              </w:rPr>
            </w:pPr>
          </w:p>
        </w:tc>
        <w:tc>
          <w:tcPr>
            <w:tcW w:w="50" w:type="pct"/>
            <w:gridSpan w:val="3"/>
            <w:vAlign w:val="center"/>
            <w:hideMark/>
          </w:tcPr>
          <w:p w:rsidR="00000000" w:rsidRDefault="00AF3814">
            <w:pPr>
              <w:spacing w:after="100"/>
              <w:rPr>
                <w:rFonts w:eastAsia="Times New Roman"/>
                <w:sz w:val="20"/>
                <w:szCs w:val="20"/>
              </w:rPr>
            </w:pPr>
          </w:p>
        </w:tc>
        <w:tc>
          <w:tcPr>
            <w:tcW w:w="1614" w:type="pct"/>
            <w:gridSpan w:val="20"/>
            <w:vAlign w:val="center"/>
            <w:hideMark/>
          </w:tcPr>
          <w:p w:rsidR="00000000" w:rsidRDefault="00AF3814">
            <w:pPr>
              <w:spacing w:after="100"/>
              <w:rPr>
                <w:rFonts w:eastAsia="Times New Roman"/>
                <w:sz w:val="20"/>
                <w:szCs w:val="20"/>
              </w:rPr>
            </w:pPr>
          </w:p>
        </w:tc>
        <w:tc>
          <w:tcPr>
            <w:tcW w:w="5" w:type="pct"/>
            <w:gridSpan w:val="5"/>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1614" w:type="pct"/>
            <w:gridSpan w:val="19"/>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blPrEx>
          <w:tblW w:w="4992" w:type="pct"/>
          <w:jc w:val="center"/>
        </w:tblPrEx>
        <w:trPr>
          <w:trHeight w:val="300"/>
          <w:jc w:val="center"/>
        </w:trPr>
        <w:tc>
          <w:tcPr>
            <w:tcW w:w="0" w:type="auto"/>
            <w:gridSpan w:val="64"/>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blPrEx>
          <w:tblW w:w="4992" w:type="pct"/>
          <w:jc w:val="center"/>
        </w:tblPrEx>
        <w:trPr>
          <w:jc w:val="center"/>
        </w:trPr>
        <w:tc>
          <w:tcPr>
            <w:tcW w:w="0" w:type="auto"/>
            <w:gridSpan w:val="14"/>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8"/>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48</w:t>
            </w:r>
          </w:p>
        </w:tc>
        <w:tc>
          <w:tcPr>
            <w:tcW w:w="0" w:type="auto"/>
            <w:gridSpan w:val="22"/>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73" style="width:0;height:1.5pt" o:hralign="center" o:hrstd="t" o:hr="t" fillcolor="#a0a0a0" stroked="f"/>
        </w:pict>
      </w:r>
    </w:p>
    <w:p w:rsidR="00000000" w:rsidRDefault="00AF3814">
      <w:pPr>
        <w:ind w:hanging="360"/>
        <w:jc w:val="both"/>
        <w:divId w:val="1692030559"/>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2043"/>
        <w:gridCol w:w="38"/>
        <w:gridCol w:w="36"/>
        <w:gridCol w:w="36"/>
        <w:gridCol w:w="36"/>
        <w:gridCol w:w="100"/>
        <w:gridCol w:w="480"/>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30"/>
        <w:gridCol w:w="36"/>
        <w:gridCol w:w="36"/>
        <w:gridCol w:w="36"/>
        <w:gridCol w:w="36"/>
        <w:gridCol w:w="36"/>
        <w:gridCol w:w="36"/>
        <w:gridCol w:w="36"/>
        <w:gridCol w:w="36"/>
        <w:gridCol w:w="100"/>
        <w:gridCol w:w="480"/>
        <w:gridCol w:w="36"/>
      </w:tblGrid>
      <w:tr w:rsidR="00000000">
        <w:trPr>
          <w:divId w:val="1105540585"/>
        </w:trPr>
        <w:tc>
          <w:tcPr>
            <w:tcW w:w="50" w:type="pct"/>
            <w:vAlign w:val="center"/>
            <w:hideMark/>
          </w:tcPr>
          <w:p w:rsidR="00000000" w:rsidRDefault="00AF3814">
            <w:pPr>
              <w:ind w:hanging="360"/>
              <w:jc w:val="both"/>
              <w:rPr>
                <w:rFonts w:eastAsia="Times New Roman"/>
              </w:rPr>
            </w:pPr>
          </w:p>
        </w:tc>
        <w:tc>
          <w:tcPr>
            <w:tcW w:w="190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1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5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0554058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Six Months Ended June 30, 2020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10554058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05540585"/>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3"/>
                <w:szCs w:val="13"/>
              </w:rPr>
              <w:t>Total</w:t>
            </w:r>
          </w:p>
        </w:tc>
      </w:tr>
      <w:tr w:rsidR="00000000">
        <w:trPr>
          <w:divId w:val="110554058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105540585"/>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4,997 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398 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5,395 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984 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1,038 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775 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7,208 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2,241 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477 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502 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2,845 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divId w:val="521281241"/>
              <w:rPr>
                <w:rFonts w:eastAsia="Times New Roman"/>
              </w:rPr>
            </w:pPr>
            <w:r>
              <w:rPr>
                <w:rFonts w:eastAsia="Times New Roman"/>
                <w:color w:val="000000"/>
                <w:sz w:val="16"/>
                <w:szCs w:val="16"/>
              </w:rPr>
              <w:t>Finance charge and fee reserve reclassificatio</w:t>
            </w:r>
            <w:r>
              <w:rPr>
                <w:rFonts w:eastAsia="Times New Roman"/>
                <w:color w:val="000000"/>
                <w:sz w:val="16"/>
                <w:szCs w:val="16"/>
              </w:rPr>
              <w:t>n</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439 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January 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7,673 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8,098 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1,540 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877 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10,515 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FFFFFF"/>
            <w:tcMar>
              <w:top w:w="30" w:type="dxa"/>
              <w:left w:w="20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Charge-offs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(3,208)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(253)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(3,461)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(875)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(912)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(4,588)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divId w:val="188832771"/>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734 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80 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814 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466 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474 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1,292 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(2,474)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(2,647)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(438)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(3,296)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6,370 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6,646 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1,674 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1,736 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9,619 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3,896 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3,999 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6,323 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divId w:val="2000033628"/>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June 30,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11,569 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12,091 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2,838 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1,903 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16,832 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05540585"/>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105540585"/>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130 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135 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January 1,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Balance as of June 30,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105540585"/>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Combined allowance and reserve as of June 30,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11,569 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12,091 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2,838 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17,050 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1105540585"/>
        <w:rPr>
          <w:rFonts w:eastAsia="Times New Roman"/>
        </w:rPr>
      </w:pPr>
      <w:r>
        <w:rPr>
          <w:rFonts w:eastAsia="Times New Roman"/>
          <w:color w:val="000000"/>
          <w:sz w:val="20"/>
          <w:szCs w:val="20"/>
        </w:rPr>
        <w:t>__________</w:t>
      </w:r>
    </w:p>
    <w:p w:rsidR="00000000" w:rsidRDefault="00AF3814">
      <w:pPr>
        <w:ind w:hanging="360"/>
        <w:jc w:val="both"/>
        <w:divId w:val="119992826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w:t>
      </w:r>
      <w:r>
        <w:rPr>
          <w:rFonts w:eastAsia="Times New Roman"/>
          <w:color w:val="000000"/>
          <w:sz w:val="16"/>
          <w:szCs w:val="16"/>
        </w:rPr>
        <w:t>d on customer behavior and risk profile and include direct customer communications, repossession of collateral, the periodic sale of charged off loans as well as additional strategies, such as litigation.</w:t>
      </w:r>
    </w:p>
    <w:p w:rsidR="00000000" w:rsidRDefault="00AF3814">
      <w:pPr>
        <w:ind w:hanging="360"/>
        <w:jc w:val="both"/>
        <w:divId w:val="171635135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currency translation adjustme</w:t>
      </w:r>
      <w:r>
        <w:rPr>
          <w:rFonts w:eastAsia="Times New Roman"/>
          <w:color w:val="000000"/>
          <w:sz w:val="16"/>
          <w:szCs w:val="16"/>
        </w:rPr>
        <w:t>nts.</w:t>
      </w:r>
    </w:p>
    <w:p w:rsidR="00000000" w:rsidRDefault="00AF3814">
      <w:pPr>
        <w:ind w:hanging="360"/>
        <w:jc w:val="both"/>
        <w:divId w:val="124783597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Concurrent with our adoption of the CECL standard in the first quarter of 2020, we reclassified our finance charge and fee reserve to our allowance for credit losses, with a corresponding increase to credit card loans held for investment.</w:t>
      </w:r>
    </w:p>
    <w:p w:rsidR="00000000" w:rsidRDefault="00AF3814">
      <w:pPr>
        <w:jc w:val="both"/>
        <w:divId w:val="609167857"/>
        <w:rPr>
          <w:rFonts w:eastAsia="Times New Roman"/>
        </w:rPr>
      </w:pPr>
      <w:r>
        <w:rPr>
          <w:rFonts w:eastAsia="Times New Roman"/>
          <w:color w:val="000000"/>
          <w:sz w:val="20"/>
          <w:szCs w:val="20"/>
        </w:rPr>
        <w:t>Allowance</w:t>
      </w:r>
      <w:r>
        <w:rPr>
          <w:rFonts w:eastAsia="Times New Roman"/>
          <w:color w:val="000000"/>
          <w:sz w:val="20"/>
          <w:szCs w:val="20"/>
        </w:rPr>
        <w:t xml:space="preserve"> coverage ratios are calculated based on the allowance for credit losses for each specified portfolio segment divided by period-end loans held for investment within the specified loan category, as defined below. Table 30 presents the allowance coverage rat</w:t>
      </w:r>
      <w:r>
        <w:rPr>
          <w:rFonts w:eastAsia="Times New Roman"/>
          <w:color w:val="000000"/>
          <w:sz w:val="20"/>
          <w:szCs w:val="20"/>
        </w:rPr>
        <w:t xml:space="preserve">ios as of June 30, 2021 and December 31, 2020. </w:t>
      </w:r>
    </w:p>
    <w:p w:rsidR="00000000" w:rsidRDefault="00AF3814">
      <w:pPr>
        <w:divId w:val="432632588"/>
        <w:rPr>
          <w:rFonts w:eastAsia="Times New Roman"/>
        </w:rPr>
      </w:pPr>
      <w:r>
        <w:rPr>
          <w:rFonts w:eastAsia="Times New Roman"/>
          <w:b/>
          <w:bCs/>
          <w:color w:val="000000"/>
          <w:sz w:val="18"/>
          <w:szCs w:val="18"/>
        </w:rPr>
        <w:t>Table 30: Allowance Coverage Ratios for Specified Loan Category</w:t>
      </w:r>
    </w:p>
    <w:tbl>
      <w:tblPr>
        <w:tblW w:w="4985" w:type="pct"/>
        <w:tblCellMar>
          <w:top w:w="15" w:type="dxa"/>
          <w:left w:w="15" w:type="dxa"/>
          <w:bottom w:w="15" w:type="dxa"/>
          <w:right w:w="15" w:type="dxa"/>
        </w:tblCellMar>
        <w:tblLook w:val="04A0" w:firstRow="1" w:lastRow="0" w:firstColumn="1" w:lastColumn="0" w:noHBand="0" w:noVBand="1"/>
      </w:tblPr>
      <w:tblGrid>
        <w:gridCol w:w="39"/>
        <w:gridCol w:w="2540"/>
        <w:gridCol w:w="38"/>
        <w:gridCol w:w="36"/>
        <w:gridCol w:w="36"/>
        <w:gridCol w:w="36"/>
        <w:gridCol w:w="111"/>
        <w:gridCol w:w="658"/>
        <w:gridCol w:w="36"/>
        <w:gridCol w:w="36"/>
        <w:gridCol w:w="36"/>
        <w:gridCol w:w="36"/>
        <w:gridCol w:w="111"/>
        <w:gridCol w:w="627"/>
        <w:gridCol w:w="36"/>
        <w:gridCol w:w="36"/>
        <w:gridCol w:w="36"/>
        <w:gridCol w:w="36"/>
        <w:gridCol w:w="86"/>
        <w:gridCol w:w="658"/>
        <w:gridCol w:w="200"/>
        <w:gridCol w:w="36"/>
        <w:gridCol w:w="36"/>
        <w:gridCol w:w="36"/>
        <w:gridCol w:w="111"/>
        <w:gridCol w:w="658"/>
        <w:gridCol w:w="36"/>
        <w:gridCol w:w="36"/>
        <w:gridCol w:w="36"/>
        <w:gridCol w:w="36"/>
        <w:gridCol w:w="111"/>
        <w:gridCol w:w="627"/>
        <w:gridCol w:w="36"/>
        <w:gridCol w:w="36"/>
        <w:gridCol w:w="36"/>
        <w:gridCol w:w="36"/>
        <w:gridCol w:w="86"/>
        <w:gridCol w:w="658"/>
        <w:gridCol w:w="170"/>
      </w:tblGrid>
      <w:tr w:rsidR="00000000">
        <w:trPr>
          <w:divId w:val="1990742528"/>
        </w:trPr>
        <w:tc>
          <w:tcPr>
            <w:tcW w:w="50" w:type="pct"/>
            <w:vAlign w:val="center"/>
            <w:hideMark/>
          </w:tcPr>
          <w:p w:rsidR="00000000" w:rsidRDefault="00AF3814">
            <w:pPr>
              <w:rPr>
                <w:rFonts w:eastAsia="Times New Roman"/>
              </w:rPr>
            </w:pPr>
          </w:p>
        </w:tc>
        <w:tc>
          <w:tcPr>
            <w:tcW w:w="208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8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90742528"/>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990742528"/>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Allowance Coverage Ratio</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Allowance Coverage Ratio</w:t>
            </w:r>
          </w:p>
        </w:tc>
      </w:tr>
      <w:tr w:rsidR="00000000">
        <w:trPr>
          <w:divId w:val="199074252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501.32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11,191 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426.80 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r>
      <w:tr w:rsidR="00000000">
        <w:trPr>
          <w:divId w:val="199074252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86.80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3,443 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78.85 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9074252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167.41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1,658 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254.97 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9074252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12,346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249,597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15,564 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251,624 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6.19 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1990742528"/>
        <w:rPr>
          <w:rFonts w:eastAsia="Times New Roman"/>
        </w:rPr>
      </w:pPr>
      <w:r>
        <w:rPr>
          <w:rFonts w:eastAsia="Times New Roman"/>
          <w:color w:val="000000"/>
          <w:sz w:val="20"/>
          <w:szCs w:val="20"/>
        </w:rPr>
        <w:t>__________</w:t>
      </w:r>
    </w:p>
    <w:p w:rsidR="00000000" w:rsidRDefault="00AF3814">
      <w:pPr>
        <w:ind w:hanging="360"/>
        <w:jc w:val="both"/>
        <w:divId w:val="165552687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Represents period-end 30+ day delinquent loans for our credit card and consumer banking loan portfolios, nonperforming loans for our commercial </w:t>
      </w:r>
      <w:r>
        <w:rPr>
          <w:rFonts w:eastAsia="Times New Roman"/>
          <w:color w:val="000000"/>
          <w:sz w:val="16"/>
          <w:szCs w:val="16"/>
          <w:shd w:val="clear" w:color="auto" w:fill="FFFFFF"/>
        </w:rPr>
        <w:t>banking loan portfolio and total loans h</w:t>
      </w:r>
      <w:r>
        <w:rPr>
          <w:rFonts w:eastAsia="Times New Roman"/>
          <w:color w:val="000000"/>
          <w:sz w:val="16"/>
          <w:szCs w:val="16"/>
          <w:shd w:val="clear" w:color="auto" w:fill="FFFFFF"/>
        </w:rPr>
        <w:t>eld for investment for the total ratio.</w:t>
      </w:r>
    </w:p>
    <w:p w:rsidR="00000000" w:rsidRDefault="00AF3814">
      <w:pPr>
        <w:jc w:val="both"/>
        <w:divId w:val="2061662876"/>
        <w:rPr>
          <w:rFonts w:eastAsia="Times New Roman"/>
        </w:rPr>
      </w:pPr>
      <w:r>
        <w:rPr>
          <w:rFonts w:eastAsia="Times New Roman"/>
          <w:color w:val="000000"/>
          <w:sz w:val="20"/>
          <w:szCs w:val="20"/>
          <w:shd w:val="clear" w:color="auto" w:fill="FFFFFF"/>
        </w:rPr>
        <w:t>O</w:t>
      </w:r>
      <w:r>
        <w:rPr>
          <w:rFonts w:eastAsia="Times New Roman"/>
          <w:color w:val="000000"/>
          <w:sz w:val="20"/>
          <w:szCs w:val="20"/>
        </w:rPr>
        <w:t xml:space="preserve">ur allowance for credit losses decreased by $3.2 billion to $12.3 billion, and our allowance coverage ratio decreased by 124 basis points to 4.95% as of June 30, 2021 from December 31, 2020, driven by strong credit </w:t>
      </w:r>
      <w:r>
        <w:rPr>
          <w:rFonts w:eastAsia="Times New Roman"/>
          <w:color w:val="000000"/>
          <w:sz w:val="20"/>
          <w:szCs w:val="20"/>
        </w:rPr>
        <w:t>performance and an improved economic outlook.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79015978"/>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79015978"/>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079015978"/>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74" style="width:0;height:1.5pt" o:hralign="center" o:hrstd="t" o:hr="t" fillcolor="#a0a0a0" stroked="f"/>
        </w:pict>
      </w:r>
    </w:p>
    <w:p w:rsidR="00000000" w:rsidRDefault="00AF3814">
      <w:pPr>
        <w:ind w:hanging="360"/>
        <w:jc w:val="both"/>
        <w:divId w:val="1328023634"/>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234856176"/>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23485617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LIQUIDITY RISK PROFILE</w:t>
            </w:r>
          </w:p>
        </w:tc>
      </w:tr>
    </w:tbl>
    <w:p w:rsidR="00000000" w:rsidRDefault="00AF3814">
      <w:pPr>
        <w:jc w:val="both"/>
        <w:divId w:val="1866364680"/>
        <w:rPr>
          <w:rFonts w:eastAsia="Times New Roman"/>
        </w:rPr>
      </w:pPr>
      <w:r>
        <w:rPr>
          <w:rFonts w:eastAsia="Times New Roman"/>
          <w:color w:val="000000"/>
          <w:sz w:val="20"/>
          <w:szCs w:val="20"/>
        </w:rPr>
        <w:t>We have established liquidity practices that are intended to ensure that we have sufficient asset-based liquidity to cover our funding requirements and maintain adequate reserves to withstand the potential impact of deposit attrition or diminished liquidit</w:t>
      </w:r>
      <w:r>
        <w:rPr>
          <w:rFonts w:eastAsia="Times New Roman"/>
          <w:color w:val="000000"/>
          <w:sz w:val="20"/>
          <w:szCs w:val="20"/>
        </w:rPr>
        <w:t xml:space="preserve">y in the funding markets. In addition to our cash and cash equivalents, we maintain reserves in the form of investment securities and certain loans that are either readily-marketable or pledgeable. </w:t>
      </w:r>
    </w:p>
    <w:p w:rsidR="00000000" w:rsidRDefault="00AF3814">
      <w:pPr>
        <w:jc w:val="both"/>
        <w:divId w:val="553124026"/>
        <w:rPr>
          <w:rFonts w:eastAsia="Times New Roman"/>
        </w:rPr>
      </w:pPr>
      <w:r>
        <w:rPr>
          <w:rFonts w:eastAsia="Times New Roman"/>
          <w:color w:val="000000"/>
          <w:sz w:val="20"/>
          <w:szCs w:val="20"/>
        </w:rPr>
        <w:t xml:space="preserve">Table 31 below presents the composition of our liquidity </w:t>
      </w:r>
      <w:r>
        <w:rPr>
          <w:rFonts w:eastAsia="Times New Roman"/>
          <w:color w:val="000000"/>
          <w:sz w:val="20"/>
          <w:szCs w:val="20"/>
        </w:rPr>
        <w:t>reserves as of June 30, 2021 and December 31, 2020.</w:t>
      </w:r>
    </w:p>
    <w:p w:rsidR="00000000" w:rsidRDefault="00AF3814">
      <w:pPr>
        <w:divId w:val="1850636192"/>
        <w:rPr>
          <w:rFonts w:eastAsia="Times New Roman"/>
        </w:rPr>
      </w:pPr>
      <w:r>
        <w:rPr>
          <w:rFonts w:eastAsia="Times New Roman"/>
          <w:b/>
          <w:bCs/>
          <w:color w:val="000000"/>
          <w:sz w:val="18"/>
          <w:szCs w:val="18"/>
        </w:rPr>
        <w:t>Table 31: Liquidity Reserves</w:t>
      </w:r>
    </w:p>
    <w:tbl>
      <w:tblPr>
        <w:tblW w:w="5000" w:type="pct"/>
        <w:tblCellMar>
          <w:top w:w="15" w:type="dxa"/>
          <w:left w:w="15" w:type="dxa"/>
          <w:bottom w:w="15" w:type="dxa"/>
          <w:right w:w="15" w:type="dxa"/>
        </w:tblCellMar>
        <w:tblLook w:val="04A0" w:firstRow="1" w:lastRow="0" w:firstColumn="1" w:lastColumn="0" w:noHBand="0" w:noVBand="1"/>
      </w:tblPr>
      <w:tblGrid>
        <w:gridCol w:w="42"/>
        <w:gridCol w:w="5557"/>
        <w:gridCol w:w="37"/>
        <w:gridCol w:w="36"/>
        <w:gridCol w:w="36"/>
        <w:gridCol w:w="36"/>
        <w:gridCol w:w="110"/>
        <w:gridCol w:w="1081"/>
        <w:gridCol w:w="36"/>
        <w:gridCol w:w="36"/>
        <w:gridCol w:w="36"/>
        <w:gridCol w:w="36"/>
        <w:gridCol w:w="110"/>
        <w:gridCol w:w="1081"/>
        <w:gridCol w:w="36"/>
      </w:tblGrid>
      <w:tr w:rsidR="00000000">
        <w:trPr>
          <w:divId w:val="449012162"/>
        </w:trPr>
        <w:tc>
          <w:tcPr>
            <w:tcW w:w="50" w:type="pct"/>
            <w:vAlign w:val="center"/>
            <w:hideMark/>
          </w:tcPr>
          <w:p w:rsidR="00000000" w:rsidRDefault="00AF3814">
            <w:pPr>
              <w:rPr>
                <w:rFonts w:eastAsia="Times New Roman"/>
              </w:rPr>
            </w:pPr>
          </w:p>
        </w:tc>
        <w:tc>
          <w:tcPr>
            <w:tcW w:w="33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9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9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4901216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4490121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34,846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40,509 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901216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both"/>
              <w:rPr>
                <w:rFonts w:eastAsia="Times New Roman"/>
              </w:rPr>
            </w:pPr>
            <w:r>
              <w:rPr>
                <w:rFonts w:eastAsia="Times New Roman"/>
                <w:color w:val="000000"/>
                <w:sz w:val="18"/>
                <w:szCs w:val="18"/>
              </w:rPr>
              <w:t>Investment securities available for sale, at fair value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101,766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100,445 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901216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FHLB borrowing capacity secured by loans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10,162 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901216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Outstanding FHLB advances and letters of credit secured by loans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901216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Investment securities encumbered for Public Funds and others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(8,016)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(7,052)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901216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liquidity reserves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136,958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143,992 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both"/>
        <w:divId w:val="1878853526"/>
        <w:rPr>
          <w:rFonts w:eastAsia="Times New Roman"/>
        </w:rPr>
      </w:pPr>
      <w:r>
        <w:rPr>
          <w:rFonts w:eastAsia="Times New Roman"/>
          <w:color w:val="000000"/>
          <w:sz w:val="20"/>
          <w:szCs w:val="20"/>
        </w:rPr>
        <w:t xml:space="preserve">Our liquidity reserves decreased by $7.0 billion to $137.0 billion as of June 30, 2021 from December 31, 2020 </w:t>
      </w:r>
      <w:r>
        <w:rPr>
          <w:rFonts w:eastAsia="Times New Roman"/>
          <w:color w:val="000000"/>
          <w:sz w:val="20"/>
          <w:szCs w:val="20"/>
          <w:shd w:val="clear" w:color="auto" w:fill="FFFFFF"/>
        </w:rPr>
        <w:t xml:space="preserve">primarily driven by a decrease </w:t>
      </w:r>
      <w:r>
        <w:rPr>
          <w:rFonts w:eastAsia="Times New Roman"/>
          <w:color w:val="000000"/>
          <w:sz w:val="20"/>
          <w:szCs w:val="20"/>
        </w:rPr>
        <w:t>in cash and cash equivalents. See “MD&amp;A—Risk Management” in our 2020 Form 10-K for additional information on our ma</w:t>
      </w:r>
      <w:r>
        <w:rPr>
          <w:rFonts w:eastAsia="Times New Roman"/>
          <w:color w:val="000000"/>
          <w:sz w:val="20"/>
          <w:szCs w:val="20"/>
        </w:rPr>
        <w:t>nagement of liquidity risk.</w:t>
      </w:r>
    </w:p>
    <w:p w:rsidR="00000000" w:rsidRDefault="00AF3814">
      <w:pPr>
        <w:divId w:val="403570856"/>
        <w:rPr>
          <w:rFonts w:eastAsia="Times New Roman"/>
        </w:rPr>
      </w:pPr>
      <w:r>
        <w:rPr>
          <w:rFonts w:eastAsia="Times New Roman"/>
          <w:b/>
          <w:bCs/>
          <w:color w:val="000000"/>
          <w:sz w:val="20"/>
          <w:szCs w:val="20"/>
        </w:rPr>
        <w:t>Liquidity Coverage Ratio</w:t>
      </w:r>
    </w:p>
    <w:p w:rsidR="00000000" w:rsidRDefault="00AF3814">
      <w:pPr>
        <w:jc w:val="both"/>
        <w:divId w:val="744377623"/>
        <w:rPr>
          <w:rFonts w:eastAsia="Times New Roman"/>
        </w:rPr>
      </w:pPr>
      <w:r>
        <w:rPr>
          <w:rFonts w:eastAsia="Times New Roman"/>
          <w:color w:val="000000"/>
          <w:sz w:val="20"/>
          <w:szCs w:val="20"/>
        </w:rPr>
        <w:t>We are subject to the liquidity coverage ratio (“LCR”) standard as implemented by the Federal Reserve and OCC (the “LCR Rule”</w:t>
      </w:r>
      <w:r>
        <w:rPr>
          <w:rFonts w:eastAsia="Times New Roman"/>
          <w:color w:val="000000"/>
          <w:sz w:val="20"/>
          <w:szCs w:val="20"/>
        </w:rPr>
        <w:t>). The LCR Rule requires us to calculate our LCR daily. It also requires the Company to publicly disclose, on a quarterly basis, its LCR, certain related quantitative liquidity metrics, and a qualitative discussion of its LCR. Our average LCR during the se</w:t>
      </w:r>
      <w:r>
        <w:rPr>
          <w:rFonts w:eastAsia="Times New Roman"/>
          <w:color w:val="000000"/>
          <w:sz w:val="20"/>
          <w:szCs w:val="20"/>
        </w:rPr>
        <w:t>cond quarter of 2021 was 141%, which exceeded the LCR Rule requirement of 100%. The calculation and the underlying components are based on our interpretations, expectations and assumptions of relevant regulations, as well as interpretations provided by our</w:t>
      </w:r>
      <w:r>
        <w:rPr>
          <w:rFonts w:eastAsia="Times New Roman"/>
          <w:color w:val="000000"/>
          <w:sz w:val="20"/>
          <w:szCs w:val="20"/>
        </w:rPr>
        <w:t xml:space="preserve"> regulators, and are subject to change based on changes to future regulations and interpretations. See “Part I—Item 1. Business—Supervision and Regulation” in our 2020 Form 10-K for additional information.</w:t>
      </w:r>
    </w:p>
    <w:p w:rsidR="00000000" w:rsidRDefault="00AF3814">
      <w:pPr>
        <w:jc w:val="both"/>
        <w:divId w:val="20515834"/>
        <w:rPr>
          <w:rFonts w:eastAsia="Times New Roman"/>
        </w:rPr>
      </w:pPr>
      <w:r>
        <w:rPr>
          <w:rFonts w:eastAsia="Times New Roman"/>
          <w:b/>
          <w:bCs/>
          <w:color w:val="000000"/>
          <w:sz w:val="20"/>
          <w:szCs w:val="20"/>
        </w:rPr>
        <w:t>Net Stable Funding Ratio</w:t>
      </w:r>
    </w:p>
    <w:p w:rsidR="00000000" w:rsidRDefault="00AF3814">
      <w:pPr>
        <w:jc w:val="both"/>
        <w:divId w:val="2048531427"/>
        <w:rPr>
          <w:rFonts w:eastAsia="Times New Roman"/>
        </w:rPr>
      </w:pPr>
      <w:r>
        <w:rPr>
          <w:rFonts w:eastAsia="Times New Roman"/>
          <w:color w:val="000000"/>
          <w:sz w:val="20"/>
          <w:szCs w:val="20"/>
        </w:rPr>
        <w:t>In October 2020, the Fede</w:t>
      </w:r>
      <w:r>
        <w:rPr>
          <w:rFonts w:eastAsia="Times New Roman"/>
          <w:color w:val="000000"/>
          <w:sz w:val="20"/>
          <w:szCs w:val="20"/>
        </w:rPr>
        <w:t xml:space="preserve">ral Banking Agencies finalized a rule to implement the Net Stable Funding Ratio in the United States (the “NSFR Rule”). The NSFR Rule requires the Company and each of the Banks to maintain an amount of available stable funding, which is a weighted measure </w:t>
      </w:r>
      <w:r>
        <w:rPr>
          <w:rFonts w:eastAsia="Times New Roman"/>
          <w:color w:val="000000"/>
          <w:sz w:val="20"/>
          <w:szCs w:val="20"/>
        </w:rPr>
        <w:t>of a company’s funding sources over a one-year time horizon, calculated by applying standardized weightings to equity and liabilities based on their expected stability, that is no less than the amount of required stable funding, which is calculated by appl</w:t>
      </w:r>
      <w:r>
        <w:rPr>
          <w:rFonts w:eastAsia="Times New Roman"/>
          <w:color w:val="000000"/>
          <w:sz w:val="20"/>
          <w:szCs w:val="20"/>
        </w:rPr>
        <w:t>ying standardized weightings to assets, derivatives exposures and certain other items based on their liquidity characteristics. As a Category III institution, the Company and the Banks are required to maintain available stable funding in an amount at least</w:t>
      </w:r>
      <w:r>
        <w:rPr>
          <w:rFonts w:eastAsia="Times New Roman"/>
          <w:color w:val="000000"/>
          <w:sz w:val="20"/>
          <w:szCs w:val="20"/>
        </w:rPr>
        <w:t xml:space="preserve"> equal to 85% of its required stable funding. The NSFR Rule became effective on July 1, 2021 and applies to the Company and each of the Banks. The NSFR Rule includes a semi-annual disclosure requirement, with the first public disclosure required after June</w:t>
      </w:r>
      <w:r>
        <w:rPr>
          <w:rFonts w:eastAsia="Times New Roman"/>
          <w:color w:val="000000"/>
          <w:sz w:val="20"/>
          <w:szCs w:val="20"/>
        </w:rPr>
        <w:t xml:space="preserve"> 30, 2023.</w:t>
      </w:r>
    </w:p>
    <w:p w:rsidR="00000000" w:rsidRDefault="00AF3814">
      <w:pPr>
        <w:divId w:val="1810707585"/>
        <w:rPr>
          <w:rFonts w:eastAsia="Times New Roman"/>
        </w:rPr>
      </w:pPr>
      <w:r>
        <w:rPr>
          <w:rFonts w:eastAsia="Times New Roman"/>
          <w:b/>
          <w:bCs/>
          <w:color w:val="000000"/>
          <w:sz w:val="20"/>
          <w:szCs w:val="20"/>
        </w:rPr>
        <w:t>Borrowing Capacity</w:t>
      </w:r>
    </w:p>
    <w:p w:rsidR="00000000" w:rsidRDefault="00AF3814">
      <w:pPr>
        <w:jc w:val="both"/>
        <w:divId w:val="1087534288"/>
        <w:rPr>
          <w:rFonts w:eastAsia="Times New Roman"/>
        </w:rPr>
      </w:pPr>
      <w:r>
        <w:rPr>
          <w:rFonts w:eastAsia="Times New Roman"/>
          <w:color w:val="000000"/>
          <w:sz w:val="20"/>
          <w:szCs w:val="20"/>
        </w:rPr>
        <w:t>We maintain a shelf registration with the U.S. Securities and Exchange Commission (“SEC”) so that we may periodically offer and sell an indeterminate aggregate amount of senior or subordinated debt securities, preferred stock,</w:t>
      </w:r>
      <w:r>
        <w:rPr>
          <w:rFonts w:eastAsia="Times New Roman"/>
          <w:color w:val="000000"/>
          <w:sz w:val="20"/>
          <w:szCs w:val="20"/>
        </w:rPr>
        <w:t xml:space="preserve"> depositary shares, common stock, purchase contracts, warrants and units. There is no limit under this shelf registration to the amount or number of such securities that we may offer and sell, subject to market conditions. In addition, we also maintain a s</w:t>
      </w:r>
      <w:r>
        <w:rPr>
          <w:rFonts w:eastAsia="Times New Roman"/>
          <w:color w:val="000000"/>
          <w:sz w:val="20"/>
          <w:szCs w:val="20"/>
        </w:rPr>
        <w:t>helf registration that allows us to periodically offer and sell up to $25 billion of securitized debt obligations from our credit card loan securitization trust and a shelf registration that allows us to periodically offer and sell up to $20 billion from o</w:t>
      </w:r>
      <w:r>
        <w:rPr>
          <w:rFonts w:eastAsia="Times New Roman"/>
          <w:color w:val="000000"/>
          <w:sz w:val="20"/>
          <w:szCs w:val="20"/>
        </w:rPr>
        <w:t>ur auto loan securitization trusts.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98238879"/>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698238879"/>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698238879"/>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75" style="width:0;height:1.5pt" o:hralign="center" o:hrstd="t" o:hr="t" fillcolor="#a0a0a0" stroked="f"/>
        </w:pict>
      </w:r>
    </w:p>
    <w:p w:rsidR="00000000" w:rsidRDefault="00AF3814">
      <w:pPr>
        <w:ind w:hanging="360"/>
        <w:jc w:val="both"/>
        <w:divId w:val="88856601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883979163"/>
        <w:rPr>
          <w:rFonts w:eastAsia="Times New Roman"/>
        </w:rPr>
      </w:pPr>
      <w:r>
        <w:rPr>
          <w:rFonts w:eastAsia="Times New Roman"/>
          <w:color w:val="000000"/>
          <w:sz w:val="20"/>
          <w:szCs w:val="20"/>
        </w:rPr>
        <w:t>In addition to our issuance capacity under the shelf registration statements, we also have access to FHLB advances and the Federal Reserve Disc</w:t>
      </w:r>
      <w:r>
        <w:rPr>
          <w:rFonts w:eastAsia="Times New Roman"/>
          <w:color w:val="000000"/>
          <w:sz w:val="20"/>
          <w:szCs w:val="20"/>
        </w:rPr>
        <w:t>ount Window. The ability to borrow utilizing these sources is based on membership status and the amount is dependent upon the Banks’ ability to post collateral. As of June 30, 2021, we pledged both loans and securities to the FHLB to secure a maximum borro</w:t>
      </w:r>
      <w:r>
        <w:rPr>
          <w:rFonts w:eastAsia="Times New Roman"/>
          <w:color w:val="000000"/>
          <w:sz w:val="20"/>
          <w:szCs w:val="20"/>
        </w:rPr>
        <w:t>wing capacity of $19.2 billion, of which $41 million was used. Our FHLB membership is supported by our investment in FHLB stock of $32 million and $30 million as of June 30, 2021 and December 31, 2020, respectively, which was determined in part based on ou</w:t>
      </w:r>
      <w:r>
        <w:rPr>
          <w:rFonts w:eastAsia="Times New Roman"/>
          <w:color w:val="000000"/>
          <w:sz w:val="20"/>
          <w:szCs w:val="20"/>
        </w:rPr>
        <w:t xml:space="preserve">r outstanding advances. As of June 30, 2021, we pledged loans to secure a borrowing capacity of $21.3 billion under the Federal Reserve Discount Window. Our membership with the Federal Reserve is supported by our investment in Federal Reserve stock, which </w:t>
      </w:r>
      <w:r>
        <w:rPr>
          <w:rFonts w:eastAsia="Times New Roman"/>
          <w:color w:val="000000"/>
          <w:sz w:val="20"/>
          <w:szCs w:val="20"/>
        </w:rPr>
        <w:t>totaled $1.3 billion as of both June 30, 2021 and December 31, 2020.</w:t>
      </w:r>
    </w:p>
    <w:p w:rsidR="00000000" w:rsidRDefault="00AF3814">
      <w:pPr>
        <w:divId w:val="1908104915"/>
        <w:rPr>
          <w:rFonts w:eastAsia="Times New Roman"/>
        </w:rPr>
      </w:pPr>
      <w:r>
        <w:rPr>
          <w:rFonts w:eastAsia="Times New Roman"/>
          <w:b/>
          <w:bCs/>
          <w:color w:val="000000"/>
          <w:sz w:val="20"/>
          <w:szCs w:val="20"/>
        </w:rPr>
        <w:t>Funding</w:t>
      </w:r>
    </w:p>
    <w:p w:rsidR="00000000" w:rsidRDefault="00AF3814">
      <w:pPr>
        <w:jc w:val="both"/>
        <w:divId w:val="1482304145"/>
        <w:rPr>
          <w:rFonts w:eastAsia="Times New Roman"/>
        </w:rPr>
      </w:pPr>
      <w:r>
        <w:rPr>
          <w:rFonts w:eastAsia="Times New Roman"/>
          <w:color w:val="000000"/>
          <w:sz w:val="20"/>
          <w:szCs w:val="20"/>
        </w:rPr>
        <w:t>Our primary source of funding comes from deposits, as they are a stable and relatively low cost source of funding. In addition to deposits, we raise funding through the issuance o</w:t>
      </w:r>
      <w:r>
        <w:rPr>
          <w:rFonts w:eastAsia="Times New Roman"/>
          <w:color w:val="000000"/>
          <w:sz w:val="20"/>
          <w:szCs w:val="20"/>
        </w:rPr>
        <w:t xml:space="preserve">f senior and subordinated notes and securitized debt obligations, federal funds purchased, securities loaned or sold under agreements to repurchase and FHLB advances secured by certain portions of our loan and securities portfolios. A key objective in our </w:t>
      </w:r>
      <w:r>
        <w:rPr>
          <w:rFonts w:eastAsia="Times New Roman"/>
          <w:color w:val="000000"/>
          <w:sz w:val="20"/>
          <w:szCs w:val="20"/>
        </w:rPr>
        <w:t>use of these markets is to maintain access to a diversified mix of wholesale funding sources. See “MD&amp;A—Consolidated Balance Sheets Analysis—Funding Sources Composition” for additional information on our primary sources of funding.</w:t>
      </w:r>
    </w:p>
    <w:p w:rsidR="00000000" w:rsidRDefault="00AF3814">
      <w:pPr>
        <w:divId w:val="223882032"/>
        <w:rPr>
          <w:rFonts w:eastAsia="Times New Roman"/>
        </w:rPr>
      </w:pPr>
      <w:r>
        <w:rPr>
          <w:rFonts w:eastAsia="Times New Roman"/>
          <w:b/>
          <w:bCs/>
          <w:i/>
          <w:iCs/>
          <w:color w:val="000000"/>
          <w:sz w:val="20"/>
          <w:szCs w:val="20"/>
        </w:rPr>
        <w:t>Deposits</w:t>
      </w:r>
    </w:p>
    <w:p w:rsidR="00000000" w:rsidRDefault="00AF3814">
      <w:pPr>
        <w:jc w:val="both"/>
        <w:divId w:val="1993875774"/>
        <w:rPr>
          <w:rFonts w:eastAsia="Times New Roman"/>
        </w:rPr>
      </w:pPr>
      <w:r>
        <w:rPr>
          <w:rFonts w:eastAsia="Times New Roman"/>
          <w:color w:val="000000"/>
          <w:sz w:val="20"/>
          <w:szCs w:val="20"/>
        </w:rPr>
        <w:t>Table 32 provid</w:t>
      </w:r>
      <w:r>
        <w:rPr>
          <w:rFonts w:eastAsia="Times New Roman"/>
          <w:color w:val="000000"/>
          <w:sz w:val="20"/>
          <w:szCs w:val="20"/>
        </w:rPr>
        <w:t>es a comparison of average balances, interest expense and average deposits interest rates for the second quarter and first six months of 2021 and 2020.</w:t>
      </w:r>
    </w:p>
    <w:p w:rsidR="00000000" w:rsidRDefault="00AF3814">
      <w:pPr>
        <w:divId w:val="1221093715"/>
        <w:rPr>
          <w:rFonts w:eastAsia="Times New Roman"/>
        </w:rPr>
      </w:pPr>
      <w:r>
        <w:rPr>
          <w:rFonts w:eastAsia="Times New Roman"/>
          <w:b/>
          <w:bCs/>
          <w:color w:val="000000"/>
          <w:sz w:val="18"/>
          <w:szCs w:val="18"/>
        </w:rPr>
        <w:t>Table 32: Deposits Composition and Average Deposits Interest Rates</w:t>
      </w:r>
    </w:p>
    <w:tbl>
      <w:tblPr>
        <w:tblW w:w="5000" w:type="pct"/>
        <w:tblCellMar>
          <w:top w:w="15" w:type="dxa"/>
          <w:left w:w="15" w:type="dxa"/>
          <w:bottom w:w="15" w:type="dxa"/>
          <w:right w:w="15" w:type="dxa"/>
        </w:tblCellMar>
        <w:tblLook w:val="04A0" w:firstRow="1" w:lastRow="0" w:firstColumn="1" w:lastColumn="0" w:noHBand="0" w:noVBand="1"/>
      </w:tblPr>
      <w:tblGrid>
        <w:gridCol w:w="38"/>
        <w:gridCol w:w="2413"/>
        <w:gridCol w:w="37"/>
        <w:gridCol w:w="36"/>
        <w:gridCol w:w="36"/>
        <w:gridCol w:w="36"/>
        <w:gridCol w:w="110"/>
        <w:gridCol w:w="630"/>
        <w:gridCol w:w="36"/>
        <w:gridCol w:w="36"/>
        <w:gridCol w:w="36"/>
        <w:gridCol w:w="36"/>
        <w:gridCol w:w="111"/>
        <w:gridCol w:w="541"/>
        <w:gridCol w:w="36"/>
        <w:gridCol w:w="36"/>
        <w:gridCol w:w="36"/>
        <w:gridCol w:w="36"/>
        <w:gridCol w:w="63"/>
        <w:gridCol w:w="549"/>
        <w:gridCol w:w="200"/>
        <w:gridCol w:w="36"/>
        <w:gridCol w:w="36"/>
        <w:gridCol w:w="36"/>
        <w:gridCol w:w="110"/>
        <w:gridCol w:w="630"/>
        <w:gridCol w:w="36"/>
        <w:gridCol w:w="36"/>
        <w:gridCol w:w="36"/>
        <w:gridCol w:w="36"/>
        <w:gridCol w:w="111"/>
        <w:gridCol w:w="541"/>
        <w:gridCol w:w="36"/>
        <w:gridCol w:w="36"/>
        <w:gridCol w:w="36"/>
        <w:gridCol w:w="36"/>
        <w:gridCol w:w="63"/>
        <w:gridCol w:w="549"/>
        <w:gridCol w:w="17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971473237"/>
        </w:trPr>
        <w:tc>
          <w:tcPr>
            <w:tcW w:w="50" w:type="pct"/>
            <w:vAlign w:val="center"/>
            <w:hideMark/>
          </w:tcPr>
          <w:p w:rsidR="00000000" w:rsidRDefault="00AF3814">
            <w:pPr>
              <w:rPr>
                <w:rFonts w:eastAsia="Times New Roman"/>
              </w:rPr>
            </w:pPr>
          </w:p>
        </w:tc>
        <w:tc>
          <w:tcPr>
            <w:tcW w:w="174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71473237"/>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971473237"/>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97147323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714732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1006664582"/>
              <w:rPr>
                <w:rFonts w:eastAsia="Times New Roman"/>
              </w:rPr>
            </w:pPr>
            <w:r>
              <w:rPr>
                <w:rFonts w:eastAsia="Times New Roman"/>
                <w:color w:val="000000"/>
                <w:sz w:val="18"/>
                <w:szCs w:val="18"/>
              </w:rPr>
              <w:t>Interest-bearing checking account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44,795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36,105 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3"/>
            <w:vAlign w:val="center"/>
            <w:hideMark/>
          </w:tcPr>
          <w:p w:rsidR="00000000" w:rsidRDefault="00AF3814">
            <w:pPr>
              <w:spacing w:after="100"/>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714732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44107286"/>
              <w:rPr>
                <w:rFonts w:eastAsia="Times New Roman"/>
              </w:rPr>
            </w:pPr>
            <w:r>
              <w:rPr>
                <w:rFonts w:eastAsia="Times New Roman"/>
                <w:color w:val="000000"/>
                <w:sz w:val="18"/>
                <w:szCs w:val="18"/>
              </w:rPr>
              <w:t>Saving deposit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204,737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180,103 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372 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0.83 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714732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Time deposits less than $100,000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16,820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28,607 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71473237"/>
        </w:trPr>
        <w:tc>
          <w:tcPr>
            <w:tcW w:w="0" w:type="auto"/>
            <w:gridSpan w:val="3"/>
            <w:shd w:val="clear" w:color="auto" w:fill="FFFFFF"/>
            <w:tcMar>
              <w:top w:w="30" w:type="dxa"/>
              <w:left w:w="15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interest-bearing core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266,352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244,815 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0.88 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714732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Time deposits of $100,000 or more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16,441 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714732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273,476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261,256 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0.94 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both"/>
        <w:divId w:val="197147323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727"/>
        <w:gridCol w:w="37"/>
        <w:gridCol w:w="57"/>
        <w:gridCol w:w="293"/>
        <w:gridCol w:w="56"/>
        <w:gridCol w:w="110"/>
        <w:gridCol w:w="630"/>
        <w:gridCol w:w="36"/>
        <w:gridCol w:w="36"/>
        <w:gridCol w:w="36"/>
        <w:gridCol w:w="36"/>
        <w:gridCol w:w="111"/>
        <w:gridCol w:w="541"/>
        <w:gridCol w:w="36"/>
        <w:gridCol w:w="36"/>
        <w:gridCol w:w="36"/>
        <w:gridCol w:w="36"/>
        <w:gridCol w:w="63"/>
        <w:gridCol w:w="549"/>
        <w:gridCol w:w="200"/>
        <w:gridCol w:w="36"/>
        <w:gridCol w:w="36"/>
        <w:gridCol w:w="36"/>
        <w:gridCol w:w="110"/>
        <w:gridCol w:w="630"/>
        <w:gridCol w:w="36"/>
        <w:gridCol w:w="36"/>
        <w:gridCol w:w="36"/>
        <w:gridCol w:w="36"/>
        <w:gridCol w:w="111"/>
        <w:gridCol w:w="541"/>
        <w:gridCol w:w="36"/>
        <w:gridCol w:w="36"/>
        <w:gridCol w:w="36"/>
        <w:gridCol w:w="36"/>
        <w:gridCol w:w="63"/>
        <w:gridCol w:w="549"/>
        <w:gridCol w:w="170"/>
        <w:gridCol w:w="36"/>
      </w:tblGrid>
      <w:tr w:rsidR="00000000">
        <w:trPr>
          <w:divId w:val="1971473237"/>
        </w:trPr>
        <w:tc>
          <w:tcPr>
            <w:tcW w:w="50" w:type="pct"/>
            <w:vAlign w:val="center"/>
            <w:hideMark/>
          </w:tcPr>
          <w:p w:rsidR="00000000" w:rsidRDefault="00AF3814">
            <w:pPr>
              <w:jc w:val="both"/>
              <w:rPr>
                <w:rFonts w:eastAsia="Times New Roman"/>
              </w:rPr>
            </w:pPr>
          </w:p>
        </w:tc>
        <w:tc>
          <w:tcPr>
            <w:tcW w:w="174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971473237"/>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r>
      <w:tr w:rsidR="00000000">
        <w:trPr>
          <w:divId w:val="1971473237"/>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r>
      <w:tr w:rsidR="00000000">
        <w:trPr>
          <w:divId w:val="1971473237"/>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w:t>
            </w:r>
            <w:r>
              <w:rPr>
                <w:rFonts w:eastAsia="Times New Roman"/>
                <w:b/>
                <w:bCs/>
                <w:color w:val="000000"/>
                <w:sz w:val="16"/>
                <w:szCs w:val="16"/>
              </w:rPr>
              <w:br/>
            </w:r>
            <w:r>
              <w:rPr>
                <w:rFonts w:eastAsia="Times New Roman"/>
                <w:b/>
                <w:bCs/>
                <w:color w:val="000000"/>
                <w:sz w:val="16"/>
                <w:szCs w:val="16"/>
              </w:rPr>
              <w:t>Expense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Deposits</w:t>
            </w:r>
            <w:r>
              <w:rPr>
                <w:rFonts w:eastAsia="Times New Roman"/>
                <w:b/>
                <w:bCs/>
                <w:color w:val="000000"/>
                <w:sz w:val="16"/>
                <w:szCs w:val="16"/>
              </w:rPr>
              <w:br/>
              <w:t>Interest Rate</w:t>
            </w:r>
          </w:p>
        </w:tc>
        <w:tc>
          <w:tcPr>
            <w:tcW w:w="0" w:type="auto"/>
            <w:vAlign w:val="center"/>
            <w:hideMark/>
          </w:tcPr>
          <w:p w:rsidR="00000000" w:rsidRDefault="00AF3814">
            <w:pPr>
              <w:spacing w:after="100"/>
              <w:jc w:val="center"/>
              <w:rPr>
                <w:rFonts w:eastAsia="Times New Roman"/>
              </w:rPr>
            </w:pPr>
          </w:p>
        </w:tc>
      </w:tr>
      <w:tr w:rsidR="00000000">
        <w:trPr>
          <w:divId w:val="19714732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322054746"/>
              <w:rPr>
                <w:rFonts w:eastAsia="Times New Roman"/>
              </w:rPr>
            </w:pPr>
            <w:r>
              <w:rPr>
                <w:rFonts w:eastAsia="Times New Roman"/>
                <w:color w:val="000000"/>
                <w:sz w:val="18"/>
                <w:szCs w:val="18"/>
              </w:rPr>
              <w:t>Interest-bearing checking account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43,463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35,234 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rPr>
                <w:rFonts w:eastAsia="Times New Roman"/>
              </w:rPr>
            </w:pPr>
          </w:p>
        </w:tc>
      </w:tr>
      <w:tr w:rsidR="00000000">
        <w:trPr>
          <w:divId w:val="19714732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204556880"/>
              <w:rPr>
                <w:rFonts w:eastAsia="Times New Roman"/>
              </w:rPr>
            </w:pPr>
            <w:r>
              <w:rPr>
                <w:rFonts w:eastAsia="Times New Roman"/>
                <w:color w:val="000000"/>
                <w:sz w:val="18"/>
                <w:szCs w:val="18"/>
              </w:rPr>
              <w:t>Saving deposit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203,213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171,082 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798 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0.94 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19714732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Time deposits less than $100,000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18,326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27,908 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295 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1971473237"/>
        </w:trPr>
        <w:tc>
          <w:tcPr>
            <w:tcW w:w="0" w:type="auto"/>
            <w:gridSpan w:val="3"/>
            <w:shd w:val="clear" w:color="auto" w:fill="FFFFFF"/>
            <w:tcMar>
              <w:top w:w="30" w:type="dxa"/>
              <w:left w:w="15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interest-bearing core deposits</w:t>
            </w:r>
          </w:p>
        </w:tc>
        <w:tc>
          <w:tcPr>
            <w:tcW w:w="0" w:type="auto"/>
            <w:gridSpan w:val="3"/>
            <w:shd w:val="clear" w:color="auto" w:fill="FFFFFF"/>
            <w:tcMar>
              <w:top w:w="0" w:type="dxa"/>
              <w:left w:w="38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265,002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234,224 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197147323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Time deposits of $100,000 or more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16,961 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168 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r w:rsidR="00000000">
        <w:trPr>
          <w:divId w:val="197147323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interest-bearing deposits</w:t>
            </w:r>
          </w:p>
        </w:tc>
        <w:tc>
          <w:tcPr>
            <w:tcW w:w="0" w:type="auto"/>
            <w:gridSpan w:val="3"/>
            <w:shd w:val="clear" w:color="auto" w:fill="FFFFFF"/>
            <w:tcMar>
              <w:top w:w="0" w:type="dxa"/>
              <w:left w:w="38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273,417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251,185 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r>
    </w:tbl>
    <w:p w:rsidR="00000000" w:rsidRDefault="00AF3814">
      <w:pPr>
        <w:jc w:val="both"/>
        <w:divId w:val="1971473237"/>
        <w:rPr>
          <w:rFonts w:eastAsia="Times New Roman"/>
        </w:rPr>
      </w:pPr>
      <w:r>
        <w:rPr>
          <w:rFonts w:eastAsia="Times New Roman"/>
          <w:color w:val="000000"/>
          <w:sz w:val="20"/>
          <w:szCs w:val="20"/>
        </w:rPr>
        <w:t>__________</w:t>
      </w:r>
    </w:p>
    <w:p w:rsidR="00000000" w:rsidRDefault="00AF3814">
      <w:pPr>
        <w:ind w:hanging="360"/>
        <w:jc w:val="both"/>
        <w:divId w:val="32466783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ne</w:t>
      </w:r>
      <w:r>
        <w:rPr>
          <w:rFonts w:eastAsia="Times New Roman"/>
          <w:color w:val="000000"/>
          <w:sz w:val="16"/>
          <w:szCs w:val="16"/>
        </w:rPr>
        <w:t>gotiable order of withdrawal accounts.</w:t>
      </w:r>
    </w:p>
    <w:p w:rsidR="00000000" w:rsidRDefault="00AF3814">
      <w:pPr>
        <w:ind w:hanging="360"/>
        <w:jc w:val="both"/>
        <w:divId w:val="72476528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money market deposit accounts.</w:t>
      </w:r>
    </w:p>
    <w:p w:rsidR="00000000" w:rsidRDefault="00AF3814">
      <w:pPr>
        <w:jc w:val="both"/>
        <w:divId w:val="1588533458"/>
        <w:rPr>
          <w:rFonts w:eastAsia="Times New Roman"/>
        </w:rPr>
      </w:pPr>
      <w:r>
        <w:rPr>
          <w:rFonts w:eastAsia="Times New Roman"/>
          <w:color w:val="000000"/>
          <w:sz w:val="20"/>
          <w:szCs w:val="20"/>
        </w:rPr>
        <w:t>The FDIC limits the acceptance of brokered deposits to well-capitalized insured depository institutions and, with a waiver from the FDIC, to adequately-capitalized institutions. COBNA and CONA were well-capitalized, as defined under the federal banking reg</w:t>
      </w:r>
      <w:r>
        <w:rPr>
          <w:rFonts w:eastAsia="Times New Roman"/>
          <w:color w:val="000000"/>
          <w:sz w:val="20"/>
          <w:szCs w:val="20"/>
        </w:rPr>
        <w:t xml:space="preserve">ulatory guidelines, as of June 30, 2021 and December 31, 2020, respectively. See “Part I—Item 1. Business—Supervision and Regulation” in our 2020 Form 10-K for additional information. We provide additional information on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67512354"/>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66751235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6751235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76" style="width:0;height:1.5pt" o:hralign="center" o:hrstd="t" o:hr="t" fillcolor="#a0a0a0" stroked="f"/>
        </w:pict>
      </w:r>
    </w:p>
    <w:p w:rsidR="00000000" w:rsidRDefault="00AF3814">
      <w:pPr>
        <w:ind w:hanging="360"/>
        <w:jc w:val="both"/>
        <w:divId w:val="1455368721"/>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317538375"/>
        <w:rPr>
          <w:rFonts w:eastAsia="Times New Roman"/>
        </w:rPr>
      </w:pPr>
      <w:r>
        <w:rPr>
          <w:rFonts w:eastAsia="Times New Roman"/>
          <w:color w:val="000000"/>
          <w:sz w:val="20"/>
          <w:szCs w:val="20"/>
        </w:rPr>
        <w:t>composition of deposits in “MD&amp;A—Consolidated Balance Sheets Analysis—Funding Sources Composition” and in “Note 7—Deposits and Borrowings.”</w:t>
      </w:r>
    </w:p>
    <w:p w:rsidR="00000000" w:rsidRDefault="00AF3814">
      <w:pPr>
        <w:divId w:val="1198160334"/>
        <w:rPr>
          <w:rFonts w:eastAsia="Times New Roman"/>
        </w:rPr>
      </w:pPr>
      <w:r>
        <w:rPr>
          <w:rFonts w:eastAsia="Times New Roman"/>
          <w:b/>
          <w:bCs/>
          <w:i/>
          <w:iCs/>
          <w:color w:val="000000"/>
          <w:sz w:val="20"/>
          <w:szCs w:val="20"/>
        </w:rPr>
        <w:t>Sho</w:t>
      </w:r>
      <w:r>
        <w:rPr>
          <w:rFonts w:eastAsia="Times New Roman"/>
          <w:b/>
          <w:bCs/>
          <w:i/>
          <w:iCs/>
          <w:color w:val="000000"/>
          <w:sz w:val="20"/>
          <w:szCs w:val="20"/>
        </w:rPr>
        <w:t>rt-Term Borrowings and Long-Term Debt</w:t>
      </w:r>
    </w:p>
    <w:p w:rsidR="00000000" w:rsidRDefault="00AF3814">
      <w:pPr>
        <w:jc w:val="both"/>
        <w:divId w:val="2022314820"/>
        <w:rPr>
          <w:rFonts w:eastAsia="Times New Roman"/>
        </w:rPr>
      </w:pPr>
      <w:r>
        <w:rPr>
          <w:rFonts w:eastAsia="Times New Roman"/>
          <w:color w:val="000000"/>
          <w:sz w:val="20"/>
          <w:szCs w:val="20"/>
        </w:rPr>
        <w:t xml:space="preserve">We access the capital markets to meet our funding needs through the issuance of senior and subordinated notes, securitized debt obligations and federal funds purchased and securities loaned or sold under agreements to </w:t>
      </w:r>
      <w:r>
        <w:rPr>
          <w:rFonts w:eastAsia="Times New Roman"/>
          <w:color w:val="000000"/>
          <w:sz w:val="20"/>
          <w:szCs w:val="20"/>
        </w:rPr>
        <w:t xml:space="preserve">repurchase. In addition, we may utilize short-term and long-term FHLB advances secured by certain of our investment securities, multifamily real estate loans and commercial real estate loans. </w:t>
      </w:r>
    </w:p>
    <w:p w:rsidR="00000000" w:rsidRDefault="00AF3814">
      <w:pPr>
        <w:jc w:val="both"/>
        <w:divId w:val="722943619"/>
        <w:rPr>
          <w:rFonts w:eastAsia="Times New Roman"/>
        </w:rPr>
      </w:pPr>
      <w:r>
        <w:rPr>
          <w:rFonts w:eastAsia="Times New Roman"/>
          <w:color w:val="000000"/>
          <w:sz w:val="20"/>
          <w:szCs w:val="20"/>
        </w:rPr>
        <w:t>Our short-term borrowings include those borrowings with an orig</w:t>
      </w:r>
      <w:r>
        <w:rPr>
          <w:rFonts w:eastAsia="Times New Roman"/>
          <w:color w:val="000000"/>
          <w:sz w:val="20"/>
          <w:szCs w:val="20"/>
        </w:rPr>
        <w:t>inal contractual maturity of one year or less and do not include the current portion of long-term debt. The short-term borrowings, which consist of federal funds purchased, securities loaned or sold under agreements to repurchase, increased by $177 million</w:t>
      </w:r>
      <w:r>
        <w:rPr>
          <w:rFonts w:eastAsia="Times New Roman"/>
          <w:color w:val="000000"/>
          <w:sz w:val="20"/>
          <w:szCs w:val="20"/>
        </w:rPr>
        <w:t xml:space="preserve"> to $845 million as of June 30, 2021 from December 31, 2020 driven by an increase in repurchase agreements.</w:t>
      </w:r>
    </w:p>
    <w:p w:rsidR="00000000" w:rsidRDefault="00AF3814">
      <w:pPr>
        <w:jc w:val="both"/>
        <w:divId w:val="1247419487"/>
        <w:rPr>
          <w:rFonts w:eastAsia="Times New Roman"/>
        </w:rPr>
      </w:pPr>
      <w:r>
        <w:rPr>
          <w:rFonts w:eastAsia="Times New Roman"/>
          <w:color w:val="000000"/>
          <w:sz w:val="20"/>
          <w:szCs w:val="20"/>
        </w:rPr>
        <w:t>Our long-term debt, which primarily consists of securitized debt obligations and senior and subordinated notes, decreased by $4.4 billion to $35.5 b</w:t>
      </w:r>
      <w:r>
        <w:rPr>
          <w:rFonts w:eastAsia="Times New Roman"/>
          <w:color w:val="000000"/>
          <w:sz w:val="20"/>
          <w:szCs w:val="20"/>
        </w:rPr>
        <w:t>illion as of June 30, 2021 from December 31, 2020 primarily driven by redemptions of our senior unsecured debt and maturities and paydowns in our securitizations. We provide more information on our securitization activity in “Note 5—Variable Interest Entit</w:t>
      </w:r>
      <w:r>
        <w:rPr>
          <w:rFonts w:eastAsia="Times New Roman"/>
          <w:color w:val="000000"/>
          <w:sz w:val="20"/>
          <w:szCs w:val="20"/>
        </w:rPr>
        <w:t>ies and Securitizations.”</w:t>
      </w:r>
    </w:p>
    <w:p w:rsidR="00000000" w:rsidRDefault="00AF3814">
      <w:pPr>
        <w:jc w:val="both"/>
        <w:divId w:val="2007898913"/>
        <w:rPr>
          <w:rFonts w:eastAsia="Times New Roman"/>
        </w:rPr>
      </w:pPr>
      <w:r>
        <w:rPr>
          <w:rFonts w:eastAsia="Times New Roman"/>
          <w:color w:val="000000"/>
          <w:sz w:val="20"/>
          <w:szCs w:val="20"/>
        </w:rPr>
        <w:t xml:space="preserve">The following table summarizes issuances of securitized debt obligations, senior and subordinated notes and their respective maturities or redemptions for the second quarter and first six months of 2021 and 2020. </w:t>
      </w:r>
      <w:r>
        <w:rPr>
          <w:rFonts w:eastAsia="Times New Roman"/>
          <w:color w:val="000000"/>
          <w:sz w:val="20"/>
          <w:szCs w:val="20"/>
          <w:shd w:val="clear" w:color="auto" w:fill="FFFFFF"/>
        </w:rPr>
        <w:t>We did not have a</w:t>
      </w:r>
      <w:r>
        <w:rPr>
          <w:rFonts w:eastAsia="Times New Roman"/>
          <w:color w:val="000000"/>
          <w:sz w:val="20"/>
          <w:szCs w:val="20"/>
          <w:shd w:val="clear" w:color="auto" w:fill="FFFFFF"/>
        </w:rPr>
        <w:t>ny such issuances for the second quarter and first six months of 2021.</w:t>
      </w:r>
    </w:p>
    <w:p w:rsidR="00000000" w:rsidRDefault="00AF3814">
      <w:pPr>
        <w:divId w:val="1123959900"/>
        <w:rPr>
          <w:rFonts w:eastAsia="Times New Roman"/>
        </w:rPr>
      </w:pPr>
      <w:r>
        <w:rPr>
          <w:rFonts w:eastAsia="Times New Roman"/>
          <w:b/>
          <w:bCs/>
          <w:color w:val="000000"/>
          <w:sz w:val="18"/>
          <w:szCs w:val="18"/>
        </w:rPr>
        <w:t>Table 33: Long-Term Funding</w:t>
      </w:r>
    </w:p>
    <w:tbl>
      <w:tblPr>
        <w:tblW w:w="5000" w:type="pct"/>
        <w:tblCellMar>
          <w:top w:w="15" w:type="dxa"/>
          <w:left w:w="15" w:type="dxa"/>
          <w:bottom w:w="15" w:type="dxa"/>
          <w:right w:w="15" w:type="dxa"/>
        </w:tblCellMar>
        <w:tblLook w:val="04A0" w:firstRow="1" w:lastRow="0" w:firstColumn="1" w:lastColumn="0" w:noHBand="0" w:noVBand="1"/>
      </w:tblPr>
      <w:tblGrid>
        <w:gridCol w:w="39"/>
        <w:gridCol w:w="3243"/>
        <w:gridCol w:w="38"/>
        <w:gridCol w:w="36"/>
        <w:gridCol w:w="36"/>
        <w:gridCol w:w="36"/>
        <w:gridCol w:w="110"/>
        <w:gridCol w:w="550"/>
        <w:gridCol w:w="36"/>
        <w:gridCol w:w="36"/>
        <w:gridCol w:w="36"/>
        <w:gridCol w:w="36"/>
        <w:gridCol w:w="110"/>
        <w:gridCol w:w="550"/>
        <w:gridCol w:w="36"/>
        <w:gridCol w:w="46"/>
        <w:gridCol w:w="1508"/>
        <w:gridCol w:w="36"/>
        <w:gridCol w:w="36"/>
        <w:gridCol w:w="36"/>
        <w:gridCol w:w="110"/>
        <w:gridCol w:w="550"/>
        <w:gridCol w:w="36"/>
        <w:gridCol w:w="36"/>
        <w:gridCol w:w="36"/>
        <w:gridCol w:w="36"/>
        <w:gridCol w:w="110"/>
        <w:gridCol w:w="550"/>
        <w:gridCol w:w="36"/>
        <w:gridCol w:w="36"/>
        <w:gridCol w:w="36"/>
        <w:gridCol w:w="36"/>
        <w:gridCol w:w="36"/>
        <w:gridCol w:w="36"/>
        <w:gridCol w:w="36"/>
      </w:tblGrid>
      <w:tr w:rsidR="00000000">
        <w:trPr>
          <w:divId w:val="262420066"/>
        </w:trPr>
        <w:tc>
          <w:tcPr>
            <w:tcW w:w="50" w:type="pct"/>
            <w:vAlign w:val="center"/>
            <w:hideMark/>
          </w:tcPr>
          <w:p w:rsidR="00000000" w:rsidRDefault="00AF3814">
            <w:pPr>
              <w:rPr>
                <w:rFonts w:eastAsia="Times New Roman"/>
              </w:rPr>
            </w:pPr>
          </w:p>
        </w:tc>
        <w:tc>
          <w:tcPr>
            <w:tcW w:w="26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62420066"/>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Issuances</w:t>
            </w:r>
          </w:p>
        </w:tc>
        <w:tc>
          <w:tcPr>
            <w:tcW w:w="0" w:type="auto"/>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Maturities/Redemptions</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62420066"/>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6242006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624200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6242006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5,592 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6242006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6242006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877"/>
        <w:gridCol w:w="144"/>
        <w:gridCol w:w="144"/>
        <w:gridCol w:w="144"/>
        <w:gridCol w:w="144"/>
        <w:gridCol w:w="144"/>
        <w:gridCol w:w="927"/>
        <w:gridCol w:w="144"/>
        <w:gridCol w:w="144"/>
        <w:gridCol w:w="144"/>
        <w:gridCol w:w="144"/>
        <w:gridCol w:w="144"/>
        <w:gridCol w:w="927"/>
        <w:gridCol w:w="144"/>
        <w:gridCol w:w="144"/>
        <w:gridCol w:w="144"/>
        <w:gridCol w:w="144"/>
        <w:gridCol w:w="144"/>
        <w:gridCol w:w="927"/>
        <w:gridCol w:w="144"/>
        <w:gridCol w:w="144"/>
        <w:gridCol w:w="144"/>
        <w:gridCol w:w="144"/>
        <w:gridCol w:w="144"/>
        <w:gridCol w:w="928"/>
        <w:gridCol w:w="144"/>
      </w:tblGrid>
      <w:tr w:rsidR="00000000">
        <w:tc>
          <w:tcPr>
            <w:tcW w:w="50" w:type="pct"/>
            <w:vAlign w:val="center"/>
            <w:hideMark/>
          </w:tcPr>
          <w:p w:rsidR="00000000" w:rsidRDefault="00AF3814">
            <w:pPr>
              <w:rPr>
                <w:rFonts w:eastAsia="Times New Roman"/>
              </w:rPr>
            </w:pPr>
          </w:p>
        </w:tc>
        <w:tc>
          <w:tcPr>
            <w:tcW w:w="233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6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60"/>
        </w:trPr>
        <w:tc>
          <w:tcPr>
            <w:tcW w:w="0" w:type="auto"/>
            <w:gridSpan w:val="27"/>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divId w:val="76076052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243"/>
        <w:gridCol w:w="38"/>
        <w:gridCol w:w="36"/>
        <w:gridCol w:w="36"/>
        <w:gridCol w:w="36"/>
        <w:gridCol w:w="110"/>
        <w:gridCol w:w="550"/>
        <w:gridCol w:w="36"/>
        <w:gridCol w:w="36"/>
        <w:gridCol w:w="36"/>
        <w:gridCol w:w="36"/>
        <w:gridCol w:w="110"/>
        <w:gridCol w:w="550"/>
        <w:gridCol w:w="36"/>
        <w:gridCol w:w="46"/>
        <w:gridCol w:w="1508"/>
        <w:gridCol w:w="36"/>
        <w:gridCol w:w="36"/>
        <w:gridCol w:w="36"/>
        <w:gridCol w:w="110"/>
        <w:gridCol w:w="550"/>
        <w:gridCol w:w="36"/>
        <w:gridCol w:w="36"/>
        <w:gridCol w:w="36"/>
        <w:gridCol w:w="36"/>
        <w:gridCol w:w="110"/>
        <w:gridCol w:w="550"/>
        <w:gridCol w:w="36"/>
        <w:gridCol w:w="36"/>
        <w:gridCol w:w="36"/>
        <w:gridCol w:w="36"/>
        <w:gridCol w:w="36"/>
        <w:gridCol w:w="36"/>
        <w:gridCol w:w="36"/>
      </w:tblGrid>
      <w:tr w:rsidR="00000000">
        <w:trPr>
          <w:divId w:val="760760520"/>
        </w:trPr>
        <w:tc>
          <w:tcPr>
            <w:tcW w:w="50" w:type="pct"/>
            <w:vAlign w:val="center"/>
            <w:hideMark/>
          </w:tcPr>
          <w:p w:rsidR="00000000" w:rsidRDefault="00AF3814">
            <w:pPr>
              <w:rPr>
                <w:rFonts w:eastAsia="Times New Roman"/>
              </w:rPr>
            </w:pPr>
          </w:p>
        </w:tc>
        <w:tc>
          <w:tcPr>
            <w:tcW w:w="26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76052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Issuances</w:t>
            </w:r>
          </w:p>
        </w:tc>
        <w:tc>
          <w:tcPr>
            <w:tcW w:w="0" w:type="auto"/>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Maturities/Redemptions</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76076052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76076052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76052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76052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7,092 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76052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6076052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77" style="width:0;height:1.5pt" o:hralign="center" o:hrstd="t" o:hr="t" fillcolor="#a0a0a0" stroked="f"/>
        </w:pict>
      </w:r>
    </w:p>
    <w:p w:rsidR="00000000" w:rsidRDefault="00AF3814">
      <w:pPr>
        <w:ind w:hanging="360"/>
        <w:jc w:val="both"/>
        <w:divId w:val="1466922258"/>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029768319"/>
        <w:rPr>
          <w:rFonts w:eastAsia="Times New Roman"/>
        </w:rPr>
      </w:pPr>
      <w:r>
        <w:rPr>
          <w:rFonts w:eastAsia="Times New Roman"/>
          <w:b/>
          <w:bCs/>
          <w:color w:val="000000"/>
          <w:sz w:val="20"/>
          <w:szCs w:val="20"/>
        </w:rPr>
        <w:t>Credit Ratings</w:t>
      </w:r>
    </w:p>
    <w:p w:rsidR="00000000" w:rsidRDefault="00AF3814">
      <w:pPr>
        <w:jc w:val="both"/>
        <w:divId w:val="74400564"/>
        <w:rPr>
          <w:rFonts w:eastAsia="Times New Roman"/>
        </w:rPr>
      </w:pPr>
      <w:r>
        <w:rPr>
          <w:rFonts w:eastAsia="Times New Roman"/>
          <w:color w:val="000000"/>
          <w:sz w:val="20"/>
          <w:szCs w:val="20"/>
        </w:rPr>
        <w:t>Our credit ratings impact our ability to access capital markets and our borrowing costs. Rating agencies base their ratings on n</w:t>
      </w:r>
      <w:r>
        <w:rPr>
          <w:rFonts w:eastAsia="Times New Roman"/>
          <w:color w:val="000000"/>
          <w:sz w:val="20"/>
          <w:szCs w:val="20"/>
        </w:rPr>
        <w:t>umerous factors, including liquidity, capital adequacy, asset quality, quality of earnings and the probability of systemic support. Significant changes in these factors could result in different ratings.</w:t>
      </w:r>
    </w:p>
    <w:p w:rsidR="00000000" w:rsidRDefault="00AF3814">
      <w:pPr>
        <w:jc w:val="both"/>
        <w:divId w:val="1305113302"/>
        <w:rPr>
          <w:rFonts w:eastAsia="Times New Roman"/>
        </w:rPr>
      </w:pPr>
      <w:r>
        <w:rPr>
          <w:rFonts w:eastAsia="Times New Roman"/>
          <w:color w:val="000000"/>
          <w:sz w:val="20"/>
          <w:szCs w:val="20"/>
        </w:rPr>
        <w:t>Table 34 provides a summary of the credit ratings for the senior unsecured long-term debt of Capital One Financial Corporation, COBNA and CONA as of June 30, 2021 and December 31, 2020.</w:t>
      </w:r>
    </w:p>
    <w:p w:rsidR="00000000" w:rsidRDefault="00AF3814">
      <w:pPr>
        <w:divId w:val="464271863"/>
        <w:rPr>
          <w:rFonts w:eastAsia="Times New Roman"/>
        </w:rPr>
      </w:pPr>
      <w:r>
        <w:rPr>
          <w:rFonts w:eastAsia="Times New Roman"/>
          <w:b/>
          <w:bCs/>
          <w:color w:val="000000"/>
          <w:sz w:val="18"/>
          <w:szCs w:val="18"/>
        </w:rPr>
        <w:t>Table 34: Senior Unsecured Long-Term Debt Credit Ratings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930"/>
        <w:gridCol w:w="36"/>
        <w:gridCol w:w="36"/>
        <w:gridCol w:w="36"/>
        <w:gridCol w:w="36"/>
        <w:gridCol w:w="92"/>
        <w:gridCol w:w="793"/>
        <w:gridCol w:w="36"/>
        <w:gridCol w:w="36"/>
        <w:gridCol w:w="36"/>
        <w:gridCol w:w="36"/>
        <w:gridCol w:w="64"/>
        <w:gridCol w:w="583"/>
        <w:gridCol w:w="36"/>
        <w:gridCol w:w="36"/>
        <w:gridCol w:w="36"/>
        <w:gridCol w:w="36"/>
        <w:gridCol w:w="53"/>
        <w:gridCol w:w="631"/>
        <w:gridCol w:w="36"/>
        <w:gridCol w:w="36"/>
        <w:gridCol w:w="36"/>
        <w:gridCol w:w="36"/>
        <w:gridCol w:w="92"/>
        <w:gridCol w:w="793"/>
        <w:gridCol w:w="37"/>
        <w:gridCol w:w="37"/>
        <w:gridCol w:w="37"/>
        <w:gridCol w:w="37"/>
        <w:gridCol w:w="64"/>
        <w:gridCol w:w="583"/>
        <w:gridCol w:w="36"/>
        <w:gridCol w:w="36"/>
        <w:gridCol w:w="36"/>
        <w:gridCol w:w="36"/>
        <w:gridCol w:w="53"/>
        <w:gridCol w:w="632"/>
        <w:gridCol w:w="36"/>
      </w:tblGrid>
      <w:tr w:rsidR="00000000">
        <w:trPr>
          <w:divId w:val="789669705"/>
        </w:trPr>
        <w:tc>
          <w:tcPr>
            <w:tcW w:w="50" w:type="pct"/>
            <w:vAlign w:val="center"/>
            <w:hideMark/>
          </w:tcPr>
          <w:p w:rsidR="00000000" w:rsidRDefault="00AF3814">
            <w:pPr>
              <w:rPr>
                <w:rFonts w:eastAsia="Times New Roman"/>
              </w:rPr>
            </w:pPr>
          </w:p>
        </w:tc>
        <w:tc>
          <w:tcPr>
            <w:tcW w:w="178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78966970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789669705"/>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Capital One</w:t>
            </w:r>
            <w:r>
              <w:rPr>
                <w:rFonts w:eastAsia="Times New Roman"/>
                <w:b/>
                <w:bCs/>
                <w:color w:val="000000"/>
                <w:sz w:val="16"/>
                <w:szCs w:val="16"/>
              </w:rPr>
              <w:br/>
              <w:t>Financial</w:t>
            </w:r>
            <w:r>
              <w:rPr>
                <w:rFonts w:eastAsia="Times New Roman"/>
                <w:b/>
                <w:bCs/>
                <w:color w:val="000000"/>
                <w:sz w:val="16"/>
                <w:szCs w:val="16"/>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COBNA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CONA</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Capital One</w:t>
            </w:r>
            <w:r>
              <w:rPr>
                <w:rFonts w:eastAsia="Times New Roman"/>
                <w:b/>
                <w:bCs/>
                <w:color w:val="000000"/>
                <w:sz w:val="16"/>
                <w:szCs w:val="16"/>
              </w:rPr>
              <w:br/>
              <w:t>Financial</w:t>
            </w:r>
            <w:r>
              <w:rPr>
                <w:rFonts w:eastAsia="Times New Roman"/>
                <w:b/>
                <w:bCs/>
                <w:color w:val="000000"/>
                <w:sz w:val="16"/>
                <w:szCs w:val="16"/>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COBNA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CONA</w:t>
            </w:r>
          </w:p>
        </w:tc>
      </w:tr>
      <w:tr w:rsidR="00000000">
        <w:trPr>
          <w:divId w:val="7896697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Moody’s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A3</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A3</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Baa1</w:t>
            </w:r>
          </w:p>
        </w:tc>
      </w:tr>
      <w:tr w:rsidR="00000000">
        <w:trPr>
          <w:divId w:val="78966970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S&amp;P</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BBB+</w:t>
            </w:r>
          </w:p>
        </w:tc>
      </w:tr>
      <w:tr w:rsidR="00000000">
        <w:trPr>
          <w:divId w:val="78966970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Fitch</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A-</w:t>
            </w:r>
          </w:p>
        </w:tc>
      </w:tr>
    </w:tbl>
    <w:p w:rsidR="00000000" w:rsidRDefault="00AF3814">
      <w:pPr>
        <w:jc w:val="both"/>
        <w:divId w:val="2049604170"/>
        <w:rPr>
          <w:rFonts w:eastAsia="Times New Roman"/>
        </w:rPr>
      </w:pPr>
      <w:r>
        <w:rPr>
          <w:rFonts w:eastAsia="Times New Roman"/>
          <w:color w:val="000000"/>
          <w:sz w:val="20"/>
          <w:szCs w:val="20"/>
        </w:rPr>
        <w:t>As of July 26, 2021, Moody’s Investors Service (“Moody’s”), Standard &amp; Poor’s (“S&amp;P”) and Fitch Ratings (“Fitch”) have our credit ratings on a stable outlook.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61398023"/>
        </w:trPr>
        <w:tc>
          <w:tcPr>
            <w:tcW w:w="50" w:type="pct"/>
            <w:vAlign w:val="center"/>
            <w:hideMark/>
          </w:tcPr>
          <w:p w:rsidR="00000000" w:rsidRDefault="00AF3814">
            <w:pPr>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6139802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MARKET RISK PROFILE</w:t>
            </w:r>
          </w:p>
        </w:tc>
      </w:tr>
    </w:tbl>
    <w:p w:rsidR="00000000" w:rsidRDefault="00AF3814">
      <w:pPr>
        <w:jc w:val="both"/>
        <w:divId w:val="842282275"/>
        <w:rPr>
          <w:rFonts w:eastAsia="Times New Roman"/>
        </w:rPr>
      </w:pPr>
      <w:r>
        <w:rPr>
          <w:rFonts w:eastAsia="Times New Roman"/>
          <w:color w:val="000000"/>
          <w:sz w:val="20"/>
          <w:szCs w:val="20"/>
        </w:rPr>
        <w:t>Market risk is the risk of economic loss in the value of our financial instruments due to changes in market factors. Our primary market risk exposures include interest rate risk, foreign exchange risk and commodity pricing risk. We are exposed to market ri</w:t>
      </w:r>
      <w:r>
        <w:rPr>
          <w:rFonts w:eastAsia="Times New Roman"/>
          <w:color w:val="000000"/>
          <w:sz w:val="20"/>
          <w:szCs w:val="20"/>
        </w:rPr>
        <w:t>sk primarily from the following operations and activities:</w:t>
      </w:r>
    </w:p>
    <w:p w:rsidR="00000000" w:rsidRDefault="00AF3814">
      <w:pPr>
        <w:ind w:hanging="360"/>
        <w:jc w:val="both"/>
        <w:divId w:val="391200388"/>
        <w:rPr>
          <w:rFonts w:eastAsia="Times New Roman"/>
        </w:rPr>
      </w:pPr>
      <w:r>
        <w:rPr>
          <w:rFonts w:eastAsia="Times New Roman"/>
          <w:color w:val="000000"/>
          <w:sz w:val="20"/>
          <w:szCs w:val="20"/>
        </w:rPr>
        <w:t>•Traditional banking activities of deposit gathering and lending;</w:t>
      </w:r>
    </w:p>
    <w:p w:rsidR="00000000" w:rsidRDefault="00AF3814">
      <w:pPr>
        <w:ind w:hanging="360"/>
        <w:jc w:val="both"/>
        <w:divId w:val="1922713041"/>
        <w:rPr>
          <w:rFonts w:eastAsia="Times New Roman"/>
        </w:rPr>
      </w:pPr>
      <w:r>
        <w:rPr>
          <w:rFonts w:eastAsia="Times New Roman"/>
          <w:color w:val="000000"/>
          <w:sz w:val="20"/>
          <w:szCs w:val="20"/>
        </w:rPr>
        <w:t>•Asset/liability management activities including the management of investment securities, short-term and long-term borrowings and d</w:t>
      </w:r>
      <w:r>
        <w:rPr>
          <w:rFonts w:eastAsia="Times New Roman"/>
          <w:color w:val="000000"/>
          <w:sz w:val="20"/>
          <w:szCs w:val="20"/>
        </w:rPr>
        <w:t>erivatives;</w:t>
      </w:r>
    </w:p>
    <w:p w:rsidR="00000000" w:rsidRDefault="00AF3814">
      <w:pPr>
        <w:ind w:hanging="360"/>
        <w:jc w:val="both"/>
        <w:divId w:val="2001423268"/>
        <w:rPr>
          <w:rFonts w:eastAsia="Times New Roman"/>
        </w:rPr>
      </w:pPr>
      <w:r>
        <w:rPr>
          <w:rFonts w:eastAsia="Times New Roman"/>
          <w:color w:val="000000"/>
          <w:sz w:val="20"/>
          <w:szCs w:val="20"/>
        </w:rPr>
        <w:t>•Foreign operations in the U.K. and Canada within our Credit Card business; and</w:t>
      </w:r>
    </w:p>
    <w:p w:rsidR="00000000" w:rsidRDefault="00AF3814">
      <w:pPr>
        <w:ind w:hanging="360"/>
        <w:jc w:val="both"/>
        <w:divId w:val="1682124601"/>
        <w:rPr>
          <w:rFonts w:eastAsia="Times New Roman"/>
        </w:rPr>
      </w:pPr>
      <w:r>
        <w:rPr>
          <w:rFonts w:eastAsia="Times New Roman"/>
          <w:color w:val="000000"/>
          <w:sz w:val="20"/>
          <w:szCs w:val="20"/>
        </w:rPr>
        <w:t>•Customer accommodation activities within our Commercial Banking business.</w:t>
      </w:r>
    </w:p>
    <w:p w:rsidR="00000000" w:rsidRDefault="00AF3814">
      <w:pPr>
        <w:jc w:val="both"/>
        <w:divId w:val="1034384383"/>
        <w:rPr>
          <w:rFonts w:eastAsia="Times New Roman"/>
        </w:rPr>
      </w:pPr>
      <w:r>
        <w:rPr>
          <w:rFonts w:eastAsia="Times New Roman"/>
          <w:color w:val="000000"/>
          <w:sz w:val="20"/>
          <w:szCs w:val="20"/>
        </w:rPr>
        <w:t>We have enterprise-wide risk management policies and limits, approved by our Board of Dir</w:t>
      </w:r>
      <w:r>
        <w:rPr>
          <w:rFonts w:eastAsia="Times New Roman"/>
          <w:color w:val="000000"/>
          <w:sz w:val="20"/>
          <w:szCs w:val="20"/>
        </w:rPr>
        <w:t>ectors, which govern our market risk management activities. Our objective is to manage our exposure to market risk in accordance with these policies and limits based on prevailing market conditions and long-term expectations. We provide additional informat</w:t>
      </w:r>
      <w:r>
        <w:rPr>
          <w:rFonts w:eastAsia="Times New Roman"/>
          <w:color w:val="000000"/>
          <w:sz w:val="20"/>
          <w:szCs w:val="20"/>
        </w:rPr>
        <w:t>ion below about our primary sources of market risk, our market risk management strategies and the measures that we use to evaluate these exposures.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32429306"/>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32429306"/>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532429306"/>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78" style="width:0;height:1.5pt" o:hralign="center" o:hrstd="t" o:hr="t" fillcolor="#a0a0a0" stroked="f"/>
        </w:pict>
      </w:r>
    </w:p>
    <w:p w:rsidR="00000000" w:rsidRDefault="00AF3814">
      <w:pPr>
        <w:ind w:hanging="360"/>
        <w:jc w:val="both"/>
        <w:divId w:val="1082028906"/>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660894395"/>
        <w:rPr>
          <w:rFonts w:eastAsia="Times New Roman"/>
        </w:rPr>
      </w:pPr>
      <w:r>
        <w:rPr>
          <w:rFonts w:eastAsia="Times New Roman"/>
          <w:b/>
          <w:bCs/>
          <w:color w:val="000000"/>
          <w:sz w:val="20"/>
          <w:szCs w:val="20"/>
        </w:rPr>
        <w:t>Interest Rate Risk</w:t>
      </w:r>
    </w:p>
    <w:p w:rsidR="00000000" w:rsidRDefault="00AF3814">
      <w:pPr>
        <w:jc w:val="both"/>
        <w:divId w:val="291592488"/>
        <w:rPr>
          <w:rFonts w:eastAsia="Times New Roman"/>
        </w:rPr>
      </w:pPr>
      <w:r>
        <w:rPr>
          <w:rFonts w:eastAsia="Times New Roman"/>
          <w:color w:val="000000"/>
          <w:sz w:val="20"/>
          <w:szCs w:val="20"/>
        </w:rPr>
        <w:t>Interest rate risk represents exposure to financial instruments whose values vary with the level or volatility of interest r</w:t>
      </w:r>
      <w:r>
        <w:rPr>
          <w:rFonts w:eastAsia="Times New Roman"/>
          <w:color w:val="000000"/>
          <w:sz w:val="20"/>
          <w:szCs w:val="20"/>
        </w:rPr>
        <w:t>ates. We are exposed to interest rate risk primarily from the differences in the timing between the maturities or re-pricing of assets and liabilities. We manage our interest rate risk primarily by entering into interest rate swaps and other derivative ins</w:t>
      </w:r>
      <w:r>
        <w:rPr>
          <w:rFonts w:eastAsia="Times New Roman"/>
          <w:color w:val="000000"/>
          <w:sz w:val="20"/>
          <w:szCs w:val="20"/>
        </w:rPr>
        <w:t xml:space="preserve">truments which could include caps, floors, options, futures and forward contracts. </w:t>
      </w:r>
    </w:p>
    <w:p w:rsidR="00000000" w:rsidRDefault="00AF3814">
      <w:pPr>
        <w:jc w:val="both"/>
        <w:divId w:val="145124943"/>
        <w:rPr>
          <w:rFonts w:eastAsia="Times New Roman"/>
        </w:rPr>
      </w:pPr>
      <w:r>
        <w:rPr>
          <w:rFonts w:eastAsia="Times New Roman"/>
          <w:color w:val="000000"/>
          <w:sz w:val="20"/>
          <w:szCs w:val="20"/>
        </w:rPr>
        <w:t>We use various industry standard market risk measurement techniques and analyses to measure, assess and manage the impact of changes in interest rates on our net interest i</w:t>
      </w:r>
      <w:r>
        <w:rPr>
          <w:rFonts w:eastAsia="Times New Roman"/>
          <w:color w:val="000000"/>
          <w:sz w:val="20"/>
          <w:szCs w:val="20"/>
        </w:rPr>
        <w:t>ncome and our economic value of equity and changes in foreign exchange rates on our non-dollar-denominated funding and non-dollar equity investments in foreign operations.</w:t>
      </w:r>
    </w:p>
    <w:p w:rsidR="00000000" w:rsidRDefault="00AF3814">
      <w:pPr>
        <w:divId w:val="1855340513"/>
        <w:rPr>
          <w:rFonts w:eastAsia="Times New Roman"/>
        </w:rPr>
      </w:pPr>
      <w:r>
        <w:rPr>
          <w:rFonts w:eastAsia="Times New Roman"/>
          <w:b/>
          <w:bCs/>
          <w:i/>
          <w:iCs/>
          <w:color w:val="000000"/>
          <w:sz w:val="20"/>
          <w:szCs w:val="20"/>
        </w:rPr>
        <w:t>Net Interest Income Sensitivity</w:t>
      </w:r>
    </w:p>
    <w:p w:rsidR="00000000" w:rsidRDefault="00AF3814">
      <w:pPr>
        <w:jc w:val="both"/>
        <w:divId w:val="993412969"/>
        <w:rPr>
          <w:rFonts w:eastAsia="Times New Roman"/>
        </w:rPr>
      </w:pPr>
      <w:r>
        <w:rPr>
          <w:rFonts w:eastAsia="Times New Roman"/>
          <w:color w:val="000000"/>
          <w:sz w:val="20"/>
          <w:szCs w:val="20"/>
        </w:rPr>
        <w:t xml:space="preserve">Our net interest income sensitivity measure estimates the impact on our projected 12-month baseline net interest income resulting from movements in interest rates. In addition to our existing assets and liabilities, we incorporate expected future business </w:t>
      </w:r>
      <w:r>
        <w:rPr>
          <w:rFonts w:eastAsia="Times New Roman"/>
          <w:color w:val="000000"/>
          <w:sz w:val="20"/>
          <w:szCs w:val="20"/>
        </w:rPr>
        <w:t>growth assumptions, such as loan and deposit growth and pricing, and plans for projected changes in our funding mix in our baseline forecast. In measuring the sensitivity of interest rate movements on our projected net interest income, we assume a hypothet</w:t>
      </w:r>
      <w:r>
        <w:rPr>
          <w:rFonts w:eastAsia="Times New Roman"/>
          <w:color w:val="000000"/>
          <w:sz w:val="20"/>
          <w:szCs w:val="20"/>
        </w:rPr>
        <w:t>ical instantaneous parallel shift in the level of interest rates detailed in Table 35 below. At the current level of interest rates, our net interest income is expected to increase in higher rate scenarios and decrease modestly in lower rate scenarios. Our</w:t>
      </w:r>
      <w:r>
        <w:rPr>
          <w:rFonts w:eastAsia="Times New Roman"/>
          <w:color w:val="000000"/>
          <w:sz w:val="20"/>
          <w:szCs w:val="20"/>
        </w:rPr>
        <w:t xml:space="preserve"> current sensitivity to upward shocks has decreased as compared to December 31, 2020, mainly due to the increase in long-term interest rates. </w:t>
      </w:r>
    </w:p>
    <w:p w:rsidR="00000000" w:rsidRDefault="00AF3814">
      <w:pPr>
        <w:divId w:val="723800011"/>
        <w:rPr>
          <w:rFonts w:eastAsia="Times New Roman"/>
        </w:rPr>
      </w:pPr>
      <w:r>
        <w:rPr>
          <w:rFonts w:eastAsia="Times New Roman"/>
          <w:b/>
          <w:bCs/>
          <w:i/>
          <w:iCs/>
          <w:color w:val="000000"/>
          <w:sz w:val="20"/>
          <w:szCs w:val="20"/>
        </w:rPr>
        <w:t>Economic Value of Equity</w:t>
      </w:r>
    </w:p>
    <w:p w:rsidR="00000000" w:rsidRDefault="00AF3814">
      <w:pPr>
        <w:jc w:val="both"/>
        <w:divId w:val="740642482"/>
        <w:rPr>
          <w:rFonts w:eastAsia="Times New Roman"/>
        </w:rPr>
      </w:pPr>
      <w:r>
        <w:rPr>
          <w:rFonts w:eastAsia="Times New Roman"/>
          <w:color w:val="000000"/>
          <w:sz w:val="20"/>
          <w:szCs w:val="20"/>
        </w:rPr>
        <w:t>Our economic value of equity sensitivity measure estimates the impact on the net present</w:t>
      </w:r>
      <w:r>
        <w:rPr>
          <w:rFonts w:eastAsia="Times New Roman"/>
          <w:color w:val="000000"/>
          <w:sz w:val="20"/>
          <w:szCs w:val="20"/>
        </w:rPr>
        <w:t xml:space="preserve"> value of our assets and liabilities, including derivative exposures, resulting from movements in interest rates. Our economic value of equity sensitivity measure is calculated based on our existing assets and liabilities, including derivatives, and does n</w:t>
      </w:r>
      <w:r>
        <w:rPr>
          <w:rFonts w:eastAsia="Times New Roman"/>
          <w:color w:val="000000"/>
          <w:sz w:val="20"/>
          <w:szCs w:val="20"/>
        </w:rPr>
        <w:t>ot incorporate business growth assumptions or projected balance sheet changes. Key assumptions used in the calculation include projecting rate sensitive prepayments for mortgage securities, loans and other assets, term structure modeling of interest rates,</w:t>
      </w:r>
      <w:r>
        <w:rPr>
          <w:rFonts w:eastAsia="Times New Roman"/>
          <w:color w:val="000000"/>
          <w:sz w:val="20"/>
          <w:szCs w:val="20"/>
        </w:rPr>
        <w:t xml:space="preserve"> discount spreads, and deposit volume and pricing assumptions. In measuring the sensitivity of interest rate movements on our economic value of equity, we assume a hypothetical instantaneous parallel shift in the level of interest rates detailed in Table 3</w:t>
      </w:r>
      <w:r>
        <w:rPr>
          <w:rFonts w:eastAsia="Times New Roman"/>
          <w:color w:val="000000"/>
          <w:sz w:val="20"/>
          <w:szCs w:val="20"/>
        </w:rPr>
        <w:t>5 below. Our current economic value of equity sensitivity profile demonstrates that our economic value of equity increasing in moderately higher interest rate scenarios (+50 and +100 bps), while decreasing in a lower interest rate scenario (-50 bps). Simil</w:t>
      </w:r>
      <w:r>
        <w:rPr>
          <w:rFonts w:eastAsia="Times New Roman"/>
          <w:color w:val="000000"/>
          <w:sz w:val="20"/>
          <w:szCs w:val="20"/>
        </w:rPr>
        <w:t xml:space="preserve">ar to the changes in net interest income sensitivity, our current economic value of equity sensitivity to upward shocks has also decreased as compared to December 31, 2020 mainly due to the increase in long term interest rates. </w:t>
      </w:r>
    </w:p>
    <w:p w:rsidR="00000000" w:rsidRDefault="00AF3814">
      <w:pPr>
        <w:jc w:val="both"/>
        <w:divId w:val="805969869"/>
        <w:rPr>
          <w:rFonts w:eastAsia="Times New Roman"/>
        </w:rPr>
      </w:pPr>
      <w:r>
        <w:rPr>
          <w:rFonts w:eastAsia="Times New Roman"/>
          <w:color w:val="000000"/>
          <w:sz w:val="20"/>
          <w:szCs w:val="20"/>
        </w:rPr>
        <w:t>Table 35 shows the estimate</w:t>
      </w:r>
      <w:r>
        <w:rPr>
          <w:rFonts w:eastAsia="Times New Roman"/>
          <w:color w:val="000000"/>
          <w:sz w:val="20"/>
          <w:szCs w:val="20"/>
        </w:rPr>
        <w:t>d percentage impact on our projected baseline net interest income and economic value of equity calculated under the methodology described above as of June 30, 2021 and December 31, 2020. In instances where an interest rate scenario would result in a rate l</w:t>
      </w:r>
      <w:r>
        <w:rPr>
          <w:rFonts w:eastAsia="Times New Roman"/>
          <w:color w:val="000000"/>
          <w:sz w:val="20"/>
          <w:szCs w:val="20"/>
        </w:rPr>
        <w:t>ess than 0%, we assume a rate of 0% for that scenario. This assumption applies only to jurisdictions that do not have negative policy rates. In jurisdictions that have negative policy rates, we do not floor interest rates at 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75128990"/>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075128990"/>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07512899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79" style="width:0;height:1.5pt" o:hralign="center" o:hrstd="t" o:hr="t" fillcolor="#a0a0a0" stroked="f"/>
        </w:pict>
      </w:r>
    </w:p>
    <w:p w:rsidR="00000000" w:rsidRDefault="00AF3814">
      <w:pPr>
        <w:ind w:hanging="360"/>
        <w:jc w:val="both"/>
        <w:divId w:val="76168181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886137956"/>
        <w:rPr>
          <w:rFonts w:eastAsia="Times New Roman"/>
        </w:rPr>
      </w:pPr>
      <w:r>
        <w:rPr>
          <w:rFonts w:eastAsia="Times New Roman"/>
          <w:b/>
          <w:bCs/>
          <w:color w:val="000000"/>
          <w:sz w:val="18"/>
          <w:szCs w:val="18"/>
        </w:rPr>
        <w:t>Table 35: Interest Rate Sensitivity Analysis</w:t>
      </w:r>
    </w:p>
    <w:tbl>
      <w:tblPr>
        <w:tblW w:w="5000" w:type="pct"/>
        <w:tblCellMar>
          <w:top w:w="15" w:type="dxa"/>
          <w:left w:w="15" w:type="dxa"/>
          <w:bottom w:w="15" w:type="dxa"/>
          <w:right w:w="15" w:type="dxa"/>
        </w:tblCellMar>
        <w:tblLook w:val="04A0" w:firstRow="1" w:lastRow="0" w:firstColumn="1" w:lastColumn="0" w:noHBand="0" w:noVBand="1"/>
      </w:tblPr>
      <w:tblGrid>
        <w:gridCol w:w="37"/>
        <w:gridCol w:w="5697"/>
        <w:gridCol w:w="36"/>
        <w:gridCol w:w="36"/>
        <w:gridCol w:w="36"/>
        <w:gridCol w:w="36"/>
        <w:gridCol w:w="37"/>
        <w:gridCol w:w="920"/>
        <w:gridCol w:w="200"/>
        <w:gridCol w:w="36"/>
        <w:gridCol w:w="36"/>
        <w:gridCol w:w="36"/>
        <w:gridCol w:w="52"/>
        <w:gridCol w:w="941"/>
        <w:gridCol w:w="170"/>
      </w:tblGrid>
      <w:tr w:rsidR="00000000">
        <w:trPr>
          <w:divId w:val="1732342450"/>
        </w:trPr>
        <w:tc>
          <w:tcPr>
            <w:tcW w:w="50" w:type="pct"/>
            <w:vAlign w:val="center"/>
            <w:hideMark/>
          </w:tcPr>
          <w:p w:rsidR="00000000" w:rsidRDefault="00AF3814">
            <w:pPr>
              <w:rPr>
                <w:rFonts w:eastAsia="Times New Roman"/>
              </w:rPr>
            </w:pPr>
          </w:p>
        </w:tc>
        <w:tc>
          <w:tcPr>
            <w:tcW w:w="347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73234245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7323424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Estimated impact on projected baseline net 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3234245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+200 basis points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w:t>
            </w:r>
          </w:p>
        </w:tc>
      </w:tr>
      <w:tr w:rsidR="00000000">
        <w:trPr>
          <w:divId w:val="1732342450"/>
        </w:trPr>
        <w:tc>
          <w:tcPr>
            <w:tcW w:w="0" w:type="auto"/>
            <w:gridSpan w:val="3"/>
            <w:vAlign w:val="center"/>
            <w:hideMark/>
          </w:tcPr>
          <w:p w:rsidR="00000000" w:rsidRDefault="00AF3814">
            <w:pPr>
              <w:spacing w:after="100"/>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73234245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+100 basis points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3234245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3234245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32342450"/>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73234245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73234245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73234245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Estimated impact on economic value of equity: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3234245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+200 basis points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32342450"/>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73234245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+100 basis points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3234245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3234245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732342450"/>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73234245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73234245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both"/>
        <w:divId w:val="1319766662"/>
        <w:rPr>
          <w:rFonts w:eastAsia="Times New Roman"/>
        </w:rPr>
      </w:pPr>
      <w:r>
        <w:rPr>
          <w:rFonts w:eastAsia="Times New Roman"/>
          <w:color w:val="000000"/>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eastAsia="Times New Roman"/>
          <w:color w:val="000000"/>
          <w:sz w:val="20"/>
          <w:szCs w:val="20"/>
        </w:rPr>
        <w:t>ment decisions.</w:t>
      </w:r>
    </w:p>
    <w:p w:rsidR="00000000" w:rsidRDefault="00AF3814">
      <w:pPr>
        <w:divId w:val="1345595594"/>
        <w:rPr>
          <w:rFonts w:eastAsia="Times New Roman"/>
        </w:rPr>
      </w:pPr>
      <w:r>
        <w:rPr>
          <w:rFonts w:eastAsia="Times New Roman"/>
          <w:b/>
          <w:bCs/>
          <w:i/>
          <w:iCs/>
          <w:color w:val="000000"/>
          <w:sz w:val="20"/>
          <w:szCs w:val="20"/>
        </w:rPr>
        <w:t>Limitations of Market Risk Measures</w:t>
      </w:r>
    </w:p>
    <w:p w:rsidR="00000000" w:rsidRDefault="00AF3814">
      <w:pPr>
        <w:jc w:val="both"/>
        <w:divId w:val="1632593034"/>
        <w:rPr>
          <w:rFonts w:eastAsia="Times New Roman"/>
        </w:rPr>
      </w:pPr>
      <w:r>
        <w:rPr>
          <w:rFonts w:eastAsia="Times New Roman"/>
          <w:color w:val="000000"/>
          <w:sz w:val="20"/>
          <w:szCs w:val="20"/>
        </w:rPr>
        <w:t>The interest rate risk models that we use in deriving these measures incorporate contractual information, internally-developed assumptions and proprietary modeling methodologies, which project borrower and depositor behavior patterns in certain interest ra</w:t>
      </w:r>
      <w:r>
        <w:rPr>
          <w:rFonts w:eastAsia="Times New Roman"/>
          <w:color w:val="000000"/>
          <w:sz w:val="20"/>
          <w:szCs w:val="20"/>
        </w:rPr>
        <w:t>te environments. Other market inputs, such as interest rates, market prices and interest rate volatility, are also critical components of our interest rate risk measures. We regularly evaluate, update and enhance these assumptions, models and analytical to</w:t>
      </w:r>
      <w:r>
        <w:rPr>
          <w:rFonts w:eastAsia="Times New Roman"/>
          <w:color w:val="000000"/>
          <w:sz w:val="20"/>
          <w:szCs w:val="20"/>
        </w:rPr>
        <w:t>ols as we believe appropriate to reflect our best assessment of the market environment and the expected behavior patterns of our existing assets and liabilities.</w:t>
      </w:r>
    </w:p>
    <w:p w:rsidR="00000000" w:rsidRDefault="00AF3814">
      <w:pPr>
        <w:jc w:val="both"/>
        <w:divId w:val="993679879"/>
        <w:rPr>
          <w:rFonts w:eastAsia="Times New Roman"/>
        </w:rPr>
      </w:pPr>
      <w:r>
        <w:rPr>
          <w:rFonts w:eastAsia="Times New Roman"/>
          <w:color w:val="000000"/>
          <w:sz w:val="20"/>
          <w:szCs w:val="20"/>
        </w:rPr>
        <w:t xml:space="preserve">There are inherent limitations in any methodology used to estimate the exposure to changes in </w:t>
      </w:r>
      <w:r>
        <w:rPr>
          <w:rFonts w:eastAsia="Times New Roman"/>
          <w:color w:val="000000"/>
          <w:sz w:val="20"/>
          <w:szCs w:val="20"/>
        </w:rPr>
        <w:t>market interest rates. The sensitivity analysis described above contemplates only certain movements in interest rates and is performed at a particular point in time based on the existing balance sheet and, in some cases, expected future business growth and</w:t>
      </w:r>
      <w:r>
        <w:rPr>
          <w:rFonts w:eastAsia="Times New Roman"/>
          <w:color w:val="000000"/>
          <w:sz w:val="20"/>
          <w:szCs w:val="20"/>
        </w:rPr>
        <w:t xml:space="preserve"> funding mix assumptions. The strategic actions that management may take to manage our balance sheet may differ significantly from our projections, which could cause our actual earnings and economic value of equity sensitivities to differ substantially fro</w:t>
      </w:r>
      <w:r>
        <w:rPr>
          <w:rFonts w:eastAsia="Times New Roman"/>
          <w:color w:val="000000"/>
          <w:sz w:val="20"/>
          <w:szCs w:val="20"/>
        </w:rPr>
        <w:t>m the above sensitivity analysis.</w:t>
      </w:r>
    </w:p>
    <w:p w:rsidR="00000000" w:rsidRDefault="00AF3814">
      <w:pPr>
        <w:jc w:val="both"/>
        <w:divId w:val="1321232316"/>
        <w:rPr>
          <w:rFonts w:eastAsia="Times New Roman"/>
        </w:rPr>
      </w:pPr>
      <w:r>
        <w:rPr>
          <w:rFonts w:eastAsia="Times New Roman"/>
          <w:color w:val="000000"/>
          <w:sz w:val="20"/>
          <w:szCs w:val="20"/>
        </w:rPr>
        <w:t xml:space="preserve">For further information on our interest rate exposures, see “Note 8—Derivative Instruments and Hedging Activities.” </w:t>
      </w:r>
    </w:p>
    <w:p w:rsidR="00000000" w:rsidRDefault="00AF3814">
      <w:pPr>
        <w:divId w:val="1262491062"/>
        <w:rPr>
          <w:rFonts w:eastAsia="Times New Roman"/>
        </w:rPr>
      </w:pPr>
      <w:r>
        <w:rPr>
          <w:rFonts w:eastAsia="Times New Roman"/>
          <w:b/>
          <w:bCs/>
          <w:color w:val="000000"/>
          <w:sz w:val="20"/>
          <w:szCs w:val="20"/>
        </w:rPr>
        <w:t>Foreign Exchange Risk</w:t>
      </w:r>
    </w:p>
    <w:p w:rsidR="00000000" w:rsidRDefault="00AF3814">
      <w:pPr>
        <w:jc w:val="both"/>
        <w:divId w:val="1784572442"/>
        <w:rPr>
          <w:rFonts w:eastAsia="Times New Roman"/>
        </w:rPr>
      </w:pPr>
      <w:r>
        <w:rPr>
          <w:rFonts w:eastAsia="Times New Roman"/>
          <w:color w:val="000000"/>
          <w:sz w:val="20"/>
          <w:szCs w:val="20"/>
        </w:rPr>
        <w:t>Foreign exchange risk represents exposure to changes in the values of current holdi</w:t>
      </w:r>
      <w:r>
        <w:rPr>
          <w:rFonts w:eastAsia="Times New Roman"/>
          <w:color w:val="000000"/>
          <w:sz w:val="20"/>
          <w:szCs w:val="20"/>
        </w:rPr>
        <w:t>ngs and future cash flows denominated in other currencies. We are exposed to foreign exchange risk primarily from the intercompany funding denominated in pound sterling (“GBP”) and the Canadian dollar (“CAD”) that we provide to our businesses in the U.K. a</w:t>
      </w:r>
      <w:r>
        <w:rPr>
          <w:rFonts w:eastAsia="Times New Roman"/>
          <w:color w:val="000000"/>
          <w:sz w:val="20"/>
          <w:szCs w:val="20"/>
        </w:rPr>
        <w:t>nd Canada and net equity investments in those businesses. We are also exposed to foreign exchange risk due to changes in the dollar-denominated value of future earnings and cash flows from our foreign operations and from our Euro (“EUR”)-denominated borrow</w:t>
      </w:r>
      <w:r>
        <w:rPr>
          <w:rFonts w:eastAsia="Times New Roman"/>
          <w:color w:val="000000"/>
          <w:sz w:val="20"/>
          <w:szCs w:val="20"/>
        </w:rPr>
        <w:t>ings.</w:t>
      </w:r>
    </w:p>
    <w:p w:rsidR="00000000" w:rsidRDefault="00AF3814">
      <w:pPr>
        <w:jc w:val="both"/>
        <w:divId w:val="46533131"/>
        <w:rPr>
          <w:rFonts w:eastAsia="Times New Roman"/>
        </w:rPr>
      </w:pPr>
      <w:r>
        <w:rPr>
          <w:rFonts w:eastAsia="Times New Roman"/>
          <w:color w:val="000000"/>
          <w:sz w:val="20"/>
          <w:szCs w:val="20"/>
        </w:rPr>
        <w:t>Our non-dollar denominated intercompany funding and EUR-denominated borrowings expose our earnings to foreign exchange transaction risk. We manage these transaction risks by using forward foreign currency derivatives and cross-currency swaps to hedge</w:t>
      </w:r>
      <w:r>
        <w:rPr>
          <w:rFonts w:eastAsia="Times New Roman"/>
          <w:color w:val="000000"/>
          <w:sz w:val="20"/>
          <w:szCs w:val="20"/>
        </w:rPr>
        <w:t xml:space="preserve"> our exposures. We measure our foreign exchange transaction risk exposures by applying a 1% U.S. dollar appreciation shock against the value of the non-dollar denominated intercompany funding and EUR-denominated borrowings and their related hedges, which s</w:t>
      </w:r>
      <w:r>
        <w:rPr>
          <w:rFonts w:eastAsia="Times New Roman"/>
          <w:color w:val="000000"/>
          <w:sz w:val="20"/>
          <w:szCs w:val="20"/>
        </w:rPr>
        <w:t>hows the impact to our earnings from foreign exchange risk. Our intercompany funding outstanding was 320 million GBP as of both June 30, 2021 and December 31, 2020, and 4.7 billion CAD and 5.3 billion CAD as of June 30, 2021 and December 31, 2020, respecti</w:t>
      </w:r>
      <w:r>
        <w:rPr>
          <w:rFonts w:eastAsia="Times New Roman"/>
          <w:color w:val="000000"/>
          <w:sz w:val="20"/>
          <w:szCs w:val="20"/>
        </w:rPr>
        <w:t>vely. Our EUR-denominated borrowings outstanding were 1.3 billion EUR as of both June 30, 2021 and December 31,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72929135"/>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7292913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57292913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80" style="width:0;height:1.5pt" o:hralign="center" o:hrstd="t" o:hr="t" fillcolor="#a0a0a0" stroked="f"/>
        </w:pict>
      </w:r>
    </w:p>
    <w:p w:rsidR="00000000" w:rsidRDefault="00AF3814">
      <w:pPr>
        <w:ind w:hanging="360"/>
        <w:jc w:val="both"/>
        <w:divId w:val="896283028"/>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905791698"/>
        <w:rPr>
          <w:rFonts w:eastAsia="Times New Roman"/>
        </w:rPr>
      </w:pPr>
      <w:r>
        <w:rPr>
          <w:rFonts w:eastAsia="Times New Roman"/>
          <w:color w:val="000000"/>
          <w:sz w:val="20"/>
          <w:szCs w:val="20"/>
        </w:rPr>
        <w:t xml:space="preserve">Our non-dollar equity investments in foreign operations expose our balance sheet to translation risk in AOCI and our capital ratios. We manage </w:t>
      </w:r>
      <w:r>
        <w:rPr>
          <w:rFonts w:eastAsia="Times New Roman"/>
          <w:color w:val="000000"/>
          <w:sz w:val="20"/>
          <w:szCs w:val="20"/>
        </w:rPr>
        <w:t>our AOCI exposure by entering into foreign currency derivatives designated as net investment hedges. We measure these exposures by applying a 30% U.S. dollar appreciation shock, which we believe approximates a significant adverse shock over a one-year time</w:t>
      </w:r>
      <w:r>
        <w:rPr>
          <w:rFonts w:eastAsia="Times New Roman"/>
          <w:color w:val="000000"/>
          <w:sz w:val="20"/>
          <w:szCs w:val="20"/>
        </w:rPr>
        <w:t xml:space="preserve"> horizon, against the value of the equity invested in our foreign operations net of related net investment hedges where applicable. Our gross equity exposures in our U.K. and Canadian operations were 1.7 billion GBP as of both June 30, 2021 and December 31</w:t>
      </w:r>
      <w:r>
        <w:rPr>
          <w:rFonts w:eastAsia="Times New Roman"/>
          <w:color w:val="000000"/>
          <w:sz w:val="20"/>
          <w:szCs w:val="20"/>
        </w:rPr>
        <w:t>, 2020, and 1.7 billion CAD and 1.5 billion CAD as of June 30, 2021 and December 31, 2020, respectively.</w:t>
      </w:r>
    </w:p>
    <w:p w:rsidR="00000000" w:rsidRDefault="00AF3814">
      <w:pPr>
        <w:jc w:val="both"/>
        <w:divId w:val="325862774"/>
        <w:rPr>
          <w:rFonts w:eastAsia="Times New Roman"/>
        </w:rPr>
      </w:pPr>
      <w:r>
        <w:rPr>
          <w:rFonts w:eastAsia="Times New Roman"/>
          <w:color w:val="000000"/>
          <w:sz w:val="20"/>
          <w:szCs w:val="20"/>
        </w:rPr>
        <w:t>As a result of our derivative management activities, we believe our net exposure to foreign exchange risk is minimal.</w:t>
      </w:r>
    </w:p>
    <w:p w:rsidR="00000000" w:rsidRDefault="00AF3814">
      <w:pPr>
        <w:divId w:val="1690835134"/>
        <w:rPr>
          <w:rFonts w:eastAsia="Times New Roman"/>
        </w:rPr>
      </w:pPr>
      <w:r>
        <w:rPr>
          <w:rFonts w:eastAsia="Times New Roman"/>
          <w:b/>
          <w:bCs/>
          <w:color w:val="000000"/>
          <w:sz w:val="20"/>
          <w:szCs w:val="20"/>
        </w:rPr>
        <w:t>Risk related to Customer Accommod</w:t>
      </w:r>
      <w:r>
        <w:rPr>
          <w:rFonts w:eastAsia="Times New Roman"/>
          <w:b/>
          <w:bCs/>
          <w:color w:val="000000"/>
          <w:sz w:val="20"/>
          <w:szCs w:val="20"/>
        </w:rPr>
        <w:t xml:space="preserve">ation Derivatives </w:t>
      </w:r>
    </w:p>
    <w:p w:rsidR="00000000" w:rsidRDefault="00AF3814">
      <w:pPr>
        <w:jc w:val="both"/>
        <w:divId w:val="805588472"/>
        <w:rPr>
          <w:rFonts w:eastAsia="Times New Roman"/>
        </w:rPr>
      </w:pPr>
      <w:r>
        <w:rPr>
          <w:rFonts w:eastAsia="Times New Roman"/>
          <w:color w:val="000000"/>
          <w:sz w:val="20"/>
          <w:szCs w:val="20"/>
        </w:rPr>
        <w:t>We offer interest rate, commodity and foreign currency derivatives as an accommodation to our customers within our Commercial Banking business. We offset the majority of the market risk of these customer accommodation derivatives by entering into offsettin</w:t>
      </w:r>
      <w:r>
        <w:rPr>
          <w:rFonts w:eastAsia="Times New Roman"/>
          <w:color w:val="000000"/>
          <w:sz w:val="20"/>
          <w:szCs w:val="20"/>
        </w:rPr>
        <w:t>g derivatives transactions with other counterparties. We use value-at-risk (“VaR”) as the primary method to measure the market risk in our customer accommodation derivative activities on a daily basis. VaR is a statistical risk measure used to estimate the</w:t>
      </w:r>
      <w:r>
        <w:rPr>
          <w:rFonts w:eastAsia="Times New Roman"/>
          <w:color w:val="000000"/>
          <w:sz w:val="20"/>
          <w:szCs w:val="20"/>
        </w:rPr>
        <w:t xml:space="preserve"> potential loss from movements observed in the recent market environment. We employ a historical simulation approach using the most recent 500 business days and use a 99 percent confidence level and a holding period of one business day. As a result of offs</w:t>
      </w:r>
      <w:r>
        <w:rPr>
          <w:rFonts w:eastAsia="Times New Roman"/>
          <w:color w:val="000000"/>
          <w:sz w:val="20"/>
          <w:szCs w:val="20"/>
        </w:rPr>
        <w:t>etting our customer exposures with other counterparties, we believe that our net exposure to market risk in our customer accommodation derivatives is minimal. For further information on our risk related to customer accommodation derivatives, see “Note 8—De</w:t>
      </w:r>
      <w:r>
        <w:rPr>
          <w:rFonts w:eastAsia="Times New Roman"/>
          <w:color w:val="000000"/>
          <w:sz w:val="20"/>
          <w:szCs w:val="20"/>
        </w:rPr>
        <w:t>rivative Instruments and Hedging Activities.”</w:t>
      </w:r>
    </w:p>
    <w:p w:rsidR="00000000" w:rsidRDefault="00AF3814">
      <w:pPr>
        <w:divId w:val="1249579471"/>
        <w:rPr>
          <w:rFonts w:eastAsia="Times New Roman"/>
        </w:rPr>
      </w:pPr>
      <w:r>
        <w:rPr>
          <w:rFonts w:eastAsia="Times New Roman"/>
          <w:b/>
          <w:bCs/>
          <w:color w:val="000000"/>
          <w:sz w:val="20"/>
          <w:szCs w:val="20"/>
        </w:rPr>
        <w:t>London Interbank Offered Rate (“LIBOR”) Transition</w:t>
      </w:r>
    </w:p>
    <w:p w:rsidR="00000000" w:rsidRDefault="00AF3814">
      <w:pPr>
        <w:jc w:val="both"/>
        <w:divId w:val="1107235792"/>
        <w:rPr>
          <w:rFonts w:eastAsia="Times New Roman"/>
        </w:rPr>
      </w:pPr>
      <w:r>
        <w:rPr>
          <w:rFonts w:eastAsia="Times New Roman"/>
          <w:color w:val="000000"/>
          <w:sz w:val="20"/>
          <w:szCs w:val="20"/>
        </w:rPr>
        <w:t>On July 27, 2017, the U.K. Financial Conduct Authority (“FCA”), the regulator for the administration of LIBOR, announced that LIBOR would be transitioned as an</w:t>
      </w:r>
      <w:r>
        <w:rPr>
          <w:rFonts w:eastAsia="Times New Roman"/>
          <w:color w:val="000000"/>
          <w:sz w:val="20"/>
          <w:szCs w:val="20"/>
        </w:rPr>
        <w:t xml:space="preserve"> interest rate benchmark and that it will no longer compel banks to contribute LIBOR data beyond December 31, 2021. In the U.S., the Federal Reserve Board and the Federal Reserve Bank of New York established the Alternative Reference Rates Committee (“ARRC</w:t>
      </w:r>
      <w:r>
        <w:rPr>
          <w:rFonts w:eastAsia="Times New Roman"/>
          <w:color w:val="000000"/>
          <w:sz w:val="20"/>
          <w:szCs w:val="20"/>
        </w:rPr>
        <w:t xml:space="preserve">”), a group of private market participants and ex-officio members representing banking and financial sector regulators. The ARRC has recommended Secured Overnight Financing Rate (“SOFR”) as the preferred alternative rate for certain U.S. dollar derivative </w:t>
      </w:r>
      <w:r>
        <w:rPr>
          <w:rFonts w:eastAsia="Times New Roman"/>
          <w:color w:val="000000"/>
          <w:sz w:val="20"/>
          <w:szCs w:val="20"/>
        </w:rPr>
        <w:t xml:space="preserve">and cash instruments. While the ARRC has recommended SOFR as the replacement rate for LIBOR, some market participants have begun using alternate rates featuring a credit-sensitive element. We are continuing to evaluate the different LIBOR alternatives and </w:t>
      </w:r>
      <w:r>
        <w:rPr>
          <w:rFonts w:eastAsia="Times New Roman"/>
          <w:color w:val="000000"/>
          <w:sz w:val="20"/>
          <w:szCs w:val="20"/>
        </w:rPr>
        <w:t xml:space="preserve">how their progression will impact our transition efforts. </w:t>
      </w:r>
    </w:p>
    <w:p w:rsidR="00000000" w:rsidRDefault="00AF3814">
      <w:pPr>
        <w:jc w:val="both"/>
        <w:rPr>
          <w:rFonts w:eastAsia="Times New Roman"/>
        </w:rPr>
      </w:pPr>
      <w:r>
        <w:rPr>
          <w:rFonts w:eastAsia="Times New Roman"/>
          <w:color w:val="000000"/>
          <w:sz w:val="20"/>
          <w:szCs w:val="20"/>
        </w:rPr>
        <w:t>On March 5, 2021, the ICE Benchmark Administration (“IBA”), the administrator of LIBOR, confirmed its intention to cease publication of the 1-week and 2-month USD LIBOR settings immediately followi</w:t>
      </w:r>
      <w:r>
        <w:rPr>
          <w:rFonts w:eastAsia="Times New Roman"/>
          <w:color w:val="000000"/>
          <w:sz w:val="20"/>
          <w:szCs w:val="20"/>
        </w:rPr>
        <w:t>ng the LIBOR publication on December 31, 2021, and the remaining USD LIBOR tenors (overnight; 1, 3, 6, and 12 months) immediately following the LIBOR publication on June 30, 2023. The continuation of USD LIBOR as a representative rate into mid-2023 will al</w:t>
      </w:r>
      <w:r>
        <w:rPr>
          <w:rFonts w:eastAsia="Times New Roman"/>
          <w:color w:val="000000"/>
          <w:sz w:val="20"/>
          <w:szCs w:val="20"/>
        </w:rPr>
        <w:t>low many legacy USD LIBOR contracts to mature prior to cessation. Following IBA’s announcement, the FCA formally announced the future permanent cessation and loss of representativeness of LIBOR benchmarks.</w:t>
      </w:r>
    </w:p>
    <w:p w:rsidR="00000000" w:rsidRDefault="00AF3814">
      <w:pPr>
        <w:jc w:val="both"/>
        <w:divId w:val="626935944"/>
        <w:rPr>
          <w:rFonts w:eastAsia="Times New Roman"/>
        </w:rPr>
      </w:pPr>
      <w:r>
        <w:rPr>
          <w:rFonts w:eastAsia="Times New Roman"/>
          <w:color w:val="000000"/>
          <w:sz w:val="20"/>
          <w:szCs w:val="20"/>
        </w:rPr>
        <w:t>We have exposures to LIBOR, including loans, deriv</w:t>
      </w:r>
      <w:r>
        <w:rPr>
          <w:rFonts w:eastAsia="Times New Roman"/>
          <w:color w:val="000000"/>
          <w:sz w:val="20"/>
          <w:szCs w:val="20"/>
        </w:rPr>
        <w:t>ative contracts, unsecured debt, securitizations, vendor agreements and other instruments with attributes that are either directly or indirectly dependent on LIBOR. To facilitate an orderly transition from LIBOR, we have established a company-wide, cross-f</w:t>
      </w:r>
      <w:r>
        <w:rPr>
          <w:rFonts w:eastAsia="Times New Roman"/>
          <w:color w:val="000000"/>
          <w:sz w:val="20"/>
          <w:szCs w:val="20"/>
        </w:rPr>
        <w:t xml:space="preserve">unctional initiative to oversee and manage our transition away from LIBOR and other Interbank Offered Rates (“IBORs”) to alternative reference rates. </w:t>
      </w:r>
    </w:p>
    <w:p w:rsidR="00000000" w:rsidRDefault="00AF3814">
      <w:pPr>
        <w:jc w:val="both"/>
        <w:divId w:val="910432639"/>
        <w:rPr>
          <w:rFonts w:eastAsia="Times New Roman"/>
        </w:rPr>
      </w:pPr>
      <w:r>
        <w:rPr>
          <w:rFonts w:eastAsia="Times New Roman"/>
          <w:color w:val="000000"/>
          <w:sz w:val="20"/>
          <w:szCs w:val="20"/>
        </w:rPr>
        <w:t>We have made progress on our transition efforts as we continue to insert LIBOR transition language (“fall</w:t>
      </w:r>
      <w:r>
        <w:rPr>
          <w:rFonts w:eastAsia="Times New Roman"/>
          <w:color w:val="000000"/>
          <w:sz w:val="20"/>
          <w:szCs w:val="20"/>
        </w:rPr>
        <w:t>back language”) in new and existing lending contracts as well as fallback language in derivatives contracts and agreements that adheres to the International Swaps and Derivatives Association (“ISDA”) fallback protocol.</w:t>
      </w:r>
    </w:p>
    <w:p w:rsidR="00000000" w:rsidRDefault="00AF3814">
      <w:pPr>
        <w:divId w:val="557981371"/>
        <w:rPr>
          <w:rFonts w:eastAsia="Times New Roman"/>
        </w:rPr>
      </w:pPr>
      <w:r>
        <w:rPr>
          <w:rFonts w:eastAsia="Times New Roman"/>
          <w:color w:val="000000"/>
          <w:sz w:val="20"/>
          <w:szCs w:val="20"/>
        </w:rPr>
        <w:t>We also continue to focus our transit</w:t>
      </w:r>
      <w:r>
        <w:rPr>
          <w:rFonts w:eastAsia="Times New Roman"/>
          <w:color w:val="000000"/>
          <w:sz w:val="20"/>
          <w:szCs w:val="20"/>
        </w:rPr>
        <w:t>ion efforts on:</w:t>
      </w:r>
    </w:p>
    <w:p w:rsidR="00000000" w:rsidRDefault="00AF3814">
      <w:pPr>
        <w:ind w:hanging="360"/>
        <w:divId w:val="209850094"/>
        <w:rPr>
          <w:rFonts w:eastAsia="Times New Roman"/>
        </w:rPr>
      </w:pPr>
      <w:r>
        <w:rPr>
          <w:rFonts w:eastAsia="Times New Roman"/>
          <w:color w:val="000000"/>
          <w:sz w:val="20"/>
          <w:szCs w:val="20"/>
        </w:rPr>
        <w:t xml:space="preserve">•monitoring market developments and industry practices related to SOFR and other LIBOR replacement indexes; </w:t>
      </w:r>
    </w:p>
    <w:p w:rsidR="00000000" w:rsidRDefault="00AF3814">
      <w:pPr>
        <w:ind w:hanging="360"/>
        <w:divId w:val="1545828101"/>
        <w:rPr>
          <w:rFonts w:eastAsia="Times New Roman"/>
        </w:rPr>
      </w:pPr>
      <w:r>
        <w:rPr>
          <w:rFonts w:eastAsia="Times New Roman"/>
          <w:color w:val="000000"/>
          <w:sz w:val="20"/>
          <w:szCs w:val="20"/>
        </w:rPr>
        <w:t>•originating loans and transacting in instruments indexed to SOFR and other LIBOR replacement rates;</w:t>
      </w:r>
    </w:p>
    <w:p w:rsidR="00000000" w:rsidRDefault="00AF3814">
      <w:pPr>
        <w:ind w:hanging="360"/>
        <w:divId w:val="519781149"/>
        <w:rPr>
          <w:rFonts w:eastAsia="Times New Roman"/>
        </w:rPr>
      </w:pPr>
      <w:r>
        <w:rPr>
          <w:rFonts w:eastAsia="Times New Roman"/>
          <w:color w:val="000000"/>
          <w:sz w:val="20"/>
          <w:szCs w:val="20"/>
        </w:rPr>
        <w:t>•reviewing existing legal cont</w:t>
      </w:r>
      <w:r>
        <w:rPr>
          <w:rFonts w:eastAsia="Times New Roman"/>
          <w:color w:val="000000"/>
          <w:sz w:val="20"/>
          <w:szCs w:val="20"/>
        </w:rPr>
        <w:t>racts and agreements and assessing fallback language impacts;</w:t>
      </w:r>
    </w:p>
    <w:p w:rsidR="00000000" w:rsidRDefault="00AF3814">
      <w:pPr>
        <w:ind w:hanging="360"/>
        <w:divId w:val="1857840376"/>
        <w:rPr>
          <w:rFonts w:eastAsia="Times New Roman"/>
        </w:rPr>
      </w:pPr>
      <w:r>
        <w:rPr>
          <w:rFonts w:eastAsia="Times New Roman"/>
          <w:color w:val="000000"/>
          <w:sz w:val="20"/>
          <w:szCs w:val="20"/>
        </w:rPr>
        <w:t>•monitoring and reducing our inventory of LIBOR exposures;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75152904"/>
          <w:jc w:val="center"/>
        </w:trPr>
        <w:tc>
          <w:tcPr>
            <w:tcW w:w="50" w:type="pct"/>
            <w:vAlign w:val="center"/>
            <w:hideMark/>
          </w:tcPr>
          <w:p w:rsidR="00000000" w:rsidRDefault="00AF3814">
            <w:pPr>
              <w:ind w:hanging="360"/>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7515290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07515290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81" style="width:0;height:1.5pt" o:hralign="center" o:hrstd="t" o:hr="t" fillcolor="#a0a0a0" stroked="f"/>
        </w:pict>
      </w:r>
    </w:p>
    <w:p w:rsidR="00000000" w:rsidRDefault="00AF3814">
      <w:pPr>
        <w:ind w:hanging="360"/>
        <w:jc w:val="both"/>
        <w:divId w:val="644434873"/>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ind w:hanging="360"/>
        <w:divId w:val="1625843560"/>
        <w:rPr>
          <w:rFonts w:eastAsia="Times New Roman"/>
        </w:rPr>
      </w:pPr>
      <w:r>
        <w:rPr>
          <w:rFonts w:eastAsia="Times New Roman"/>
          <w:color w:val="000000"/>
          <w:sz w:val="20"/>
          <w:szCs w:val="20"/>
        </w:rPr>
        <w:t>•building internal operational readiness and risk management processes, including exposure reporting;</w:t>
      </w:r>
    </w:p>
    <w:p w:rsidR="00000000" w:rsidRDefault="00AF3814">
      <w:pPr>
        <w:ind w:hanging="360"/>
        <w:divId w:val="506023207"/>
        <w:rPr>
          <w:rFonts w:eastAsia="Times New Roman"/>
        </w:rPr>
      </w:pPr>
      <w:r>
        <w:rPr>
          <w:rFonts w:eastAsia="Times New Roman"/>
          <w:color w:val="000000"/>
          <w:sz w:val="20"/>
          <w:szCs w:val="20"/>
        </w:rPr>
        <w:t>•implementing necessary updates to our in</w:t>
      </w:r>
      <w:r>
        <w:rPr>
          <w:rFonts w:eastAsia="Times New Roman"/>
          <w:color w:val="000000"/>
          <w:sz w:val="20"/>
          <w:szCs w:val="20"/>
        </w:rPr>
        <w:t>frastructure including systems, models, valuation tools and processes; and</w:t>
      </w:r>
    </w:p>
    <w:p w:rsidR="00000000" w:rsidRDefault="00AF3814">
      <w:pPr>
        <w:ind w:hanging="360"/>
        <w:divId w:val="1996182071"/>
        <w:rPr>
          <w:rFonts w:eastAsia="Times New Roman"/>
        </w:rPr>
      </w:pPr>
      <w:r>
        <w:rPr>
          <w:rFonts w:eastAsia="Times New Roman"/>
          <w:color w:val="000000"/>
          <w:sz w:val="20"/>
          <w:szCs w:val="20"/>
        </w:rPr>
        <w:t>•engaging with our clients, industry working groups, and regulators.</w:t>
      </w:r>
    </w:p>
    <w:p w:rsidR="00000000" w:rsidRDefault="00AF3814">
      <w:pPr>
        <w:jc w:val="both"/>
        <w:divId w:val="376780168"/>
        <w:rPr>
          <w:rFonts w:eastAsia="Times New Roman"/>
        </w:rPr>
      </w:pPr>
      <w:r>
        <w:rPr>
          <w:rFonts w:eastAsia="Times New Roman"/>
          <w:color w:val="000000"/>
          <w:sz w:val="20"/>
          <w:szCs w:val="20"/>
        </w:rPr>
        <w:t>For a further discussion of the various risks we face in connection with the expected replacement of LIBOR on ou</w:t>
      </w:r>
      <w:r>
        <w:rPr>
          <w:rFonts w:eastAsia="Times New Roman"/>
          <w:color w:val="000000"/>
          <w:sz w:val="20"/>
          <w:szCs w:val="20"/>
        </w:rPr>
        <w:t>r operations, see “Part I—Item 1A. Risk Factors—</w:t>
      </w:r>
      <w:r>
        <w:rPr>
          <w:rFonts w:eastAsia="Times New Roman"/>
          <w:i/>
          <w:iCs/>
          <w:color w:val="000000"/>
          <w:sz w:val="20"/>
          <w:szCs w:val="20"/>
        </w:rPr>
        <w:t>Uncertainty regarding, and transition away from, LIBOR may adversely affect our business</w:t>
      </w:r>
      <w:r>
        <w:rPr>
          <w:rFonts w:eastAsia="Times New Roman"/>
          <w:color w:val="000000"/>
          <w:sz w:val="20"/>
          <w:szCs w:val="20"/>
        </w:rPr>
        <w:t>” in our 2020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125732468"/>
        </w:trPr>
        <w:tc>
          <w:tcPr>
            <w:tcW w:w="50" w:type="pct"/>
            <w:vAlign w:val="center"/>
            <w:hideMark/>
          </w:tcPr>
          <w:p w:rsidR="00000000" w:rsidRDefault="00AF3814">
            <w:pPr>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12573246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SUPERVISION AND REGULATION</w:t>
            </w:r>
          </w:p>
        </w:tc>
      </w:tr>
    </w:tbl>
    <w:p w:rsidR="00000000" w:rsidRDefault="00AF3814">
      <w:pPr>
        <w:divId w:val="1691906485"/>
        <w:rPr>
          <w:rFonts w:eastAsia="Times New Roman"/>
        </w:rPr>
      </w:pPr>
      <w:r>
        <w:rPr>
          <w:rFonts w:eastAsia="Times New Roman"/>
          <w:b/>
          <w:bCs/>
          <w:color w:val="000000"/>
          <w:sz w:val="20"/>
          <w:szCs w:val="20"/>
        </w:rPr>
        <w:t>Dividends and Stock Repurchases Update</w:t>
      </w:r>
    </w:p>
    <w:p w:rsidR="00000000" w:rsidRDefault="00AF3814">
      <w:pPr>
        <w:jc w:val="both"/>
        <w:divId w:val="1459685839"/>
        <w:rPr>
          <w:rFonts w:eastAsia="Times New Roman"/>
        </w:rPr>
      </w:pPr>
      <w:r>
        <w:rPr>
          <w:rFonts w:eastAsia="Times New Roman"/>
          <w:color w:val="000000"/>
          <w:sz w:val="20"/>
          <w:szCs w:val="20"/>
        </w:rPr>
        <w:t xml:space="preserve">On June 24, 2021, the Federal Reserve released the results of its supervisory stress tests for the 2021 cycle. Based on the results, all participating BHCs remained above their risk-based minimum capital requirements </w:t>
      </w:r>
      <w:r>
        <w:rPr>
          <w:rFonts w:eastAsia="Times New Roman"/>
          <w:color w:val="000000"/>
          <w:sz w:val="20"/>
          <w:szCs w:val="20"/>
        </w:rPr>
        <w:t>in the hypothetical stress scenario. Accordingly, as laid out previously by the Federal Reserve, the temporary capital distribution restrictions put in place in the third quarter of 2020 following the outbreak of COVID-19 ended for all participating BHCs a</w:t>
      </w:r>
      <w:r>
        <w:rPr>
          <w:rFonts w:eastAsia="Times New Roman"/>
          <w:color w:val="000000"/>
          <w:sz w:val="20"/>
          <w:szCs w:val="20"/>
        </w:rPr>
        <w:t>fter the second quarter of 2021. All participating BHCs remain subject to the normal capital distribution restrictions of the stress capital buffer framework.</w:t>
      </w:r>
    </w:p>
    <w:p w:rsidR="00000000" w:rsidRDefault="00AF3814">
      <w:pPr>
        <w:jc w:val="both"/>
        <w:divId w:val="1520461270"/>
        <w:rPr>
          <w:rFonts w:eastAsia="Times New Roman"/>
        </w:rPr>
      </w:pPr>
      <w:r>
        <w:rPr>
          <w:rFonts w:eastAsia="Times New Roman"/>
          <w:color w:val="000000"/>
          <w:sz w:val="20"/>
          <w:szCs w:val="20"/>
        </w:rPr>
        <w:t>Based on the Company’s 2021 supervisory stress testing results, the Company’s stress capital buff</w:t>
      </w:r>
      <w:r>
        <w:rPr>
          <w:rFonts w:eastAsia="Times New Roman"/>
          <w:color w:val="000000"/>
          <w:sz w:val="20"/>
          <w:szCs w:val="20"/>
        </w:rPr>
        <w:t>er requirement for the period beginning on October 1, 2021 through September 30, 2022 is 2.5%. Therefore, the Company’s minimum capital requirements plus the standardized approach capital conservation buffer for CET1 capital, Tier 1 capital and total capit</w:t>
      </w:r>
      <w:r>
        <w:rPr>
          <w:rFonts w:eastAsia="Times New Roman"/>
          <w:color w:val="000000"/>
          <w:sz w:val="20"/>
          <w:szCs w:val="20"/>
        </w:rPr>
        <w:t>al ratios under the stress capital buffer framework are 7.0%, 8.5% and 10.5%, respectively, for the period from October 1, 2021 through September 30, 2022.</w:t>
      </w:r>
    </w:p>
    <w:p w:rsidR="00000000" w:rsidRDefault="00AF3814">
      <w:pPr>
        <w:jc w:val="both"/>
        <w:divId w:val="1615792110"/>
        <w:rPr>
          <w:rFonts w:eastAsia="Times New Roman"/>
        </w:rPr>
      </w:pPr>
      <w:r>
        <w:rPr>
          <w:rFonts w:eastAsia="Times New Roman"/>
          <w:color w:val="000000"/>
          <w:sz w:val="20"/>
          <w:szCs w:val="20"/>
        </w:rPr>
        <w:t>We provided additional information on our Supervision and Regulation in our 2020 Form 10-K under “Pa</w:t>
      </w:r>
      <w:r>
        <w:rPr>
          <w:rFonts w:eastAsia="Times New Roman"/>
          <w:color w:val="000000"/>
          <w:sz w:val="20"/>
          <w:szCs w:val="20"/>
        </w:rPr>
        <w:t>rt I—Item 1. Business—Supervision and Regulation” and in our Quarterly Report on Form 10-Q for the period ended March 31, 2021 under “Part I—Item 2. MD&amp;A—Supervision and Regulation.”</w:t>
      </w:r>
    </w:p>
    <w:p w:rsidR="00000000" w:rsidRDefault="00AF3814">
      <w:pPr>
        <w:jc w:val="both"/>
        <w:divId w:val="103496260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9075518"/>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9075518"/>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09075518"/>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82" style="width:0;height:1.5pt" o:hralign="center" o:hrstd="t" o:hr="t" fillcolor="#a0a0a0" stroked="f"/>
        </w:pict>
      </w:r>
    </w:p>
    <w:p w:rsidR="00000000" w:rsidRDefault="00AF3814">
      <w:pPr>
        <w:ind w:hanging="360"/>
        <w:jc w:val="both"/>
        <w:divId w:val="1376657501"/>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546571022"/>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4657102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FORWARD-LOOKING STATEMENTS</w:t>
            </w:r>
          </w:p>
        </w:tc>
      </w:tr>
    </w:tbl>
    <w:p w:rsidR="00000000" w:rsidRDefault="00AF3814">
      <w:pPr>
        <w:jc w:val="both"/>
        <w:divId w:val="1118142039"/>
        <w:rPr>
          <w:rFonts w:eastAsia="Times New Roman"/>
        </w:rPr>
      </w:pPr>
      <w:r>
        <w:rPr>
          <w:rFonts w:eastAsia="Times New Roman"/>
          <w:color w:val="000000"/>
          <w:sz w:val="20"/>
          <w:szCs w:val="20"/>
        </w:rPr>
        <w:t>From time to time, we have made and will make forward-looking statements, including those that discuss, among other things, strategies, goals, outlook or other non-historical matters; projections, revenues, income, returns, expenses, capital measures, capi</w:t>
      </w:r>
      <w:r>
        <w:rPr>
          <w:rFonts w:eastAsia="Times New Roman"/>
          <w:color w:val="000000"/>
          <w:sz w:val="20"/>
          <w:szCs w:val="20"/>
        </w:rPr>
        <w:t>tal allocation plans, accruals for claims in litigation and for other claims against us; earnings per share, efficiency ratio, operating efficiency ratio, or other financial measures for us; future financial and operating results; our plans, objectives, ex</w:t>
      </w:r>
      <w:r>
        <w:rPr>
          <w:rFonts w:eastAsia="Times New Roman"/>
          <w:color w:val="000000"/>
          <w:sz w:val="20"/>
          <w:szCs w:val="20"/>
        </w:rPr>
        <w:t>pectations and intentions; and the assumptions that underlie these matters.</w:t>
      </w:r>
    </w:p>
    <w:p w:rsidR="00000000" w:rsidRDefault="00AF3814">
      <w:pPr>
        <w:jc w:val="both"/>
        <w:divId w:val="1899702876"/>
        <w:rPr>
          <w:rFonts w:eastAsia="Times New Roman"/>
        </w:rPr>
      </w:pPr>
      <w:r>
        <w:rPr>
          <w:rFonts w:eastAsia="Times New Roman"/>
          <w:color w:val="000000"/>
          <w:sz w:val="20"/>
          <w:szCs w:val="20"/>
        </w:rPr>
        <w:t>To the extent that any such information is forward-looking, it is intended to fit within the safe harbor for forward-looking information provided by the Private Securities Litigation Reform Act of 1995.</w:t>
      </w:r>
    </w:p>
    <w:p w:rsidR="00000000" w:rsidRDefault="00AF3814">
      <w:pPr>
        <w:jc w:val="both"/>
        <w:divId w:val="377751944"/>
        <w:rPr>
          <w:rFonts w:eastAsia="Times New Roman"/>
        </w:rPr>
      </w:pPr>
      <w:r>
        <w:rPr>
          <w:rFonts w:eastAsia="Times New Roman"/>
          <w:color w:val="000000"/>
          <w:sz w:val="20"/>
          <w:szCs w:val="20"/>
        </w:rPr>
        <w:t>Forward-looking statements often use words such as “w</w:t>
      </w:r>
      <w:r>
        <w:rPr>
          <w:rFonts w:eastAsia="Times New Roman"/>
          <w:color w:val="000000"/>
          <w:sz w:val="20"/>
          <w:szCs w:val="20"/>
        </w:rPr>
        <w:t>ill,” “anticipate,” “target,” “expect,” “estimate,” “intend,” “plan,” “goal,” “believe,” “forecast,” “outlook” or other words of similar meaning. Any forward-looking statements made by us or on our behalf speak only as of the date they are made or as of th</w:t>
      </w:r>
      <w:r>
        <w:rPr>
          <w:rFonts w:eastAsia="Times New Roman"/>
          <w:color w:val="000000"/>
          <w:sz w:val="20"/>
          <w:szCs w:val="20"/>
        </w:rPr>
        <w:t>e date indicated, and we do not undertake any obligation to update forward-looking statements as a result of new information, future events or otherwise. For additional information on factors that could materially influence forward-looking statements inclu</w:t>
      </w:r>
      <w:r>
        <w:rPr>
          <w:rFonts w:eastAsia="Times New Roman"/>
          <w:color w:val="000000"/>
          <w:sz w:val="20"/>
          <w:szCs w:val="20"/>
        </w:rPr>
        <w:t>ded in this Report, see the risk factors set forth under “Part I—Item 1A. Risk Factors” in our 2020 Form 10-K. You should carefully consider the factors discussed above, and in our Risk Factors or other disclosure, in evaluating these forward-looking state</w:t>
      </w:r>
      <w:r>
        <w:rPr>
          <w:rFonts w:eastAsia="Times New Roman"/>
          <w:color w:val="000000"/>
          <w:sz w:val="20"/>
          <w:szCs w:val="20"/>
        </w:rPr>
        <w:t>ments.</w:t>
      </w:r>
    </w:p>
    <w:p w:rsidR="00000000" w:rsidRDefault="00AF3814">
      <w:pPr>
        <w:jc w:val="both"/>
        <w:divId w:val="602885538"/>
        <w:rPr>
          <w:rFonts w:eastAsia="Times New Roman"/>
        </w:rPr>
      </w:pPr>
      <w:r>
        <w:rPr>
          <w:rFonts w:eastAsia="Times New Roman"/>
          <w:color w:val="000000"/>
          <w:sz w:val="20"/>
          <w:szCs w:val="20"/>
        </w:rPr>
        <w:t>Numerous factors could cause our actual results to differ materially from those described in such forward-looking statements, including, among other things:</w:t>
      </w:r>
    </w:p>
    <w:p w:rsidR="00000000" w:rsidRDefault="00AF3814">
      <w:pPr>
        <w:ind w:hanging="360"/>
        <w:jc w:val="both"/>
        <w:divId w:val="1693458783"/>
        <w:rPr>
          <w:rFonts w:eastAsia="Times New Roman"/>
        </w:rPr>
      </w:pPr>
      <w:r>
        <w:rPr>
          <w:rFonts w:eastAsia="Times New Roman"/>
          <w:color w:val="000000"/>
          <w:sz w:val="20"/>
          <w:szCs w:val="20"/>
        </w:rPr>
        <w:t>•the impact of the COVID-19 pandemic and related public health measures on our business, fin</w:t>
      </w:r>
      <w:r>
        <w:rPr>
          <w:rFonts w:eastAsia="Times New Roman"/>
          <w:color w:val="000000"/>
          <w:sz w:val="20"/>
          <w:szCs w:val="20"/>
        </w:rPr>
        <w:t>ancial condition and results of operations, including the increased estimation and forecast uncertainty as a result of the pandemic on our estimates of lifetime expected credit losses in our loan portfolios required in computing our allowance for credit lo</w:t>
      </w:r>
      <w:r>
        <w:rPr>
          <w:rFonts w:eastAsia="Times New Roman"/>
          <w:color w:val="000000"/>
          <w:sz w:val="20"/>
          <w:szCs w:val="20"/>
        </w:rPr>
        <w:t>sses;</w:t>
      </w:r>
    </w:p>
    <w:p w:rsidR="00000000" w:rsidRDefault="00AF3814">
      <w:pPr>
        <w:ind w:hanging="360"/>
        <w:jc w:val="both"/>
        <w:divId w:val="1496187232"/>
        <w:rPr>
          <w:rFonts w:eastAsia="Times New Roman"/>
        </w:rPr>
      </w:pPr>
      <w:r>
        <w:rPr>
          <w:rFonts w:eastAsia="Times New Roman"/>
          <w:color w:val="000000"/>
          <w:sz w:val="20"/>
          <w:szCs w:val="20"/>
        </w:rPr>
        <w:t>•general economic and business conditions in our local markets, including conditions affecting employment levels, interest rates, tariffs, collateral values, consumer income, creditworthiness and confidence, spending and savings that may affect consu</w:t>
      </w:r>
      <w:r>
        <w:rPr>
          <w:rFonts w:eastAsia="Times New Roman"/>
          <w:color w:val="000000"/>
          <w:sz w:val="20"/>
          <w:szCs w:val="20"/>
        </w:rPr>
        <w:t>mer bankruptcies, defaults, charge-offs and deposit activity;</w:t>
      </w:r>
    </w:p>
    <w:p w:rsidR="00000000" w:rsidRDefault="00AF3814">
      <w:pPr>
        <w:ind w:hanging="360"/>
        <w:jc w:val="both"/>
        <w:divId w:val="1190266932"/>
        <w:rPr>
          <w:rFonts w:eastAsia="Times New Roman"/>
        </w:rPr>
      </w:pPr>
      <w:r>
        <w:rPr>
          <w:rFonts w:eastAsia="Times New Roman"/>
          <w:color w:val="000000"/>
          <w:sz w:val="20"/>
          <w:szCs w:val="20"/>
        </w:rPr>
        <w:t>•an increase or decrease in credit losses, or increased delinquencies, including increases due to a worsening of general economic conditions in the credit environment, and the impact of inaccura</w:t>
      </w:r>
      <w:r>
        <w:rPr>
          <w:rFonts w:eastAsia="Times New Roman"/>
          <w:color w:val="000000"/>
          <w:sz w:val="20"/>
          <w:szCs w:val="20"/>
        </w:rPr>
        <w:t>te estimates or inadequate reserves;</w:t>
      </w:r>
    </w:p>
    <w:p w:rsidR="00000000" w:rsidRDefault="00AF3814">
      <w:pPr>
        <w:ind w:hanging="360"/>
        <w:jc w:val="both"/>
        <w:divId w:val="769470303"/>
        <w:rPr>
          <w:rFonts w:eastAsia="Times New Roman"/>
        </w:rPr>
      </w:pPr>
      <w:r>
        <w:rPr>
          <w:rFonts w:eastAsia="Times New Roman"/>
          <w:color w:val="000000"/>
          <w:sz w:val="20"/>
          <w:szCs w:val="20"/>
        </w:rPr>
        <w:t>•compliance with new and existing laws, regulations and regulatory expectations including the implementation of a regulatory reform agenda;</w:t>
      </w:r>
    </w:p>
    <w:p w:rsidR="00000000" w:rsidRDefault="00AF3814">
      <w:pPr>
        <w:ind w:hanging="360"/>
        <w:jc w:val="both"/>
        <w:divId w:val="1501433235"/>
        <w:rPr>
          <w:rFonts w:eastAsia="Times New Roman"/>
        </w:rPr>
      </w:pPr>
      <w:r>
        <w:rPr>
          <w:rFonts w:eastAsia="Times New Roman"/>
          <w:color w:val="000000"/>
          <w:sz w:val="20"/>
          <w:szCs w:val="20"/>
        </w:rPr>
        <w:t>•our ability to manage adequate capital or liquidity levels, which could have a</w:t>
      </w:r>
      <w:r>
        <w:rPr>
          <w:rFonts w:eastAsia="Times New Roman"/>
          <w:color w:val="000000"/>
          <w:sz w:val="20"/>
          <w:szCs w:val="20"/>
        </w:rPr>
        <w:t xml:space="preserve"> negative impact on our financial results and our ability to return capital to our stockholders;</w:t>
      </w:r>
    </w:p>
    <w:p w:rsidR="00000000" w:rsidRDefault="00AF3814">
      <w:pPr>
        <w:ind w:hanging="360"/>
        <w:jc w:val="both"/>
        <w:divId w:val="1308582755"/>
        <w:rPr>
          <w:rFonts w:eastAsia="Times New Roman"/>
        </w:rPr>
      </w:pPr>
      <w:r>
        <w:rPr>
          <w:rFonts w:eastAsia="Times New Roman"/>
          <w:color w:val="000000"/>
          <w:sz w:val="20"/>
          <w:szCs w:val="20"/>
        </w:rPr>
        <w:t>•the extensive use, reliability, disruption, and accuracy of the models and data we rely on;</w:t>
      </w:r>
    </w:p>
    <w:p w:rsidR="00000000" w:rsidRDefault="00AF3814">
      <w:pPr>
        <w:ind w:hanging="360"/>
        <w:jc w:val="both"/>
        <w:divId w:val="2022079871"/>
        <w:rPr>
          <w:rFonts w:eastAsia="Times New Roman"/>
        </w:rPr>
      </w:pPr>
      <w:r>
        <w:rPr>
          <w:rFonts w:eastAsia="Times New Roman"/>
          <w:color w:val="000000"/>
          <w:sz w:val="20"/>
          <w:szCs w:val="20"/>
        </w:rPr>
        <w:t>•increased costs, reductions in revenue, reputational damage, lega</w:t>
      </w:r>
      <w:r>
        <w:rPr>
          <w:rFonts w:eastAsia="Times New Roman"/>
          <w:color w:val="000000"/>
          <w:sz w:val="20"/>
          <w:szCs w:val="20"/>
        </w:rPr>
        <w:t>l liability and business disruptions that can result from data protection or privacy incidents or the theft, loss or misuse of information, including as a result of a cyber-attack;</w:t>
      </w:r>
    </w:p>
    <w:p w:rsidR="00000000" w:rsidRDefault="00AF3814">
      <w:pPr>
        <w:ind w:hanging="360"/>
        <w:jc w:val="both"/>
        <w:divId w:val="695271493"/>
        <w:rPr>
          <w:rFonts w:eastAsia="Times New Roman"/>
        </w:rPr>
      </w:pPr>
      <w:r>
        <w:rPr>
          <w:rFonts w:eastAsia="Times New Roman"/>
          <w:color w:val="000000"/>
          <w:sz w:val="20"/>
          <w:szCs w:val="20"/>
        </w:rPr>
        <w:t xml:space="preserve">•developments, changes or actions relating to any litigation, governmental </w:t>
      </w:r>
      <w:r>
        <w:rPr>
          <w:rFonts w:eastAsia="Times New Roman"/>
          <w:color w:val="000000"/>
          <w:sz w:val="20"/>
          <w:szCs w:val="20"/>
        </w:rPr>
        <w:t>investigation or regulatory enforcement action or matter involving us;</w:t>
      </w:r>
    </w:p>
    <w:p w:rsidR="00000000" w:rsidRDefault="00AF3814">
      <w:pPr>
        <w:ind w:hanging="360"/>
        <w:jc w:val="both"/>
        <w:divId w:val="1342972769"/>
        <w:rPr>
          <w:rFonts w:eastAsia="Times New Roman"/>
        </w:rPr>
      </w:pPr>
      <w:r>
        <w:rPr>
          <w:rFonts w:eastAsia="Times New Roman"/>
          <w:color w:val="000000"/>
          <w:sz w:val="20"/>
          <w:szCs w:val="20"/>
        </w:rPr>
        <w:t>•the amount and rate of deposit growth and changes in deposit costs;</w:t>
      </w:r>
    </w:p>
    <w:p w:rsidR="00000000" w:rsidRDefault="00AF3814">
      <w:pPr>
        <w:ind w:hanging="360"/>
        <w:jc w:val="both"/>
        <w:divId w:val="1622148624"/>
        <w:rPr>
          <w:rFonts w:eastAsia="Times New Roman"/>
        </w:rPr>
      </w:pPr>
      <w:r>
        <w:rPr>
          <w:rFonts w:eastAsia="Times New Roman"/>
          <w:color w:val="000000"/>
          <w:sz w:val="20"/>
          <w:szCs w:val="20"/>
        </w:rPr>
        <w:t>•our ability to execute on our strategic and operational plans;</w:t>
      </w:r>
    </w:p>
    <w:p w:rsidR="00000000" w:rsidRDefault="00AF3814">
      <w:pPr>
        <w:ind w:hanging="360"/>
        <w:jc w:val="both"/>
        <w:divId w:val="448007901"/>
        <w:rPr>
          <w:rFonts w:eastAsia="Times New Roman"/>
        </w:rPr>
      </w:pPr>
      <w:r>
        <w:rPr>
          <w:rFonts w:eastAsia="Times New Roman"/>
          <w:color w:val="000000"/>
          <w:sz w:val="20"/>
          <w:szCs w:val="20"/>
        </w:rPr>
        <w:t>•our response to competitive pressures;</w:t>
      </w:r>
    </w:p>
    <w:p w:rsidR="00000000" w:rsidRDefault="00AF3814">
      <w:pPr>
        <w:ind w:hanging="360"/>
        <w:jc w:val="both"/>
        <w:divId w:val="1312177931"/>
        <w:rPr>
          <w:rFonts w:eastAsia="Times New Roman"/>
        </w:rPr>
      </w:pPr>
      <w:r>
        <w:rPr>
          <w:rFonts w:eastAsia="Times New Roman"/>
          <w:color w:val="000000"/>
          <w:sz w:val="20"/>
          <w:szCs w:val="20"/>
        </w:rPr>
        <w:t>•our busines</w:t>
      </w:r>
      <w:r>
        <w:rPr>
          <w:rFonts w:eastAsia="Times New Roman"/>
          <w:color w:val="000000"/>
          <w:sz w:val="20"/>
          <w:szCs w:val="20"/>
        </w:rPr>
        <w:t>s, financial condition and results of operations may be adversely affected by merchants’ increasing focus on the fees charged by credit card networks and by legislation and regulation impacting such fees;</w:t>
      </w:r>
    </w:p>
    <w:p w:rsidR="00000000" w:rsidRDefault="00AF3814">
      <w:pPr>
        <w:ind w:hanging="360"/>
        <w:jc w:val="both"/>
        <w:divId w:val="526333471"/>
        <w:rPr>
          <w:rFonts w:eastAsia="Times New Roman"/>
        </w:rPr>
      </w:pPr>
      <w:r>
        <w:rPr>
          <w:rFonts w:eastAsia="Times New Roman"/>
          <w:color w:val="000000"/>
          <w:sz w:val="20"/>
          <w:szCs w:val="20"/>
        </w:rPr>
        <w:t>•our success in integrating acquired businesses and</w:t>
      </w:r>
      <w:r>
        <w:rPr>
          <w:rFonts w:eastAsia="Times New Roman"/>
          <w:color w:val="000000"/>
          <w:sz w:val="20"/>
          <w:szCs w:val="20"/>
        </w:rPr>
        <w:t xml:space="preserve"> loan portfolios, and our ability to realize anticipated benefits from announced transactions and strategic partnerships;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43653104"/>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64365310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4365310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83" style="width:0;height:1.5pt" o:hralign="center" o:hrstd="t" o:hr="t" fillcolor="#a0a0a0" stroked="f"/>
        </w:pict>
      </w:r>
    </w:p>
    <w:p w:rsidR="00000000" w:rsidRDefault="00AF3814">
      <w:pPr>
        <w:ind w:hanging="360"/>
        <w:jc w:val="both"/>
        <w:divId w:val="1815416274"/>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ind w:hanging="360"/>
        <w:jc w:val="both"/>
        <w:divId w:val="1239829481"/>
        <w:rPr>
          <w:rFonts w:eastAsia="Times New Roman"/>
        </w:rPr>
      </w:pPr>
      <w:r>
        <w:rPr>
          <w:rFonts w:eastAsia="Times New Roman"/>
          <w:color w:val="000000"/>
          <w:sz w:val="20"/>
          <w:szCs w:val="20"/>
        </w:rPr>
        <w:t>•our ability to maintain a compliance, operational, technology and organizational infrastructure suitable for the nature of our business;</w:t>
      </w:r>
    </w:p>
    <w:p w:rsidR="00000000" w:rsidRDefault="00AF3814">
      <w:pPr>
        <w:ind w:hanging="360"/>
        <w:jc w:val="both"/>
        <w:divId w:val="1363631978"/>
        <w:rPr>
          <w:rFonts w:eastAsia="Times New Roman"/>
        </w:rPr>
      </w:pPr>
      <w:r>
        <w:rPr>
          <w:rFonts w:eastAsia="Times New Roman"/>
          <w:color w:val="000000"/>
          <w:sz w:val="20"/>
          <w:szCs w:val="20"/>
        </w:rPr>
        <w:t xml:space="preserve">•the </w:t>
      </w:r>
      <w:r>
        <w:rPr>
          <w:rFonts w:eastAsia="Times New Roman"/>
          <w:color w:val="000000"/>
          <w:sz w:val="20"/>
          <w:szCs w:val="20"/>
        </w:rPr>
        <w:t>success of our marketing efforts in attracting and retaining customers;</w:t>
      </w:r>
    </w:p>
    <w:p w:rsidR="00000000" w:rsidRDefault="00AF3814">
      <w:pPr>
        <w:ind w:hanging="360"/>
        <w:jc w:val="both"/>
        <w:divId w:val="242182004"/>
        <w:rPr>
          <w:rFonts w:eastAsia="Times New Roman"/>
        </w:rPr>
      </w:pPr>
      <w:r>
        <w:rPr>
          <w:rFonts w:eastAsia="Times New Roman"/>
          <w:color w:val="000000"/>
          <w:sz w:val="20"/>
          <w:szCs w:val="20"/>
        </w:rPr>
        <w:t>•our risk management strategies;</w:t>
      </w:r>
    </w:p>
    <w:p w:rsidR="00000000" w:rsidRDefault="00AF3814">
      <w:pPr>
        <w:ind w:hanging="360"/>
        <w:jc w:val="both"/>
        <w:divId w:val="1892229899"/>
        <w:rPr>
          <w:rFonts w:eastAsia="Times New Roman"/>
        </w:rPr>
      </w:pPr>
      <w:r>
        <w:rPr>
          <w:rFonts w:eastAsia="Times New Roman"/>
          <w:color w:val="000000"/>
          <w:sz w:val="20"/>
          <w:szCs w:val="20"/>
        </w:rPr>
        <w:t>•changes in the reputation of, or expectations regarding, the financial services industry or us with respect to practices, products or financial condit</w:t>
      </w:r>
      <w:r>
        <w:rPr>
          <w:rFonts w:eastAsia="Times New Roman"/>
          <w:color w:val="000000"/>
          <w:sz w:val="20"/>
          <w:szCs w:val="20"/>
        </w:rPr>
        <w:t>ion;</w:t>
      </w:r>
    </w:p>
    <w:p w:rsidR="00000000" w:rsidRDefault="00AF3814">
      <w:pPr>
        <w:ind w:hanging="360"/>
        <w:jc w:val="both"/>
        <w:divId w:val="1923836851"/>
        <w:rPr>
          <w:rFonts w:eastAsia="Times New Roman"/>
        </w:rPr>
      </w:pPr>
      <w:r>
        <w:rPr>
          <w:rFonts w:eastAsia="Times New Roman"/>
          <w:color w:val="000000"/>
          <w:sz w:val="20"/>
          <w:szCs w:val="20"/>
        </w:rPr>
        <w:t>•increases or decreases in interest rates and uncertainty with respect to the interest rate environment, including the possibility of a prolonged low-interest rate environment or of negative interest rates</w:t>
      </w:r>
      <w:r>
        <w:rPr>
          <w:rFonts w:eastAsia="Times New Roman"/>
          <w:color w:val="000000"/>
          <w:sz w:val="20"/>
          <w:szCs w:val="20"/>
        </w:rPr>
        <w:t>;</w:t>
      </w:r>
    </w:p>
    <w:p w:rsidR="00000000" w:rsidRDefault="00AF3814">
      <w:pPr>
        <w:ind w:hanging="360"/>
        <w:jc w:val="both"/>
        <w:divId w:val="1701969927"/>
        <w:rPr>
          <w:rFonts w:eastAsia="Times New Roman"/>
        </w:rPr>
      </w:pPr>
      <w:r>
        <w:rPr>
          <w:rFonts w:eastAsia="Times New Roman"/>
          <w:color w:val="000000"/>
          <w:sz w:val="20"/>
          <w:szCs w:val="20"/>
        </w:rPr>
        <w:t xml:space="preserve">•uncertainty regarding, and transition away </w:t>
      </w:r>
      <w:r>
        <w:rPr>
          <w:rFonts w:eastAsia="Times New Roman"/>
          <w:color w:val="000000"/>
          <w:sz w:val="20"/>
          <w:szCs w:val="20"/>
        </w:rPr>
        <w:t>from, the London Interbank Offered Rate;</w:t>
      </w:r>
    </w:p>
    <w:p w:rsidR="00000000" w:rsidRDefault="00AF3814">
      <w:pPr>
        <w:ind w:hanging="360"/>
        <w:jc w:val="both"/>
        <w:divId w:val="329217388"/>
        <w:rPr>
          <w:rFonts w:eastAsia="Times New Roman"/>
        </w:rPr>
      </w:pPr>
      <w:r>
        <w:rPr>
          <w:rFonts w:eastAsia="Times New Roman"/>
          <w:color w:val="000000"/>
          <w:sz w:val="20"/>
          <w:szCs w:val="20"/>
        </w:rPr>
        <w:t>•our ability to attract, retain and motivate skilled employees;</w:t>
      </w:r>
    </w:p>
    <w:p w:rsidR="00000000" w:rsidRDefault="00AF3814">
      <w:pPr>
        <w:ind w:hanging="360"/>
        <w:jc w:val="both"/>
        <w:divId w:val="1475222944"/>
        <w:rPr>
          <w:rFonts w:eastAsia="Times New Roman"/>
        </w:rPr>
      </w:pPr>
      <w:r>
        <w:rPr>
          <w:rFonts w:eastAsia="Times New Roman"/>
          <w:color w:val="000000"/>
          <w:sz w:val="20"/>
          <w:szCs w:val="20"/>
        </w:rPr>
        <w:t>•our assumptions or estimates in our financial statements;</w:t>
      </w:r>
    </w:p>
    <w:p w:rsidR="00000000" w:rsidRDefault="00AF3814">
      <w:pPr>
        <w:ind w:hanging="360"/>
        <w:jc w:val="both"/>
        <w:divId w:val="287779300"/>
        <w:rPr>
          <w:rFonts w:eastAsia="Times New Roman"/>
        </w:rPr>
      </w:pPr>
      <w:r>
        <w:rPr>
          <w:rFonts w:eastAsia="Times New Roman"/>
          <w:color w:val="000000"/>
          <w:sz w:val="20"/>
          <w:szCs w:val="20"/>
        </w:rPr>
        <w:t>•limitations on our ability to receive dividends from our subsidiaries;</w:t>
      </w:r>
    </w:p>
    <w:p w:rsidR="00000000" w:rsidRDefault="00AF3814">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the soundness of other financial institutions and other third parties; and </w:t>
      </w:r>
    </w:p>
    <w:p w:rsidR="00000000" w:rsidRDefault="00AF3814">
      <w:pPr>
        <w:ind w:hanging="360"/>
        <w:jc w:val="both"/>
        <w:divId w:val="411201495"/>
        <w:rPr>
          <w:rFonts w:eastAsia="Times New Roman"/>
        </w:rPr>
      </w:pPr>
      <w:r>
        <w:rPr>
          <w:rFonts w:eastAsia="Times New Roman"/>
          <w:color w:val="000000"/>
          <w:sz w:val="20"/>
          <w:szCs w:val="20"/>
        </w:rPr>
        <w:t>•other risk factors identified from time to time in our public disclosures, including in the reports that we file with the SEC.</w:t>
      </w:r>
    </w:p>
    <w:p w:rsidR="00000000" w:rsidRDefault="00AF3814">
      <w:pPr>
        <w:jc w:val="both"/>
        <w:divId w:val="694111861"/>
        <w:rPr>
          <w:rFonts w:eastAsia="Times New Roman"/>
        </w:rPr>
      </w:pPr>
      <w:r>
        <w:rPr>
          <w:rFonts w:eastAsia="Times New Roman"/>
          <w:color w:val="000000"/>
          <w:sz w:val="20"/>
          <w:szCs w:val="20"/>
        </w:rPr>
        <w:t xml:space="preserve">We expect that the effects of the COVID-19 pandemic </w:t>
      </w:r>
      <w:r>
        <w:rPr>
          <w:rFonts w:eastAsia="Times New Roman"/>
          <w:color w:val="000000"/>
          <w:sz w:val="20"/>
          <w:szCs w:val="20"/>
        </w:rPr>
        <w:t>will heighten the risks associated with many of these factors.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9180529"/>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9180529"/>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99180529"/>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84" style="width:0;height:1.5pt" o:hralign="center" o:hrstd="t" o:hr="t" fillcolor="#a0a0a0" stroked="f"/>
        </w:pict>
      </w:r>
    </w:p>
    <w:p w:rsidR="00000000" w:rsidRDefault="00AF3814">
      <w:pPr>
        <w:ind w:hanging="360"/>
        <w:jc w:val="both"/>
        <w:divId w:val="587036137"/>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37401196"/>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3740119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SUPPLEMENTAL TABLE</w:t>
            </w:r>
          </w:p>
        </w:tc>
      </w:tr>
    </w:tbl>
    <w:p w:rsidR="00000000" w:rsidRDefault="00AF3814">
      <w:pPr>
        <w:divId w:val="1956667681"/>
        <w:rPr>
          <w:rFonts w:eastAsia="Times New Roman"/>
        </w:rPr>
      </w:pPr>
      <w:r>
        <w:rPr>
          <w:rFonts w:eastAsia="Times New Roman"/>
          <w:b/>
          <w:bCs/>
          <w:color w:val="000000"/>
          <w:sz w:val="20"/>
          <w:szCs w:val="20"/>
        </w:rPr>
        <w:t>Reconciliation of Non-GAAP Measures</w:t>
      </w:r>
    </w:p>
    <w:p w:rsidR="00000000" w:rsidRDefault="00AF3814">
      <w:pPr>
        <w:jc w:val="both"/>
        <w:divId w:val="1330521489"/>
        <w:rPr>
          <w:rFonts w:eastAsia="Times New Roman"/>
        </w:rPr>
      </w:pPr>
      <w:r>
        <w:rPr>
          <w:rFonts w:eastAsia="Times New Roman"/>
          <w:color w:val="000000"/>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eastAsia="Times New Roman"/>
          <w:color w:val="000000"/>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eastAsia="Times New Roman"/>
          <w:color w:val="000000"/>
          <w:sz w:val="20"/>
          <w:szCs w:val="20"/>
        </w:rPr>
        <w:t xml:space="preserve"> of financial services companies, they may not be comparable to similarly-titled measures reported by other companies. The following table presents reconciliations of these non-GAAP measures to the applicable amounts measured in accordance with GAAP.</w:t>
      </w:r>
    </w:p>
    <w:p w:rsidR="00000000" w:rsidRDefault="00AF3814">
      <w:pPr>
        <w:divId w:val="1320693715"/>
        <w:rPr>
          <w:rFonts w:eastAsia="Times New Roman"/>
        </w:rPr>
      </w:pPr>
      <w:r>
        <w:rPr>
          <w:rFonts w:eastAsia="Times New Roman"/>
          <w:b/>
          <w:bCs/>
          <w:color w:val="000000"/>
          <w:sz w:val="18"/>
          <w:szCs w:val="18"/>
        </w:rPr>
        <w:t>Table A—Reconciliation of Non-GAAP Measures</w:t>
      </w:r>
    </w:p>
    <w:tbl>
      <w:tblPr>
        <w:tblW w:w="5000" w:type="pct"/>
        <w:tblCellMar>
          <w:top w:w="15" w:type="dxa"/>
          <w:left w:w="15" w:type="dxa"/>
          <w:bottom w:w="15" w:type="dxa"/>
          <w:right w:w="15" w:type="dxa"/>
        </w:tblCellMar>
        <w:tblLook w:val="04A0" w:firstRow="1" w:lastRow="0" w:firstColumn="1" w:lastColumn="0" w:noHBand="0" w:noVBand="1"/>
      </w:tblPr>
      <w:tblGrid>
        <w:gridCol w:w="40"/>
        <w:gridCol w:w="5399"/>
        <w:gridCol w:w="39"/>
        <w:gridCol w:w="36"/>
        <w:gridCol w:w="36"/>
        <w:gridCol w:w="36"/>
        <w:gridCol w:w="110"/>
        <w:gridCol w:w="903"/>
        <w:gridCol w:w="200"/>
        <w:gridCol w:w="36"/>
        <w:gridCol w:w="36"/>
        <w:gridCol w:w="36"/>
        <w:gridCol w:w="110"/>
        <w:gridCol w:w="903"/>
        <w:gridCol w:w="170"/>
        <w:gridCol w:w="36"/>
        <w:gridCol w:w="36"/>
        <w:gridCol w:w="36"/>
        <w:gridCol w:w="36"/>
        <w:gridCol w:w="36"/>
        <w:gridCol w:w="36"/>
      </w:tblGrid>
      <w:tr w:rsidR="00000000">
        <w:trPr>
          <w:divId w:val="1014697360"/>
        </w:trPr>
        <w:tc>
          <w:tcPr>
            <w:tcW w:w="50" w:type="pct"/>
            <w:vAlign w:val="center"/>
            <w:hideMark/>
          </w:tcPr>
          <w:p w:rsidR="00000000" w:rsidRDefault="00AF3814">
            <w:pPr>
              <w:rPr>
                <w:rFonts w:eastAsia="Times New Roman"/>
              </w:rPr>
            </w:pPr>
          </w:p>
        </w:tc>
        <w:tc>
          <w:tcPr>
            <w:tcW w:w="342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Tangible Common Equity (Period-End):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64,624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60,204 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286816126"/>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(14,774)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(14,809)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Noncumulative perpetual preferred stock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(6,488)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(4,847)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Tangible common equity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43,362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40,548 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Tangible Common Equity (Quarterly Average):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62,376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59,389 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655693985"/>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(14,788)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(14,824)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Noncumulative perpetual preferred stock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(5,491)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(5,168)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Tangible common equity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42,097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39,397 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Tangible Assets (Period-End):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423,420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421,602 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817650451"/>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(14,774)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(14,809)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408,646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406,793 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Tangible Assets (Quarterly Average):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424,099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420,011 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400250270"/>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(14,788)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(14,824)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409,311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405,187 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Non-GAAP Ratio:</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146973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04218261"/>
              <w:rPr>
                <w:rFonts w:eastAsia="Times New Roman"/>
              </w:rPr>
            </w:pPr>
            <w:r>
              <w:rPr>
                <w:rFonts w:eastAsia="Times New Roman"/>
                <w:color w:val="000000"/>
                <w:sz w:val="18"/>
                <w:szCs w:val="18"/>
              </w:rPr>
              <w:t>Tangible common equity (“TCE”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divId w:val="1319765604"/>
        <w:rPr>
          <w:rFonts w:eastAsia="Times New Roman"/>
        </w:rPr>
      </w:pPr>
      <w:r>
        <w:rPr>
          <w:rFonts w:eastAsia="Times New Roman"/>
          <w:color w:val="000000"/>
          <w:sz w:val="20"/>
          <w:szCs w:val="20"/>
        </w:rPr>
        <w:t>__________</w:t>
      </w:r>
    </w:p>
    <w:p w:rsidR="00000000" w:rsidRDefault="00AF3814">
      <w:pPr>
        <w:ind w:hanging="360"/>
        <w:jc w:val="both"/>
        <w:divId w:val="96777759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impact of related deferred taxes.</w:t>
      </w:r>
    </w:p>
    <w:p w:rsidR="00000000" w:rsidRDefault="00AF3814">
      <w:pPr>
        <w:ind w:hanging="360"/>
        <w:jc w:val="both"/>
        <w:divId w:val="214298914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TCE ratio is a non-GAAP measure calculated based on TCE divided by tangible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70331917"/>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70331917"/>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970331917"/>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85" style="width:0;height:1.5pt" o:hralign="center" o:hrstd="t" o:hr="t" fillcolor="#a0a0a0" stroked="f"/>
        </w:pict>
      </w:r>
    </w:p>
    <w:p w:rsidR="00000000" w:rsidRDefault="00AF3814">
      <w:pPr>
        <w:ind w:hanging="360"/>
        <w:jc w:val="both"/>
        <w:divId w:val="1262375265"/>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74581053"/>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87458105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Glossary and Acronyms</w:t>
            </w:r>
          </w:p>
        </w:tc>
      </w:tr>
    </w:tbl>
    <w:p w:rsidR="00000000" w:rsidRDefault="00AF3814">
      <w:pPr>
        <w:jc w:val="both"/>
        <w:divId w:val="323556279"/>
        <w:rPr>
          <w:rFonts w:eastAsia="Times New Roman"/>
        </w:rPr>
      </w:pPr>
      <w:r>
        <w:rPr>
          <w:rFonts w:eastAsia="Times New Roman"/>
          <w:b/>
          <w:bCs/>
          <w:color w:val="000000"/>
          <w:sz w:val="20"/>
          <w:szCs w:val="20"/>
        </w:rPr>
        <w:t>Amortized cost:</w:t>
      </w:r>
      <w:r>
        <w:rPr>
          <w:rFonts w:eastAsia="Times New Roman"/>
          <w:color w:val="000000"/>
          <w:sz w:val="20"/>
          <w:szCs w:val="20"/>
        </w:rPr>
        <w:t xml:space="preserve"> </w:t>
      </w:r>
      <w:r>
        <w:rPr>
          <w:rFonts w:eastAsia="Times New Roman"/>
          <w:color w:val="000000"/>
          <w:sz w:val="20"/>
          <w:szCs w:val="20"/>
        </w:rPr>
        <w:t xml:space="preserve">The amount at which a financing receivable or investment is originated or acquired, adjusted for applicable accrued interest, accretion, or amortization of premium, discount, and net deferred fees or costs, collection of cash, write-offs, foreign exchange </w:t>
      </w:r>
      <w:r>
        <w:rPr>
          <w:rFonts w:eastAsia="Times New Roman"/>
          <w:color w:val="000000"/>
          <w:sz w:val="20"/>
          <w:szCs w:val="20"/>
        </w:rPr>
        <w:t>and fair value hedge accounting adjustments.</w:t>
      </w:r>
    </w:p>
    <w:p w:rsidR="00000000" w:rsidRDefault="00AF3814">
      <w:pPr>
        <w:jc w:val="both"/>
        <w:divId w:val="1719939179"/>
        <w:rPr>
          <w:rFonts w:eastAsia="Times New Roman"/>
        </w:rPr>
      </w:pPr>
      <w:r>
        <w:rPr>
          <w:rFonts w:eastAsia="Times New Roman"/>
          <w:b/>
          <w:bCs/>
          <w:color w:val="000000"/>
          <w:sz w:val="20"/>
          <w:szCs w:val="20"/>
        </w:rPr>
        <w:t xml:space="preserve">Annual Report: </w:t>
      </w:r>
      <w:r>
        <w:rPr>
          <w:rFonts w:eastAsia="Times New Roman"/>
          <w:color w:val="000000"/>
          <w:sz w:val="20"/>
          <w:szCs w:val="20"/>
        </w:rPr>
        <w:t xml:space="preserve">References to our “2020 Form 10-K” or “2020 Annual Report” are to our Annual Report on Form 10-K for the fiscal year ended December 31, 2020. </w:t>
      </w:r>
    </w:p>
    <w:p w:rsidR="00000000" w:rsidRDefault="00AF3814">
      <w:pPr>
        <w:jc w:val="both"/>
        <w:divId w:val="255211902"/>
        <w:rPr>
          <w:rFonts w:eastAsia="Times New Roman"/>
        </w:rPr>
      </w:pPr>
      <w:r>
        <w:rPr>
          <w:rFonts w:eastAsia="Times New Roman"/>
          <w:b/>
          <w:bCs/>
          <w:color w:val="000000"/>
          <w:sz w:val="20"/>
          <w:szCs w:val="20"/>
        </w:rPr>
        <w:t xml:space="preserve">Banks: </w:t>
      </w:r>
      <w:r>
        <w:rPr>
          <w:rFonts w:eastAsia="Times New Roman"/>
          <w:color w:val="000000"/>
          <w:sz w:val="20"/>
          <w:szCs w:val="20"/>
        </w:rPr>
        <w:t>Refers to COBNA and CONA.</w:t>
      </w:r>
    </w:p>
    <w:p w:rsidR="00000000" w:rsidRDefault="00AF3814">
      <w:pPr>
        <w:jc w:val="both"/>
        <w:divId w:val="1090927387"/>
        <w:rPr>
          <w:rFonts w:eastAsia="Times New Roman"/>
        </w:rPr>
      </w:pPr>
      <w:r>
        <w:rPr>
          <w:rFonts w:eastAsia="Times New Roman"/>
          <w:b/>
          <w:bCs/>
          <w:color w:val="000000"/>
          <w:sz w:val="20"/>
          <w:szCs w:val="20"/>
        </w:rPr>
        <w:t>Basel Committee:</w:t>
      </w:r>
      <w:r>
        <w:rPr>
          <w:rFonts w:eastAsia="Times New Roman"/>
          <w:color w:val="000000"/>
          <w:sz w:val="20"/>
          <w:szCs w:val="20"/>
        </w:rPr>
        <w:t xml:space="preserve"> The</w:t>
      </w:r>
      <w:r>
        <w:rPr>
          <w:rFonts w:eastAsia="Times New Roman"/>
          <w:color w:val="000000"/>
          <w:sz w:val="20"/>
          <w:szCs w:val="20"/>
        </w:rPr>
        <w:t xml:space="preserve"> Basel Committee on Banking Supervision.</w:t>
      </w:r>
    </w:p>
    <w:p w:rsidR="00000000" w:rsidRDefault="00AF3814">
      <w:pPr>
        <w:jc w:val="both"/>
        <w:divId w:val="586186279"/>
        <w:rPr>
          <w:rFonts w:eastAsia="Times New Roman"/>
        </w:rPr>
      </w:pPr>
      <w:r>
        <w:rPr>
          <w:rFonts w:eastAsia="Times New Roman"/>
          <w:b/>
          <w:bCs/>
          <w:color w:val="000000"/>
          <w:sz w:val="20"/>
          <w:szCs w:val="20"/>
        </w:rPr>
        <w:t xml:space="preserve">Basel III Advanced Approaches: </w:t>
      </w:r>
      <w:r>
        <w:rPr>
          <w:rFonts w:eastAsia="Times New Roman"/>
          <w:color w:val="000000"/>
          <w:sz w:val="20"/>
          <w:szCs w:val="20"/>
        </w:rPr>
        <w:t>Following the Tailoring Rule, the Basel III Advanced Approaches was mandatory for Category I and II institutions. Category III institutions, such as us, are no longer subject to the Ba</w:t>
      </w:r>
      <w:r>
        <w:rPr>
          <w:rFonts w:eastAsia="Times New Roman"/>
          <w:color w:val="000000"/>
          <w:sz w:val="20"/>
          <w:szCs w:val="20"/>
        </w:rPr>
        <w:t>sel III Advanced Approaches framework effective January 1, 2020.</w:t>
      </w:r>
    </w:p>
    <w:p w:rsidR="00000000" w:rsidRDefault="00AF3814">
      <w:pPr>
        <w:jc w:val="both"/>
        <w:divId w:val="1474449491"/>
        <w:rPr>
          <w:rFonts w:eastAsia="Times New Roman"/>
        </w:rPr>
      </w:pPr>
      <w:r>
        <w:rPr>
          <w:rFonts w:eastAsia="Times New Roman"/>
          <w:b/>
          <w:bCs/>
          <w:color w:val="000000"/>
          <w:sz w:val="20"/>
          <w:szCs w:val="20"/>
        </w:rPr>
        <w:t>Basel III Capital Rules:</w:t>
      </w:r>
      <w:r>
        <w:rPr>
          <w:rFonts w:eastAsia="Times New Roman"/>
          <w:color w:val="000000"/>
          <w:sz w:val="20"/>
          <w:szCs w:val="20"/>
        </w:rPr>
        <w:t xml:space="preserve"> The regulatory capital requirements established by the Federal Banking Agencies in July 2013 to implement the Basel III capital framework developed by the Basel Commi</w:t>
      </w:r>
      <w:r>
        <w:rPr>
          <w:rFonts w:eastAsia="Times New Roman"/>
          <w:color w:val="000000"/>
          <w:sz w:val="20"/>
          <w:szCs w:val="20"/>
        </w:rPr>
        <w:t>ttee as well as certain Dodd-Frank Act and other capital provisions.</w:t>
      </w:r>
    </w:p>
    <w:p w:rsidR="00000000" w:rsidRDefault="00AF3814">
      <w:pPr>
        <w:jc w:val="both"/>
        <w:divId w:val="596326899"/>
        <w:rPr>
          <w:rFonts w:eastAsia="Times New Roman"/>
        </w:rPr>
      </w:pPr>
      <w:r>
        <w:rPr>
          <w:rFonts w:eastAsia="Times New Roman"/>
          <w:b/>
          <w:bCs/>
          <w:color w:val="000000"/>
          <w:sz w:val="20"/>
          <w:szCs w:val="20"/>
        </w:rPr>
        <w:t xml:space="preserve">Basel III Standardized Approach: </w:t>
      </w:r>
      <w:r>
        <w:rPr>
          <w:rFonts w:eastAsia="Times New Roman"/>
          <w:color w:val="000000"/>
          <w:sz w:val="20"/>
          <w:szCs w:val="20"/>
        </w:rPr>
        <w:t>The Basel III Capital Rules modified Basel I to create the Basel III Standardized Approach.</w:t>
      </w:r>
    </w:p>
    <w:p w:rsidR="00000000" w:rsidRDefault="00AF3814">
      <w:pPr>
        <w:jc w:val="both"/>
        <w:divId w:val="891621585"/>
        <w:rPr>
          <w:rFonts w:eastAsia="Times New Roman"/>
        </w:rPr>
      </w:pPr>
      <w:r>
        <w:rPr>
          <w:rFonts w:eastAsia="Times New Roman"/>
          <w:b/>
          <w:bCs/>
          <w:color w:val="000000"/>
          <w:sz w:val="20"/>
          <w:szCs w:val="20"/>
        </w:rPr>
        <w:t xml:space="preserve">Capital One </w:t>
      </w:r>
      <w:r>
        <w:rPr>
          <w:rFonts w:eastAsia="Times New Roman"/>
          <w:color w:val="000000"/>
          <w:sz w:val="20"/>
          <w:szCs w:val="20"/>
        </w:rPr>
        <w:t xml:space="preserve">or the </w:t>
      </w:r>
      <w:r>
        <w:rPr>
          <w:rFonts w:eastAsia="Times New Roman"/>
          <w:b/>
          <w:bCs/>
          <w:color w:val="000000"/>
          <w:sz w:val="20"/>
          <w:szCs w:val="20"/>
        </w:rPr>
        <w:t>Company:</w:t>
      </w:r>
      <w:r>
        <w:rPr>
          <w:rFonts w:eastAsia="Times New Roman"/>
          <w:color w:val="000000"/>
          <w:sz w:val="20"/>
          <w:szCs w:val="20"/>
        </w:rPr>
        <w:t xml:space="preserve"> Capital One Financial Corporation </w:t>
      </w:r>
      <w:r>
        <w:rPr>
          <w:rFonts w:eastAsia="Times New Roman"/>
          <w:color w:val="000000"/>
          <w:sz w:val="20"/>
          <w:szCs w:val="20"/>
        </w:rPr>
        <w:t>and its subsidiaries.</w:t>
      </w:r>
    </w:p>
    <w:p w:rsidR="00000000" w:rsidRDefault="00AF3814">
      <w:pPr>
        <w:jc w:val="both"/>
        <w:divId w:val="1038704453"/>
        <w:rPr>
          <w:rFonts w:eastAsia="Times New Roman"/>
        </w:rPr>
      </w:pPr>
      <w:r>
        <w:rPr>
          <w:rFonts w:eastAsia="Times New Roman"/>
          <w:b/>
          <w:bCs/>
          <w:color w:val="000000"/>
          <w:sz w:val="20"/>
          <w:szCs w:val="20"/>
        </w:rPr>
        <w:t>The Coronavirus Aid, Relief, and Economic Security Act (“CARES Act”):</w:t>
      </w:r>
      <w:r>
        <w:rPr>
          <w:rFonts w:eastAsia="Times New Roman"/>
          <w:color w:val="000000"/>
          <w:sz w:val="20"/>
          <w:szCs w:val="20"/>
        </w:rPr>
        <w:t xml:space="preserve"> Legislation signed into law on March 27, 2020. This law, among other things, authorized a number of lending programs to support the flow of credit to consumers and </w:t>
      </w:r>
      <w:r>
        <w:rPr>
          <w:rFonts w:eastAsia="Times New Roman"/>
          <w:color w:val="000000"/>
          <w:sz w:val="20"/>
          <w:szCs w:val="20"/>
        </w:rPr>
        <w:t>businesses and gave the banking organizations an option to temporarily suspend the determination of certain qualified loans modified as a result of COVID-19 as being TDRs, which was extended by the Consolidated Appropriations Act 2021.</w:t>
      </w:r>
    </w:p>
    <w:p w:rsidR="00000000" w:rsidRDefault="00AF3814">
      <w:pPr>
        <w:jc w:val="both"/>
        <w:divId w:val="164636083"/>
        <w:rPr>
          <w:rFonts w:eastAsia="Times New Roman"/>
        </w:rPr>
      </w:pPr>
      <w:r>
        <w:rPr>
          <w:rFonts w:eastAsia="Times New Roman"/>
          <w:b/>
          <w:bCs/>
          <w:color w:val="000000"/>
          <w:sz w:val="20"/>
          <w:szCs w:val="20"/>
        </w:rPr>
        <w:t xml:space="preserve">Carrying value </w:t>
      </w:r>
      <w:r>
        <w:rPr>
          <w:rFonts w:eastAsia="Times New Roman"/>
          <w:color w:val="000000"/>
          <w:sz w:val="20"/>
          <w:szCs w:val="20"/>
        </w:rPr>
        <w:t>(with</w:t>
      </w:r>
      <w:r>
        <w:rPr>
          <w:rFonts w:eastAsia="Times New Roman"/>
          <w:color w:val="000000"/>
          <w:sz w:val="20"/>
          <w:szCs w:val="20"/>
        </w:rPr>
        <w:t xml:space="preserve"> respect to loans)</w:t>
      </w:r>
      <w:r>
        <w:rPr>
          <w:rFonts w:eastAsia="Times New Roman"/>
          <w:b/>
          <w:bCs/>
          <w:color w:val="000000"/>
          <w:sz w:val="20"/>
          <w:szCs w:val="20"/>
        </w:rPr>
        <w:t>:</w:t>
      </w:r>
      <w:r>
        <w:rPr>
          <w:rFonts w:eastAsia="Times New Roman"/>
          <w:color w:val="000000"/>
          <w:sz w:val="20"/>
          <w:szCs w:val="20"/>
        </w:rPr>
        <w:t xml:space="preserve"> The amount at which a loan is recorded on the consolidated balance sheets. For loans recorded at amortized cost, carrying value is the unpaid principal balance net of unamortized deferred loan origination fees and costs, and unamortized</w:t>
      </w:r>
      <w:r>
        <w:rPr>
          <w:rFonts w:eastAsia="Times New Roman"/>
          <w:color w:val="000000"/>
          <w:sz w:val="20"/>
          <w:szCs w:val="20"/>
        </w:rPr>
        <w:t xml:space="preserve"> purchase premium or discount. For loans that are or have been on nonaccrual status, the carrying value is also reduced by any net charge-offs that have been recorded and the amount of interest payments applied as a reduction of principal under the cost re</w:t>
      </w:r>
      <w:r>
        <w:rPr>
          <w:rFonts w:eastAsia="Times New Roman"/>
          <w:color w:val="000000"/>
          <w:sz w:val="20"/>
          <w:szCs w:val="20"/>
        </w:rPr>
        <w:t xml:space="preserve">covery method. For credit card loans, the carrying value also includes interest that has been billed to the customer, net of any related reserves. Loans held for sale are recorded at either fair value (if we elect the fair value option) or at the lower of </w:t>
      </w:r>
      <w:r>
        <w:rPr>
          <w:rFonts w:eastAsia="Times New Roman"/>
          <w:color w:val="000000"/>
          <w:sz w:val="20"/>
          <w:szCs w:val="20"/>
        </w:rPr>
        <w:t>cost or fair value.</w:t>
      </w:r>
    </w:p>
    <w:p w:rsidR="00000000" w:rsidRDefault="00AF3814">
      <w:pPr>
        <w:jc w:val="both"/>
        <w:divId w:val="1267613725"/>
        <w:rPr>
          <w:rFonts w:eastAsia="Times New Roman"/>
        </w:rPr>
      </w:pPr>
      <w:r>
        <w:rPr>
          <w:rFonts w:eastAsia="Times New Roman"/>
          <w:b/>
          <w:bCs/>
          <w:color w:val="000000"/>
          <w:sz w:val="20"/>
          <w:szCs w:val="20"/>
        </w:rPr>
        <w:t>CECL:</w:t>
      </w:r>
      <w:r>
        <w:rPr>
          <w:rFonts w:eastAsia="Times New Roman"/>
          <w:color w:val="000000"/>
          <w:sz w:val="20"/>
          <w:szCs w:val="20"/>
        </w:rPr>
        <w:t xml:space="preserve"> In June 2016, the Financial Accounting Standards Board (“FASB”) issued Accounting Standards Update (“ASU”) No. 2016-13, Financial Instruments—Credit Losses (Topic 326): </w:t>
      </w:r>
      <w:r>
        <w:rPr>
          <w:rFonts w:eastAsia="Times New Roman"/>
          <w:i/>
          <w:iCs/>
          <w:color w:val="000000"/>
          <w:sz w:val="20"/>
          <w:szCs w:val="20"/>
        </w:rPr>
        <w:t>Measurement of Credit Losses on Financial Instruments</w:t>
      </w:r>
      <w:r>
        <w:rPr>
          <w:rFonts w:eastAsia="Times New Roman"/>
          <w:color w:val="000000"/>
          <w:sz w:val="20"/>
          <w:szCs w:val="20"/>
        </w:rPr>
        <w:t>. This A</w:t>
      </w:r>
      <w:r>
        <w:rPr>
          <w:rFonts w:eastAsia="Times New Roman"/>
          <w:color w:val="000000"/>
          <w:sz w:val="20"/>
          <w:szCs w:val="20"/>
        </w:rPr>
        <w:t>SU requires an impairment model (known as the current expected credit loss (“CECL”) model) that is based on expected rather than incurred losses, with an anticipated result of more timely loss recognition. This guidance was effective for us on January 1, 2</w:t>
      </w:r>
      <w:r>
        <w:rPr>
          <w:rFonts w:eastAsia="Times New Roman"/>
          <w:color w:val="000000"/>
          <w:sz w:val="20"/>
          <w:szCs w:val="20"/>
        </w:rPr>
        <w:t xml:space="preserve">020. </w:t>
      </w:r>
    </w:p>
    <w:p w:rsidR="00000000" w:rsidRDefault="00AF3814">
      <w:pPr>
        <w:jc w:val="both"/>
        <w:divId w:val="795488408"/>
        <w:rPr>
          <w:rFonts w:eastAsia="Times New Roman"/>
        </w:rPr>
      </w:pPr>
      <w:r>
        <w:rPr>
          <w:rFonts w:eastAsia="Times New Roman"/>
          <w:b/>
          <w:bCs/>
          <w:color w:val="000000"/>
          <w:sz w:val="20"/>
          <w:szCs w:val="20"/>
        </w:rPr>
        <w:t>COBNA:</w:t>
      </w:r>
      <w:r>
        <w:rPr>
          <w:rFonts w:eastAsia="Times New Roman"/>
          <w:color w:val="000000"/>
          <w:sz w:val="20"/>
          <w:szCs w:val="20"/>
        </w:rPr>
        <w:t xml:space="preserve"> Capital One Bank (USA), National Association, one of our fully owned subsidiaries, which offers credit and debit card products, other lending products and deposit products.</w:t>
      </w:r>
    </w:p>
    <w:p w:rsidR="00000000" w:rsidRDefault="00AF3814">
      <w:pPr>
        <w:jc w:val="both"/>
        <w:divId w:val="1000307292"/>
        <w:rPr>
          <w:rFonts w:eastAsia="Times New Roman"/>
        </w:rPr>
      </w:pPr>
      <w:r>
        <w:rPr>
          <w:rFonts w:eastAsia="Times New Roman"/>
          <w:b/>
          <w:bCs/>
          <w:color w:val="000000"/>
          <w:sz w:val="20"/>
          <w:szCs w:val="20"/>
        </w:rPr>
        <w:t xml:space="preserve">Common equity Tier 1 (“CET1”) capital: </w:t>
      </w:r>
      <w:r>
        <w:rPr>
          <w:rFonts w:eastAsia="Times New Roman"/>
          <w:color w:val="000000"/>
          <w:sz w:val="20"/>
          <w:szCs w:val="20"/>
        </w:rPr>
        <w:t>Calculated as the sum of common</w:t>
      </w:r>
      <w:r>
        <w:rPr>
          <w:rFonts w:eastAsia="Times New Roman"/>
          <w:color w:val="000000"/>
          <w:sz w:val="20"/>
          <w:szCs w:val="20"/>
        </w:rPr>
        <w:t xml:space="preserve"> equity, related surplus and retained earnings, and accumulated other comprehensive income net of applicable phase-ins, less goodwill and intangibles net of associated deferred tax liabilities and applicable phase-ins, less other deductions, as defined by </w:t>
      </w:r>
      <w:r>
        <w:rPr>
          <w:rFonts w:eastAsia="Times New Roman"/>
          <w:color w:val="000000"/>
          <w:sz w:val="20"/>
          <w:szCs w:val="20"/>
        </w:rPr>
        <w:t>regulators.</w:t>
      </w:r>
    </w:p>
    <w:p w:rsidR="00000000" w:rsidRDefault="00AF3814">
      <w:pPr>
        <w:jc w:val="both"/>
        <w:divId w:val="1090395596"/>
        <w:rPr>
          <w:rFonts w:eastAsia="Times New Roman"/>
        </w:rPr>
      </w:pPr>
      <w:r>
        <w:rPr>
          <w:rFonts w:eastAsia="Times New Roman"/>
          <w:b/>
          <w:bCs/>
          <w:color w:val="000000"/>
          <w:sz w:val="20"/>
          <w:szCs w:val="20"/>
        </w:rPr>
        <w:t xml:space="preserve">CONA: </w:t>
      </w:r>
      <w:r>
        <w:rPr>
          <w:rFonts w:eastAsia="Times New Roman"/>
          <w:color w:val="000000"/>
          <w:sz w:val="20"/>
          <w:szCs w:val="20"/>
        </w:rPr>
        <w:t>Capital One, National Association, one of our fully owned subsidiaries, which offers a broad spectrum of banking products and financial services to consumers, small businesses and commercial clients.</w:t>
      </w:r>
    </w:p>
    <w:p w:rsidR="00000000" w:rsidRDefault="00AF3814">
      <w:pPr>
        <w:jc w:val="both"/>
        <w:divId w:val="658734676"/>
        <w:rPr>
          <w:rFonts w:eastAsia="Times New Roman"/>
        </w:rPr>
      </w:pPr>
      <w:r>
        <w:rPr>
          <w:rFonts w:eastAsia="Times New Roman"/>
          <w:b/>
          <w:bCs/>
          <w:color w:val="000000"/>
          <w:sz w:val="20"/>
          <w:szCs w:val="20"/>
        </w:rPr>
        <w:t>Credit risk:</w:t>
      </w:r>
      <w:r>
        <w:rPr>
          <w:rFonts w:eastAsia="Times New Roman"/>
          <w:color w:val="000000"/>
          <w:sz w:val="20"/>
          <w:szCs w:val="20"/>
        </w:rPr>
        <w:t xml:space="preserve"> The risk of loss from an </w:t>
      </w:r>
      <w:r>
        <w:rPr>
          <w:rFonts w:eastAsia="Times New Roman"/>
          <w:color w:val="000000"/>
          <w:sz w:val="20"/>
          <w:szCs w:val="20"/>
        </w:rPr>
        <w:t>obligor’s failure to meet the terms of any contract or otherwise fail to perform as agreed.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81908764"/>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58190876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58190876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86" style="width:0;height:1.5pt" o:hralign="center" o:hrstd="t" o:hr="t" fillcolor="#a0a0a0" stroked="f"/>
        </w:pict>
      </w:r>
    </w:p>
    <w:p w:rsidR="00000000" w:rsidRDefault="00AF3814">
      <w:pPr>
        <w:ind w:hanging="360"/>
        <w:jc w:val="both"/>
        <w:divId w:val="65622831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879829935"/>
        <w:rPr>
          <w:rFonts w:eastAsia="Times New Roman"/>
        </w:rPr>
      </w:pPr>
      <w:r>
        <w:rPr>
          <w:rFonts w:eastAsia="Times New Roman"/>
          <w:b/>
          <w:bCs/>
          <w:color w:val="000000"/>
          <w:sz w:val="20"/>
          <w:szCs w:val="20"/>
        </w:rPr>
        <w:t>Cybersecurity Incident:</w:t>
      </w:r>
      <w:r>
        <w:rPr>
          <w:rFonts w:eastAsia="Times New Roman"/>
          <w:color w:val="000000"/>
          <w:sz w:val="20"/>
          <w:szCs w:val="20"/>
        </w:rPr>
        <w:t xml:space="preserve"> </w:t>
      </w:r>
      <w:r>
        <w:rPr>
          <w:rFonts w:eastAsia="Times New Roman"/>
          <w:color w:val="000000"/>
          <w:sz w:val="20"/>
          <w:szCs w:val="20"/>
        </w:rPr>
        <w:t xml:space="preserve">The unauthorized access by an outside individual who obtained certain types of personal information relating to people who had applied for our credit card products and to our credit card customers that we announced on July 29, 2019. </w:t>
      </w:r>
    </w:p>
    <w:p w:rsidR="00000000" w:rsidRDefault="00AF3814">
      <w:pPr>
        <w:jc w:val="both"/>
        <w:divId w:val="2144417772"/>
        <w:rPr>
          <w:rFonts w:eastAsia="Times New Roman"/>
        </w:rPr>
      </w:pPr>
      <w:r>
        <w:rPr>
          <w:rFonts w:eastAsia="Times New Roman"/>
          <w:b/>
          <w:bCs/>
          <w:color w:val="000000"/>
          <w:sz w:val="20"/>
          <w:szCs w:val="20"/>
        </w:rPr>
        <w:t>Derivative:</w:t>
      </w:r>
      <w:r>
        <w:rPr>
          <w:rFonts w:eastAsia="Times New Roman"/>
          <w:color w:val="000000"/>
          <w:sz w:val="20"/>
          <w:szCs w:val="20"/>
        </w:rPr>
        <w:t xml:space="preserve"> A contract</w:t>
      </w:r>
      <w:r>
        <w:rPr>
          <w:rFonts w:eastAsia="Times New Roman"/>
          <w:color w:val="000000"/>
          <w:sz w:val="20"/>
          <w:szCs w:val="20"/>
        </w:rPr>
        <w:t xml:space="preserve"> or agreement whose value is derived from changes in interest rates, foreign exchange rates, prices of securities or commodities, credit worthiness for credit default swaps or financial or commodity indices.</w:t>
      </w:r>
    </w:p>
    <w:p w:rsidR="00000000" w:rsidRDefault="00AF3814">
      <w:pPr>
        <w:jc w:val="both"/>
        <w:divId w:val="1942183049"/>
        <w:rPr>
          <w:rFonts w:eastAsia="Times New Roman"/>
        </w:rPr>
      </w:pPr>
      <w:r>
        <w:rPr>
          <w:rFonts w:eastAsia="Times New Roman"/>
          <w:b/>
          <w:bCs/>
          <w:color w:val="000000"/>
          <w:sz w:val="20"/>
          <w:szCs w:val="20"/>
        </w:rPr>
        <w:t>Discontinued operations:</w:t>
      </w:r>
      <w:r>
        <w:rPr>
          <w:rFonts w:eastAsia="Times New Roman"/>
          <w:color w:val="000000"/>
          <w:sz w:val="20"/>
          <w:szCs w:val="20"/>
        </w:rPr>
        <w:t xml:space="preserve"> The operating results o</w:t>
      </w:r>
      <w:r>
        <w:rPr>
          <w:rFonts w:eastAsia="Times New Roman"/>
          <w:color w:val="000000"/>
          <w:sz w:val="20"/>
          <w:szCs w:val="20"/>
        </w:rPr>
        <w:t>f a component of an entity, as defined by Accounting Standards Codification (“ASC”) 205, that are removed from continuing operations when that component has been disposed of or it is management’s intention to sell the component.</w:t>
      </w:r>
    </w:p>
    <w:p w:rsidR="00000000" w:rsidRDefault="00AF3814">
      <w:pPr>
        <w:jc w:val="both"/>
        <w:divId w:val="258566965"/>
        <w:rPr>
          <w:rFonts w:eastAsia="Times New Roman"/>
        </w:rPr>
      </w:pPr>
      <w:r>
        <w:rPr>
          <w:rFonts w:eastAsia="Times New Roman"/>
          <w:b/>
          <w:bCs/>
          <w:color w:val="000000"/>
          <w:sz w:val="20"/>
          <w:szCs w:val="20"/>
        </w:rPr>
        <w:t>Dodd-Frank Wall Street Refo</w:t>
      </w:r>
      <w:r>
        <w:rPr>
          <w:rFonts w:eastAsia="Times New Roman"/>
          <w:b/>
          <w:bCs/>
          <w:color w:val="000000"/>
          <w:sz w:val="20"/>
          <w:szCs w:val="20"/>
        </w:rPr>
        <w:t>rm and Consumer Protection Act (“Dodd-Frank Act”):</w:t>
      </w:r>
      <w:r>
        <w:rPr>
          <w:rFonts w:eastAsia="Times New Roman"/>
          <w:color w:val="000000"/>
          <w:sz w:val="20"/>
          <w:szCs w:val="20"/>
        </w:rPr>
        <w:t xml:space="preserve"> Regulatory reform legislation signed into law on July 21, 2010. This law broadly affects the financial services industry and contains numerous provisions aimed at strengthening the sound operation of the f</w:t>
      </w:r>
      <w:r>
        <w:rPr>
          <w:rFonts w:eastAsia="Times New Roman"/>
          <w:color w:val="000000"/>
          <w:sz w:val="20"/>
          <w:szCs w:val="20"/>
        </w:rPr>
        <w:t>inancial services sector.</w:t>
      </w:r>
    </w:p>
    <w:p w:rsidR="00000000" w:rsidRDefault="00AF3814">
      <w:pPr>
        <w:jc w:val="both"/>
        <w:divId w:val="1801726482"/>
        <w:rPr>
          <w:rFonts w:eastAsia="Times New Roman"/>
        </w:rPr>
      </w:pPr>
      <w:r>
        <w:rPr>
          <w:rFonts w:eastAsia="Times New Roman"/>
          <w:b/>
          <w:bCs/>
          <w:color w:val="000000"/>
          <w:sz w:val="20"/>
          <w:szCs w:val="20"/>
        </w:rPr>
        <w:t xml:space="preserve">Exchange Act: </w:t>
      </w:r>
      <w:r>
        <w:rPr>
          <w:rFonts w:eastAsia="Times New Roman"/>
          <w:color w:val="000000"/>
          <w:sz w:val="20"/>
          <w:szCs w:val="20"/>
        </w:rPr>
        <w:t>The Securities Exchange Act of 1934, as amended.</w:t>
      </w:r>
    </w:p>
    <w:p w:rsidR="00000000" w:rsidRDefault="00AF3814">
      <w:pPr>
        <w:jc w:val="both"/>
        <w:divId w:val="2129464360"/>
        <w:rPr>
          <w:rFonts w:eastAsia="Times New Roman"/>
        </w:rPr>
      </w:pPr>
      <w:r>
        <w:rPr>
          <w:rFonts w:eastAsia="Times New Roman"/>
          <w:b/>
          <w:bCs/>
          <w:color w:val="000000"/>
          <w:sz w:val="20"/>
          <w:szCs w:val="20"/>
        </w:rPr>
        <w:t>eXtensible Business Reporting Language (“XBRL”):</w:t>
      </w:r>
      <w:r>
        <w:rPr>
          <w:rFonts w:eastAsia="Times New Roman"/>
          <w:color w:val="000000"/>
          <w:sz w:val="20"/>
          <w:szCs w:val="20"/>
        </w:rPr>
        <w:t xml:space="preserve"> A language for the electronic communication of business and financial data.</w:t>
      </w:r>
    </w:p>
    <w:p w:rsidR="00000000" w:rsidRDefault="00AF3814">
      <w:pPr>
        <w:jc w:val="both"/>
        <w:divId w:val="1460340017"/>
        <w:rPr>
          <w:rFonts w:eastAsia="Times New Roman"/>
        </w:rPr>
      </w:pPr>
      <w:r>
        <w:rPr>
          <w:rFonts w:eastAsia="Times New Roman"/>
          <w:b/>
          <w:bCs/>
          <w:color w:val="000000"/>
          <w:sz w:val="20"/>
          <w:szCs w:val="20"/>
        </w:rPr>
        <w:t>Federal Banking Agencies:</w:t>
      </w:r>
      <w:r>
        <w:rPr>
          <w:rFonts w:eastAsia="Times New Roman"/>
          <w:color w:val="000000"/>
          <w:sz w:val="20"/>
          <w:szCs w:val="20"/>
        </w:rPr>
        <w:t xml:space="preserve"> The Federal Rese</w:t>
      </w:r>
      <w:r>
        <w:rPr>
          <w:rFonts w:eastAsia="Times New Roman"/>
          <w:color w:val="000000"/>
          <w:sz w:val="20"/>
          <w:szCs w:val="20"/>
        </w:rPr>
        <w:t>rve, Office of the Comptroller of the Currency and Federal Deposit Insurance Corporation.</w:t>
      </w:r>
    </w:p>
    <w:p w:rsidR="00000000" w:rsidRDefault="00AF3814">
      <w:pPr>
        <w:jc w:val="both"/>
        <w:divId w:val="876507427"/>
        <w:rPr>
          <w:rFonts w:eastAsia="Times New Roman"/>
        </w:rPr>
      </w:pPr>
      <w:r>
        <w:rPr>
          <w:rFonts w:eastAsia="Times New Roman"/>
          <w:b/>
          <w:bCs/>
          <w:color w:val="000000"/>
          <w:sz w:val="20"/>
          <w:szCs w:val="20"/>
        </w:rPr>
        <w:t>Federal Reserve:</w:t>
      </w:r>
      <w:r>
        <w:rPr>
          <w:rFonts w:eastAsia="Times New Roman"/>
          <w:color w:val="000000"/>
          <w:sz w:val="20"/>
          <w:szCs w:val="20"/>
        </w:rPr>
        <w:t xml:space="preserve"> The Board of Governors of the Federal Reserve System.</w:t>
      </w:r>
    </w:p>
    <w:p w:rsidR="00000000" w:rsidRDefault="00AF3814">
      <w:pPr>
        <w:jc w:val="both"/>
        <w:divId w:val="1444910"/>
        <w:rPr>
          <w:rFonts w:eastAsia="Times New Roman"/>
        </w:rPr>
      </w:pPr>
      <w:r>
        <w:rPr>
          <w:rFonts w:eastAsia="Times New Roman"/>
          <w:b/>
          <w:bCs/>
          <w:color w:val="000000"/>
          <w:sz w:val="20"/>
          <w:szCs w:val="20"/>
        </w:rPr>
        <w:t>FICO score:</w:t>
      </w:r>
      <w:r>
        <w:rPr>
          <w:rFonts w:eastAsia="Times New Roman"/>
          <w:color w:val="000000"/>
          <w:sz w:val="20"/>
          <w:szCs w:val="20"/>
        </w:rPr>
        <w:t xml:space="preserve"> A measure of consumer credit risk provided by credit bureaus, typically produced fr</w:t>
      </w:r>
      <w:r>
        <w:rPr>
          <w:rFonts w:eastAsia="Times New Roman"/>
          <w:color w:val="000000"/>
          <w:sz w:val="20"/>
          <w:szCs w:val="20"/>
        </w:rPr>
        <w:t>om statistical modeling software created by FICO (formerly known as “Fair Isaac Corporation”) utilizing data collected by the credit bureaus.</w:t>
      </w:r>
    </w:p>
    <w:p w:rsidR="00000000" w:rsidRDefault="00AF3814">
      <w:pPr>
        <w:jc w:val="both"/>
        <w:divId w:val="1243879068"/>
        <w:rPr>
          <w:rFonts w:eastAsia="Times New Roman"/>
        </w:rPr>
      </w:pPr>
      <w:r>
        <w:rPr>
          <w:rFonts w:eastAsia="Times New Roman"/>
          <w:b/>
          <w:bCs/>
          <w:color w:val="000000"/>
          <w:sz w:val="20"/>
          <w:szCs w:val="20"/>
        </w:rPr>
        <w:t>Foreign currency derivative contracts:</w:t>
      </w:r>
      <w:r>
        <w:rPr>
          <w:rFonts w:eastAsia="Times New Roman"/>
          <w:color w:val="000000"/>
          <w:sz w:val="20"/>
          <w:szCs w:val="20"/>
        </w:rPr>
        <w:t xml:space="preserve"> An agreement to exchange contractual amounts of one currency for another cu</w:t>
      </w:r>
      <w:r>
        <w:rPr>
          <w:rFonts w:eastAsia="Times New Roman"/>
          <w:color w:val="000000"/>
          <w:sz w:val="20"/>
          <w:szCs w:val="20"/>
        </w:rPr>
        <w:t>rrency at one or more future dates.</w:t>
      </w:r>
    </w:p>
    <w:p w:rsidR="00000000" w:rsidRDefault="00AF3814">
      <w:pPr>
        <w:jc w:val="both"/>
        <w:divId w:val="1974484922"/>
        <w:rPr>
          <w:rFonts w:eastAsia="Times New Roman"/>
        </w:rPr>
      </w:pPr>
      <w:r>
        <w:rPr>
          <w:rFonts w:eastAsia="Times New Roman"/>
          <w:b/>
          <w:bCs/>
          <w:color w:val="000000"/>
          <w:sz w:val="20"/>
          <w:szCs w:val="20"/>
        </w:rPr>
        <w:t>Foreign exchange contracts:</w:t>
      </w:r>
      <w:r>
        <w:rPr>
          <w:rFonts w:eastAsia="Times New Roman"/>
          <w:color w:val="000000"/>
          <w:sz w:val="20"/>
          <w:szCs w:val="20"/>
        </w:rPr>
        <w:t xml:space="preserve"> Contracts that provide for the future receipt or delivery of foreign currency at previously agreed-upon terms.</w:t>
      </w:r>
    </w:p>
    <w:p w:rsidR="00000000" w:rsidRDefault="00AF3814">
      <w:pPr>
        <w:jc w:val="both"/>
        <w:divId w:val="1743404787"/>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A government-sponsored enterprise or agency is a financial service</w:t>
      </w:r>
      <w:r>
        <w:rPr>
          <w:rFonts w:eastAsia="Times New Roman"/>
          <w:color w:val="000000"/>
          <w:sz w:val="20"/>
          <w:szCs w:val="20"/>
        </w:rPr>
        <w:t>s corporation created by the United States Congress. Examples of U.S. government agencies include Federal National Mortgage Association (“Fannie Mae”), Federal Home Loan Mortgage Corporation (“Freddie Mac”), Government National Mortgage Association (“Ginni</w:t>
      </w:r>
      <w:r>
        <w:rPr>
          <w:rFonts w:eastAsia="Times New Roman"/>
          <w:color w:val="000000"/>
          <w:sz w:val="20"/>
          <w:szCs w:val="20"/>
        </w:rPr>
        <w:t>e Mae”) and the Federal Home Loan Banks (“FHLB”).</w:t>
      </w:r>
    </w:p>
    <w:p w:rsidR="00000000" w:rsidRDefault="00AF3814">
      <w:pPr>
        <w:jc w:val="both"/>
        <w:divId w:val="396318236"/>
        <w:rPr>
          <w:rFonts w:eastAsia="Times New Roman"/>
        </w:rPr>
      </w:pPr>
      <w:r>
        <w:rPr>
          <w:rFonts w:eastAsia="Times New Roman"/>
          <w:b/>
          <w:bCs/>
          <w:color w:val="000000"/>
          <w:sz w:val="20"/>
          <w:szCs w:val="20"/>
        </w:rPr>
        <w:t>Interest rate sensitivity:</w:t>
      </w:r>
      <w:r>
        <w:rPr>
          <w:rFonts w:eastAsia="Times New Roman"/>
          <w:color w:val="000000"/>
          <w:sz w:val="20"/>
          <w:szCs w:val="20"/>
        </w:rPr>
        <w:t xml:space="preserve"> The exposure to interest rate movements.</w:t>
      </w:r>
    </w:p>
    <w:p w:rsidR="00000000" w:rsidRDefault="00AF3814">
      <w:pPr>
        <w:jc w:val="both"/>
        <w:divId w:val="575867942"/>
        <w:rPr>
          <w:rFonts w:eastAsia="Times New Roman"/>
        </w:rPr>
      </w:pPr>
      <w:r>
        <w:rPr>
          <w:rFonts w:eastAsia="Times New Roman"/>
          <w:b/>
          <w:bCs/>
          <w:color w:val="000000"/>
          <w:sz w:val="20"/>
          <w:szCs w:val="20"/>
        </w:rPr>
        <w:t>Interest rate swaps:</w:t>
      </w:r>
      <w:r>
        <w:rPr>
          <w:rFonts w:eastAsia="Times New Roman"/>
          <w:color w:val="000000"/>
          <w:sz w:val="20"/>
          <w:szCs w:val="20"/>
        </w:rPr>
        <w:t xml:space="preserve"> Contracts in which a series of interest rate flows in a single currency are exchanged over a prescribed period. Inter</w:t>
      </w:r>
      <w:r>
        <w:rPr>
          <w:rFonts w:eastAsia="Times New Roman"/>
          <w:color w:val="000000"/>
          <w:sz w:val="20"/>
          <w:szCs w:val="20"/>
        </w:rPr>
        <w:t>est rate swaps are the most common type of derivative contract that we use in our asset/liability management activities.</w:t>
      </w:r>
    </w:p>
    <w:p w:rsidR="00000000" w:rsidRDefault="00AF3814">
      <w:pPr>
        <w:jc w:val="both"/>
        <w:divId w:val="250697585"/>
        <w:rPr>
          <w:rFonts w:eastAsia="Times New Roman"/>
        </w:rPr>
      </w:pPr>
      <w:r>
        <w:rPr>
          <w:rFonts w:eastAsia="Times New Roman"/>
          <w:b/>
          <w:bCs/>
          <w:color w:val="000000"/>
          <w:sz w:val="20"/>
          <w:szCs w:val="20"/>
        </w:rPr>
        <w:t>Investment grade:</w:t>
      </w:r>
      <w:r>
        <w:rPr>
          <w:rFonts w:eastAsia="Times New Roman"/>
          <w:color w:val="000000"/>
          <w:sz w:val="20"/>
          <w:szCs w:val="20"/>
        </w:rPr>
        <w:t xml:space="preserve"> Represents a Moody’s long-term rating of Baa3 or better; and/or a S&amp;P long-term rating of BBB- or better; and/or a Fi</w:t>
      </w:r>
      <w:r>
        <w:rPr>
          <w:rFonts w:eastAsia="Times New Roman"/>
          <w:color w:val="000000"/>
          <w:sz w:val="20"/>
          <w:szCs w:val="20"/>
        </w:rPr>
        <w:t>tch long-term rating of BBB- or better; or if unrated, an equivalent rating using our internal risk ratings. Instruments that fall below these levels are considered to be non-investment grade.</w:t>
      </w:r>
    </w:p>
    <w:p w:rsidR="00000000" w:rsidRDefault="00AF3814">
      <w:pPr>
        <w:jc w:val="both"/>
        <w:divId w:val="762798982"/>
        <w:rPr>
          <w:rFonts w:eastAsia="Times New Roman"/>
        </w:rPr>
      </w:pPr>
      <w:r>
        <w:rPr>
          <w:rFonts w:eastAsia="Times New Roman"/>
          <w:b/>
          <w:bCs/>
          <w:color w:val="000000"/>
          <w:sz w:val="20"/>
          <w:szCs w:val="20"/>
        </w:rPr>
        <w:t xml:space="preserve">Investor entities: </w:t>
      </w:r>
      <w:r>
        <w:rPr>
          <w:rFonts w:eastAsia="Times New Roman"/>
          <w:color w:val="000000"/>
          <w:sz w:val="20"/>
          <w:szCs w:val="20"/>
        </w:rPr>
        <w:t>Entities that invest in community developmen</w:t>
      </w:r>
      <w:r>
        <w:rPr>
          <w:rFonts w:eastAsia="Times New Roman"/>
          <w:color w:val="000000"/>
          <w:sz w:val="20"/>
          <w:szCs w:val="20"/>
        </w:rPr>
        <w:t>t entities (“CDE”) that provide debt financing to businesses and non-profit entities in low-income and rural communities.</w:t>
      </w:r>
    </w:p>
    <w:p w:rsidR="00000000" w:rsidRDefault="00AF3814">
      <w:pPr>
        <w:jc w:val="both"/>
        <w:divId w:val="1020618208"/>
        <w:rPr>
          <w:rFonts w:eastAsia="Times New Roman"/>
        </w:rPr>
      </w:pPr>
      <w:r>
        <w:rPr>
          <w:rFonts w:eastAsia="Times New Roman"/>
          <w:b/>
          <w:bCs/>
          <w:color w:val="000000"/>
          <w:sz w:val="20"/>
          <w:szCs w:val="20"/>
        </w:rPr>
        <w:t>LCR Rule:</w:t>
      </w:r>
      <w:r>
        <w:rPr>
          <w:rFonts w:eastAsia="Times New Roman"/>
          <w:color w:val="000000"/>
          <w:sz w:val="20"/>
          <w:szCs w:val="20"/>
        </w:rPr>
        <w:t xml:space="preserve"> </w:t>
      </w:r>
      <w:r>
        <w:rPr>
          <w:rFonts w:eastAsia="Times New Roman"/>
          <w:color w:val="000000"/>
          <w:sz w:val="20"/>
          <w:szCs w:val="20"/>
        </w:rPr>
        <w:t>In September 2014, the Federal Banking Agencies issued final rules implementing the Basel III Liquidity Coverage Ratio (“LCR”) in the United States. The LCR is calculated by dividing the amount of an institution’s high quality, unencumbered liquid assets b</w:t>
      </w:r>
      <w:r>
        <w:rPr>
          <w:rFonts w:eastAsia="Times New Roman"/>
          <w:color w:val="000000"/>
          <w:sz w:val="20"/>
          <w:szCs w:val="20"/>
        </w:rPr>
        <w:t xml:space="preserve">y its estimated net cash outflow, as defined and calculated in accordance with the LCR Rule. </w:t>
      </w:r>
    </w:p>
    <w:p w:rsidR="00000000" w:rsidRDefault="00AF3814">
      <w:pPr>
        <w:jc w:val="both"/>
        <w:divId w:val="1764641118"/>
        <w:rPr>
          <w:rFonts w:eastAsia="Times New Roman"/>
        </w:rPr>
      </w:pPr>
      <w:r>
        <w:rPr>
          <w:rFonts w:eastAsia="Times New Roman"/>
          <w:b/>
          <w:bCs/>
          <w:color w:val="000000"/>
          <w:sz w:val="20"/>
          <w:szCs w:val="20"/>
        </w:rPr>
        <w:t>Leverage ratio:</w:t>
      </w:r>
      <w:r>
        <w:rPr>
          <w:rFonts w:eastAsia="Times New Roman"/>
          <w:color w:val="000000"/>
          <w:sz w:val="20"/>
          <w:szCs w:val="20"/>
        </w:rPr>
        <w:t xml:space="preserve"> Tier 1 capital divided by average assets after certain adjustments, as defined by the regulators. </w:t>
      </w:r>
    </w:p>
    <w:p w:rsidR="00000000" w:rsidRDefault="00AF3814">
      <w:pPr>
        <w:jc w:val="both"/>
        <w:divId w:val="1196311326"/>
        <w:rPr>
          <w:rFonts w:eastAsia="Times New Roman"/>
        </w:rPr>
      </w:pPr>
      <w:r>
        <w:rPr>
          <w:rFonts w:eastAsia="Times New Roman"/>
          <w:b/>
          <w:bCs/>
          <w:color w:val="000000"/>
          <w:sz w:val="20"/>
          <w:szCs w:val="20"/>
        </w:rPr>
        <w:t>Liquidity risk:</w:t>
      </w:r>
      <w:r>
        <w:rPr>
          <w:rFonts w:eastAsia="Times New Roman"/>
          <w:color w:val="000000"/>
          <w:sz w:val="20"/>
          <w:szCs w:val="20"/>
        </w:rPr>
        <w:t xml:space="preserve"> The risk that the Company will </w:t>
      </w:r>
      <w:r>
        <w:rPr>
          <w:rFonts w:eastAsia="Times New Roman"/>
          <w:color w:val="000000"/>
          <w:sz w:val="20"/>
          <w:szCs w:val="20"/>
        </w:rPr>
        <w:t>not be able to meet its future financial obligations as they come due, or invest in future asset growth because of an inability to obtain funds at a reasonable price within a reasonable time period.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83850067"/>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83850067"/>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83850067"/>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87" style="width:0;height:1.5pt" o:hralign="center" o:hrstd="t" o:hr="t" fillcolor="#a0a0a0" stroked="f"/>
        </w:pict>
      </w:r>
    </w:p>
    <w:p w:rsidR="00000000" w:rsidRDefault="00AF3814">
      <w:pPr>
        <w:ind w:hanging="360"/>
        <w:jc w:val="both"/>
        <w:divId w:val="429736986"/>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400445395"/>
        <w:rPr>
          <w:rFonts w:eastAsia="Times New Roman"/>
        </w:rPr>
      </w:pPr>
      <w:r>
        <w:rPr>
          <w:rFonts w:eastAsia="Times New Roman"/>
          <w:b/>
          <w:bCs/>
          <w:color w:val="000000"/>
          <w:sz w:val="20"/>
          <w:szCs w:val="20"/>
        </w:rPr>
        <w:t xml:space="preserve">Loan-to-value (“LTV”) ratio: </w:t>
      </w:r>
      <w:r>
        <w:rPr>
          <w:rFonts w:eastAsia="Times New Roman"/>
          <w:color w:val="000000"/>
          <w:sz w:val="20"/>
          <w:szCs w:val="20"/>
        </w:rPr>
        <w:t>The relationship, expressed as a percentage, between the principal amount of a loan and the appraised value of the</w:t>
      </w:r>
      <w:r>
        <w:rPr>
          <w:rFonts w:eastAsia="Times New Roman"/>
          <w:color w:val="000000"/>
          <w:sz w:val="20"/>
          <w:szCs w:val="20"/>
        </w:rPr>
        <w:t xml:space="preserve"> collateral securing the loan.</w:t>
      </w:r>
    </w:p>
    <w:p w:rsidR="00000000" w:rsidRDefault="00AF3814">
      <w:pPr>
        <w:jc w:val="both"/>
        <w:divId w:val="1404715572"/>
        <w:rPr>
          <w:rFonts w:eastAsia="Times New Roman"/>
        </w:rPr>
      </w:pPr>
      <w:r>
        <w:rPr>
          <w:rFonts w:eastAsia="Times New Roman"/>
          <w:b/>
          <w:bCs/>
          <w:color w:val="000000"/>
          <w:sz w:val="20"/>
          <w:szCs w:val="20"/>
        </w:rPr>
        <w:t xml:space="preserve">Managed presentation: </w:t>
      </w:r>
      <w:r>
        <w:rPr>
          <w:rFonts w:eastAsia="Times New Roman"/>
          <w:color w:val="000000"/>
          <w:sz w:val="20"/>
          <w:szCs w:val="20"/>
        </w:rPr>
        <w:t>A non-GAAP presentation of business segment results derived from our internal management accounting and reporting process, which employs various allocation methodologies, including funds transfer pricing, to assign certain balance sheet assets, deposits an</w:t>
      </w:r>
      <w:r>
        <w:rPr>
          <w:rFonts w:eastAsia="Times New Roman"/>
          <w:color w:val="000000"/>
          <w:sz w:val="20"/>
          <w:szCs w:val="20"/>
        </w:rPr>
        <w:t>d other liabilities and their related revenues and expenses directly or indirectly attributable to each business segment. The results of our individual businesses reflect the manner in which management evaluates performance and makes decisions about fundin</w:t>
      </w:r>
      <w:r>
        <w:rPr>
          <w:rFonts w:eastAsia="Times New Roman"/>
          <w:color w:val="000000"/>
          <w:sz w:val="20"/>
          <w:szCs w:val="20"/>
        </w:rPr>
        <w:t xml:space="preserve">g our operations and allocating resources and are intended to reflect each segment as if it were a stand-alone business. </w:t>
      </w:r>
    </w:p>
    <w:p w:rsidR="00000000" w:rsidRDefault="00AF3814">
      <w:pPr>
        <w:jc w:val="both"/>
        <w:divId w:val="1379236580"/>
        <w:rPr>
          <w:rFonts w:eastAsia="Times New Roman"/>
        </w:rPr>
      </w:pPr>
      <w:r>
        <w:rPr>
          <w:rFonts w:eastAsia="Times New Roman"/>
          <w:b/>
          <w:bCs/>
          <w:color w:val="000000"/>
          <w:sz w:val="20"/>
          <w:szCs w:val="20"/>
        </w:rPr>
        <w:t>Market risk:</w:t>
      </w:r>
      <w:r>
        <w:rPr>
          <w:rFonts w:eastAsia="Times New Roman"/>
          <w:color w:val="000000"/>
          <w:sz w:val="20"/>
          <w:szCs w:val="20"/>
        </w:rPr>
        <w:t xml:space="preserve"> The risk that an institution’s earnings or the economic value of equity could be adversely impacted by changes in interes</w:t>
      </w:r>
      <w:r>
        <w:rPr>
          <w:rFonts w:eastAsia="Times New Roman"/>
          <w:color w:val="000000"/>
          <w:sz w:val="20"/>
          <w:szCs w:val="20"/>
        </w:rPr>
        <w:t>t rates, foreign exchange rates or other market factors.</w:t>
      </w:r>
    </w:p>
    <w:p w:rsidR="00000000" w:rsidRDefault="00AF3814">
      <w:pPr>
        <w:jc w:val="both"/>
        <w:divId w:val="684601119"/>
        <w:rPr>
          <w:rFonts w:eastAsia="Times New Roman"/>
        </w:rPr>
      </w:pPr>
      <w:r>
        <w:rPr>
          <w:rFonts w:eastAsia="Times New Roman"/>
          <w:b/>
          <w:bCs/>
          <w:color w:val="000000"/>
          <w:sz w:val="20"/>
          <w:szCs w:val="20"/>
        </w:rPr>
        <w:t>Master netting arrangements:</w:t>
      </w:r>
      <w:r>
        <w:rPr>
          <w:rFonts w:eastAsia="Times New Roman"/>
          <w:color w:val="000000"/>
          <w:sz w:val="20"/>
          <w:szCs w:val="20"/>
        </w:rPr>
        <w:t xml:space="preserve"> An agreement between two counterparties that have multiple contracts with each other that provides for the net settlement of all contracts through a single payment in the</w:t>
      </w:r>
      <w:r>
        <w:rPr>
          <w:rFonts w:eastAsia="Times New Roman"/>
          <w:color w:val="000000"/>
          <w:sz w:val="20"/>
          <w:szCs w:val="20"/>
        </w:rPr>
        <w:t xml:space="preserve"> event of default or termination of any one contract.</w:t>
      </w:r>
    </w:p>
    <w:p w:rsidR="00000000" w:rsidRDefault="00AF3814">
      <w:pPr>
        <w:jc w:val="both"/>
        <w:divId w:val="1053848405"/>
        <w:rPr>
          <w:rFonts w:eastAsia="Times New Roman"/>
        </w:rPr>
      </w:pPr>
      <w:r>
        <w:rPr>
          <w:rFonts w:eastAsia="Times New Roman"/>
          <w:b/>
          <w:bCs/>
          <w:color w:val="000000"/>
          <w:sz w:val="20"/>
          <w:szCs w:val="20"/>
        </w:rPr>
        <w:t xml:space="preserve">Mortgage-backed security (“MBS”): </w:t>
      </w:r>
      <w:r>
        <w:rPr>
          <w:rFonts w:eastAsia="Times New Roman"/>
          <w:color w:val="000000"/>
          <w:sz w:val="20"/>
          <w:szCs w:val="20"/>
        </w:rPr>
        <w:t>An asset-backed security whose cash flows are backed by the principal and interest payments of a set of mortgage loans.</w:t>
      </w:r>
    </w:p>
    <w:p w:rsidR="00000000" w:rsidRDefault="00AF3814">
      <w:pPr>
        <w:jc w:val="both"/>
        <w:divId w:val="531307387"/>
        <w:rPr>
          <w:rFonts w:eastAsia="Times New Roman"/>
        </w:rPr>
      </w:pPr>
      <w:r>
        <w:rPr>
          <w:rFonts w:eastAsia="Times New Roman"/>
          <w:b/>
          <w:bCs/>
          <w:color w:val="000000"/>
          <w:sz w:val="20"/>
          <w:szCs w:val="20"/>
        </w:rPr>
        <w:t>Mortgage servicing rights (“MSRs”):</w:t>
      </w:r>
      <w:r>
        <w:rPr>
          <w:rFonts w:eastAsia="Times New Roman"/>
          <w:color w:val="000000"/>
          <w:sz w:val="20"/>
          <w:szCs w:val="20"/>
        </w:rPr>
        <w:t xml:space="preserve"> The right to</w:t>
      </w:r>
      <w:r>
        <w:rPr>
          <w:rFonts w:eastAsia="Times New Roman"/>
          <w:color w:val="000000"/>
          <w:sz w:val="20"/>
          <w:szCs w:val="20"/>
        </w:rPr>
        <w:t xml:space="preserve"> service a mortgage loan when the underlying loan is sold or securitized. Servicing includes collections for principal, interest and escrow payments from borrowers and accounting for and remitting principal and interest payments to investors.</w:t>
      </w:r>
    </w:p>
    <w:p w:rsidR="00000000" w:rsidRDefault="00AF3814">
      <w:pPr>
        <w:jc w:val="both"/>
        <w:divId w:val="1460420021"/>
        <w:rPr>
          <w:rFonts w:eastAsia="Times New Roman"/>
        </w:rPr>
      </w:pPr>
      <w:r>
        <w:rPr>
          <w:rFonts w:eastAsia="Times New Roman"/>
          <w:b/>
          <w:bCs/>
          <w:color w:val="000000"/>
          <w:sz w:val="20"/>
          <w:szCs w:val="20"/>
        </w:rPr>
        <w:t>Net charge-of</w:t>
      </w:r>
      <w:r>
        <w:rPr>
          <w:rFonts w:eastAsia="Times New Roman"/>
          <w:b/>
          <w:bCs/>
          <w:color w:val="000000"/>
          <w:sz w:val="20"/>
          <w:szCs w:val="20"/>
        </w:rPr>
        <w:t>f rate</w:t>
      </w:r>
      <w:r>
        <w:rPr>
          <w:rFonts w:eastAsia="Times New Roman"/>
          <w:color w:val="000000"/>
          <w:sz w:val="20"/>
          <w:szCs w:val="20"/>
        </w:rPr>
        <w:t>: Represents (annualized) net charge-offs divided by average loans held for investment for the period. Negative net charge-offs and related rates are captioned as net recoveries.</w:t>
      </w:r>
    </w:p>
    <w:p w:rsidR="00000000" w:rsidRDefault="00AF3814">
      <w:pPr>
        <w:jc w:val="both"/>
        <w:divId w:val="1803112973"/>
        <w:rPr>
          <w:rFonts w:eastAsia="Times New Roman"/>
        </w:rPr>
      </w:pPr>
      <w:r>
        <w:rPr>
          <w:rFonts w:eastAsia="Times New Roman"/>
          <w:b/>
          <w:bCs/>
          <w:color w:val="000000"/>
          <w:sz w:val="20"/>
          <w:szCs w:val="20"/>
        </w:rPr>
        <w:t>Net interest margin:</w:t>
      </w:r>
      <w:r>
        <w:rPr>
          <w:rFonts w:eastAsia="Times New Roman"/>
          <w:color w:val="000000"/>
          <w:sz w:val="20"/>
          <w:szCs w:val="20"/>
        </w:rPr>
        <w:t xml:space="preserve"> Represents (annualized) net interest income divide</w:t>
      </w:r>
      <w:r>
        <w:rPr>
          <w:rFonts w:eastAsia="Times New Roman"/>
          <w:color w:val="000000"/>
          <w:sz w:val="20"/>
          <w:szCs w:val="20"/>
        </w:rPr>
        <w:t>d by average interest-earning assets for the period.</w:t>
      </w:r>
    </w:p>
    <w:p w:rsidR="00000000" w:rsidRDefault="00AF3814">
      <w:pPr>
        <w:jc w:val="both"/>
        <w:divId w:val="1747724857"/>
        <w:rPr>
          <w:rFonts w:eastAsia="Times New Roman"/>
        </w:rPr>
      </w:pPr>
      <w:r>
        <w:rPr>
          <w:rFonts w:eastAsia="Times New Roman"/>
          <w:b/>
          <w:bCs/>
          <w:color w:val="000000"/>
          <w:sz w:val="20"/>
          <w:szCs w:val="20"/>
        </w:rPr>
        <w:t>NSFR Rule:</w:t>
      </w:r>
      <w:r>
        <w:rPr>
          <w:rFonts w:eastAsia="Times New Roman"/>
          <w:color w:val="000000"/>
          <w:sz w:val="20"/>
          <w:szCs w:val="20"/>
        </w:rPr>
        <w:t xml:space="preserve"> The Federal Banking Agencies issued a rule in October 2020 implementing the net stable funding ratio (“NSFR”). The NSFR measures the stability of our funding profile and requires us to maintai</w:t>
      </w:r>
      <w:r>
        <w:rPr>
          <w:rFonts w:eastAsia="Times New Roman"/>
          <w:color w:val="000000"/>
          <w:sz w:val="20"/>
          <w:szCs w:val="20"/>
        </w:rPr>
        <w:t>n minimum amounts of stable funding to support our assets, commitments and derivatives exposures over a one-year period.</w:t>
      </w:r>
    </w:p>
    <w:p w:rsidR="00000000" w:rsidRDefault="00AF3814">
      <w:pPr>
        <w:jc w:val="both"/>
        <w:divId w:val="1587231165"/>
        <w:rPr>
          <w:rFonts w:eastAsia="Times New Roman"/>
        </w:rPr>
      </w:pPr>
      <w:r>
        <w:rPr>
          <w:rFonts w:eastAsia="Times New Roman"/>
          <w:b/>
          <w:bCs/>
          <w:color w:val="000000"/>
          <w:sz w:val="20"/>
          <w:szCs w:val="20"/>
        </w:rPr>
        <w:t>Nonperforming loans:</w:t>
      </w:r>
      <w:r>
        <w:rPr>
          <w:rFonts w:eastAsia="Times New Roman"/>
          <w:color w:val="000000"/>
          <w:sz w:val="20"/>
          <w:szCs w:val="20"/>
        </w:rPr>
        <w:t xml:space="preserve"> Generally include loans that have been placed on nonaccrual status. We do not report loans classified as held for </w:t>
      </w:r>
      <w:r>
        <w:rPr>
          <w:rFonts w:eastAsia="Times New Roman"/>
          <w:color w:val="000000"/>
          <w:sz w:val="20"/>
          <w:szCs w:val="20"/>
        </w:rPr>
        <w:t>sale as nonperforming.</w:t>
      </w:r>
    </w:p>
    <w:p w:rsidR="00000000" w:rsidRDefault="00AF3814">
      <w:pPr>
        <w:jc w:val="both"/>
        <w:divId w:val="301422627"/>
        <w:rPr>
          <w:rFonts w:eastAsia="Times New Roman"/>
        </w:rPr>
      </w:pPr>
      <w:r>
        <w:rPr>
          <w:rFonts w:eastAsia="Times New Roman"/>
          <w:b/>
          <w:bCs/>
          <w:color w:val="000000"/>
          <w:sz w:val="20"/>
          <w:szCs w:val="20"/>
        </w:rPr>
        <w:t xml:space="preserve">Public Funds deposits: </w:t>
      </w:r>
      <w:r>
        <w:rPr>
          <w:rFonts w:eastAsia="Times New Roman"/>
          <w:color w:val="000000"/>
          <w:sz w:val="20"/>
          <w:szCs w:val="20"/>
        </w:rPr>
        <w:t xml:space="preserve">Deposits that are derived from a variety of political subdivisions such as school districts and municipalities. </w:t>
      </w:r>
    </w:p>
    <w:p w:rsidR="00000000" w:rsidRDefault="00AF3814">
      <w:pPr>
        <w:jc w:val="both"/>
        <w:divId w:val="1306668830"/>
        <w:rPr>
          <w:rFonts w:eastAsia="Times New Roman"/>
        </w:rPr>
      </w:pPr>
      <w:r>
        <w:rPr>
          <w:rFonts w:eastAsia="Times New Roman"/>
          <w:b/>
          <w:bCs/>
          <w:color w:val="000000"/>
          <w:sz w:val="20"/>
          <w:szCs w:val="20"/>
        </w:rPr>
        <w:t>Purchase volume:</w:t>
      </w:r>
      <w:r>
        <w:rPr>
          <w:rFonts w:eastAsia="Times New Roman"/>
          <w:color w:val="000000"/>
          <w:sz w:val="20"/>
          <w:szCs w:val="20"/>
        </w:rPr>
        <w:t xml:space="preserve"> Consists of purchase transactions, net of returns, for the period, and excludes </w:t>
      </w:r>
      <w:r>
        <w:rPr>
          <w:rFonts w:eastAsia="Times New Roman"/>
          <w:color w:val="000000"/>
          <w:sz w:val="20"/>
          <w:szCs w:val="20"/>
        </w:rPr>
        <w:t>cash advance and balance transfer transactions.</w:t>
      </w:r>
    </w:p>
    <w:p w:rsidR="00000000" w:rsidRDefault="00AF3814">
      <w:pPr>
        <w:jc w:val="both"/>
        <w:divId w:val="599289902"/>
        <w:rPr>
          <w:rFonts w:eastAsia="Times New Roman"/>
        </w:rPr>
      </w:pPr>
      <w:r>
        <w:rPr>
          <w:rFonts w:eastAsia="Times New Roman"/>
          <w:b/>
          <w:bCs/>
          <w:color w:val="000000"/>
          <w:sz w:val="20"/>
          <w:szCs w:val="20"/>
        </w:rPr>
        <w:t>Rating agency:</w:t>
      </w:r>
      <w:r>
        <w:rPr>
          <w:rFonts w:eastAsia="Times New Roman"/>
          <w:color w:val="000000"/>
          <w:sz w:val="20"/>
          <w:szCs w:val="20"/>
        </w:rPr>
        <w:t xml:space="preserve"> An independent agency that assesses the credit quality and likelihood of default of an issue or issuer and assigns a rating to that issue or issuer.</w:t>
      </w:r>
    </w:p>
    <w:p w:rsidR="00000000" w:rsidRDefault="00AF3814">
      <w:pPr>
        <w:jc w:val="both"/>
        <w:divId w:val="1208026639"/>
        <w:rPr>
          <w:rFonts w:eastAsia="Times New Roman"/>
        </w:rPr>
      </w:pPr>
      <w:r>
        <w:rPr>
          <w:rFonts w:eastAsia="Times New Roman"/>
          <w:b/>
          <w:bCs/>
          <w:color w:val="000000"/>
          <w:sz w:val="20"/>
          <w:szCs w:val="20"/>
        </w:rPr>
        <w:t>Repurchase agreement:</w:t>
      </w:r>
      <w:r>
        <w:rPr>
          <w:rFonts w:eastAsia="Times New Roman"/>
          <w:color w:val="000000"/>
          <w:sz w:val="20"/>
          <w:szCs w:val="20"/>
        </w:rPr>
        <w:t xml:space="preserve"> An instrument used to </w:t>
      </w:r>
      <w:r>
        <w:rPr>
          <w:rFonts w:eastAsia="Times New Roman"/>
          <w:color w:val="000000"/>
          <w:sz w:val="20"/>
          <w:szCs w:val="20"/>
        </w:rPr>
        <w:t xml:space="preserve">raise short-term funds whereby securities are sold with an agreement for the seller to buy back the securities at a later date. </w:t>
      </w:r>
    </w:p>
    <w:p w:rsidR="00000000" w:rsidRDefault="00AF3814">
      <w:pPr>
        <w:jc w:val="both"/>
        <w:divId w:val="1998806637"/>
        <w:rPr>
          <w:rFonts w:eastAsia="Times New Roman"/>
        </w:rPr>
      </w:pPr>
      <w:r>
        <w:rPr>
          <w:rFonts w:eastAsia="Times New Roman"/>
          <w:b/>
          <w:bCs/>
          <w:color w:val="000000"/>
          <w:sz w:val="20"/>
          <w:szCs w:val="20"/>
        </w:rPr>
        <w:t>Restructuring charges:</w:t>
      </w:r>
      <w:r>
        <w:rPr>
          <w:rFonts w:eastAsia="Times New Roman"/>
          <w:color w:val="000000"/>
          <w:sz w:val="20"/>
          <w:szCs w:val="20"/>
        </w:rPr>
        <w:t xml:space="preserve"> </w:t>
      </w:r>
      <w:r>
        <w:rPr>
          <w:rFonts w:eastAsia="Times New Roman"/>
          <w:color w:val="000000"/>
          <w:sz w:val="20"/>
          <w:szCs w:val="20"/>
        </w:rPr>
        <w:t>Charges associated with the realignment of resources supporting various businesses, primarily consisting of severance and related benefits pursuant to our ongoing benefit programs and impairment of certain assets related to business locations and activitie</w:t>
      </w:r>
      <w:r>
        <w:rPr>
          <w:rFonts w:eastAsia="Times New Roman"/>
          <w:color w:val="000000"/>
          <w:sz w:val="20"/>
          <w:szCs w:val="20"/>
        </w:rPr>
        <w:t>s being exited.</w:t>
      </w:r>
    </w:p>
    <w:p w:rsidR="00000000" w:rsidRDefault="00AF3814">
      <w:pPr>
        <w:jc w:val="both"/>
        <w:divId w:val="523447835"/>
        <w:rPr>
          <w:rFonts w:eastAsia="Times New Roman"/>
        </w:rPr>
      </w:pPr>
      <w:r>
        <w:rPr>
          <w:rFonts w:eastAsia="Times New Roman"/>
          <w:b/>
          <w:bCs/>
          <w:color w:val="000000"/>
          <w:sz w:val="20"/>
          <w:szCs w:val="20"/>
        </w:rPr>
        <w:t xml:space="preserve">Risk-weighted assets: </w:t>
      </w:r>
      <w:r>
        <w:rPr>
          <w:rFonts w:eastAsia="Times New Roman"/>
          <w:color w:val="000000"/>
          <w:sz w:val="20"/>
          <w:szCs w:val="20"/>
        </w:rPr>
        <w:t xml:space="preserve">On- and off-balance sheet assets that are assigned to one of several broad risk categories and weighted by factors representing their risk and potential for default. </w:t>
      </w:r>
    </w:p>
    <w:p w:rsidR="00000000" w:rsidRDefault="00AF3814">
      <w:pPr>
        <w:jc w:val="both"/>
        <w:divId w:val="1526210482"/>
        <w:rPr>
          <w:rFonts w:eastAsia="Times New Roman"/>
        </w:rPr>
      </w:pPr>
      <w:r>
        <w:rPr>
          <w:rFonts w:eastAsia="Times New Roman"/>
          <w:b/>
          <w:bCs/>
          <w:color w:val="000000"/>
          <w:sz w:val="20"/>
          <w:szCs w:val="20"/>
        </w:rPr>
        <w:t>Securitized debt obligations:</w:t>
      </w:r>
      <w:r>
        <w:rPr>
          <w:rFonts w:eastAsia="Times New Roman"/>
          <w:color w:val="000000"/>
          <w:sz w:val="20"/>
          <w:szCs w:val="20"/>
        </w:rPr>
        <w:t xml:space="preserve"> A type of asset-backe</w:t>
      </w:r>
      <w:r>
        <w:rPr>
          <w:rFonts w:eastAsia="Times New Roman"/>
          <w:color w:val="000000"/>
          <w:sz w:val="20"/>
          <w:szCs w:val="20"/>
        </w:rPr>
        <w:t>d security and structured credit product constructed from a portfolio of fixed-income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97214747"/>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397214747"/>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397214747"/>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88" style="width:0;height:1.5pt" o:hralign="center" o:hrstd="t" o:hr="t" fillcolor="#a0a0a0" stroked="f"/>
        </w:pict>
      </w:r>
    </w:p>
    <w:p w:rsidR="00000000" w:rsidRDefault="00AF3814">
      <w:pPr>
        <w:ind w:hanging="360"/>
        <w:jc w:val="both"/>
        <w:divId w:val="1979258502"/>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493499340"/>
        <w:rPr>
          <w:rFonts w:eastAsia="Times New Roman"/>
        </w:rPr>
      </w:pPr>
      <w:r>
        <w:rPr>
          <w:rFonts w:eastAsia="Times New Roman"/>
          <w:b/>
          <w:bCs/>
          <w:color w:val="000000"/>
          <w:sz w:val="20"/>
          <w:szCs w:val="20"/>
        </w:rPr>
        <w:t xml:space="preserve">Stress capital buffer: </w:t>
      </w:r>
      <w:r>
        <w:rPr>
          <w:rFonts w:eastAsia="Times New Roman"/>
          <w:color w:val="000000"/>
          <w:sz w:val="20"/>
          <w:szCs w:val="20"/>
        </w:rPr>
        <w:t>A component of our new standardized approach capital conservation buffer, which will be recalibrated annually based on t</w:t>
      </w:r>
      <w:r>
        <w:rPr>
          <w:rFonts w:eastAsia="Times New Roman"/>
          <w:color w:val="000000"/>
          <w:sz w:val="20"/>
          <w:szCs w:val="20"/>
        </w:rPr>
        <w:t xml:space="preserve">he results of our supervisory stress tests. </w:t>
      </w:r>
    </w:p>
    <w:p w:rsidR="00000000" w:rsidRDefault="00AF3814">
      <w:pPr>
        <w:jc w:val="both"/>
        <w:divId w:val="574241523"/>
        <w:rPr>
          <w:rFonts w:eastAsia="Times New Roman"/>
        </w:rPr>
      </w:pPr>
      <w:r>
        <w:rPr>
          <w:rFonts w:eastAsia="Times New Roman"/>
          <w:b/>
          <w:bCs/>
          <w:color w:val="000000"/>
          <w:sz w:val="20"/>
          <w:szCs w:val="20"/>
        </w:rPr>
        <w:t xml:space="preserve">Subprime: </w:t>
      </w:r>
      <w:r>
        <w:rPr>
          <w:rFonts w:eastAsia="Times New Roman"/>
          <w:color w:val="000000"/>
          <w:sz w:val="20"/>
          <w:szCs w:val="20"/>
        </w:rPr>
        <w:t>For purposes of lending in our Credit Card business, we generally consider FICO scores of 660 or below, or other equivalent risk scores, to be subprime. For purposes of auto lending in our Consumer Ban</w:t>
      </w:r>
      <w:r>
        <w:rPr>
          <w:rFonts w:eastAsia="Times New Roman"/>
          <w:color w:val="000000"/>
          <w:sz w:val="20"/>
          <w:szCs w:val="20"/>
        </w:rPr>
        <w:t>king business, we generally consider FICO scores of 620 or below to be subprime.</w:t>
      </w:r>
    </w:p>
    <w:p w:rsidR="00000000" w:rsidRDefault="00AF3814">
      <w:pPr>
        <w:jc w:val="both"/>
        <w:divId w:val="211353602"/>
        <w:rPr>
          <w:rFonts w:eastAsia="Times New Roman"/>
        </w:rPr>
      </w:pPr>
      <w:r>
        <w:rPr>
          <w:rFonts w:eastAsia="Times New Roman"/>
          <w:b/>
          <w:bCs/>
          <w:color w:val="000000"/>
          <w:sz w:val="20"/>
          <w:szCs w:val="20"/>
        </w:rPr>
        <w:t xml:space="preserve">Tailoring Rules: </w:t>
      </w:r>
      <w:r>
        <w:rPr>
          <w:rFonts w:eastAsia="Times New Roman"/>
          <w:color w:val="000000"/>
          <w:sz w:val="20"/>
          <w:szCs w:val="20"/>
        </w:rPr>
        <w:t>In October 2019, the Federal Banking Agencies released final rules that provide for tailored application of certain capital, liquidity and stress-testing requ</w:t>
      </w:r>
      <w:r>
        <w:rPr>
          <w:rFonts w:eastAsia="Times New Roman"/>
          <w:color w:val="000000"/>
          <w:sz w:val="20"/>
          <w:szCs w:val="20"/>
        </w:rPr>
        <w:t>irements across different categories of banking institutions. As a bank holding company with total consolidated assets of at least $250 billion that does not exceed any of the applicable risk-based thresholds, we are a Category III institution under the Ta</w:t>
      </w:r>
      <w:r>
        <w:rPr>
          <w:rFonts w:eastAsia="Times New Roman"/>
          <w:color w:val="000000"/>
          <w:sz w:val="20"/>
          <w:szCs w:val="20"/>
        </w:rPr>
        <w:t>iloring Rules.</w:t>
      </w:r>
    </w:p>
    <w:p w:rsidR="00000000" w:rsidRDefault="00AF3814">
      <w:pPr>
        <w:jc w:val="both"/>
        <w:divId w:val="1380935925"/>
        <w:rPr>
          <w:rFonts w:eastAsia="Times New Roman"/>
        </w:rPr>
      </w:pPr>
      <w:r>
        <w:rPr>
          <w:rFonts w:eastAsia="Times New Roman"/>
          <w:b/>
          <w:bCs/>
          <w:color w:val="000000"/>
          <w:sz w:val="20"/>
          <w:szCs w:val="20"/>
        </w:rPr>
        <w:t>Tangible common equity:</w:t>
      </w:r>
      <w:r>
        <w:rPr>
          <w:rFonts w:eastAsia="Times New Roman"/>
          <w:color w:val="000000"/>
          <w:sz w:val="20"/>
          <w:szCs w:val="20"/>
        </w:rPr>
        <w:t xml:space="preserve"> </w:t>
      </w:r>
      <w:r>
        <w:rPr>
          <w:rFonts w:eastAsia="Times New Roman"/>
          <w:color w:val="000000"/>
          <w:sz w:val="20"/>
          <w:szCs w:val="20"/>
        </w:rPr>
        <w:t>A non-GAAP financial measure. Common equity less goodwill and intangible assets adjusted for deferred tax liabilities associated with non-tax deductible intangible assets and tax deductible goodwill.</w:t>
      </w:r>
    </w:p>
    <w:p w:rsidR="00000000" w:rsidRDefault="00AF3814">
      <w:pPr>
        <w:jc w:val="both"/>
        <w:divId w:val="533153537"/>
        <w:rPr>
          <w:rFonts w:eastAsia="Times New Roman"/>
        </w:rPr>
      </w:pPr>
      <w:r>
        <w:rPr>
          <w:rFonts w:eastAsia="Times New Roman"/>
          <w:b/>
          <w:bCs/>
          <w:color w:val="000000"/>
          <w:sz w:val="20"/>
          <w:szCs w:val="20"/>
        </w:rPr>
        <w:t xml:space="preserve">Tax Act: </w:t>
      </w:r>
      <w:r>
        <w:rPr>
          <w:rFonts w:eastAsia="Times New Roman"/>
          <w:color w:val="000000"/>
          <w:sz w:val="20"/>
          <w:szCs w:val="20"/>
        </w:rPr>
        <w:t xml:space="preserve">The Act to provide for reconciliation pursuant </w:t>
      </w:r>
      <w:r>
        <w:rPr>
          <w:rFonts w:eastAsia="Times New Roman"/>
          <w:color w:val="000000"/>
          <w:sz w:val="20"/>
          <w:szCs w:val="20"/>
        </w:rPr>
        <w:t>to titles II and V of the concurrent resolution on the budget for fiscal year 2018 enacted on December 22, 2017.</w:t>
      </w:r>
    </w:p>
    <w:p w:rsidR="00000000" w:rsidRDefault="00AF3814">
      <w:pPr>
        <w:jc w:val="both"/>
        <w:divId w:val="295264514"/>
        <w:rPr>
          <w:rFonts w:eastAsia="Times New Roman"/>
        </w:rPr>
      </w:pPr>
      <w:r>
        <w:rPr>
          <w:rFonts w:eastAsia="Times New Roman"/>
          <w:b/>
          <w:bCs/>
          <w:color w:val="000000"/>
          <w:sz w:val="20"/>
          <w:szCs w:val="20"/>
        </w:rPr>
        <w:t>Troubled debt restructuring (“TDR”):</w:t>
      </w:r>
      <w:r>
        <w:rPr>
          <w:rFonts w:eastAsia="Times New Roman"/>
          <w:color w:val="000000"/>
          <w:sz w:val="20"/>
          <w:szCs w:val="20"/>
        </w:rPr>
        <w:t xml:space="preserve"> A TDR is deemed to occur when the contractual terms of a loan agreement are modified by granting a concess</w:t>
      </w:r>
      <w:r>
        <w:rPr>
          <w:rFonts w:eastAsia="Times New Roman"/>
          <w:color w:val="000000"/>
          <w:sz w:val="20"/>
          <w:szCs w:val="20"/>
        </w:rPr>
        <w:t>ion to a borrower that is experiencing financial difficulty.</w:t>
      </w:r>
    </w:p>
    <w:p w:rsidR="00000000" w:rsidRDefault="00AF3814">
      <w:pPr>
        <w:jc w:val="both"/>
        <w:divId w:val="707490277"/>
        <w:rPr>
          <w:rFonts w:eastAsia="Times New Roman"/>
        </w:rPr>
      </w:pPr>
      <w:r>
        <w:rPr>
          <w:rFonts w:eastAsia="Times New Roman"/>
          <w:b/>
          <w:bCs/>
          <w:color w:val="000000"/>
          <w:sz w:val="20"/>
          <w:szCs w:val="20"/>
        </w:rPr>
        <w:t>Unfunded commitments:</w:t>
      </w:r>
      <w:r>
        <w:rPr>
          <w:rFonts w:eastAsia="Times New Roman"/>
          <w:color w:val="000000"/>
          <w:sz w:val="20"/>
          <w:szCs w:val="20"/>
        </w:rPr>
        <w:t xml:space="preserve"> Legally binding agreements to provide a defined level of financing until a specified future date.</w:t>
      </w:r>
    </w:p>
    <w:p w:rsidR="00000000" w:rsidRDefault="00AF3814">
      <w:pPr>
        <w:jc w:val="both"/>
        <w:divId w:val="388308231"/>
        <w:rPr>
          <w:rFonts w:eastAsia="Times New Roman"/>
        </w:rPr>
      </w:pPr>
      <w:r>
        <w:rPr>
          <w:rFonts w:eastAsia="Times New Roman"/>
          <w:b/>
          <w:bCs/>
          <w:color w:val="000000"/>
          <w:sz w:val="20"/>
          <w:szCs w:val="20"/>
        </w:rPr>
        <w:t xml:space="preserve">U.K. PPI Reserve: </w:t>
      </w:r>
      <w:r>
        <w:rPr>
          <w:rFonts w:eastAsia="Times New Roman"/>
          <w:color w:val="000000"/>
          <w:sz w:val="20"/>
          <w:szCs w:val="20"/>
        </w:rPr>
        <w:t>U.K. payment protection insurance customer refund reserve</w:t>
      </w:r>
      <w:r>
        <w:rPr>
          <w:rFonts w:eastAsia="Times New Roman"/>
          <w:color w:val="000000"/>
          <w:sz w:val="20"/>
          <w:szCs w:val="20"/>
        </w:rPr>
        <w:t>.</w:t>
      </w:r>
    </w:p>
    <w:p w:rsidR="00000000" w:rsidRDefault="00AF3814">
      <w:pPr>
        <w:jc w:val="both"/>
        <w:divId w:val="335770379"/>
        <w:rPr>
          <w:rFonts w:eastAsia="Times New Roman"/>
        </w:rPr>
      </w:pPr>
      <w:r>
        <w:rPr>
          <w:rFonts w:eastAsia="Times New Roman"/>
          <w:b/>
          <w:bCs/>
          <w:color w:val="000000"/>
          <w:sz w:val="20"/>
          <w:szCs w:val="20"/>
        </w:rPr>
        <w:t>U.S. GAAP:</w:t>
      </w:r>
      <w:r>
        <w:rPr>
          <w:rFonts w:eastAsia="Times New Roman"/>
          <w:color w:val="000000"/>
          <w:sz w:val="20"/>
          <w:szCs w:val="20"/>
        </w:rPr>
        <w:t xml:space="preserve"> Accounting principles generally accepted in the United States of America. Accounting rules and conventions defining acceptable practices in preparing financial statements in the U.S.</w:t>
      </w:r>
    </w:p>
    <w:p w:rsidR="00000000" w:rsidRDefault="00AF3814">
      <w:pPr>
        <w:jc w:val="both"/>
        <w:divId w:val="370106156"/>
        <w:rPr>
          <w:rFonts w:eastAsia="Times New Roman"/>
        </w:rPr>
      </w:pPr>
      <w:r>
        <w:rPr>
          <w:rFonts w:eastAsia="Times New Roman"/>
          <w:b/>
          <w:bCs/>
          <w:color w:val="000000"/>
          <w:sz w:val="20"/>
          <w:szCs w:val="20"/>
        </w:rPr>
        <w:t>Variable interest entity (“VIE”):</w:t>
      </w:r>
      <w:r>
        <w:rPr>
          <w:rFonts w:eastAsia="Times New Roman"/>
          <w:color w:val="000000"/>
          <w:sz w:val="20"/>
          <w:szCs w:val="20"/>
        </w:rPr>
        <w:t xml:space="preserve"> An entity that (i) lacks e</w:t>
      </w:r>
      <w:r>
        <w:rPr>
          <w:rFonts w:eastAsia="Times New Roman"/>
          <w:color w:val="000000"/>
          <w:sz w:val="20"/>
          <w:szCs w:val="20"/>
        </w:rPr>
        <w:t>nough equity investment at risk to permit the entity to finance its activities without additional financial support from other parties; (ii) has equity owners that lack the right to make significant decisions affecting the entity’s operations; and/or (iii)</w:t>
      </w:r>
      <w:r>
        <w:rPr>
          <w:rFonts w:eastAsia="Times New Roman"/>
          <w:color w:val="000000"/>
          <w:sz w:val="20"/>
          <w:szCs w:val="20"/>
        </w:rPr>
        <w:t> has equity owners that do not have an obligation to absorb or the right to receive the entity’s losses or return.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34359517"/>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734359517"/>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734359517"/>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89" style="width:0;height:1.5pt" o:hralign="center" o:hrstd="t" o:hr="t" fillcolor="#a0a0a0" stroked="f"/>
        </w:pict>
      </w:r>
    </w:p>
    <w:p w:rsidR="00000000" w:rsidRDefault="00AF3814">
      <w:pPr>
        <w:ind w:hanging="360"/>
        <w:jc w:val="both"/>
        <w:divId w:val="1569263768"/>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03415336"/>
        </w:trPr>
        <w:tc>
          <w:tcPr>
            <w:tcW w:w="50" w:type="pct"/>
            <w:vAlign w:val="center"/>
            <w:hideMark/>
          </w:tcPr>
          <w:p w:rsidR="00000000" w:rsidRDefault="00AF3814">
            <w:pPr>
              <w:ind w:hanging="360"/>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0341533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divId w:val="2007786510"/>
              <w:rPr>
                <w:rFonts w:eastAsia="Times New Roman"/>
              </w:rPr>
            </w:pPr>
            <w:r>
              <w:rPr>
                <w:rFonts w:eastAsia="Times New Roman"/>
                <w:b/>
                <w:bCs/>
                <w:i/>
                <w:iCs/>
                <w:color w:val="000000"/>
                <w:sz w:val="20"/>
                <w:szCs w:val="20"/>
              </w:rPr>
              <w:t>Acronyms</w:t>
            </w:r>
          </w:p>
        </w:tc>
      </w:tr>
    </w:tbl>
    <w:p w:rsidR="00000000" w:rsidRDefault="00AF3814">
      <w:pPr>
        <w:jc w:val="both"/>
        <w:divId w:val="962425319"/>
        <w:rPr>
          <w:rFonts w:eastAsia="Times New Roman"/>
        </w:rPr>
      </w:pPr>
      <w:r>
        <w:rPr>
          <w:rFonts w:eastAsia="Times New Roman"/>
          <w:b/>
          <w:bCs/>
          <w:color w:val="000000"/>
          <w:sz w:val="20"/>
          <w:szCs w:val="20"/>
        </w:rPr>
        <w:t xml:space="preserve">AML: </w:t>
      </w:r>
      <w:r>
        <w:rPr>
          <w:rFonts w:eastAsia="Times New Roman"/>
          <w:color w:val="000000"/>
          <w:sz w:val="20"/>
          <w:szCs w:val="20"/>
        </w:rPr>
        <w:t>Anti-money laundering</w:t>
      </w:r>
    </w:p>
    <w:p w:rsidR="00000000" w:rsidRDefault="00AF3814">
      <w:pPr>
        <w:jc w:val="both"/>
        <w:divId w:val="1243560218"/>
        <w:rPr>
          <w:rFonts w:eastAsia="Times New Roman"/>
        </w:rPr>
      </w:pPr>
      <w:r>
        <w:rPr>
          <w:rFonts w:eastAsia="Times New Roman"/>
          <w:b/>
          <w:bCs/>
          <w:color w:val="000000"/>
          <w:sz w:val="20"/>
          <w:szCs w:val="20"/>
        </w:rPr>
        <w:t xml:space="preserve">ABS: </w:t>
      </w:r>
      <w:r>
        <w:rPr>
          <w:rFonts w:eastAsia="Times New Roman"/>
          <w:color w:val="000000"/>
          <w:sz w:val="20"/>
          <w:szCs w:val="20"/>
        </w:rPr>
        <w:t>Asset-backed securities</w:t>
      </w:r>
    </w:p>
    <w:p w:rsidR="00000000" w:rsidRDefault="00AF3814">
      <w:pPr>
        <w:jc w:val="both"/>
        <w:divId w:val="723482421"/>
        <w:rPr>
          <w:rFonts w:eastAsia="Times New Roman"/>
        </w:rPr>
      </w:pPr>
      <w:r>
        <w:rPr>
          <w:rFonts w:eastAsia="Times New Roman"/>
          <w:b/>
          <w:bCs/>
          <w:color w:val="000000"/>
          <w:sz w:val="20"/>
          <w:szCs w:val="20"/>
        </w:rPr>
        <w:t>AOCI:</w:t>
      </w:r>
      <w:r>
        <w:rPr>
          <w:rFonts w:eastAsia="Times New Roman"/>
          <w:color w:val="000000"/>
          <w:sz w:val="20"/>
          <w:szCs w:val="20"/>
        </w:rPr>
        <w:t xml:space="preserve"> </w:t>
      </w:r>
      <w:r>
        <w:rPr>
          <w:rFonts w:eastAsia="Times New Roman"/>
          <w:color w:val="000000"/>
          <w:sz w:val="20"/>
          <w:szCs w:val="20"/>
        </w:rPr>
        <w:t>Accumulated other comprehensive income</w:t>
      </w:r>
    </w:p>
    <w:p w:rsidR="00000000" w:rsidRDefault="00AF3814">
      <w:pPr>
        <w:jc w:val="both"/>
        <w:divId w:val="1457791125"/>
        <w:rPr>
          <w:rFonts w:eastAsia="Times New Roman"/>
        </w:rPr>
      </w:pPr>
      <w:r>
        <w:rPr>
          <w:rFonts w:eastAsia="Times New Roman"/>
          <w:b/>
          <w:bCs/>
          <w:color w:val="000000"/>
          <w:sz w:val="20"/>
          <w:szCs w:val="20"/>
        </w:rPr>
        <w:t xml:space="preserve">ARRC: </w:t>
      </w:r>
      <w:r>
        <w:rPr>
          <w:rFonts w:eastAsia="Times New Roman"/>
          <w:color w:val="000000"/>
          <w:sz w:val="20"/>
          <w:szCs w:val="20"/>
        </w:rPr>
        <w:t>Alternative Reference Rates Committee</w:t>
      </w:r>
    </w:p>
    <w:p w:rsidR="00000000" w:rsidRDefault="00AF3814">
      <w:pPr>
        <w:jc w:val="both"/>
        <w:divId w:val="238712555"/>
        <w:rPr>
          <w:rFonts w:eastAsia="Times New Roman"/>
        </w:rPr>
      </w:pPr>
      <w:r>
        <w:rPr>
          <w:rFonts w:eastAsia="Times New Roman"/>
          <w:b/>
          <w:bCs/>
          <w:color w:val="000000"/>
          <w:sz w:val="20"/>
          <w:szCs w:val="20"/>
        </w:rPr>
        <w:t>ASU:</w:t>
      </w:r>
      <w:r>
        <w:rPr>
          <w:rFonts w:eastAsia="Times New Roman"/>
          <w:color w:val="000000"/>
          <w:sz w:val="20"/>
          <w:szCs w:val="20"/>
        </w:rPr>
        <w:t xml:space="preserve"> Accounting Standards Update</w:t>
      </w:r>
    </w:p>
    <w:p w:rsidR="00000000" w:rsidRDefault="00AF3814">
      <w:pPr>
        <w:jc w:val="both"/>
        <w:divId w:val="777022263"/>
        <w:rPr>
          <w:rFonts w:eastAsia="Times New Roman"/>
        </w:rPr>
      </w:pPr>
      <w:r>
        <w:rPr>
          <w:rFonts w:eastAsia="Times New Roman"/>
          <w:b/>
          <w:bCs/>
          <w:color w:val="000000"/>
          <w:sz w:val="20"/>
          <w:szCs w:val="20"/>
        </w:rPr>
        <w:t>ASC:</w:t>
      </w:r>
      <w:r>
        <w:rPr>
          <w:rFonts w:eastAsia="Times New Roman"/>
          <w:color w:val="000000"/>
          <w:sz w:val="20"/>
          <w:szCs w:val="20"/>
        </w:rPr>
        <w:t xml:space="preserve"> Accounting Standards Codification</w:t>
      </w:r>
    </w:p>
    <w:p w:rsidR="00000000" w:rsidRDefault="00AF3814">
      <w:pPr>
        <w:jc w:val="both"/>
        <w:divId w:val="1079055497"/>
        <w:rPr>
          <w:rFonts w:eastAsia="Times New Roman"/>
        </w:rPr>
      </w:pPr>
      <w:r>
        <w:rPr>
          <w:rFonts w:eastAsia="Times New Roman"/>
          <w:b/>
          <w:bCs/>
          <w:color w:val="000000"/>
          <w:sz w:val="20"/>
          <w:szCs w:val="20"/>
        </w:rPr>
        <w:t>ATM:</w:t>
      </w:r>
      <w:r>
        <w:rPr>
          <w:rFonts w:eastAsia="Times New Roman"/>
          <w:color w:val="000000"/>
          <w:sz w:val="20"/>
          <w:szCs w:val="20"/>
        </w:rPr>
        <w:t xml:space="preserve"> Automated teller machine</w:t>
      </w:r>
    </w:p>
    <w:p w:rsidR="00000000" w:rsidRDefault="00AF3814">
      <w:pPr>
        <w:jc w:val="both"/>
        <w:divId w:val="1345285426"/>
        <w:rPr>
          <w:rFonts w:eastAsia="Times New Roman"/>
        </w:rPr>
      </w:pPr>
      <w:r>
        <w:rPr>
          <w:rFonts w:eastAsia="Times New Roman"/>
          <w:b/>
          <w:bCs/>
          <w:color w:val="000000"/>
          <w:sz w:val="20"/>
          <w:szCs w:val="20"/>
        </w:rPr>
        <w:t>BHC:</w:t>
      </w:r>
      <w:r>
        <w:rPr>
          <w:rFonts w:eastAsia="Times New Roman"/>
          <w:color w:val="000000"/>
          <w:sz w:val="20"/>
          <w:szCs w:val="20"/>
        </w:rPr>
        <w:t xml:space="preserve"> Bank holding company</w:t>
      </w:r>
    </w:p>
    <w:p w:rsidR="00000000" w:rsidRDefault="00AF3814">
      <w:pPr>
        <w:jc w:val="both"/>
        <w:divId w:val="1101801516"/>
        <w:rPr>
          <w:rFonts w:eastAsia="Times New Roman"/>
        </w:rPr>
      </w:pPr>
      <w:r>
        <w:rPr>
          <w:rFonts w:eastAsia="Times New Roman"/>
          <w:b/>
          <w:bCs/>
          <w:color w:val="000000"/>
          <w:sz w:val="20"/>
          <w:szCs w:val="20"/>
        </w:rPr>
        <w:t>bps:</w:t>
      </w:r>
      <w:r>
        <w:rPr>
          <w:rFonts w:eastAsia="Times New Roman"/>
          <w:color w:val="000000"/>
          <w:sz w:val="20"/>
          <w:szCs w:val="20"/>
        </w:rPr>
        <w:t xml:space="preserve"> Basis points</w:t>
      </w:r>
    </w:p>
    <w:p w:rsidR="00000000" w:rsidRDefault="00AF3814">
      <w:pPr>
        <w:jc w:val="both"/>
        <w:divId w:val="894656214"/>
        <w:rPr>
          <w:rFonts w:eastAsia="Times New Roman"/>
        </w:rPr>
      </w:pPr>
      <w:r>
        <w:rPr>
          <w:rFonts w:eastAsia="Times New Roman"/>
          <w:b/>
          <w:bCs/>
          <w:color w:val="000000"/>
          <w:sz w:val="20"/>
          <w:szCs w:val="20"/>
        </w:rPr>
        <w:t xml:space="preserve">CAD: </w:t>
      </w:r>
      <w:r>
        <w:rPr>
          <w:rFonts w:eastAsia="Times New Roman"/>
          <w:color w:val="000000"/>
          <w:sz w:val="20"/>
          <w:szCs w:val="20"/>
        </w:rPr>
        <w:t>Canadian dollar</w:t>
      </w:r>
    </w:p>
    <w:p w:rsidR="00000000" w:rsidRDefault="00AF3814">
      <w:pPr>
        <w:jc w:val="both"/>
        <w:divId w:val="1263369974"/>
        <w:rPr>
          <w:rFonts w:eastAsia="Times New Roman"/>
        </w:rPr>
      </w:pPr>
      <w:r>
        <w:rPr>
          <w:rFonts w:eastAsia="Times New Roman"/>
          <w:b/>
          <w:bCs/>
          <w:color w:val="000000"/>
          <w:sz w:val="20"/>
          <w:szCs w:val="20"/>
        </w:rPr>
        <w:t xml:space="preserve">CCAR: </w:t>
      </w:r>
      <w:r>
        <w:rPr>
          <w:rFonts w:eastAsia="Times New Roman"/>
          <w:color w:val="000000"/>
          <w:sz w:val="20"/>
          <w:szCs w:val="20"/>
        </w:rPr>
        <w:t>Comprehensive Capital Analysis and Review</w:t>
      </w:r>
    </w:p>
    <w:p w:rsidR="00000000" w:rsidRDefault="00AF3814">
      <w:pPr>
        <w:jc w:val="both"/>
        <w:divId w:val="1198353244"/>
        <w:rPr>
          <w:rFonts w:eastAsia="Times New Roman"/>
        </w:rPr>
      </w:pPr>
      <w:r>
        <w:rPr>
          <w:rFonts w:eastAsia="Times New Roman"/>
          <w:b/>
          <w:bCs/>
          <w:color w:val="000000"/>
          <w:sz w:val="20"/>
          <w:szCs w:val="20"/>
        </w:rPr>
        <w:t>CCP:</w:t>
      </w:r>
      <w:r>
        <w:rPr>
          <w:rFonts w:eastAsia="Times New Roman"/>
          <w:color w:val="000000"/>
          <w:sz w:val="20"/>
          <w:szCs w:val="20"/>
        </w:rPr>
        <w:t xml:space="preserve"> Central Counterparty Clearinghouse, or Central Clearinghouse</w:t>
      </w:r>
    </w:p>
    <w:p w:rsidR="00000000" w:rsidRDefault="00AF3814">
      <w:pPr>
        <w:jc w:val="both"/>
        <w:divId w:val="1419406820"/>
        <w:rPr>
          <w:rFonts w:eastAsia="Times New Roman"/>
        </w:rPr>
      </w:pPr>
      <w:r>
        <w:rPr>
          <w:rFonts w:eastAsia="Times New Roman"/>
          <w:b/>
          <w:bCs/>
          <w:color w:val="000000"/>
          <w:sz w:val="20"/>
          <w:szCs w:val="20"/>
        </w:rPr>
        <w:t>CDE:</w:t>
      </w:r>
      <w:r>
        <w:rPr>
          <w:rFonts w:eastAsia="Times New Roman"/>
          <w:color w:val="000000"/>
          <w:sz w:val="20"/>
          <w:szCs w:val="20"/>
        </w:rPr>
        <w:t xml:space="preserve"> Community development entities </w:t>
      </w:r>
    </w:p>
    <w:p w:rsidR="00000000" w:rsidRDefault="00AF3814">
      <w:pPr>
        <w:jc w:val="both"/>
        <w:divId w:val="1655642423"/>
        <w:rPr>
          <w:rFonts w:eastAsia="Times New Roman"/>
        </w:rPr>
      </w:pPr>
      <w:r>
        <w:rPr>
          <w:rFonts w:eastAsia="Times New Roman"/>
          <w:b/>
          <w:bCs/>
          <w:color w:val="000000"/>
          <w:sz w:val="20"/>
          <w:szCs w:val="20"/>
        </w:rPr>
        <w:t xml:space="preserve">CECL: </w:t>
      </w:r>
      <w:r>
        <w:rPr>
          <w:rFonts w:eastAsia="Times New Roman"/>
          <w:color w:val="000000"/>
          <w:sz w:val="20"/>
          <w:szCs w:val="20"/>
        </w:rPr>
        <w:t>Current expected credit loss</w:t>
      </w:r>
    </w:p>
    <w:p w:rsidR="00000000" w:rsidRDefault="00AF3814">
      <w:pPr>
        <w:jc w:val="both"/>
        <w:divId w:val="1654723295"/>
        <w:rPr>
          <w:rFonts w:eastAsia="Times New Roman"/>
        </w:rPr>
      </w:pPr>
      <w:r>
        <w:rPr>
          <w:rFonts w:eastAsia="Times New Roman"/>
          <w:b/>
          <w:bCs/>
          <w:color w:val="000000"/>
          <w:sz w:val="20"/>
          <w:szCs w:val="20"/>
        </w:rPr>
        <w:t xml:space="preserve">CMBS: </w:t>
      </w:r>
      <w:r>
        <w:rPr>
          <w:rFonts w:eastAsia="Times New Roman"/>
          <w:color w:val="000000"/>
          <w:sz w:val="20"/>
          <w:szCs w:val="20"/>
        </w:rPr>
        <w:t>Commercial mortgage-backed securities</w:t>
      </w:r>
    </w:p>
    <w:p w:rsidR="00000000" w:rsidRDefault="00AF3814">
      <w:pPr>
        <w:jc w:val="both"/>
        <w:divId w:val="49958829"/>
        <w:rPr>
          <w:rFonts w:eastAsia="Times New Roman"/>
        </w:rPr>
      </w:pPr>
      <w:r>
        <w:rPr>
          <w:rFonts w:eastAsia="Times New Roman"/>
          <w:b/>
          <w:bCs/>
          <w:color w:val="000000"/>
          <w:sz w:val="20"/>
          <w:szCs w:val="20"/>
        </w:rPr>
        <w:t>CME:</w:t>
      </w:r>
      <w:r>
        <w:rPr>
          <w:rFonts w:eastAsia="Times New Roman"/>
          <w:color w:val="000000"/>
          <w:sz w:val="20"/>
          <w:szCs w:val="20"/>
        </w:rPr>
        <w:t xml:space="preserve"> Chicago Mercantile Exchange</w:t>
      </w:r>
    </w:p>
    <w:p w:rsidR="00000000" w:rsidRDefault="00AF3814">
      <w:pPr>
        <w:jc w:val="both"/>
        <w:divId w:val="924385741"/>
        <w:rPr>
          <w:rFonts w:eastAsia="Times New Roman"/>
        </w:rPr>
      </w:pPr>
      <w:r>
        <w:rPr>
          <w:rFonts w:eastAsia="Times New Roman"/>
          <w:b/>
          <w:bCs/>
          <w:color w:val="000000"/>
          <w:sz w:val="20"/>
          <w:szCs w:val="20"/>
        </w:rPr>
        <w:t>COEP:</w:t>
      </w:r>
      <w:r>
        <w:rPr>
          <w:rFonts w:eastAsia="Times New Roman"/>
          <w:color w:val="000000"/>
          <w:sz w:val="20"/>
          <w:szCs w:val="20"/>
        </w:rPr>
        <w:t xml:space="preserve"> Capital One (Europe) plc</w:t>
      </w:r>
    </w:p>
    <w:p w:rsidR="00000000" w:rsidRDefault="00AF3814">
      <w:pPr>
        <w:jc w:val="both"/>
        <w:divId w:val="306672317"/>
        <w:rPr>
          <w:rFonts w:eastAsia="Times New Roman"/>
        </w:rPr>
      </w:pPr>
      <w:r>
        <w:rPr>
          <w:rFonts w:eastAsia="Times New Roman"/>
          <w:b/>
          <w:bCs/>
          <w:color w:val="000000"/>
          <w:sz w:val="20"/>
          <w:szCs w:val="20"/>
        </w:rPr>
        <w:t>COF:</w:t>
      </w:r>
      <w:r>
        <w:rPr>
          <w:rFonts w:eastAsia="Times New Roman"/>
          <w:color w:val="000000"/>
          <w:sz w:val="20"/>
          <w:szCs w:val="20"/>
        </w:rPr>
        <w:t xml:space="preserve"> Capital One Financial Corporation</w:t>
      </w:r>
    </w:p>
    <w:p w:rsidR="00000000" w:rsidRDefault="00AF3814">
      <w:pPr>
        <w:jc w:val="both"/>
        <w:divId w:val="1542128024"/>
        <w:rPr>
          <w:rFonts w:eastAsia="Times New Roman"/>
        </w:rPr>
      </w:pPr>
      <w:r>
        <w:rPr>
          <w:rFonts w:eastAsia="Times New Roman"/>
          <w:b/>
          <w:bCs/>
          <w:color w:val="000000"/>
          <w:sz w:val="20"/>
          <w:szCs w:val="20"/>
        </w:rPr>
        <w:t xml:space="preserve">CVA: </w:t>
      </w:r>
      <w:r>
        <w:rPr>
          <w:rFonts w:eastAsia="Times New Roman"/>
          <w:color w:val="000000"/>
          <w:sz w:val="20"/>
          <w:szCs w:val="20"/>
        </w:rPr>
        <w:t>Credit valuation adjustment</w:t>
      </w:r>
    </w:p>
    <w:p w:rsidR="00000000" w:rsidRDefault="00AF3814">
      <w:pPr>
        <w:jc w:val="both"/>
        <w:divId w:val="832061387"/>
        <w:rPr>
          <w:rFonts w:eastAsia="Times New Roman"/>
        </w:rPr>
      </w:pPr>
      <w:r>
        <w:rPr>
          <w:rFonts w:eastAsia="Times New Roman"/>
          <w:b/>
          <w:bCs/>
          <w:color w:val="000000"/>
          <w:sz w:val="20"/>
          <w:szCs w:val="20"/>
        </w:rPr>
        <w:t xml:space="preserve">DVA: </w:t>
      </w:r>
      <w:r>
        <w:rPr>
          <w:rFonts w:eastAsia="Times New Roman"/>
          <w:color w:val="000000"/>
          <w:sz w:val="20"/>
          <w:szCs w:val="20"/>
        </w:rPr>
        <w:t>Debit valuation adjustment</w:t>
      </w:r>
    </w:p>
    <w:p w:rsidR="00000000" w:rsidRDefault="00AF3814">
      <w:pPr>
        <w:jc w:val="both"/>
        <w:divId w:val="1584490507"/>
        <w:rPr>
          <w:rFonts w:eastAsia="Times New Roman"/>
        </w:rPr>
      </w:pPr>
      <w:r>
        <w:rPr>
          <w:rFonts w:eastAsia="Times New Roman"/>
          <w:b/>
          <w:bCs/>
          <w:color w:val="000000"/>
          <w:sz w:val="20"/>
          <w:szCs w:val="20"/>
        </w:rPr>
        <w:t>EUR:</w:t>
      </w:r>
      <w:r>
        <w:rPr>
          <w:rFonts w:eastAsia="Times New Roman"/>
          <w:color w:val="000000"/>
          <w:sz w:val="20"/>
          <w:szCs w:val="20"/>
        </w:rPr>
        <w:t xml:space="preserve"> Euro</w:t>
      </w:r>
    </w:p>
    <w:p w:rsidR="00000000" w:rsidRDefault="00AF3814">
      <w:pPr>
        <w:jc w:val="both"/>
        <w:divId w:val="635529390"/>
        <w:rPr>
          <w:rFonts w:eastAsia="Times New Roman"/>
        </w:rPr>
      </w:pPr>
      <w:r>
        <w:rPr>
          <w:rFonts w:eastAsia="Times New Roman"/>
          <w:b/>
          <w:bCs/>
          <w:color w:val="000000"/>
          <w:sz w:val="20"/>
          <w:szCs w:val="20"/>
        </w:rPr>
        <w:t xml:space="preserve">Fannie Mae: </w:t>
      </w:r>
      <w:r>
        <w:rPr>
          <w:rFonts w:eastAsia="Times New Roman"/>
          <w:color w:val="000000"/>
          <w:sz w:val="20"/>
          <w:szCs w:val="20"/>
        </w:rPr>
        <w:t>Federal National Mortgage Association</w:t>
      </w:r>
    </w:p>
    <w:p w:rsidR="00000000" w:rsidRDefault="00AF3814">
      <w:pPr>
        <w:jc w:val="both"/>
        <w:divId w:val="2068797642"/>
        <w:rPr>
          <w:rFonts w:eastAsia="Times New Roman"/>
        </w:rPr>
      </w:pPr>
      <w:r>
        <w:rPr>
          <w:rFonts w:eastAsia="Times New Roman"/>
          <w:b/>
          <w:bCs/>
          <w:color w:val="000000"/>
          <w:sz w:val="20"/>
          <w:szCs w:val="20"/>
        </w:rPr>
        <w:t>FASB:</w:t>
      </w:r>
      <w:r>
        <w:rPr>
          <w:rFonts w:eastAsia="Times New Roman"/>
          <w:color w:val="000000"/>
          <w:sz w:val="20"/>
          <w:szCs w:val="20"/>
        </w:rPr>
        <w:t xml:space="preserve"> </w:t>
      </w:r>
      <w:r>
        <w:rPr>
          <w:rFonts w:eastAsia="Times New Roman"/>
          <w:color w:val="000000"/>
          <w:sz w:val="20"/>
          <w:szCs w:val="20"/>
        </w:rPr>
        <w:t>Financial Accounting Standards Board</w:t>
      </w:r>
    </w:p>
    <w:p w:rsidR="00000000" w:rsidRDefault="00AF3814">
      <w:pPr>
        <w:jc w:val="both"/>
        <w:divId w:val="1873378678"/>
        <w:rPr>
          <w:rFonts w:eastAsia="Times New Roman"/>
        </w:rPr>
      </w:pPr>
      <w:r>
        <w:rPr>
          <w:rFonts w:eastAsia="Times New Roman"/>
          <w:b/>
          <w:bCs/>
          <w:color w:val="000000"/>
          <w:sz w:val="20"/>
          <w:szCs w:val="20"/>
        </w:rPr>
        <w:t xml:space="preserve">FCA: </w:t>
      </w:r>
      <w:r>
        <w:rPr>
          <w:rFonts w:eastAsia="Times New Roman"/>
          <w:color w:val="000000"/>
          <w:sz w:val="20"/>
          <w:szCs w:val="20"/>
        </w:rPr>
        <w:t>U.K. Financial Conduct Authority</w:t>
      </w:r>
    </w:p>
    <w:p w:rsidR="00000000" w:rsidRDefault="00AF3814">
      <w:pPr>
        <w:jc w:val="both"/>
        <w:divId w:val="947273854"/>
        <w:rPr>
          <w:rFonts w:eastAsia="Times New Roman"/>
        </w:rPr>
      </w:pPr>
      <w:r>
        <w:rPr>
          <w:rFonts w:eastAsia="Times New Roman"/>
          <w:b/>
          <w:bCs/>
          <w:color w:val="000000"/>
          <w:sz w:val="20"/>
          <w:szCs w:val="20"/>
        </w:rPr>
        <w:t>FCM:</w:t>
      </w:r>
      <w:r>
        <w:rPr>
          <w:rFonts w:eastAsia="Times New Roman"/>
          <w:color w:val="000000"/>
          <w:sz w:val="20"/>
          <w:szCs w:val="20"/>
        </w:rPr>
        <w:t xml:space="preserve"> Futures commission merchant</w:t>
      </w:r>
    </w:p>
    <w:p w:rsidR="00000000" w:rsidRDefault="00AF3814">
      <w:pPr>
        <w:jc w:val="both"/>
        <w:divId w:val="731005532"/>
        <w:rPr>
          <w:rFonts w:eastAsia="Times New Roman"/>
        </w:rPr>
      </w:pPr>
      <w:r>
        <w:rPr>
          <w:rFonts w:eastAsia="Times New Roman"/>
          <w:b/>
          <w:bCs/>
          <w:color w:val="000000"/>
          <w:sz w:val="20"/>
          <w:szCs w:val="20"/>
        </w:rPr>
        <w:t>FDIC:</w:t>
      </w:r>
      <w:r>
        <w:rPr>
          <w:rFonts w:eastAsia="Times New Roman"/>
          <w:color w:val="000000"/>
          <w:sz w:val="20"/>
          <w:szCs w:val="20"/>
        </w:rPr>
        <w:t xml:space="preserve"> Federal Deposit Insurance Corporation</w:t>
      </w:r>
    </w:p>
    <w:p w:rsidR="00000000" w:rsidRDefault="00AF3814">
      <w:pPr>
        <w:jc w:val="both"/>
        <w:divId w:val="1708723779"/>
        <w:rPr>
          <w:rFonts w:eastAsia="Times New Roman"/>
        </w:rPr>
      </w:pPr>
      <w:r>
        <w:rPr>
          <w:rFonts w:eastAsia="Times New Roman"/>
          <w:b/>
          <w:bCs/>
          <w:color w:val="000000"/>
          <w:sz w:val="20"/>
          <w:szCs w:val="20"/>
        </w:rPr>
        <w:t xml:space="preserve">FHLB: </w:t>
      </w:r>
      <w:r>
        <w:rPr>
          <w:rFonts w:eastAsia="Times New Roman"/>
          <w:color w:val="000000"/>
          <w:sz w:val="20"/>
          <w:szCs w:val="20"/>
        </w:rPr>
        <w:t>Federal Home Loan Banks</w:t>
      </w:r>
    </w:p>
    <w:p w:rsidR="00000000" w:rsidRDefault="00AF3814">
      <w:pPr>
        <w:jc w:val="both"/>
        <w:divId w:val="705056738"/>
        <w:rPr>
          <w:rFonts w:eastAsia="Times New Roman"/>
        </w:rPr>
      </w:pPr>
      <w:r>
        <w:rPr>
          <w:rFonts w:eastAsia="Times New Roman"/>
          <w:b/>
          <w:bCs/>
          <w:color w:val="000000"/>
          <w:sz w:val="20"/>
          <w:szCs w:val="20"/>
        </w:rPr>
        <w:t xml:space="preserve">Fitch: </w:t>
      </w:r>
      <w:r>
        <w:rPr>
          <w:rFonts w:eastAsia="Times New Roman"/>
          <w:color w:val="000000"/>
          <w:sz w:val="20"/>
          <w:szCs w:val="20"/>
        </w:rPr>
        <w:t>Fitch Ratings</w:t>
      </w:r>
    </w:p>
    <w:p w:rsidR="00000000" w:rsidRDefault="00AF3814">
      <w:pPr>
        <w:jc w:val="both"/>
        <w:divId w:val="704596063"/>
        <w:rPr>
          <w:rFonts w:eastAsia="Times New Roman"/>
        </w:rPr>
      </w:pPr>
      <w:r>
        <w:rPr>
          <w:rFonts w:eastAsia="Times New Roman"/>
          <w:b/>
          <w:bCs/>
          <w:color w:val="000000"/>
          <w:sz w:val="20"/>
          <w:szCs w:val="20"/>
        </w:rPr>
        <w:t xml:space="preserve">FOS: </w:t>
      </w:r>
      <w:r>
        <w:rPr>
          <w:rFonts w:eastAsia="Times New Roman"/>
          <w:color w:val="000000"/>
          <w:sz w:val="20"/>
          <w:szCs w:val="20"/>
        </w:rPr>
        <w:t>Financial Ombudsman Service</w:t>
      </w:r>
    </w:p>
    <w:p w:rsidR="00000000" w:rsidRDefault="00AF3814">
      <w:pPr>
        <w:jc w:val="both"/>
        <w:divId w:val="276908612"/>
        <w:rPr>
          <w:rFonts w:eastAsia="Times New Roman"/>
        </w:rPr>
      </w:pPr>
      <w:r>
        <w:rPr>
          <w:rFonts w:eastAsia="Times New Roman"/>
          <w:b/>
          <w:bCs/>
          <w:color w:val="000000"/>
          <w:sz w:val="20"/>
          <w:szCs w:val="20"/>
        </w:rPr>
        <w:t>Freddie Mac:</w:t>
      </w:r>
      <w:r>
        <w:rPr>
          <w:rFonts w:ascii="Arial" w:eastAsia="Times New Roman" w:hAnsi="Arial" w:cs="Arial"/>
          <w:color w:val="000000"/>
          <w:sz w:val="20"/>
          <w:szCs w:val="20"/>
        </w:rPr>
        <w:t xml:space="preserve"> </w:t>
      </w:r>
      <w:r>
        <w:rPr>
          <w:rFonts w:eastAsia="Times New Roman"/>
          <w:color w:val="000000"/>
          <w:sz w:val="20"/>
          <w:szCs w:val="20"/>
        </w:rPr>
        <w:t>Federal</w:t>
      </w:r>
      <w:r>
        <w:rPr>
          <w:rFonts w:eastAsia="Times New Roman"/>
          <w:color w:val="000000"/>
          <w:sz w:val="20"/>
          <w:szCs w:val="20"/>
        </w:rPr>
        <w:t xml:space="preserve"> Home Loan Mortgage Corporation</w:t>
      </w:r>
    </w:p>
    <w:p w:rsidR="00000000" w:rsidRDefault="00AF3814">
      <w:pPr>
        <w:jc w:val="both"/>
        <w:divId w:val="851534111"/>
        <w:rPr>
          <w:rFonts w:eastAsia="Times New Roman"/>
        </w:rPr>
      </w:pPr>
      <w:r>
        <w:rPr>
          <w:rFonts w:eastAsia="Times New Roman"/>
          <w:b/>
          <w:bCs/>
          <w:color w:val="000000"/>
          <w:sz w:val="20"/>
          <w:szCs w:val="20"/>
        </w:rPr>
        <w:t xml:space="preserve">GAAP: </w:t>
      </w:r>
      <w:r>
        <w:rPr>
          <w:rFonts w:eastAsia="Times New Roman"/>
          <w:color w:val="000000"/>
          <w:sz w:val="20"/>
          <w:szCs w:val="20"/>
        </w:rPr>
        <w:t>Generally accepted accounting principles in the U.S.</w:t>
      </w:r>
    </w:p>
    <w:p w:rsidR="00000000" w:rsidRDefault="00AF3814">
      <w:pPr>
        <w:jc w:val="both"/>
        <w:divId w:val="312805765"/>
        <w:rPr>
          <w:rFonts w:eastAsia="Times New Roman"/>
        </w:rPr>
      </w:pPr>
      <w:r>
        <w:rPr>
          <w:rFonts w:eastAsia="Times New Roman"/>
          <w:b/>
          <w:bCs/>
          <w:color w:val="000000"/>
          <w:sz w:val="20"/>
          <w:szCs w:val="20"/>
        </w:rPr>
        <w:t xml:space="preserve">GBP: </w:t>
      </w:r>
      <w:r>
        <w:rPr>
          <w:rFonts w:eastAsia="Times New Roman"/>
          <w:color w:val="000000"/>
          <w:sz w:val="20"/>
          <w:szCs w:val="20"/>
        </w:rPr>
        <w:t>Pound sterling</w:t>
      </w:r>
    </w:p>
    <w:p w:rsidR="00000000" w:rsidRDefault="00AF3814">
      <w:pPr>
        <w:jc w:val="both"/>
        <w:divId w:val="776867972"/>
        <w:rPr>
          <w:rFonts w:eastAsia="Times New Roman"/>
        </w:rPr>
      </w:pPr>
      <w:r>
        <w:rPr>
          <w:rFonts w:eastAsia="Times New Roman"/>
          <w:b/>
          <w:bCs/>
          <w:color w:val="000000"/>
          <w:sz w:val="20"/>
          <w:szCs w:val="20"/>
        </w:rPr>
        <w:t>Ginnie Mae:</w:t>
      </w:r>
      <w:r>
        <w:rPr>
          <w:rFonts w:ascii="Arial" w:eastAsia="Times New Roman" w:hAnsi="Arial" w:cs="Arial"/>
          <w:color w:val="000000"/>
          <w:sz w:val="20"/>
          <w:szCs w:val="20"/>
        </w:rPr>
        <w:t xml:space="preserve"> </w:t>
      </w:r>
      <w:r>
        <w:rPr>
          <w:rFonts w:eastAsia="Times New Roman"/>
          <w:color w:val="000000"/>
          <w:sz w:val="20"/>
          <w:szCs w:val="20"/>
        </w:rPr>
        <w:t>Government National Mortgage Association</w:t>
      </w:r>
    </w:p>
    <w:p w:rsidR="00000000" w:rsidRDefault="00AF3814">
      <w:pPr>
        <w:jc w:val="both"/>
        <w:divId w:val="712004729"/>
        <w:rPr>
          <w:rFonts w:eastAsia="Times New Roman"/>
        </w:rPr>
      </w:pPr>
      <w:r>
        <w:rPr>
          <w:rFonts w:eastAsia="Times New Roman"/>
          <w:b/>
          <w:bCs/>
          <w:color w:val="000000"/>
          <w:sz w:val="20"/>
          <w:szCs w:val="20"/>
        </w:rPr>
        <w:t>G-SIB:</w:t>
      </w:r>
      <w:r>
        <w:rPr>
          <w:rFonts w:ascii="Arial" w:eastAsia="Times New Roman" w:hAnsi="Arial" w:cs="Arial"/>
          <w:color w:val="000000"/>
          <w:sz w:val="20"/>
          <w:szCs w:val="20"/>
        </w:rPr>
        <w:t xml:space="preserve"> </w:t>
      </w:r>
      <w:r>
        <w:rPr>
          <w:rFonts w:eastAsia="Times New Roman"/>
          <w:color w:val="000000"/>
          <w:sz w:val="20"/>
          <w:szCs w:val="20"/>
        </w:rPr>
        <w:t>Global systemically important banks</w:t>
      </w:r>
    </w:p>
    <w:p w:rsidR="00000000" w:rsidRDefault="00AF3814">
      <w:pPr>
        <w:jc w:val="both"/>
        <w:divId w:val="1246959813"/>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Government-sponsored enterprise</w:t>
      </w:r>
    </w:p>
    <w:p w:rsidR="00000000" w:rsidRDefault="00AF3814">
      <w:pPr>
        <w:jc w:val="both"/>
        <w:divId w:val="1183590000"/>
        <w:rPr>
          <w:rFonts w:eastAsia="Times New Roman"/>
        </w:rPr>
      </w:pPr>
      <w:r>
        <w:rPr>
          <w:rFonts w:eastAsia="Times New Roman"/>
          <w:b/>
          <w:bCs/>
          <w:color w:val="000000"/>
          <w:sz w:val="20"/>
          <w:szCs w:val="20"/>
        </w:rPr>
        <w:t>IB</w:t>
      </w:r>
      <w:r>
        <w:rPr>
          <w:rFonts w:eastAsia="Times New Roman"/>
          <w:b/>
          <w:bCs/>
          <w:color w:val="000000"/>
          <w:sz w:val="20"/>
          <w:szCs w:val="20"/>
        </w:rPr>
        <w:t>A</w:t>
      </w:r>
      <w:r>
        <w:rPr>
          <w:rFonts w:eastAsia="Times New Roman"/>
          <w:color w:val="000000"/>
          <w:sz w:val="20"/>
          <w:szCs w:val="20"/>
        </w:rPr>
        <w:t>: ICE Benchmark Administration </w:t>
      </w:r>
    </w:p>
    <w:p w:rsidR="00000000" w:rsidRDefault="00AF3814">
      <w:pPr>
        <w:jc w:val="both"/>
        <w:divId w:val="602030085"/>
        <w:rPr>
          <w:rFonts w:eastAsia="Times New Roman"/>
        </w:rPr>
      </w:pPr>
      <w:r>
        <w:rPr>
          <w:rFonts w:eastAsia="Times New Roman"/>
          <w:b/>
          <w:bCs/>
          <w:color w:val="000000"/>
          <w:sz w:val="20"/>
          <w:szCs w:val="20"/>
        </w:rPr>
        <w:t>IBOR</w:t>
      </w:r>
      <w:r>
        <w:rPr>
          <w:rFonts w:eastAsia="Times New Roman"/>
          <w:color w:val="000000"/>
          <w:sz w:val="20"/>
          <w:szCs w:val="20"/>
        </w:rPr>
        <w:t>: Interbank Offered Rate</w:t>
      </w:r>
    </w:p>
    <w:p w:rsidR="00000000" w:rsidRDefault="00AF3814">
      <w:pPr>
        <w:jc w:val="both"/>
        <w:divId w:val="373120250"/>
        <w:rPr>
          <w:rFonts w:eastAsia="Times New Roman"/>
        </w:rPr>
      </w:pPr>
      <w:r>
        <w:rPr>
          <w:rFonts w:eastAsia="Times New Roman"/>
          <w:b/>
          <w:bCs/>
          <w:color w:val="000000"/>
          <w:sz w:val="20"/>
          <w:szCs w:val="20"/>
        </w:rPr>
        <w:t>IRM:</w:t>
      </w:r>
      <w:r>
        <w:rPr>
          <w:rFonts w:eastAsia="Times New Roman"/>
          <w:color w:val="000000"/>
          <w:sz w:val="20"/>
          <w:szCs w:val="20"/>
        </w:rPr>
        <w:t xml:space="preserve"> Independent Risk Management</w:t>
      </w:r>
    </w:p>
    <w:p w:rsidR="00000000" w:rsidRDefault="00AF3814">
      <w:pPr>
        <w:jc w:val="both"/>
        <w:divId w:val="37124864"/>
        <w:rPr>
          <w:rFonts w:eastAsia="Times New Roman"/>
        </w:rPr>
      </w:pPr>
      <w:r>
        <w:rPr>
          <w:rFonts w:eastAsia="Times New Roman"/>
          <w:b/>
          <w:bCs/>
          <w:color w:val="000000"/>
          <w:sz w:val="20"/>
          <w:szCs w:val="20"/>
        </w:rPr>
        <w:t>LCH:</w:t>
      </w:r>
      <w:r>
        <w:rPr>
          <w:rFonts w:eastAsia="Times New Roman"/>
          <w:color w:val="000000"/>
          <w:sz w:val="20"/>
          <w:szCs w:val="20"/>
        </w:rPr>
        <w:t xml:space="preserve"> LCH Group</w:t>
      </w:r>
    </w:p>
    <w:p w:rsidR="00000000" w:rsidRDefault="00AF3814">
      <w:pPr>
        <w:jc w:val="both"/>
        <w:divId w:val="1732845968"/>
        <w:rPr>
          <w:rFonts w:eastAsia="Times New Roman"/>
        </w:rPr>
      </w:pPr>
      <w:r>
        <w:rPr>
          <w:rFonts w:eastAsia="Times New Roman"/>
          <w:b/>
          <w:bCs/>
          <w:color w:val="000000"/>
          <w:sz w:val="20"/>
          <w:szCs w:val="20"/>
        </w:rPr>
        <w:t>LCR:</w:t>
      </w:r>
      <w:r>
        <w:rPr>
          <w:rFonts w:eastAsia="Times New Roman"/>
          <w:color w:val="000000"/>
          <w:sz w:val="20"/>
          <w:szCs w:val="20"/>
        </w:rPr>
        <w:t xml:space="preserve"> Liquidity coverage ratio</w:t>
      </w:r>
    </w:p>
    <w:p w:rsidR="00000000" w:rsidRDefault="00AF3814">
      <w:pPr>
        <w:jc w:val="both"/>
        <w:divId w:val="451365720"/>
        <w:rPr>
          <w:rFonts w:eastAsia="Times New Roman"/>
        </w:rPr>
      </w:pPr>
      <w:r>
        <w:rPr>
          <w:rFonts w:eastAsia="Times New Roman"/>
          <w:b/>
          <w:bCs/>
          <w:color w:val="000000"/>
          <w:sz w:val="20"/>
          <w:szCs w:val="20"/>
        </w:rPr>
        <w:t>LIBOR:</w:t>
      </w:r>
      <w:r>
        <w:rPr>
          <w:rFonts w:ascii="Arial" w:eastAsia="Times New Roman" w:hAnsi="Arial" w:cs="Arial"/>
          <w:color w:val="000000"/>
          <w:sz w:val="20"/>
          <w:szCs w:val="20"/>
        </w:rPr>
        <w:t xml:space="preserve"> </w:t>
      </w:r>
      <w:r>
        <w:rPr>
          <w:rFonts w:eastAsia="Times New Roman"/>
          <w:color w:val="000000"/>
          <w:sz w:val="20"/>
          <w:szCs w:val="20"/>
        </w:rPr>
        <w:t>London Interbank Offered Rate</w:t>
      </w:r>
    </w:p>
    <w:p w:rsidR="00000000" w:rsidRDefault="00AF3814">
      <w:pPr>
        <w:jc w:val="both"/>
        <w:divId w:val="2141994801"/>
        <w:rPr>
          <w:rFonts w:eastAsia="Times New Roman"/>
        </w:rPr>
      </w:pPr>
      <w:r>
        <w:rPr>
          <w:rFonts w:eastAsia="Times New Roman"/>
          <w:b/>
          <w:bCs/>
          <w:color w:val="000000"/>
          <w:sz w:val="20"/>
          <w:szCs w:val="20"/>
        </w:rPr>
        <w:t>MDL:</w:t>
      </w:r>
      <w:r>
        <w:rPr>
          <w:rFonts w:eastAsia="Times New Roman"/>
          <w:color w:val="000000"/>
          <w:sz w:val="20"/>
          <w:szCs w:val="20"/>
        </w:rPr>
        <w:t xml:space="preserve"> Multi-district litigation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6211744"/>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1621174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621174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90" style="width:0;height:1.5pt" o:hralign="center" o:hrstd="t" o:hr="t" fillcolor="#a0a0a0" stroked="f"/>
        </w:pict>
      </w:r>
    </w:p>
    <w:p w:rsidR="00000000" w:rsidRDefault="00AF3814">
      <w:pPr>
        <w:ind w:hanging="360"/>
        <w:jc w:val="both"/>
        <w:divId w:val="1114927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330104890"/>
        <w:rPr>
          <w:rFonts w:eastAsia="Times New Roman"/>
        </w:rPr>
      </w:pPr>
      <w:r>
        <w:rPr>
          <w:rFonts w:eastAsia="Times New Roman"/>
          <w:b/>
          <w:bCs/>
          <w:color w:val="000000"/>
          <w:sz w:val="20"/>
          <w:szCs w:val="20"/>
        </w:rPr>
        <w:t>Moody’s:</w:t>
      </w:r>
      <w:r>
        <w:rPr>
          <w:rFonts w:eastAsia="Times New Roman"/>
          <w:color w:val="000000"/>
          <w:sz w:val="20"/>
          <w:szCs w:val="20"/>
        </w:rPr>
        <w:t xml:space="preserve"> Moody’s Investors Service</w:t>
      </w:r>
    </w:p>
    <w:p w:rsidR="00000000" w:rsidRDefault="00AF3814">
      <w:pPr>
        <w:jc w:val="both"/>
        <w:divId w:val="1064452164"/>
        <w:rPr>
          <w:rFonts w:eastAsia="Times New Roman"/>
        </w:rPr>
      </w:pPr>
      <w:r>
        <w:rPr>
          <w:rFonts w:eastAsia="Times New Roman"/>
          <w:b/>
          <w:bCs/>
          <w:color w:val="000000"/>
          <w:sz w:val="20"/>
          <w:szCs w:val="20"/>
        </w:rPr>
        <w:t xml:space="preserve">MSRs: </w:t>
      </w:r>
      <w:r>
        <w:rPr>
          <w:rFonts w:eastAsia="Times New Roman"/>
          <w:color w:val="000000"/>
          <w:sz w:val="20"/>
          <w:szCs w:val="20"/>
        </w:rPr>
        <w:t>Mortgage servicing rights</w:t>
      </w:r>
    </w:p>
    <w:p w:rsidR="00000000" w:rsidRDefault="00AF3814">
      <w:pPr>
        <w:jc w:val="both"/>
        <w:divId w:val="2072458102"/>
        <w:rPr>
          <w:rFonts w:eastAsia="Times New Roman"/>
        </w:rPr>
      </w:pPr>
      <w:r>
        <w:rPr>
          <w:rFonts w:eastAsia="Times New Roman"/>
          <w:b/>
          <w:bCs/>
          <w:color w:val="000000"/>
          <w:sz w:val="20"/>
          <w:szCs w:val="20"/>
        </w:rPr>
        <w:t>NSFR:</w:t>
      </w:r>
      <w:r>
        <w:rPr>
          <w:rFonts w:eastAsia="Times New Roman"/>
          <w:color w:val="000000"/>
          <w:sz w:val="20"/>
          <w:szCs w:val="20"/>
        </w:rPr>
        <w:t xml:space="preserve"> Net stable funding ratio</w:t>
      </w:r>
    </w:p>
    <w:p w:rsidR="00000000" w:rsidRDefault="00AF3814">
      <w:pPr>
        <w:jc w:val="both"/>
        <w:divId w:val="1477448899"/>
        <w:rPr>
          <w:rFonts w:eastAsia="Times New Roman"/>
        </w:rPr>
      </w:pPr>
      <w:r>
        <w:rPr>
          <w:rFonts w:eastAsia="Times New Roman"/>
          <w:b/>
          <w:bCs/>
          <w:color w:val="000000"/>
          <w:sz w:val="20"/>
          <w:szCs w:val="20"/>
        </w:rPr>
        <w:t>OCC:</w:t>
      </w:r>
      <w:r>
        <w:rPr>
          <w:rFonts w:eastAsia="Times New Roman"/>
          <w:color w:val="000000"/>
          <w:sz w:val="20"/>
          <w:szCs w:val="20"/>
        </w:rPr>
        <w:t xml:space="preserve"> </w:t>
      </w:r>
      <w:r>
        <w:rPr>
          <w:rFonts w:eastAsia="Times New Roman"/>
          <w:color w:val="000000"/>
          <w:sz w:val="20"/>
          <w:szCs w:val="20"/>
        </w:rPr>
        <w:t xml:space="preserve">Office of the Comptroller of the Currency </w:t>
      </w:r>
    </w:p>
    <w:p w:rsidR="00000000" w:rsidRDefault="00AF3814">
      <w:pPr>
        <w:jc w:val="both"/>
        <w:divId w:val="408696249"/>
        <w:rPr>
          <w:rFonts w:eastAsia="Times New Roman"/>
        </w:rPr>
      </w:pPr>
      <w:r>
        <w:rPr>
          <w:rFonts w:eastAsia="Times New Roman"/>
          <w:b/>
          <w:bCs/>
          <w:color w:val="000000"/>
          <w:sz w:val="20"/>
          <w:szCs w:val="20"/>
        </w:rPr>
        <w:t xml:space="preserve">OTC: </w:t>
      </w:r>
      <w:r>
        <w:rPr>
          <w:rFonts w:eastAsia="Times New Roman"/>
          <w:color w:val="000000"/>
          <w:sz w:val="20"/>
          <w:szCs w:val="20"/>
        </w:rPr>
        <w:t xml:space="preserve">Over-the-counter </w:t>
      </w:r>
    </w:p>
    <w:p w:rsidR="00000000" w:rsidRDefault="00AF3814">
      <w:pPr>
        <w:jc w:val="both"/>
        <w:divId w:val="104036940"/>
        <w:rPr>
          <w:rFonts w:eastAsia="Times New Roman"/>
        </w:rPr>
      </w:pPr>
      <w:r>
        <w:rPr>
          <w:rFonts w:eastAsia="Times New Roman"/>
          <w:b/>
          <w:bCs/>
          <w:color w:val="000000"/>
          <w:sz w:val="20"/>
          <w:szCs w:val="20"/>
        </w:rPr>
        <w:t>PCA:</w:t>
      </w:r>
      <w:r>
        <w:rPr>
          <w:rFonts w:ascii="Arial" w:eastAsia="Times New Roman" w:hAnsi="Arial" w:cs="Arial"/>
          <w:color w:val="000000"/>
          <w:sz w:val="20"/>
          <w:szCs w:val="20"/>
        </w:rPr>
        <w:t xml:space="preserve"> </w:t>
      </w:r>
      <w:r>
        <w:rPr>
          <w:rFonts w:eastAsia="Times New Roman"/>
          <w:color w:val="000000"/>
          <w:sz w:val="20"/>
          <w:szCs w:val="20"/>
        </w:rPr>
        <w:t>Prompt corrective action</w:t>
      </w:r>
    </w:p>
    <w:p w:rsidR="00000000" w:rsidRDefault="00AF3814">
      <w:pPr>
        <w:jc w:val="both"/>
        <w:divId w:val="1837527774"/>
        <w:rPr>
          <w:rFonts w:eastAsia="Times New Roman"/>
        </w:rPr>
      </w:pPr>
      <w:r>
        <w:rPr>
          <w:rFonts w:eastAsia="Times New Roman"/>
          <w:b/>
          <w:bCs/>
          <w:color w:val="000000"/>
          <w:sz w:val="20"/>
          <w:szCs w:val="20"/>
        </w:rPr>
        <w:t xml:space="preserve">PCI: </w:t>
      </w:r>
      <w:r>
        <w:rPr>
          <w:rFonts w:eastAsia="Times New Roman"/>
          <w:color w:val="000000"/>
          <w:sz w:val="20"/>
          <w:szCs w:val="20"/>
        </w:rPr>
        <w:t>Purchased credit-impaired</w:t>
      </w:r>
    </w:p>
    <w:p w:rsidR="00000000" w:rsidRDefault="00AF3814">
      <w:pPr>
        <w:jc w:val="both"/>
        <w:divId w:val="1293057098"/>
        <w:rPr>
          <w:rFonts w:eastAsia="Times New Roman"/>
        </w:rPr>
      </w:pPr>
      <w:r>
        <w:rPr>
          <w:rFonts w:eastAsia="Times New Roman"/>
          <w:b/>
          <w:bCs/>
          <w:color w:val="000000"/>
          <w:sz w:val="20"/>
          <w:szCs w:val="20"/>
        </w:rPr>
        <w:t xml:space="preserve">PCCR: </w:t>
      </w:r>
      <w:r>
        <w:rPr>
          <w:rFonts w:eastAsia="Times New Roman"/>
          <w:color w:val="000000"/>
          <w:sz w:val="20"/>
          <w:szCs w:val="20"/>
        </w:rPr>
        <w:t>Purchased credit card relationship</w:t>
      </w:r>
    </w:p>
    <w:p w:rsidR="00000000" w:rsidRDefault="00AF3814">
      <w:pPr>
        <w:jc w:val="both"/>
        <w:divId w:val="1304964847"/>
        <w:rPr>
          <w:rFonts w:eastAsia="Times New Roman"/>
        </w:rPr>
      </w:pPr>
      <w:r>
        <w:rPr>
          <w:rFonts w:eastAsia="Times New Roman"/>
          <w:b/>
          <w:bCs/>
          <w:color w:val="000000"/>
          <w:sz w:val="20"/>
          <w:szCs w:val="20"/>
        </w:rPr>
        <w:t xml:space="preserve">PPI: </w:t>
      </w:r>
      <w:r>
        <w:rPr>
          <w:rFonts w:eastAsia="Times New Roman"/>
          <w:color w:val="000000"/>
          <w:sz w:val="20"/>
          <w:szCs w:val="20"/>
        </w:rPr>
        <w:t>Payment protection insurance</w:t>
      </w:r>
    </w:p>
    <w:p w:rsidR="00000000" w:rsidRDefault="00AF3814">
      <w:pPr>
        <w:jc w:val="both"/>
        <w:divId w:val="301270303"/>
        <w:rPr>
          <w:rFonts w:eastAsia="Times New Roman"/>
        </w:rPr>
      </w:pPr>
      <w:r>
        <w:rPr>
          <w:rFonts w:eastAsia="Times New Roman"/>
          <w:b/>
          <w:bCs/>
          <w:color w:val="000000"/>
          <w:sz w:val="20"/>
          <w:szCs w:val="20"/>
        </w:rPr>
        <w:t xml:space="preserve">PPP: </w:t>
      </w:r>
      <w:r>
        <w:rPr>
          <w:rFonts w:eastAsia="Times New Roman"/>
          <w:color w:val="000000"/>
          <w:sz w:val="20"/>
          <w:szCs w:val="20"/>
        </w:rPr>
        <w:t>Paycheck Protection Program</w:t>
      </w:r>
    </w:p>
    <w:p w:rsidR="00000000" w:rsidRDefault="00AF3814">
      <w:pPr>
        <w:jc w:val="both"/>
        <w:divId w:val="2049068960"/>
        <w:rPr>
          <w:rFonts w:eastAsia="Times New Roman"/>
        </w:rPr>
      </w:pPr>
      <w:r>
        <w:rPr>
          <w:rFonts w:eastAsia="Times New Roman"/>
          <w:b/>
          <w:bCs/>
          <w:color w:val="000000"/>
          <w:sz w:val="20"/>
          <w:szCs w:val="20"/>
        </w:rPr>
        <w:t xml:space="preserve">RMBS: </w:t>
      </w:r>
      <w:r>
        <w:rPr>
          <w:rFonts w:eastAsia="Times New Roman"/>
          <w:color w:val="000000"/>
          <w:sz w:val="20"/>
          <w:szCs w:val="20"/>
        </w:rPr>
        <w:t>Residential mor</w:t>
      </w:r>
      <w:r>
        <w:rPr>
          <w:rFonts w:eastAsia="Times New Roman"/>
          <w:color w:val="000000"/>
          <w:sz w:val="20"/>
          <w:szCs w:val="20"/>
        </w:rPr>
        <w:t>tgage-backed securities</w:t>
      </w:r>
    </w:p>
    <w:p w:rsidR="00000000" w:rsidRDefault="00AF3814">
      <w:pPr>
        <w:jc w:val="both"/>
        <w:divId w:val="1020858803"/>
        <w:rPr>
          <w:rFonts w:eastAsia="Times New Roman"/>
        </w:rPr>
      </w:pPr>
      <w:r>
        <w:rPr>
          <w:rFonts w:eastAsia="Times New Roman"/>
          <w:b/>
          <w:bCs/>
          <w:color w:val="000000"/>
          <w:sz w:val="20"/>
          <w:szCs w:val="20"/>
        </w:rPr>
        <w:t>RSU:</w:t>
      </w:r>
      <w:r>
        <w:rPr>
          <w:rFonts w:eastAsia="Times New Roman"/>
          <w:color w:val="000000"/>
          <w:sz w:val="20"/>
          <w:szCs w:val="20"/>
        </w:rPr>
        <w:t xml:space="preserve"> Restricted stock unit</w:t>
      </w:r>
    </w:p>
    <w:p w:rsidR="00000000" w:rsidRDefault="00AF3814">
      <w:pPr>
        <w:jc w:val="both"/>
        <w:divId w:val="2510915"/>
        <w:rPr>
          <w:rFonts w:eastAsia="Times New Roman"/>
        </w:rPr>
      </w:pPr>
      <w:r>
        <w:rPr>
          <w:rFonts w:eastAsia="Times New Roman"/>
          <w:b/>
          <w:bCs/>
          <w:color w:val="000000"/>
          <w:sz w:val="20"/>
          <w:szCs w:val="20"/>
        </w:rPr>
        <w:t>S&amp;P:</w:t>
      </w:r>
      <w:r>
        <w:rPr>
          <w:rFonts w:ascii="Arial" w:eastAsia="Times New Roman" w:hAnsi="Arial" w:cs="Arial"/>
          <w:color w:val="000000"/>
          <w:sz w:val="20"/>
          <w:szCs w:val="20"/>
        </w:rPr>
        <w:t xml:space="preserve"> </w:t>
      </w:r>
      <w:r>
        <w:rPr>
          <w:rFonts w:eastAsia="Times New Roman"/>
          <w:color w:val="000000"/>
          <w:sz w:val="20"/>
          <w:szCs w:val="20"/>
        </w:rPr>
        <w:t>Standard &amp; Poor’s</w:t>
      </w:r>
    </w:p>
    <w:p w:rsidR="00000000" w:rsidRDefault="00AF3814">
      <w:pPr>
        <w:jc w:val="both"/>
        <w:divId w:val="1038159982"/>
        <w:rPr>
          <w:rFonts w:eastAsia="Times New Roman"/>
        </w:rPr>
      </w:pPr>
      <w:r>
        <w:rPr>
          <w:rFonts w:eastAsia="Times New Roman"/>
          <w:b/>
          <w:bCs/>
          <w:color w:val="000000"/>
          <w:sz w:val="20"/>
          <w:szCs w:val="20"/>
        </w:rPr>
        <w:t>SEC:</w:t>
      </w:r>
      <w:r>
        <w:rPr>
          <w:rFonts w:eastAsia="Times New Roman"/>
          <w:color w:val="000000"/>
          <w:sz w:val="20"/>
          <w:szCs w:val="20"/>
        </w:rPr>
        <w:t xml:space="preserve"> U.S. Securities and Exchange Commission</w:t>
      </w:r>
    </w:p>
    <w:p w:rsidR="00000000" w:rsidRDefault="00AF3814">
      <w:pPr>
        <w:jc w:val="both"/>
        <w:divId w:val="1504663250"/>
        <w:rPr>
          <w:rFonts w:eastAsia="Times New Roman"/>
        </w:rPr>
      </w:pPr>
      <w:r>
        <w:rPr>
          <w:rFonts w:eastAsia="Times New Roman"/>
          <w:b/>
          <w:bCs/>
          <w:color w:val="000000"/>
          <w:sz w:val="20"/>
          <w:szCs w:val="20"/>
        </w:rPr>
        <w:t>SCB:</w:t>
      </w:r>
      <w:r>
        <w:rPr>
          <w:rFonts w:eastAsia="Times New Roman"/>
          <w:color w:val="000000"/>
          <w:sz w:val="20"/>
          <w:szCs w:val="20"/>
        </w:rPr>
        <w:t xml:space="preserve"> Stress Capital Buffer</w:t>
      </w:r>
    </w:p>
    <w:p w:rsidR="00000000" w:rsidRDefault="00AF3814">
      <w:pPr>
        <w:jc w:val="both"/>
        <w:divId w:val="1316683870"/>
        <w:rPr>
          <w:rFonts w:eastAsia="Times New Roman"/>
        </w:rPr>
      </w:pPr>
      <w:r>
        <w:rPr>
          <w:rFonts w:eastAsia="Times New Roman"/>
          <w:b/>
          <w:bCs/>
          <w:color w:val="000000"/>
          <w:sz w:val="20"/>
          <w:szCs w:val="20"/>
        </w:rPr>
        <w:t>SOFR:</w:t>
      </w:r>
      <w:r>
        <w:rPr>
          <w:rFonts w:eastAsia="Times New Roman"/>
          <w:color w:val="000000"/>
          <w:sz w:val="20"/>
          <w:szCs w:val="20"/>
        </w:rPr>
        <w:t xml:space="preserve"> Secured Overnight Financing Rate</w:t>
      </w:r>
    </w:p>
    <w:p w:rsidR="00000000" w:rsidRDefault="00AF3814">
      <w:pPr>
        <w:jc w:val="both"/>
        <w:divId w:val="550774474"/>
        <w:rPr>
          <w:rFonts w:eastAsia="Times New Roman"/>
        </w:rPr>
      </w:pPr>
      <w:r>
        <w:rPr>
          <w:rFonts w:eastAsia="Times New Roman"/>
          <w:b/>
          <w:bCs/>
          <w:color w:val="000000"/>
          <w:sz w:val="20"/>
          <w:szCs w:val="20"/>
        </w:rPr>
        <w:t>TCE:</w:t>
      </w:r>
      <w:r>
        <w:rPr>
          <w:rFonts w:eastAsia="Times New Roman"/>
          <w:color w:val="000000"/>
          <w:sz w:val="20"/>
          <w:szCs w:val="20"/>
        </w:rPr>
        <w:t xml:space="preserve"> Tangible common equity</w:t>
      </w:r>
    </w:p>
    <w:p w:rsidR="00000000" w:rsidRDefault="00AF3814">
      <w:pPr>
        <w:jc w:val="both"/>
        <w:divId w:val="950894148"/>
        <w:rPr>
          <w:rFonts w:eastAsia="Times New Roman"/>
        </w:rPr>
      </w:pPr>
      <w:r>
        <w:rPr>
          <w:rFonts w:eastAsia="Times New Roman"/>
          <w:b/>
          <w:bCs/>
          <w:color w:val="000000"/>
          <w:sz w:val="20"/>
          <w:szCs w:val="20"/>
        </w:rPr>
        <w:t>TDR:</w:t>
      </w:r>
      <w:r>
        <w:rPr>
          <w:rFonts w:eastAsia="Times New Roman"/>
          <w:color w:val="000000"/>
          <w:sz w:val="20"/>
          <w:szCs w:val="20"/>
        </w:rPr>
        <w:t xml:space="preserve"> </w:t>
      </w:r>
      <w:r>
        <w:rPr>
          <w:rFonts w:eastAsia="Times New Roman"/>
          <w:color w:val="000000"/>
          <w:sz w:val="20"/>
          <w:szCs w:val="20"/>
        </w:rPr>
        <w:t>Troubled debt restructuring</w:t>
      </w:r>
    </w:p>
    <w:p w:rsidR="00000000" w:rsidRDefault="00AF3814">
      <w:pPr>
        <w:jc w:val="both"/>
        <w:divId w:val="418137352"/>
        <w:rPr>
          <w:rFonts w:eastAsia="Times New Roman"/>
        </w:rPr>
      </w:pPr>
      <w:r>
        <w:rPr>
          <w:rFonts w:eastAsia="Times New Roman"/>
          <w:b/>
          <w:bCs/>
          <w:color w:val="000000"/>
          <w:sz w:val="20"/>
          <w:szCs w:val="20"/>
        </w:rPr>
        <w:t>U.K.:</w:t>
      </w:r>
      <w:r>
        <w:rPr>
          <w:rFonts w:eastAsia="Times New Roman"/>
          <w:color w:val="000000"/>
          <w:sz w:val="20"/>
          <w:szCs w:val="20"/>
        </w:rPr>
        <w:t xml:space="preserve"> United Kingdom</w:t>
      </w:r>
    </w:p>
    <w:p w:rsidR="00000000" w:rsidRDefault="00AF3814">
      <w:pPr>
        <w:jc w:val="both"/>
        <w:divId w:val="1432775142"/>
        <w:rPr>
          <w:rFonts w:eastAsia="Times New Roman"/>
        </w:rPr>
      </w:pPr>
      <w:r>
        <w:rPr>
          <w:rFonts w:eastAsia="Times New Roman"/>
          <w:b/>
          <w:bCs/>
          <w:color w:val="000000"/>
          <w:sz w:val="20"/>
          <w:szCs w:val="20"/>
        </w:rPr>
        <w:t>U.S.:</w:t>
      </w:r>
      <w:r>
        <w:rPr>
          <w:rFonts w:eastAsia="Times New Roman"/>
          <w:color w:val="000000"/>
          <w:sz w:val="20"/>
          <w:szCs w:val="20"/>
        </w:rPr>
        <w:t xml:space="preserve"> United States of America</w:t>
      </w:r>
    </w:p>
    <w:p w:rsidR="00000000" w:rsidRDefault="00AF3814">
      <w:pPr>
        <w:jc w:val="both"/>
        <w:divId w:val="831875971"/>
        <w:rPr>
          <w:rFonts w:eastAsia="Times New Roman"/>
        </w:rPr>
      </w:pPr>
      <w:r>
        <w:rPr>
          <w:rFonts w:eastAsia="Times New Roman"/>
          <w:b/>
          <w:bCs/>
          <w:color w:val="000000"/>
          <w:sz w:val="20"/>
          <w:szCs w:val="20"/>
        </w:rPr>
        <w:t>VIE:</w:t>
      </w:r>
      <w:r>
        <w:rPr>
          <w:rFonts w:eastAsia="Times New Roman"/>
          <w:color w:val="000000"/>
          <w:sz w:val="20"/>
          <w:szCs w:val="20"/>
        </w:rPr>
        <w:t xml:space="preserve"> Variable interest entity</w:t>
      </w:r>
    </w:p>
    <w:p w:rsidR="00000000" w:rsidRDefault="00AF3814">
      <w:pPr>
        <w:jc w:val="both"/>
        <w:divId w:val="523638018"/>
        <w:rPr>
          <w:rFonts w:eastAsia="Times New Roman"/>
        </w:rPr>
      </w:pPr>
      <w:r>
        <w:rPr>
          <w:rFonts w:eastAsia="Times New Roman"/>
          <w:b/>
          <w:bCs/>
          <w:color w:val="000000"/>
          <w:sz w:val="20"/>
          <w:szCs w:val="20"/>
        </w:rPr>
        <w:t>XBRL:</w:t>
      </w:r>
      <w:r>
        <w:rPr>
          <w:rFonts w:eastAsia="Times New Roman"/>
          <w:color w:val="000000"/>
          <w:sz w:val="20"/>
          <w:szCs w:val="20"/>
        </w:rPr>
        <w:t xml:space="preserve"> Extensible business reporting language</w:t>
      </w:r>
    </w:p>
    <w:p w:rsidR="00000000" w:rsidRDefault="00AF3814">
      <w:pPr>
        <w:jc w:val="both"/>
        <w:divId w:val="198458275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95450451"/>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9545045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9545045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91" style="width:0;height:1.5pt" o:hralign="center" o:hrstd="t" o:hr="t" fillcolor="#a0a0a0" stroked="f"/>
        </w:pict>
      </w:r>
    </w:p>
    <w:p w:rsidR="00000000" w:rsidRDefault="00AF3814">
      <w:pPr>
        <w:ind w:hanging="360"/>
        <w:jc w:val="both"/>
        <w:divId w:val="2145004443"/>
        <w:rPr>
          <w:rFonts w:eastAsia="Times New Roman"/>
        </w:rPr>
      </w:pPr>
      <w:hyperlink w:anchor="id204df94663d4fc396719e5188ae3420_10"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8"/>
        <w:gridCol w:w="7678"/>
        <w:gridCol w:w="39"/>
        <w:gridCol w:w="72"/>
        <w:gridCol w:w="413"/>
        <w:gridCol w:w="36"/>
      </w:tblGrid>
      <w:tr w:rsidR="00000000">
        <w:trPr>
          <w:divId w:val="78598231"/>
        </w:trPr>
        <w:tc>
          <w:tcPr>
            <w:tcW w:w="50" w:type="pct"/>
            <w:vAlign w:val="center"/>
            <w:hideMark/>
          </w:tcPr>
          <w:p w:rsidR="00000000" w:rsidRDefault="00AF3814">
            <w:pPr>
              <w:ind w:hanging="360"/>
              <w:jc w:val="both"/>
              <w:rPr>
                <w:rFonts w:eastAsia="Times New Roman"/>
              </w:rPr>
            </w:pPr>
          </w:p>
        </w:tc>
        <w:tc>
          <w:tcPr>
            <w:tcW w:w="463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78598231"/>
        </w:trPr>
        <w:tc>
          <w:tcPr>
            <w:tcW w:w="0" w:type="auto"/>
            <w:gridSpan w:val="6"/>
            <w:tcMar>
              <w:top w:w="30" w:type="dxa"/>
              <w:left w:w="20" w:type="dxa"/>
              <w:bottom w:w="30" w:type="dxa"/>
              <w:right w:w="20" w:type="dxa"/>
            </w:tcMar>
            <w:vAlign w:val="bottom"/>
            <w:hideMark/>
          </w:tcPr>
          <w:p w:rsidR="00000000" w:rsidRDefault="00AF3814">
            <w:pPr>
              <w:spacing w:after="100"/>
              <w:divId w:val="1485583649"/>
              <w:rPr>
                <w:rFonts w:eastAsia="Times New Roman"/>
              </w:rPr>
            </w:pPr>
            <w:hyperlink w:anchor="id204df94663d4fc396719e5188ae3420_328" w:history="1">
              <w:r>
                <w:rPr>
                  <w:rStyle w:val="a3"/>
                  <w:rFonts w:eastAsia="Times New Roman"/>
                  <w:b/>
                  <w:bCs/>
                  <w:color w:val="000000"/>
                  <w:sz w:val="20"/>
                  <w:szCs w:val="20"/>
                  <w:u w:val="none"/>
                </w:rPr>
                <w:t>Item 1. Financial Statements and Notes</w:t>
              </w:r>
            </w:hyperlink>
          </w:p>
        </w:tc>
      </w:tr>
      <w:tr w:rsidR="00000000">
        <w:trPr>
          <w:divId w:val="78598231"/>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20"/>
                <w:szCs w:val="20"/>
              </w:rPr>
              <w:t>Page</w:t>
            </w:r>
          </w:p>
        </w:tc>
      </w:tr>
      <w:tr w:rsidR="00000000">
        <w:trPr>
          <w:divId w:val="78598231"/>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859823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859823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432819738"/>
              <w:rPr>
                <w:rFonts w:eastAsia="Times New Roman"/>
              </w:rPr>
            </w:pPr>
            <w:hyperlink w:anchor="id204df94663d4fc396719e5188ae3420_340" w:history="1">
              <w:r>
                <w:rPr>
                  <w:rStyle w:val="a3"/>
                  <w:rFonts w:eastAsia="Times New Roman"/>
                  <w:color w:val="000000"/>
                  <w:sz w:val="20"/>
                  <w:szCs w:val="20"/>
                  <w:u w:val="none"/>
                </w:rPr>
                <w:t>Consolidated Financial Statements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40" w:history="1">
              <w:r>
                <w:rPr>
                  <w:rStyle w:val="a3"/>
                  <w:rFonts w:eastAsia="Times New Roman"/>
                  <w:color w:val="000000"/>
                  <w:sz w:val="20"/>
                  <w:szCs w:val="20"/>
                  <w:u w:val="none"/>
                </w:rPr>
                <w:t>68</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014497981"/>
              <w:rPr>
                <w:rFonts w:eastAsia="Times New Roman"/>
              </w:rPr>
            </w:pPr>
            <w:hyperlink w:anchor="id204df94663d4fc396719e5188ae3420_343"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43" w:history="1">
              <w:r>
                <w:rPr>
                  <w:rStyle w:val="a3"/>
                  <w:rFonts w:eastAsia="Times New Roman"/>
                  <w:color w:val="000000"/>
                  <w:sz w:val="20"/>
                  <w:szCs w:val="20"/>
                  <w:u w:val="none"/>
                </w:rPr>
                <w:t>68</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397022098"/>
              <w:rPr>
                <w:rFonts w:eastAsia="Times New Roman"/>
              </w:rPr>
            </w:pPr>
            <w:hyperlink w:anchor="id204df94663d4fc396719e5188ae3420_346"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46" w:history="1">
              <w:r>
                <w:rPr>
                  <w:rStyle w:val="a3"/>
                  <w:rFonts w:eastAsia="Times New Roman"/>
                  <w:color w:val="000000"/>
                  <w:sz w:val="20"/>
                  <w:szCs w:val="20"/>
                  <w:u w:val="none"/>
                </w:rPr>
                <w:t>69</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593320878"/>
              <w:rPr>
                <w:rFonts w:eastAsia="Times New Roman"/>
              </w:rPr>
            </w:pPr>
            <w:hyperlink w:anchor="id204df94663d4fc396719e5188ae3420_349" w:history="1">
              <w:r>
                <w:rPr>
                  <w:rStyle w:val="a3"/>
                  <w:rFonts w:eastAsia="Times New Roman"/>
                  <w:color w:val="000000"/>
                  <w:sz w:val="20"/>
                  <w:szCs w:val="20"/>
                  <w:u w:val="none"/>
                </w:rPr>
                <w:t>Consolidated</w:t>
              </w:r>
              <w:r>
                <w:rPr>
                  <w:rStyle w:val="a3"/>
                  <w:rFonts w:eastAsia="Times New Roman"/>
                  <w:color w:val="000000"/>
                  <w:sz w:val="20"/>
                  <w:szCs w:val="20"/>
                  <w:u w:val="none"/>
                </w:rPr>
                <w:t xml:space="preserve"> Balance Sheets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49" w:history="1">
              <w:r>
                <w:rPr>
                  <w:rStyle w:val="a3"/>
                  <w:rFonts w:eastAsia="Times New Roman"/>
                  <w:color w:val="000000"/>
                  <w:sz w:val="20"/>
                  <w:szCs w:val="20"/>
                  <w:u w:val="none"/>
                </w:rPr>
                <w:t>70</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382488512"/>
              <w:rPr>
                <w:rFonts w:eastAsia="Times New Roman"/>
              </w:rPr>
            </w:pPr>
            <w:hyperlink w:anchor="id204df94663d4fc396719e5188ae3420_352"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52" w:history="1">
              <w:r>
                <w:rPr>
                  <w:rStyle w:val="a3"/>
                  <w:rFonts w:eastAsia="Times New Roman"/>
                  <w:color w:val="000000"/>
                  <w:sz w:val="20"/>
                  <w:szCs w:val="20"/>
                  <w:u w:val="none"/>
                </w:rPr>
                <w:t>71</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218632522"/>
              <w:rPr>
                <w:rFonts w:eastAsia="Times New Roman"/>
              </w:rPr>
            </w:pPr>
            <w:hyperlink w:anchor="id204df94663d4fc396719e5188ae3420_355"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55" w:history="1">
              <w:r>
                <w:rPr>
                  <w:rStyle w:val="a3"/>
                  <w:rFonts w:eastAsia="Times New Roman"/>
                  <w:color w:val="000000"/>
                  <w:sz w:val="20"/>
                  <w:szCs w:val="20"/>
                  <w:u w:val="none"/>
                </w:rPr>
                <w:t>73</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382173470"/>
              <w:rPr>
                <w:rFonts w:eastAsia="Times New Roman"/>
              </w:rPr>
            </w:pPr>
            <w:hyperlink w:anchor="id204df94663d4fc396719e5188ae3420_358"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61" w:history="1">
              <w:r>
                <w:rPr>
                  <w:rStyle w:val="a3"/>
                  <w:rFonts w:eastAsia="Times New Roman"/>
                  <w:color w:val="000000"/>
                  <w:sz w:val="20"/>
                  <w:szCs w:val="20"/>
                  <w:u w:val="none"/>
                </w:rPr>
                <w:t>75</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434595193"/>
              <w:rPr>
                <w:rFonts w:eastAsia="Times New Roman"/>
              </w:rPr>
            </w:pPr>
            <w:hyperlink w:anchor="id204df94663d4fc396719e5188ae3420_358"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61" w:history="1">
              <w:r>
                <w:rPr>
                  <w:rStyle w:val="a3"/>
                  <w:rFonts w:eastAsia="Times New Roman"/>
                  <w:color w:val="000000"/>
                  <w:sz w:val="20"/>
                  <w:szCs w:val="20"/>
                  <w:u w:val="none"/>
                </w:rPr>
                <w:t>75</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060058931"/>
              <w:rPr>
                <w:rFonts w:eastAsia="Times New Roman"/>
              </w:rPr>
            </w:pPr>
            <w:hyperlink w:anchor="id204df94663d4fc396719e5188ae3420_364" w:history="1">
              <w:r>
                <w:rPr>
                  <w:rStyle w:val="a3"/>
                  <w:rFonts w:eastAsia="Times New Roman"/>
                  <w:color w:val="000000"/>
                  <w:sz w:val="20"/>
                  <w:szCs w:val="20"/>
                  <w:u w:val="none"/>
                </w:rPr>
                <w:t xml:space="preserve">Note 2—Investment </w:t>
              </w:r>
              <w:r>
                <w:rPr>
                  <w:rStyle w:val="a3"/>
                  <w:rFonts w:eastAsia="Times New Roman"/>
                  <w:color w:val="000000"/>
                  <w:sz w:val="20"/>
                  <w:szCs w:val="20"/>
                  <w:u w:val="none"/>
                </w:rPr>
                <w:t>Securities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64" w:history="1">
              <w:r>
                <w:rPr>
                  <w:rStyle w:val="a3"/>
                  <w:rFonts w:eastAsia="Times New Roman"/>
                  <w:color w:val="000000"/>
                  <w:sz w:val="20"/>
                  <w:szCs w:val="20"/>
                  <w:u w:val="none"/>
                </w:rPr>
                <w:t>77</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999967771"/>
              <w:rPr>
                <w:rFonts w:eastAsia="Times New Roman"/>
              </w:rPr>
            </w:pPr>
            <w:hyperlink w:anchor="id204df94663d4fc396719e5188ae3420_367"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67" w:history="1">
              <w:r>
                <w:rPr>
                  <w:rStyle w:val="a3"/>
                  <w:rFonts w:eastAsia="Times New Roman"/>
                  <w:color w:val="000000"/>
                  <w:sz w:val="20"/>
                  <w:szCs w:val="20"/>
                  <w:u w:val="none"/>
                </w:rPr>
                <w:t>80</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930314066"/>
              <w:rPr>
                <w:rFonts w:eastAsia="Times New Roman"/>
              </w:rPr>
            </w:pPr>
            <w:hyperlink w:anchor="id204df94663d4fc396719e5188ae3420_391"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91" w:history="1">
              <w:r>
                <w:rPr>
                  <w:rStyle w:val="a3"/>
                  <w:rFonts w:eastAsia="Times New Roman"/>
                  <w:color w:val="000000"/>
                  <w:sz w:val="20"/>
                  <w:szCs w:val="20"/>
                  <w:u w:val="none"/>
                </w:rPr>
                <w:t>90</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973944331"/>
              <w:rPr>
                <w:rFonts w:eastAsia="Times New Roman"/>
              </w:rPr>
            </w:pPr>
            <w:hyperlink w:anchor="id204df94663d4fc396719e5188ae3420_394"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94" w:history="1">
              <w:r>
                <w:rPr>
                  <w:rStyle w:val="a3"/>
                  <w:rFonts w:eastAsia="Times New Roman"/>
                  <w:color w:val="000000"/>
                  <w:sz w:val="20"/>
                  <w:szCs w:val="20"/>
                  <w:u w:val="none"/>
                </w:rPr>
                <w:t>94</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631477891"/>
              <w:rPr>
                <w:rFonts w:eastAsia="Times New Roman"/>
              </w:rPr>
            </w:pPr>
            <w:hyperlink w:anchor="id204df94663d4fc396719e5188ae3420_397" w:history="1">
              <w:r>
                <w:rPr>
                  <w:rStyle w:val="a3"/>
                  <w:rFonts w:eastAsia="Times New Roman"/>
                  <w:color w:val="000000"/>
                  <w:sz w:val="20"/>
                  <w:szCs w:val="20"/>
                  <w:u w:val="none"/>
                </w:rPr>
                <w:t>Note 6—Goodwill and Intangible Assets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397" w:history="1">
              <w:r>
                <w:rPr>
                  <w:rStyle w:val="a3"/>
                  <w:rFonts w:eastAsia="Times New Roman"/>
                  <w:color w:val="000000"/>
                  <w:sz w:val="20"/>
                  <w:szCs w:val="20"/>
                  <w:u w:val="none"/>
                </w:rPr>
                <w:t>98</w:t>
              </w:r>
            </w:hyperlink>
          </w:p>
        </w:tc>
      </w:tr>
      <w:tr w:rsidR="00000000">
        <w:trPr>
          <w:divId w:val="78598231"/>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764812619"/>
              <w:rPr>
                <w:rFonts w:eastAsia="Times New Roman"/>
              </w:rPr>
            </w:pPr>
            <w:hyperlink w:anchor="id204df94663d4fc396719e5188ae3420_403"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403" w:history="1">
              <w:r>
                <w:rPr>
                  <w:rStyle w:val="a3"/>
                  <w:rFonts w:eastAsia="Times New Roman"/>
                  <w:color w:val="000000"/>
                  <w:sz w:val="20"/>
                  <w:szCs w:val="20"/>
                  <w:u w:val="none"/>
                </w:rPr>
                <w:t>99</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321425217"/>
              <w:rPr>
                <w:rFonts w:eastAsia="Times New Roman"/>
              </w:rPr>
            </w:pPr>
            <w:hyperlink w:anchor="id204df94663d4fc396719e5188ae3420_406" w:history="1">
              <w:r>
                <w:rPr>
                  <w:rStyle w:val="a3"/>
                  <w:rFonts w:eastAsia="Times New Roman"/>
                  <w:color w:val="000000"/>
                  <w:sz w:val="20"/>
                  <w:szCs w:val="20"/>
                  <w:u w:val="none"/>
                </w:rPr>
                <w:t>Note 8—Derivative Instruments and Hed</w:t>
              </w:r>
              <w:r>
                <w:rPr>
                  <w:rStyle w:val="a3"/>
                  <w:rFonts w:eastAsia="Times New Roman"/>
                  <w:color w:val="000000"/>
                  <w:sz w:val="20"/>
                  <w:szCs w:val="20"/>
                  <w:u w:val="none"/>
                </w:rPr>
                <w:t>ging Activities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406" w:history="1">
              <w:r>
                <w:rPr>
                  <w:rStyle w:val="a3"/>
                  <w:rFonts w:eastAsia="Times New Roman"/>
                  <w:color w:val="000000"/>
                  <w:sz w:val="20"/>
                  <w:szCs w:val="20"/>
                  <w:u w:val="none"/>
                </w:rPr>
                <w:t>100</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058674849"/>
              <w:rPr>
                <w:rFonts w:eastAsia="Times New Roman"/>
              </w:rPr>
            </w:pPr>
            <w:hyperlink w:anchor="id204df94663d4fc396719e5188ae3420_409"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409" w:history="1">
              <w:r>
                <w:rPr>
                  <w:rStyle w:val="a3"/>
                  <w:rFonts w:eastAsia="Times New Roman"/>
                  <w:color w:val="000000"/>
                  <w:sz w:val="20"/>
                  <w:szCs w:val="20"/>
                  <w:u w:val="none"/>
                </w:rPr>
                <w:t>110</w:t>
              </w:r>
            </w:hyperlink>
          </w:p>
        </w:tc>
      </w:tr>
      <w:tr w:rsidR="00000000">
        <w:trPr>
          <w:divId w:val="78598231"/>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458523351"/>
              <w:rPr>
                <w:rFonts w:eastAsia="Times New Roman"/>
              </w:rPr>
            </w:pPr>
            <w:hyperlink w:anchor="id204df94663d4fc396719e5188ae3420_418"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418" w:history="1">
              <w:r>
                <w:rPr>
                  <w:rStyle w:val="a3"/>
                  <w:rFonts w:eastAsia="Times New Roman"/>
                  <w:color w:val="000000"/>
                  <w:sz w:val="20"/>
                  <w:szCs w:val="20"/>
                  <w:u w:val="none"/>
                </w:rPr>
                <w:t>114</w:t>
              </w:r>
            </w:hyperlink>
          </w:p>
        </w:tc>
      </w:tr>
      <w:tr w:rsidR="00000000">
        <w:trPr>
          <w:divId w:val="78598231"/>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859823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859823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1947468218"/>
              <w:rPr>
                <w:rFonts w:eastAsia="Times New Roman"/>
              </w:rPr>
            </w:pPr>
            <w:hyperlink w:anchor="id204df94663d4fc396719e5188ae3420_430"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430" w:history="1">
              <w:r>
                <w:rPr>
                  <w:rStyle w:val="a3"/>
                  <w:rFonts w:eastAsia="Times New Roman"/>
                  <w:color w:val="000000"/>
                  <w:sz w:val="20"/>
                  <w:szCs w:val="20"/>
                  <w:u w:val="none"/>
                </w:rPr>
                <w:t>115</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955794217"/>
              <w:rPr>
                <w:rFonts w:eastAsia="Times New Roman"/>
              </w:rPr>
            </w:pPr>
            <w:hyperlink w:anchor="id204df94663d4fc396719e5188ae3420_433" w:history="1">
              <w:r>
                <w:rPr>
                  <w:rStyle w:val="a3"/>
                  <w:rFonts w:eastAsia="Times New Roman"/>
                  <w:color w:val="000000"/>
                  <w:sz w:val="20"/>
                  <w:szCs w:val="20"/>
                  <w:u w:val="none"/>
                </w:rPr>
                <w:t>Note 12—Business Segments and Revenue from Contracts with Customers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433" w:history="1">
              <w:r>
                <w:rPr>
                  <w:rStyle w:val="a3"/>
                  <w:rFonts w:eastAsia="Times New Roman"/>
                  <w:color w:val="000000"/>
                  <w:sz w:val="20"/>
                  <w:szCs w:val="20"/>
                  <w:u w:val="none"/>
                </w:rPr>
                <w:t>122</w:t>
              </w:r>
            </w:hyperlink>
          </w:p>
        </w:tc>
      </w:tr>
      <w:tr w:rsidR="00000000">
        <w:trPr>
          <w:divId w:val="78598231"/>
        </w:trPr>
        <w:tc>
          <w:tcPr>
            <w:tcW w:w="0" w:type="auto"/>
            <w:gridSpan w:val="3"/>
            <w:tcMar>
              <w:top w:w="30" w:type="dxa"/>
              <w:left w:w="20" w:type="dxa"/>
              <w:bottom w:w="30" w:type="dxa"/>
              <w:right w:w="20" w:type="dxa"/>
            </w:tcMar>
            <w:hideMark/>
          </w:tcPr>
          <w:p w:rsidR="00000000" w:rsidRDefault="00AF3814">
            <w:pPr>
              <w:spacing w:after="100"/>
              <w:divId w:val="248388528"/>
              <w:rPr>
                <w:rFonts w:eastAsia="Times New Roman"/>
              </w:rPr>
            </w:pPr>
            <w:hyperlink w:anchor="id204df94663d4fc396719e5188ae3420_436" w:history="1">
              <w:r>
                <w:rPr>
                  <w:rStyle w:val="a3"/>
                  <w:rFonts w:eastAsia="Times New Roman"/>
                  <w:color w:val="000000"/>
                  <w:sz w:val="20"/>
                  <w:szCs w:val="20"/>
                  <w:u w:val="none"/>
                </w:rPr>
                <w:t>Note 13—Commitments, Contingencies, Guarantees and Others</w:t>
              </w:r>
            </w:hyperlink>
          </w:p>
        </w:tc>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hyperlink w:anchor="id204df94663d4fc396719e5188ae3420_436" w:history="1">
              <w:r>
                <w:rPr>
                  <w:rStyle w:val="a3"/>
                  <w:rFonts w:eastAsia="Times New Roman"/>
                  <w:color w:val="000000"/>
                  <w:sz w:val="20"/>
                  <w:szCs w:val="20"/>
                  <w:u w:val="none"/>
                </w:rPr>
                <w:t>126</w:t>
              </w:r>
            </w:hyperlink>
          </w:p>
        </w:tc>
      </w:tr>
      <w:tr w:rsidR="00000000">
        <w:trPr>
          <w:divId w:val="78598231"/>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859823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7859823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92" style="width:0;height:1.5pt" o:hralign="center" o:hrstd="t" o:hr="t" fillcolor="#a0a0a0" stroked="f"/>
        </w:pict>
      </w:r>
    </w:p>
    <w:p w:rsidR="00000000" w:rsidRDefault="00AF3814">
      <w:pPr>
        <w:jc w:val="both"/>
        <w:divId w:val="125941242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259412427"/>
        <w:rPr>
          <w:rFonts w:eastAsia="Times New Roman"/>
        </w:rPr>
      </w:pPr>
    </w:p>
    <w:p w:rsidR="00000000" w:rsidRDefault="00AF3814">
      <w:pPr>
        <w:jc w:val="center"/>
        <w:divId w:val="1259412427"/>
        <w:rPr>
          <w:rFonts w:eastAsia="Times New Roman"/>
        </w:rPr>
      </w:pPr>
      <w:r>
        <w:rPr>
          <w:rFonts w:eastAsia="Times New Roman"/>
          <w:b/>
          <w:bCs/>
          <w:color w:val="000000"/>
          <w:sz w:val="20"/>
          <w:szCs w:val="20"/>
        </w:rPr>
        <w:t>CAPITAL ONE FINANCIAL CORPORATION</w:t>
      </w:r>
    </w:p>
    <w:p w:rsidR="00000000" w:rsidRDefault="00AF3814">
      <w:pPr>
        <w:jc w:val="center"/>
        <w:divId w:val="1259412427"/>
        <w:rPr>
          <w:rFonts w:eastAsia="Times New Roman"/>
        </w:rPr>
      </w:pPr>
      <w:r>
        <w:rPr>
          <w:rFonts w:eastAsia="Times New Roman"/>
          <w:b/>
          <w:bCs/>
          <w:color w:val="000000"/>
          <w:sz w:val="20"/>
          <w:szCs w:val="20"/>
        </w:rPr>
        <w:t>CONSOLIDATED STATEMENTS OF INCOME (UNAUDITED)</w:t>
      </w:r>
    </w:p>
    <w:p w:rsidR="00000000" w:rsidRDefault="00AF3814">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212"/>
        <w:gridCol w:w="40"/>
        <w:gridCol w:w="36"/>
        <w:gridCol w:w="36"/>
        <w:gridCol w:w="36"/>
        <w:gridCol w:w="100"/>
        <w:gridCol w:w="522"/>
        <w:gridCol w:w="36"/>
        <w:gridCol w:w="36"/>
        <w:gridCol w:w="36"/>
        <w:gridCol w:w="36"/>
        <w:gridCol w:w="100"/>
        <w:gridCol w:w="480"/>
        <w:gridCol w:w="36"/>
        <w:gridCol w:w="36"/>
        <w:gridCol w:w="36"/>
        <w:gridCol w:w="36"/>
        <w:gridCol w:w="100"/>
        <w:gridCol w:w="481"/>
        <w:gridCol w:w="36"/>
        <w:gridCol w:w="36"/>
        <w:gridCol w:w="36"/>
        <w:gridCol w:w="36"/>
        <w:gridCol w:w="100"/>
        <w:gridCol w:w="482"/>
        <w:gridCol w:w="36"/>
        <w:gridCol w:w="36"/>
        <w:gridCol w:w="36"/>
      </w:tblGrid>
      <w:tr w:rsidR="00000000">
        <w:trPr>
          <w:jc w:val="center"/>
        </w:trPr>
        <w:tc>
          <w:tcPr>
            <w:tcW w:w="50" w:type="pct"/>
            <w:vAlign w:val="center"/>
            <w:hideMark/>
          </w:tcPr>
          <w:p w:rsidR="00000000" w:rsidRDefault="00AF3814">
            <w:pPr>
              <w:jc w:val="both"/>
              <w:rPr>
                <w:rFonts w:eastAsia="Times New Roman"/>
              </w:rPr>
            </w:pPr>
          </w:p>
        </w:tc>
        <w:tc>
          <w:tcPr>
            <w:tcW w:w="31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5,753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5,820 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11,607</w:t>
            </w:r>
            <w:r>
              <w:rPr>
                <w:rFonts w:eastAsia="Times New Roman"/>
                <w:color w:val="000000"/>
                <w:sz w:val="16"/>
                <w:szCs w:val="16"/>
              </w:rPr>
              <w:t> </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12,362 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370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482 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761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1,012 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32</w:t>
            </w:r>
            <w:r>
              <w:rPr>
                <w:rFonts w:eastAsia="Times New Roman"/>
                <w:color w:val="000000"/>
                <w:sz w:val="16"/>
                <w:szCs w:val="16"/>
              </w:rPr>
              <w:t> </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Total 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6,139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6,318 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12,400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13,427 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237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506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1,342 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155 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180 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251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419 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 borrowings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Total 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396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858 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835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1,942 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5,743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5,460 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11,565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11,485 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(1,160)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4,246 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(1,983)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9,669 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interest income after 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6,903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13,548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1,816 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Interchange fees, net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1,016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672 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1,833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384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258 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736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585 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 xml:space="preserve">Net securities gains </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231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349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Total non-interest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1,631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2,922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2,320 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Salaries and associate benefits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1,781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1,704 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3,628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3,331 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Occupancy and equipment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523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995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1,040 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Marketing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1,121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764 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Professional services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341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304 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633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591 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Communications and data processing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315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308 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617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610 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Amortization of intangibles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381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642 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701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1,125 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3,966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3,770 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7,706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7,499 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4,568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(1,460)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8,764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(3,363)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1,031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(543)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1,900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(1,106)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3,537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(917)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6,864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(2,257)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3,536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(918)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6,861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Issuance cost for redeemed preferred stock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Net income (loss)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3,446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6,682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(2,429)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Basic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7.65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14.70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(5.31)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income (loss) per basic common share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7.65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14.70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Diluted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income (loss)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7.62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14.65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(5.31)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income (loss) per diluted common share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7.62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14.65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jc w:val="center"/>
        <w:divId w:val="1888027106"/>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888027106"/>
          <w:jc w:val="center"/>
        </w:trPr>
        <w:tc>
          <w:tcPr>
            <w:tcW w:w="50" w:type="pct"/>
            <w:vAlign w:val="center"/>
            <w:hideMark/>
          </w:tcPr>
          <w:p w:rsidR="00000000" w:rsidRDefault="00AF3814">
            <w:pPr>
              <w:jc w:val="cente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88027106"/>
          <w:jc w:val="center"/>
        </w:trPr>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See Notes to Consolidated Financial Statements.</w:t>
            </w:r>
          </w:p>
        </w:tc>
      </w:tr>
      <w:tr w:rsidR="00000000">
        <w:trPr>
          <w:divId w:val="1888027106"/>
          <w:jc w:val="center"/>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93" style="width:0;height:1.5pt" o:hralign="center" o:hrstd="t" o:hr="t" fillcolor="#a0a0a0" stroked="f"/>
        </w:pict>
      </w:r>
    </w:p>
    <w:p w:rsidR="00000000" w:rsidRDefault="00AF3814">
      <w:pPr>
        <w:jc w:val="both"/>
        <w:divId w:val="339085214"/>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339085214"/>
        <w:rPr>
          <w:rFonts w:eastAsia="Times New Roman"/>
        </w:rPr>
      </w:pPr>
    </w:p>
    <w:p w:rsidR="00000000" w:rsidRDefault="00AF3814">
      <w:pPr>
        <w:jc w:val="center"/>
        <w:divId w:val="339085214"/>
        <w:rPr>
          <w:rFonts w:eastAsia="Times New Roman"/>
        </w:rPr>
      </w:pPr>
      <w:r>
        <w:rPr>
          <w:rFonts w:eastAsia="Times New Roman"/>
          <w:b/>
          <w:bCs/>
          <w:color w:val="000000"/>
          <w:sz w:val="20"/>
          <w:szCs w:val="20"/>
        </w:rPr>
        <w:t>CAPITAL ONE FINANCIAL CORPORATION</w:t>
      </w:r>
    </w:p>
    <w:p w:rsidR="00000000" w:rsidRDefault="00AF3814">
      <w:pPr>
        <w:jc w:val="center"/>
        <w:divId w:val="339085214"/>
        <w:rPr>
          <w:rFonts w:eastAsia="Times New Roman"/>
        </w:rPr>
      </w:pPr>
      <w:r>
        <w:rPr>
          <w:rFonts w:eastAsia="Times New Roman"/>
          <w:b/>
          <w:bCs/>
          <w:color w:val="000000"/>
          <w:sz w:val="20"/>
          <w:szCs w:val="20"/>
        </w:rPr>
        <w:t xml:space="preserve">CONSOLIDATED STATEMENTS OF COMPREHENSIVE INCOME (UNAUDITED)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433"/>
        <w:gridCol w:w="37"/>
        <w:gridCol w:w="36"/>
        <w:gridCol w:w="36"/>
        <w:gridCol w:w="36"/>
        <w:gridCol w:w="100"/>
        <w:gridCol w:w="715"/>
        <w:gridCol w:w="36"/>
        <w:gridCol w:w="36"/>
        <w:gridCol w:w="36"/>
        <w:gridCol w:w="36"/>
        <w:gridCol w:w="100"/>
        <w:gridCol w:w="674"/>
        <w:gridCol w:w="36"/>
        <w:gridCol w:w="36"/>
        <w:gridCol w:w="36"/>
        <w:gridCol w:w="36"/>
        <w:gridCol w:w="100"/>
        <w:gridCol w:w="674"/>
        <w:gridCol w:w="36"/>
        <w:gridCol w:w="36"/>
        <w:gridCol w:w="36"/>
        <w:gridCol w:w="36"/>
        <w:gridCol w:w="100"/>
        <w:gridCol w:w="674"/>
        <w:gridCol w:w="36"/>
        <w:gridCol w:w="36"/>
        <w:gridCol w:w="36"/>
      </w:tblGrid>
      <w:tr w:rsidR="00000000">
        <w:trPr>
          <w:divId w:val="684744458"/>
          <w:jc w:val="center"/>
        </w:trPr>
        <w:tc>
          <w:tcPr>
            <w:tcW w:w="50" w:type="pct"/>
            <w:vAlign w:val="center"/>
            <w:hideMark/>
          </w:tcPr>
          <w:p w:rsidR="00000000" w:rsidRDefault="00AF3814">
            <w:pPr>
              <w:jc w:val="center"/>
              <w:rPr>
                <w:rFonts w:eastAsia="Times New Roman"/>
              </w:rPr>
            </w:pPr>
          </w:p>
        </w:tc>
        <w:tc>
          <w:tcPr>
            <w:tcW w:w="27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84744458"/>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684744458"/>
          <w:jc w:val="center"/>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684744458"/>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3,536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6,861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(2,258)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84744458"/>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84744458"/>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unrealized gains (losses) on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(1,097)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1,446 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84744458"/>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unrealized gains (losses) on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(632)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1,431 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84744458"/>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Foreign 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84744458"/>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84744458"/>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(1,702)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2,833 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684744458"/>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3,545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5,159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691832478"/>
          <w:jc w:val="center"/>
        </w:trPr>
        <w:tc>
          <w:tcPr>
            <w:tcW w:w="50" w:type="pct"/>
            <w:vAlign w:val="center"/>
            <w:hideMark/>
          </w:tcPr>
          <w:p w:rsidR="00000000" w:rsidRDefault="00AF3814">
            <w:pPr>
              <w:jc w:val="cente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691832478"/>
          <w:jc w:val="center"/>
        </w:trPr>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See Notes to Consolidated Financial Statements.</w:t>
            </w:r>
          </w:p>
        </w:tc>
      </w:tr>
      <w:tr w:rsidR="00000000">
        <w:trPr>
          <w:divId w:val="1691832478"/>
          <w:jc w:val="center"/>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94" style="width:0;height:1.5pt" o:hralign="center" o:hrstd="t" o:hr="t" fillcolor="#a0a0a0" stroked="f"/>
        </w:pict>
      </w:r>
    </w:p>
    <w:p w:rsidR="00000000" w:rsidRDefault="00AF3814">
      <w:pPr>
        <w:jc w:val="both"/>
        <w:divId w:val="38418384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384183847"/>
        <w:rPr>
          <w:rFonts w:eastAsia="Times New Roman"/>
        </w:rPr>
      </w:pPr>
    </w:p>
    <w:p w:rsidR="00000000" w:rsidRDefault="00AF3814">
      <w:pPr>
        <w:jc w:val="center"/>
        <w:divId w:val="384183847"/>
        <w:rPr>
          <w:rFonts w:eastAsia="Times New Roman"/>
        </w:rPr>
      </w:pPr>
      <w:r>
        <w:rPr>
          <w:rFonts w:eastAsia="Times New Roman"/>
          <w:b/>
          <w:bCs/>
          <w:color w:val="000000"/>
          <w:sz w:val="20"/>
          <w:szCs w:val="20"/>
        </w:rPr>
        <w:t>CAPITAL ONE FINANCIAL CORPORATION</w:t>
      </w:r>
    </w:p>
    <w:p w:rsidR="00000000" w:rsidRDefault="00AF3814">
      <w:pPr>
        <w:jc w:val="center"/>
        <w:divId w:val="384183847"/>
        <w:rPr>
          <w:rFonts w:eastAsia="Times New Roman"/>
        </w:rPr>
      </w:pPr>
      <w:r>
        <w:rPr>
          <w:rFonts w:eastAsia="Times New Roman"/>
          <w:b/>
          <w:bCs/>
          <w:color w:val="000000"/>
          <w:sz w:val="20"/>
          <w:szCs w:val="20"/>
        </w:rPr>
        <w:t>CONSOLIDATED BALANCE SHEETS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896"/>
        <w:gridCol w:w="39"/>
        <w:gridCol w:w="36"/>
        <w:gridCol w:w="36"/>
        <w:gridCol w:w="36"/>
        <w:gridCol w:w="100"/>
        <w:gridCol w:w="919"/>
        <w:gridCol w:w="36"/>
        <w:gridCol w:w="36"/>
        <w:gridCol w:w="36"/>
        <w:gridCol w:w="36"/>
        <w:gridCol w:w="101"/>
        <w:gridCol w:w="919"/>
        <w:gridCol w:w="36"/>
      </w:tblGrid>
      <w:tr w:rsidR="00000000">
        <w:trPr>
          <w:divId w:val="1433667325"/>
          <w:jc w:val="center"/>
        </w:trPr>
        <w:tc>
          <w:tcPr>
            <w:tcW w:w="50" w:type="pct"/>
            <w:vAlign w:val="center"/>
            <w:hideMark/>
          </w:tcPr>
          <w:p w:rsidR="00000000" w:rsidRDefault="00AF3814">
            <w:pPr>
              <w:jc w:val="center"/>
              <w:rPr>
                <w:rFonts w:eastAsia="Times New Roman"/>
              </w:rPr>
            </w:pPr>
          </w:p>
        </w:tc>
        <w:tc>
          <w:tcPr>
            <w:tcW w:w="357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33667325"/>
          <w:jc w:val="center"/>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433667325"/>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3667325"/>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Cash and due from banks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5,312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4,708 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Interest-bearing deposits and other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29,534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35,801 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Total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34,846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40,509 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Restricted cash for securitization investors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242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313340285"/>
              <w:rPr>
                <w:rFonts w:eastAsia="Times New Roman"/>
              </w:rPr>
            </w:pPr>
            <w:r>
              <w:rPr>
                <w:rFonts w:eastAsia="Times New Roman"/>
                <w:color w:val="000000"/>
                <w:sz w:val="16"/>
                <w:szCs w:val="16"/>
              </w:rPr>
              <w:t>Securities available for sale (amortized cost of $100.3 billion and $97.6 billion and allowance for credit losses of $1 million as of both June 30, 2021 and December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101,766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100,445 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3667325"/>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Unsecuritized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226,130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225,698 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Loans held in consolidated trusts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23,467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25,926 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249,597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251,624 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(12,346)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(15,564)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237,251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236,060 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376510808"/>
              <w:rPr>
                <w:rFonts w:eastAsia="Times New Roman"/>
              </w:rPr>
            </w:pPr>
            <w:r>
              <w:rPr>
                <w:rFonts w:eastAsia="Times New Roman"/>
                <w:color w:val="000000"/>
                <w:sz w:val="16"/>
                <w:szCs w:val="16"/>
              </w:rPr>
              <w:t>Loans held for sale ($371 million and $596 </w:t>
            </w:r>
            <w:r>
              <w:rPr>
                <w:rFonts w:eastAsia="Times New Roman"/>
                <w:color w:val="000000"/>
                <w:sz w:val="16"/>
                <w:szCs w:val="16"/>
              </w:rPr>
              <w:t>million carried at fair value as of June 30,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6,522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2,710 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Premises and equipment, net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4,227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4,287 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1,372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1,471 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14,654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14,653 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22,540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21,205 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423,420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421,602 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Interest payable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301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352 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3667325"/>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34,994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31,142 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271,314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274,300 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306,308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305,442 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10,561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12,414 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 debt: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3667325"/>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Federal funds purchased and securities loaned or sold under agreements to repurchase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845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668 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24,878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27,382 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 borrowings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Total other debt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25,782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28,125 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15,844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15,065 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358,796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361,398 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Commitments, contingencies and guarantees (see Note 13)</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662076618"/>
              <w:rPr>
                <w:rFonts w:eastAsia="Times New Roman"/>
              </w:rPr>
            </w:pPr>
            <w:r>
              <w:rPr>
                <w:rFonts w:eastAsia="Times New Roman"/>
                <w:color w:val="000000"/>
                <w:sz w:val="16"/>
                <w:szCs w:val="16"/>
              </w:rPr>
              <w:t>Preferred stock (par value $0.01 per share; 50,000,000 shares authorized; 6,650,000 and 4,975,000 shares issued and outstanding as of June 30, 2021 and December 31, 2020, respectively)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162430777"/>
              <w:rPr>
                <w:rFonts w:eastAsia="Times New Roman"/>
              </w:rPr>
            </w:pPr>
            <w:r>
              <w:rPr>
                <w:rFonts w:eastAsia="Times New Roman"/>
                <w:color w:val="000000"/>
                <w:sz w:val="16"/>
                <w:szCs w:val="16"/>
              </w:rPr>
              <w:t xml:space="preserve">Common stock (par value $0.01 per share; </w:t>
            </w:r>
            <w:r>
              <w:rPr>
                <w:rFonts w:eastAsia="Times New Roman"/>
                <w:color w:val="000000"/>
                <w:sz w:val="16"/>
                <w:szCs w:val="16"/>
              </w:rPr>
              <w:t>1,000,000,000 shares authorized; 683,559,818 and 679,932,837 shares issued as of June 30, 2021 and December 31, 2020, respectively; 446,113,769 and 458,972,202 shares outstanding as of June 30,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Additional paid-in capital, net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35,472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33,480 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46,461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40,088 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Accumulated 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1,792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3,494 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643313516"/>
              <w:rPr>
                <w:rFonts w:eastAsia="Times New Roman"/>
              </w:rPr>
            </w:pPr>
            <w:r>
              <w:rPr>
                <w:rFonts w:eastAsia="Times New Roman"/>
                <w:color w:val="000000"/>
                <w:sz w:val="16"/>
                <w:szCs w:val="16"/>
              </w:rPr>
              <w:t xml:space="preserve">Treasury stock, at cost (par value $0.01 per share; 237,446,049 and </w:t>
            </w:r>
            <w:r>
              <w:rPr>
                <w:rFonts w:eastAsia="Times New Roman"/>
                <w:color w:val="000000"/>
                <w:sz w:val="16"/>
                <w:szCs w:val="16"/>
              </w:rPr>
              <w:t>220,960,635 shares as of June 30, 2021 and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(19,108)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(16,865)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64,624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60,204 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3667325"/>
          <w:jc w:val="center"/>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423,420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421,602 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jc w:val="cente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95" style="width:0;height:1.5pt" o:hralign="center" o:hrstd="t" o:hr="t" fillcolor="#a0a0a0" stroked="f"/>
        </w:pict>
      </w:r>
    </w:p>
    <w:p w:rsidR="00000000" w:rsidRDefault="00AF3814">
      <w:pPr>
        <w:jc w:val="both"/>
        <w:divId w:val="8627375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86273757"/>
        <w:rPr>
          <w:rFonts w:eastAsia="Times New Roman"/>
        </w:rPr>
      </w:pPr>
    </w:p>
    <w:p w:rsidR="00000000" w:rsidRDefault="00AF3814">
      <w:pPr>
        <w:jc w:val="center"/>
        <w:divId w:val="86273757"/>
        <w:rPr>
          <w:rFonts w:eastAsia="Times New Roman"/>
        </w:rPr>
      </w:pPr>
      <w:r>
        <w:rPr>
          <w:rFonts w:eastAsia="Times New Roman"/>
          <w:b/>
          <w:bCs/>
          <w:color w:val="000000"/>
          <w:sz w:val="20"/>
          <w:szCs w:val="20"/>
        </w:rPr>
        <w:t>CAPITAL ONE FINANCIAL CORPORATION</w:t>
      </w:r>
    </w:p>
    <w:p w:rsidR="00000000" w:rsidRDefault="00AF3814">
      <w:pPr>
        <w:jc w:val="center"/>
        <w:divId w:val="86273757"/>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92"/>
        <w:gridCol w:w="1043"/>
        <w:gridCol w:w="36"/>
        <w:gridCol w:w="36"/>
        <w:gridCol w:w="36"/>
        <w:gridCol w:w="36"/>
        <w:gridCol w:w="89"/>
        <w:gridCol w:w="611"/>
        <w:gridCol w:w="38"/>
        <w:gridCol w:w="36"/>
        <w:gridCol w:w="36"/>
        <w:gridCol w:w="36"/>
        <w:gridCol w:w="101"/>
        <w:gridCol w:w="431"/>
        <w:gridCol w:w="36"/>
        <w:gridCol w:w="36"/>
        <w:gridCol w:w="26"/>
        <w:gridCol w:w="10"/>
        <w:gridCol w:w="36"/>
        <w:gridCol w:w="95"/>
        <w:gridCol w:w="3"/>
        <w:gridCol w:w="144"/>
        <w:gridCol w:w="618"/>
        <w:gridCol w:w="39"/>
        <w:gridCol w:w="37"/>
        <w:gridCol w:w="36"/>
        <w:gridCol w:w="36"/>
        <w:gridCol w:w="101"/>
        <w:gridCol w:w="434"/>
        <w:gridCol w:w="36"/>
        <w:gridCol w:w="36"/>
        <w:gridCol w:w="36"/>
        <w:gridCol w:w="36"/>
        <w:gridCol w:w="101"/>
        <w:gridCol w:w="577"/>
        <w:gridCol w:w="36"/>
        <w:gridCol w:w="36"/>
        <w:gridCol w:w="36"/>
        <w:gridCol w:w="36"/>
        <w:gridCol w:w="100"/>
        <w:gridCol w:w="309"/>
        <w:gridCol w:w="144"/>
        <w:gridCol w:w="27"/>
        <w:gridCol w:w="36"/>
        <w:gridCol w:w="36"/>
        <w:gridCol w:w="36"/>
        <w:gridCol w:w="9"/>
        <w:gridCol w:w="27"/>
        <w:gridCol w:w="101"/>
        <w:gridCol w:w="871"/>
        <w:gridCol w:w="36"/>
        <w:gridCol w:w="36"/>
        <w:gridCol w:w="36"/>
        <w:gridCol w:w="36"/>
        <w:gridCol w:w="100"/>
        <w:gridCol w:w="547"/>
        <w:gridCol w:w="36"/>
        <w:gridCol w:w="36"/>
        <w:gridCol w:w="36"/>
        <w:gridCol w:w="36"/>
        <w:gridCol w:w="101"/>
        <w:gridCol w:w="641"/>
        <w:gridCol w:w="122"/>
        <w:gridCol w:w="22"/>
        <w:gridCol w:w="14"/>
      </w:tblGrid>
      <w:tr w:rsidR="00000000">
        <w:trPr>
          <w:divId w:val="1263294613"/>
        </w:trPr>
        <w:tc>
          <w:tcPr>
            <w:tcW w:w="50" w:type="pct"/>
            <w:vAlign w:val="center"/>
            <w:hideMark/>
          </w:tcPr>
          <w:p w:rsidR="00000000" w:rsidRDefault="00AF3814">
            <w:pPr>
              <w:jc w:val="center"/>
              <w:rPr>
                <w:rFonts w:eastAsia="Times New Roman"/>
              </w:rPr>
            </w:pPr>
          </w:p>
        </w:tc>
        <w:tc>
          <w:tcPr>
            <w:tcW w:w="1092"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3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gridSpan w:val="2"/>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r>
      <w:tr w:rsidR="00000000">
        <w:trPr>
          <w:divId w:val="1263294613"/>
          <w:trHeight w:val="220"/>
        </w:trPr>
        <w:tc>
          <w:tcPr>
            <w:tcW w:w="0" w:type="auto"/>
            <w:gridSpan w:val="4"/>
            <w:vMerge w:val="restart"/>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Preferred Stock</w:t>
            </w:r>
          </w:p>
        </w:tc>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5"/>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Retained Earnings</w:t>
            </w:r>
          </w:p>
        </w:tc>
        <w:tc>
          <w:tcPr>
            <w:tcW w:w="0" w:type="auto"/>
            <w:gridSpan w:val="4"/>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5"/>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r>
            <w:r>
              <w:rPr>
                <w:rFonts w:eastAsia="Times New Roman"/>
                <w:b/>
                <w:bCs/>
                <w:color w:val="000000"/>
                <w:sz w:val="14"/>
                <w:szCs w:val="14"/>
              </w:rPr>
              <w:t>Stockholders’</w:t>
            </w:r>
            <w:r>
              <w:rPr>
                <w:rFonts w:eastAsia="Times New Roman"/>
                <w:b/>
                <w:bCs/>
                <w:color w:val="000000"/>
                <w:sz w:val="14"/>
                <w:szCs w:val="14"/>
              </w:rPr>
              <w:br/>
              <w:t>Equity</w:t>
            </w:r>
          </w:p>
        </w:tc>
      </w:tr>
      <w:tr w:rsidR="00000000">
        <w:trPr>
          <w:divId w:val="1263294613"/>
          <w:trHeight w:val="400"/>
        </w:trPr>
        <w:tc>
          <w:tcPr>
            <w:tcW w:w="0" w:type="auto"/>
            <w:gridSpan w:val="4"/>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Amount</w:t>
            </w:r>
          </w:p>
        </w:tc>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5"/>
            <w:vMerge/>
            <w:vAlign w:val="center"/>
            <w:hideMark/>
          </w:tcPr>
          <w:p w:rsidR="00000000" w:rsidRDefault="00AF3814">
            <w:pPr>
              <w:spacing w:after="100"/>
              <w:rPr>
                <w:rFonts w:eastAsia="Times New Roman"/>
              </w:rPr>
            </w:pPr>
          </w:p>
        </w:tc>
        <w:tc>
          <w:tcPr>
            <w:tcW w:w="0" w:type="auto"/>
            <w:gridSpan w:val="4"/>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5"/>
            <w:vMerge/>
            <w:vAlign w:val="center"/>
            <w:hideMark/>
          </w:tcPr>
          <w:p w:rsidR="00000000" w:rsidRDefault="00AF3814">
            <w:pPr>
              <w:spacing w:after="100"/>
              <w:rPr>
                <w:rFonts w:eastAsia="Times New Roman"/>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AF3814">
        <w:trPr>
          <w:divId w:val="1263294613"/>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679,932,837 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33,480 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40,088 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3,494 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(16,865)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60,204 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3,325 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(1,711)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1,614 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divId w:val="1004672039"/>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13,356 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(185)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(184)</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(61)</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(575)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(575)</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2,531,966 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60 </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283,398 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19 </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 xml:space="preserve">Compensation expense for restricted stock units </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111 </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263294613"/>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682,761,557 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33,671 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gridSpan w:val="3"/>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43,167 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(17,440)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61,188 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3,536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3,545</w:t>
            </w:r>
            <w:r>
              <w:rPr>
                <w:rFonts w:eastAsia="Times New Roman"/>
                <w:color w:val="000000"/>
                <w:sz w:val="16"/>
                <w:szCs w:val="16"/>
              </w:rPr>
              <w:t> </w:t>
            </w:r>
          </w:p>
        </w:tc>
        <w:tc>
          <w:tcPr>
            <w:tcW w:w="0" w:type="auto"/>
            <w:gridSpan w:val="2"/>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divId w:val="435172218"/>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4,954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(182)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(181)</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(60)</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(1,668)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(1,668)</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583,779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60</w:t>
            </w: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209,528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15</w:t>
            </w: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1,675,000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1,641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1,641</w:t>
            </w:r>
            <w:r>
              <w:rPr>
                <w:rFonts w:eastAsia="Times New Roman"/>
                <w:color w:val="000000"/>
                <w:sz w:val="16"/>
                <w:szCs w:val="16"/>
              </w:rPr>
              <w:t>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63294613"/>
        </w:trPr>
        <w:tc>
          <w:tcPr>
            <w:tcW w:w="0" w:type="auto"/>
            <w:gridSpan w:val="4"/>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000000">
        <w:trPr>
          <w:divId w:val="1263294613"/>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84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84</w:t>
            </w:r>
            <w:r>
              <w:rPr>
                <w:rFonts w:eastAsia="Times New Roman"/>
                <w:color w:val="000000"/>
                <w:sz w:val="16"/>
                <w:szCs w:val="16"/>
              </w:rPr>
              <w:t> </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263294613"/>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Balance as of June 30,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6,650,000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683,559,818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35,472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46,461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1,792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w:t>
            </w:r>
            <w:r>
              <w:rPr>
                <w:rFonts w:eastAsia="Times New Roman"/>
                <w:b/>
                <w:bCs/>
                <w:color w:val="000000"/>
                <w:sz w:val="16"/>
                <w:szCs w:val="16"/>
              </w:rPr>
              <w:t>19,108)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64,624</w:t>
            </w:r>
            <w:r>
              <w:rPr>
                <w:rFonts w:eastAsia="Times New Roman"/>
                <w:color w:val="000000"/>
                <w:sz w:val="16"/>
                <w:szCs w:val="16"/>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blPrEx>
          <w:tblW w:w="4992" w:type="pct"/>
          <w:jc w:val="center"/>
        </w:tblPrEx>
        <w:trPr>
          <w:gridAfter w:val="1"/>
          <w:jc w:val="center"/>
        </w:trPr>
        <w:tc>
          <w:tcPr>
            <w:tcW w:w="50" w:type="pct"/>
            <w:gridSpan w:val="2"/>
            <w:vAlign w:val="center"/>
            <w:hideMark/>
          </w:tcPr>
          <w:p w:rsidR="00000000" w:rsidRDefault="00AF3814">
            <w:pPr>
              <w:jc w:val="both"/>
              <w:rPr>
                <w:rFonts w:eastAsia="Times New Roman"/>
              </w:rPr>
            </w:pPr>
          </w:p>
        </w:tc>
        <w:tc>
          <w:tcPr>
            <w:tcW w:w="1606" w:type="pct"/>
            <w:gridSpan w:val="16"/>
            <w:vAlign w:val="center"/>
            <w:hideMark/>
          </w:tcPr>
          <w:p w:rsidR="00000000" w:rsidRDefault="00AF3814">
            <w:pPr>
              <w:spacing w:after="100"/>
              <w:rPr>
                <w:rFonts w:eastAsia="Times New Roman"/>
                <w:sz w:val="20"/>
                <w:szCs w:val="20"/>
              </w:rPr>
            </w:pPr>
          </w:p>
        </w:tc>
        <w:tc>
          <w:tcPr>
            <w:tcW w:w="5" w:type="pct"/>
            <w:gridSpan w:val="4"/>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gridSpan w:val="19"/>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5"/>
            <w:vAlign w:val="center"/>
            <w:hideMark/>
          </w:tcPr>
          <w:p w:rsidR="00000000" w:rsidRDefault="00AF3814">
            <w:pPr>
              <w:spacing w:after="100"/>
              <w:rPr>
                <w:rFonts w:eastAsia="Times New Roman"/>
                <w:sz w:val="20"/>
                <w:szCs w:val="20"/>
              </w:rPr>
            </w:pPr>
          </w:p>
        </w:tc>
        <w:tc>
          <w:tcPr>
            <w:tcW w:w="1614" w:type="pct"/>
            <w:gridSpan w:val="15"/>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r>
      <w:tr w:rsidR="00000000">
        <w:tblPrEx>
          <w:tblW w:w="4992" w:type="pct"/>
          <w:jc w:val="center"/>
        </w:tblPrEx>
        <w:trPr>
          <w:gridAfter w:val="1"/>
          <w:jc w:val="center"/>
        </w:trPr>
        <w:tc>
          <w:tcPr>
            <w:tcW w:w="0" w:type="auto"/>
            <w:gridSpan w:val="6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See Notes to Consolidated Financial Statements.</w:t>
            </w:r>
          </w:p>
        </w:tc>
      </w:tr>
      <w:tr w:rsidR="00000000">
        <w:tblPrEx>
          <w:tblW w:w="4992" w:type="pct"/>
          <w:jc w:val="center"/>
        </w:tblPrEx>
        <w:trPr>
          <w:gridAfter w:val="1"/>
          <w:jc w:val="center"/>
        </w:trPr>
        <w:tc>
          <w:tcPr>
            <w:tcW w:w="0" w:type="auto"/>
            <w:gridSpan w:val="22"/>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71</w:t>
            </w:r>
          </w:p>
        </w:tc>
        <w:tc>
          <w:tcPr>
            <w:tcW w:w="0" w:type="auto"/>
            <w:gridSpan w:val="22"/>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96" style="width:0;height:1.5pt" o:hralign="center" o:hrstd="t" o:hr="t" fillcolor="#a0a0a0" stroked="f"/>
        </w:pict>
      </w:r>
    </w:p>
    <w:p w:rsidR="00000000" w:rsidRDefault="00AF3814">
      <w:pPr>
        <w:jc w:val="both"/>
        <w:divId w:val="666592373"/>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666592373"/>
        <w:rPr>
          <w:rFonts w:eastAsia="Times New Roman"/>
        </w:rPr>
      </w:pPr>
    </w:p>
    <w:p w:rsidR="00000000" w:rsidRDefault="00AF3814">
      <w:pPr>
        <w:jc w:val="center"/>
        <w:divId w:val="666592373"/>
        <w:rPr>
          <w:rFonts w:eastAsia="Times New Roman"/>
        </w:rPr>
      </w:pPr>
      <w:r>
        <w:rPr>
          <w:rFonts w:eastAsia="Times New Roman"/>
          <w:b/>
          <w:bCs/>
          <w:color w:val="000000"/>
          <w:sz w:val="20"/>
          <w:szCs w:val="20"/>
        </w:rPr>
        <w:t>CAPITAL ONE FINANCIAL CORPORATION</w:t>
      </w:r>
    </w:p>
    <w:p w:rsidR="00000000" w:rsidRDefault="00AF3814">
      <w:pPr>
        <w:jc w:val="center"/>
        <w:divId w:val="666592373"/>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1135"/>
        <w:gridCol w:w="36"/>
        <w:gridCol w:w="36"/>
        <w:gridCol w:w="36"/>
        <w:gridCol w:w="36"/>
        <w:gridCol w:w="89"/>
        <w:gridCol w:w="611"/>
        <w:gridCol w:w="38"/>
        <w:gridCol w:w="36"/>
        <w:gridCol w:w="36"/>
        <w:gridCol w:w="36"/>
        <w:gridCol w:w="101"/>
        <w:gridCol w:w="431"/>
        <w:gridCol w:w="36"/>
        <w:gridCol w:w="36"/>
        <w:gridCol w:w="36"/>
        <w:gridCol w:w="36"/>
        <w:gridCol w:w="95"/>
        <w:gridCol w:w="765"/>
        <w:gridCol w:w="39"/>
        <w:gridCol w:w="37"/>
        <w:gridCol w:w="36"/>
        <w:gridCol w:w="36"/>
        <w:gridCol w:w="101"/>
        <w:gridCol w:w="434"/>
        <w:gridCol w:w="36"/>
        <w:gridCol w:w="36"/>
        <w:gridCol w:w="36"/>
        <w:gridCol w:w="36"/>
        <w:gridCol w:w="101"/>
        <w:gridCol w:w="577"/>
        <w:gridCol w:w="36"/>
        <w:gridCol w:w="36"/>
        <w:gridCol w:w="36"/>
        <w:gridCol w:w="36"/>
        <w:gridCol w:w="100"/>
        <w:gridCol w:w="480"/>
        <w:gridCol w:w="36"/>
        <w:gridCol w:w="36"/>
        <w:gridCol w:w="36"/>
        <w:gridCol w:w="36"/>
        <w:gridCol w:w="101"/>
        <w:gridCol w:w="871"/>
        <w:gridCol w:w="36"/>
        <w:gridCol w:w="36"/>
        <w:gridCol w:w="36"/>
        <w:gridCol w:w="36"/>
        <w:gridCol w:w="100"/>
        <w:gridCol w:w="547"/>
        <w:gridCol w:w="36"/>
        <w:gridCol w:w="36"/>
        <w:gridCol w:w="36"/>
        <w:gridCol w:w="36"/>
        <w:gridCol w:w="101"/>
        <w:gridCol w:w="763"/>
        <w:gridCol w:w="36"/>
      </w:tblGrid>
      <w:tr w:rsidR="00000000">
        <w:trPr>
          <w:divId w:val="1411929433"/>
        </w:trPr>
        <w:tc>
          <w:tcPr>
            <w:tcW w:w="50" w:type="pct"/>
            <w:vAlign w:val="center"/>
            <w:hideMark/>
          </w:tcPr>
          <w:p w:rsidR="00000000" w:rsidRDefault="00AF3814">
            <w:pPr>
              <w:jc w:val="center"/>
              <w:rPr>
                <w:rFonts w:eastAsia="Times New Roman"/>
              </w:rPr>
            </w:pPr>
          </w:p>
        </w:tc>
        <w:tc>
          <w:tcPr>
            <w:tcW w:w="109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3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11929433"/>
          <w:trHeight w:val="240"/>
        </w:trPr>
        <w:tc>
          <w:tcPr>
            <w:tcW w:w="0" w:type="auto"/>
            <w:gridSpan w:val="3"/>
            <w:vMerge w:val="restart"/>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r>
            <w:r>
              <w:rPr>
                <w:rFonts w:eastAsia="Times New Roman"/>
                <w:b/>
                <w:bCs/>
                <w:color w:val="000000"/>
                <w:sz w:val="14"/>
                <w:szCs w:val="14"/>
              </w:rPr>
              <w:t>Stockholders’</w:t>
            </w:r>
            <w:r>
              <w:rPr>
                <w:rFonts w:eastAsia="Times New Roman"/>
                <w:b/>
                <w:bCs/>
                <w:color w:val="000000"/>
                <w:sz w:val="14"/>
                <w:szCs w:val="14"/>
              </w:rPr>
              <w:br/>
              <w:t>Equity</w:t>
            </w:r>
          </w:p>
        </w:tc>
      </w:tr>
      <w:tr w:rsidR="00000000">
        <w:trPr>
          <w:divId w:val="1411929433"/>
          <w:trHeight w:val="400"/>
        </w:trPr>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r>
      <w:tr w:rsidR="00AF3814">
        <w:trPr>
          <w:divId w:val="14119294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672,969,391 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32,980 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40,340 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(16,472)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58,011 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(2,184)</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(2,192)</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(1,340)</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2,531 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1,191 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951164082"/>
              <w:rPr>
                <w:rFonts w:eastAsia="Times New Roman"/>
              </w:rPr>
            </w:pPr>
            <w:r>
              <w:rPr>
                <w:rFonts w:eastAsia="Times New Roman"/>
                <w:color w:val="000000"/>
                <w:sz w:val="16"/>
                <w:szCs w:val="16"/>
              </w:rPr>
              <w:t>Dividends—</w:t>
            </w:r>
            <w:r>
              <w:rPr>
                <w:rFonts w:eastAsia="Times New Roman"/>
                <w:color w:val="000000"/>
                <w:sz w:val="16"/>
                <w:szCs w:val="16"/>
              </w:rPr>
              <w:t>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23,213 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(187)</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(185)</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(386)</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(386)</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2,618,628 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559,333 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1,250,000 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 xml:space="preserve">Redemptions of preferred stock </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(875,000)</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(853)</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(875)</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4119294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Balance as of March 31,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5,350,000 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676,170,565 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33,450 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36,552 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3,679 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(16,858)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56,830 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(918)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780369523"/>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6,521 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(183)</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(183)</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Dividends—</w:t>
            </w:r>
            <w:r>
              <w:rPr>
                <w:rFonts w:eastAsia="Times New Roman"/>
                <w:color w:val="000000"/>
                <w:sz w:val="16"/>
                <w:szCs w:val="16"/>
              </w:rPr>
              <w:t>preferred stock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(90)</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(90)</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1,041,311 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58 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58 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8,410 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119294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4119294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Balance as of June 30,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5,350,000 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677,226,807 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33,556 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35,361 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(16,860)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56,045 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bl>
    <w:p w:rsidR="00000000" w:rsidRDefault="00AF3814">
      <w:pPr>
        <w:divId w:val="1411929433"/>
        <w:rPr>
          <w:rFonts w:eastAsia="Times New Roman"/>
        </w:rPr>
      </w:pPr>
      <w:r>
        <w:rPr>
          <w:rFonts w:eastAsia="Times New Roman"/>
          <w:color w:val="000000"/>
          <w:sz w:val="20"/>
          <w:szCs w:val="20"/>
        </w:rPr>
        <w:t>__________</w:t>
      </w:r>
    </w:p>
    <w:p w:rsidR="00000000" w:rsidRDefault="00AF3814">
      <w:pPr>
        <w:ind w:hanging="360"/>
        <w:jc w:val="both"/>
        <w:divId w:val="171403697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We declared dividends per share on our common stock of $0.40 in the second quarter of 2021 and 2020, and $0.80 in </w:t>
      </w:r>
      <w:r>
        <w:rPr>
          <w:rFonts w:eastAsia="Times New Roman"/>
          <w:color w:val="000000"/>
          <w:sz w:val="16"/>
          <w:szCs w:val="16"/>
        </w:rPr>
        <w:t>the first six months of 2021 and 2020.</w:t>
      </w:r>
    </w:p>
    <w:tbl>
      <w:tblPr>
        <w:tblW w:w="5000" w:type="pct"/>
        <w:tblCellMar>
          <w:top w:w="15" w:type="dxa"/>
          <w:left w:w="15" w:type="dxa"/>
          <w:bottom w:w="15" w:type="dxa"/>
          <w:right w:w="15" w:type="dxa"/>
        </w:tblCellMar>
        <w:tblLook w:val="04A0" w:firstRow="1" w:lastRow="0" w:firstColumn="1" w:lastColumn="0" w:noHBand="0" w:noVBand="1"/>
      </w:tblPr>
      <w:tblGrid>
        <w:gridCol w:w="56"/>
        <w:gridCol w:w="1852"/>
        <w:gridCol w:w="36"/>
        <w:gridCol w:w="36"/>
        <w:gridCol w:w="36"/>
        <w:gridCol w:w="36"/>
        <w:gridCol w:w="36"/>
        <w:gridCol w:w="515"/>
        <w:gridCol w:w="36"/>
        <w:gridCol w:w="36"/>
        <w:gridCol w:w="36"/>
        <w:gridCol w:w="36"/>
        <w:gridCol w:w="36"/>
        <w:gridCol w:w="378"/>
        <w:gridCol w:w="36"/>
        <w:gridCol w:w="36"/>
        <w:gridCol w:w="36"/>
        <w:gridCol w:w="36"/>
        <w:gridCol w:w="36"/>
        <w:gridCol w:w="647"/>
        <w:gridCol w:w="36"/>
        <w:gridCol w:w="36"/>
        <w:gridCol w:w="36"/>
        <w:gridCol w:w="36"/>
        <w:gridCol w:w="36"/>
        <w:gridCol w:w="378"/>
        <w:gridCol w:w="36"/>
        <w:gridCol w:w="36"/>
        <w:gridCol w:w="36"/>
        <w:gridCol w:w="36"/>
        <w:gridCol w:w="36"/>
        <w:gridCol w:w="501"/>
        <w:gridCol w:w="36"/>
        <w:gridCol w:w="36"/>
        <w:gridCol w:w="36"/>
        <w:gridCol w:w="36"/>
        <w:gridCol w:w="37"/>
        <w:gridCol w:w="466"/>
        <w:gridCol w:w="36"/>
        <w:gridCol w:w="36"/>
        <w:gridCol w:w="36"/>
        <w:gridCol w:w="36"/>
        <w:gridCol w:w="38"/>
        <w:gridCol w:w="746"/>
        <w:gridCol w:w="36"/>
        <w:gridCol w:w="36"/>
        <w:gridCol w:w="36"/>
        <w:gridCol w:w="36"/>
        <w:gridCol w:w="38"/>
        <w:gridCol w:w="454"/>
        <w:gridCol w:w="36"/>
        <w:gridCol w:w="36"/>
        <w:gridCol w:w="36"/>
        <w:gridCol w:w="36"/>
        <w:gridCol w:w="38"/>
        <w:gridCol w:w="650"/>
        <w:gridCol w:w="36"/>
      </w:tblGrid>
      <w:tr w:rsidR="00000000">
        <w:trPr>
          <w:divId w:val="1185900756"/>
        </w:trPr>
        <w:tc>
          <w:tcPr>
            <w:tcW w:w="50" w:type="pct"/>
            <w:vAlign w:val="center"/>
            <w:hideMark/>
          </w:tcPr>
          <w:p w:rsidR="00000000" w:rsidRDefault="00AF3814">
            <w:pPr>
              <w:ind w:hanging="360"/>
              <w:jc w:val="both"/>
              <w:rPr>
                <w:rFonts w:eastAsia="Times New Roman"/>
              </w:rPr>
            </w:pPr>
          </w:p>
        </w:tc>
        <w:tc>
          <w:tcPr>
            <w:tcW w:w="112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2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85900756"/>
          <w:trHeight w:val="60"/>
        </w:trPr>
        <w:tc>
          <w:tcPr>
            <w:tcW w:w="0" w:type="auto"/>
            <w:gridSpan w:val="57"/>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590075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78" w:type="pct"/>
        <w:tblCellMar>
          <w:top w:w="15" w:type="dxa"/>
          <w:left w:w="15" w:type="dxa"/>
          <w:bottom w:w="15" w:type="dxa"/>
          <w:right w:w="15" w:type="dxa"/>
        </w:tblCellMar>
        <w:tblLook w:val="04A0" w:firstRow="1" w:lastRow="0" w:firstColumn="1" w:lastColumn="0" w:noHBand="0" w:noVBand="1"/>
      </w:tblPr>
      <w:tblGrid>
        <w:gridCol w:w="144"/>
        <w:gridCol w:w="1814"/>
        <w:gridCol w:w="144"/>
        <w:gridCol w:w="144"/>
        <w:gridCol w:w="144"/>
        <w:gridCol w:w="144"/>
        <w:gridCol w:w="144"/>
        <w:gridCol w:w="539"/>
        <w:gridCol w:w="144"/>
        <w:gridCol w:w="144"/>
        <w:gridCol w:w="144"/>
        <w:gridCol w:w="144"/>
        <w:gridCol w:w="144"/>
        <w:gridCol w:w="406"/>
        <w:gridCol w:w="144"/>
        <w:gridCol w:w="144"/>
        <w:gridCol w:w="144"/>
        <w:gridCol w:w="144"/>
        <w:gridCol w:w="144"/>
        <w:gridCol w:w="673"/>
        <w:gridCol w:w="144"/>
        <w:gridCol w:w="144"/>
        <w:gridCol w:w="144"/>
        <w:gridCol w:w="144"/>
        <w:gridCol w:w="144"/>
        <w:gridCol w:w="406"/>
        <w:gridCol w:w="144"/>
        <w:gridCol w:w="144"/>
        <w:gridCol w:w="144"/>
        <w:gridCol w:w="144"/>
        <w:gridCol w:w="144"/>
        <w:gridCol w:w="527"/>
        <w:gridCol w:w="144"/>
        <w:gridCol w:w="144"/>
        <w:gridCol w:w="144"/>
        <w:gridCol w:w="144"/>
        <w:gridCol w:w="144"/>
        <w:gridCol w:w="502"/>
        <w:gridCol w:w="144"/>
        <w:gridCol w:w="144"/>
        <w:gridCol w:w="144"/>
        <w:gridCol w:w="144"/>
        <w:gridCol w:w="144"/>
        <w:gridCol w:w="770"/>
        <w:gridCol w:w="144"/>
        <w:gridCol w:w="144"/>
        <w:gridCol w:w="144"/>
        <w:gridCol w:w="144"/>
        <w:gridCol w:w="144"/>
        <w:gridCol w:w="479"/>
        <w:gridCol w:w="144"/>
        <w:gridCol w:w="144"/>
        <w:gridCol w:w="144"/>
        <w:gridCol w:w="144"/>
        <w:gridCol w:w="144"/>
        <w:gridCol w:w="686"/>
        <w:gridCol w:w="144"/>
      </w:tblGrid>
      <w:tr w:rsidR="00000000">
        <w:tc>
          <w:tcPr>
            <w:tcW w:w="50" w:type="pct"/>
            <w:vAlign w:val="center"/>
            <w:hideMark/>
          </w:tcPr>
          <w:p w:rsidR="00000000" w:rsidRDefault="00AF3814">
            <w:pPr>
              <w:rPr>
                <w:rFonts w:eastAsia="Times New Roman"/>
              </w:rPr>
            </w:pPr>
          </w:p>
        </w:tc>
        <w:tc>
          <w:tcPr>
            <w:tcW w:w="10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60"/>
        </w:trPr>
        <w:tc>
          <w:tcPr>
            <w:tcW w:w="0" w:type="auto"/>
            <w:gridSpan w:val="57"/>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903638220"/>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03638220"/>
          <w:jc w:val="center"/>
        </w:trPr>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See Notes to Consolidated Financial Statements.</w:t>
            </w:r>
          </w:p>
        </w:tc>
      </w:tr>
      <w:tr w:rsidR="00000000">
        <w:trPr>
          <w:divId w:val="903638220"/>
          <w:jc w:val="center"/>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97" style="width:0;height:1.5pt" o:hralign="center" o:hrstd="t" o:hr="t" fillcolor="#a0a0a0" stroked="f"/>
        </w:pict>
      </w:r>
    </w:p>
    <w:p w:rsidR="00000000" w:rsidRDefault="00AF3814">
      <w:pPr>
        <w:jc w:val="both"/>
        <w:divId w:val="813833491"/>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813833491"/>
        <w:rPr>
          <w:rFonts w:eastAsia="Times New Roman"/>
        </w:rPr>
      </w:pPr>
    </w:p>
    <w:p w:rsidR="00000000" w:rsidRDefault="00AF3814">
      <w:pPr>
        <w:jc w:val="center"/>
        <w:divId w:val="813833491"/>
        <w:rPr>
          <w:rFonts w:eastAsia="Times New Roman"/>
        </w:rPr>
      </w:pPr>
      <w:r>
        <w:rPr>
          <w:rFonts w:eastAsia="Times New Roman"/>
          <w:b/>
          <w:bCs/>
          <w:color w:val="000000"/>
          <w:sz w:val="20"/>
          <w:szCs w:val="20"/>
        </w:rPr>
        <w:t>CAPITAL ONE FINANCIAL CORPORATION</w:t>
      </w:r>
    </w:p>
    <w:p w:rsidR="00000000" w:rsidRDefault="00AF3814">
      <w:pPr>
        <w:jc w:val="center"/>
        <w:divId w:val="813833491"/>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503"/>
        <w:gridCol w:w="39"/>
        <w:gridCol w:w="36"/>
        <w:gridCol w:w="36"/>
        <w:gridCol w:w="36"/>
        <w:gridCol w:w="101"/>
        <w:gridCol w:w="1009"/>
        <w:gridCol w:w="36"/>
        <w:gridCol w:w="36"/>
        <w:gridCol w:w="36"/>
        <w:gridCol w:w="36"/>
        <w:gridCol w:w="100"/>
        <w:gridCol w:w="1009"/>
        <w:gridCol w:w="36"/>
        <w:gridCol w:w="36"/>
        <w:gridCol w:w="36"/>
        <w:gridCol w:w="36"/>
        <w:gridCol w:w="36"/>
        <w:gridCol w:w="36"/>
        <w:gridCol w:w="36"/>
      </w:tblGrid>
      <w:tr w:rsidR="00000000">
        <w:trPr>
          <w:divId w:val="1914777671"/>
        </w:trPr>
        <w:tc>
          <w:tcPr>
            <w:tcW w:w="50" w:type="pct"/>
            <w:vAlign w:val="center"/>
            <w:hideMark/>
          </w:tcPr>
          <w:p w:rsidR="00000000" w:rsidRDefault="00AF3814">
            <w:pPr>
              <w:jc w:val="center"/>
              <w:rPr>
                <w:rFonts w:eastAsia="Times New Roman"/>
              </w:rPr>
            </w:pPr>
          </w:p>
        </w:tc>
        <w:tc>
          <w:tcPr>
            <w:tcW w:w="342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6,864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(2,257)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6,861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(2,258)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Adjustments to reconcile net income (loss) to net cash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(1,983)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9,669 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Depreciation and amortization, net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1,714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1,804 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Deferred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574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(1,574)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securities losses (gains)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Gain on sales of loans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206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 (including (gains) and losses from equity investments)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Originations and purchases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(3,233)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(4,347)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Proceeds from sales and paydowns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3,707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4,002 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Changes in interest receivable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184 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Changes in other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(3,183)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954 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Changes in interest payable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Changes in other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957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783 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change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Net cash from operating activities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5,694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9,215 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(18,185)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(14,568)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14,142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9,113 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Proceeds from sales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595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Loans: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changes in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(5,160)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9,797 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Principal recoveries of loans previously charged off</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1,308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1,292 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purchases of premises and equipment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(341)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(342)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cash from acquisition activities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cash from other investing activities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(377)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Net cash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(7,691)</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5,059 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914777671"/>
          <w:trHeight w:val="60"/>
        </w:trPr>
        <w:tc>
          <w:tcPr>
            <w:tcW w:w="0" w:type="auto"/>
            <w:gridSpan w:val="15"/>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98" style="width:0;height:1.5pt" o:hralign="center" o:hrstd="t" o:hr="t" fillcolor="#a0a0a0" stroked="f"/>
        </w:pict>
      </w:r>
    </w:p>
    <w:p w:rsidR="00000000" w:rsidRDefault="00AF3814">
      <w:pPr>
        <w:jc w:val="both"/>
        <w:divId w:val="231820214"/>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231820214"/>
        <w:rPr>
          <w:rFonts w:eastAsia="Times New Roman"/>
        </w:rPr>
      </w:pPr>
    </w:p>
    <w:p w:rsidR="00000000" w:rsidRDefault="00AF3814">
      <w:pPr>
        <w:jc w:val="center"/>
        <w:divId w:val="231820214"/>
        <w:rPr>
          <w:rFonts w:eastAsia="Times New Roman"/>
        </w:rPr>
      </w:pPr>
      <w:r>
        <w:rPr>
          <w:rFonts w:eastAsia="Times New Roman"/>
          <w:b/>
          <w:bCs/>
          <w:color w:val="000000"/>
          <w:sz w:val="20"/>
          <w:szCs w:val="20"/>
        </w:rPr>
        <w:t>CAPITAL ONE FINANCIAL CORPORATION</w:t>
      </w:r>
    </w:p>
    <w:p w:rsidR="00000000" w:rsidRDefault="00AF3814">
      <w:pPr>
        <w:jc w:val="center"/>
        <w:divId w:val="231820214"/>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503"/>
        <w:gridCol w:w="40"/>
        <w:gridCol w:w="36"/>
        <w:gridCol w:w="36"/>
        <w:gridCol w:w="36"/>
        <w:gridCol w:w="100"/>
        <w:gridCol w:w="1009"/>
        <w:gridCol w:w="36"/>
        <w:gridCol w:w="36"/>
        <w:gridCol w:w="36"/>
        <w:gridCol w:w="36"/>
        <w:gridCol w:w="100"/>
        <w:gridCol w:w="1009"/>
        <w:gridCol w:w="36"/>
        <w:gridCol w:w="36"/>
        <w:gridCol w:w="36"/>
        <w:gridCol w:w="36"/>
        <w:gridCol w:w="36"/>
        <w:gridCol w:w="36"/>
        <w:gridCol w:w="36"/>
      </w:tblGrid>
      <w:tr w:rsidR="00000000">
        <w:trPr>
          <w:divId w:val="586883925"/>
        </w:trPr>
        <w:tc>
          <w:tcPr>
            <w:tcW w:w="50" w:type="pct"/>
            <w:vAlign w:val="center"/>
            <w:hideMark/>
          </w:tcPr>
          <w:p w:rsidR="00000000" w:rsidRDefault="00AF3814">
            <w:pPr>
              <w:jc w:val="center"/>
              <w:rPr>
                <w:rFonts w:eastAsia="Times New Roman"/>
              </w:rPr>
            </w:pPr>
          </w:p>
        </w:tc>
        <w:tc>
          <w:tcPr>
            <w:tcW w:w="342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Height w:val="60"/>
        </w:trPr>
        <w:tc>
          <w:tcPr>
            <w:tcW w:w="0" w:type="auto"/>
            <w:gridSpan w:val="15"/>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Deposits and borrowings: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Changes in 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945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41,234 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Issuance of 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1,248 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Maturities and paydowns of 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(1,773)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(3,593)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Issuance of senior and subordinated notes and long-term FHLB advances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3,987 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Maturities and paydowns of senior and subordinated notes and long-term FHLB advances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(2,085)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(7,156)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Changes in other borrowings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(6,759)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Common stock:</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proceeds from issuances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(365)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(368)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Preferred stock: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proceeds from issuances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1,641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Dividends paid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(121)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(145)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Redemptions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(875)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(2,243)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(388)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Proceeds from share-based payment activities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Net cash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(3,686)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28,535 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Changes in cash, cash equivalents and 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(5,683)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42,809 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Cash, cash equivalents and restricted cash for securitization investors,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40,771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13,749 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Cash, cash equivalents and restricted cash for securitization investors, end of the period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35,088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56,558 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Supplemental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Non-cash items: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Net transfers from (to) loans held for investment to (from) loans held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4,575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(36)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Interest paid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1,145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2,088 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58688392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Income tax paid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1,013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137 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ind w:firstLine="720"/>
        <w:divId w:val="26345806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407678786"/>
          <w:jc w:val="center"/>
        </w:trPr>
        <w:tc>
          <w:tcPr>
            <w:tcW w:w="50" w:type="pct"/>
            <w:vAlign w:val="center"/>
            <w:hideMark/>
          </w:tcPr>
          <w:p w:rsidR="00000000" w:rsidRDefault="00AF3814">
            <w:pPr>
              <w:ind w:firstLine="720"/>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07678786"/>
          <w:jc w:val="center"/>
        </w:trPr>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20"/>
                <w:szCs w:val="20"/>
              </w:rPr>
              <w:t>See Notes to Consolidated Financial Statements.</w:t>
            </w:r>
          </w:p>
        </w:tc>
      </w:tr>
      <w:tr w:rsidR="00000000">
        <w:trPr>
          <w:divId w:val="1407678786"/>
          <w:jc w:val="center"/>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099" style="width:0;height:1.5pt" o:hralign="center" o:hrstd="t" o:hr="t" fillcolor="#a0a0a0" stroked="f"/>
        </w:pict>
      </w:r>
    </w:p>
    <w:p w:rsidR="00000000" w:rsidRDefault="00AF3814">
      <w:pPr>
        <w:jc w:val="both"/>
        <w:divId w:val="95532953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95532953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12019721"/>
          <w:jc w:val="center"/>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12019721"/>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1—SUMMARY OF SIGNIFICANT ACCOUNTING POLICIES</w:t>
            </w:r>
          </w:p>
        </w:tc>
      </w:tr>
    </w:tbl>
    <w:p w:rsidR="00000000" w:rsidRDefault="00AF3814">
      <w:pPr>
        <w:divId w:val="167183490"/>
        <w:rPr>
          <w:rFonts w:eastAsia="Times New Roman"/>
        </w:rPr>
      </w:pPr>
      <w:r>
        <w:rPr>
          <w:rFonts w:eastAsia="Times New Roman"/>
          <w:b/>
          <w:bCs/>
          <w:color w:val="000000"/>
          <w:sz w:val="20"/>
          <w:szCs w:val="20"/>
        </w:rPr>
        <w:t>The Company</w:t>
      </w:r>
    </w:p>
    <w:p w:rsidR="00000000" w:rsidRDefault="00AF3814">
      <w:pPr>
        <w:jc w:val="both"/>
        <w:divId w:val="35275473"/>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bsidiaries (the “Company”) offer a broad array of financial products and services to consumers, small businesses and commercial clients through digital channels, branches, Cafés and other distribution channels. As of June 30, 2021, our principal subsidiari</w:t>
      </w:r>
      <w:r>
        <w:rPr>
          <w:rFonts w:eastAsia="Times New Roman"/>
          <w:color w:val="000000"/>
          <w:sz w:val="20"/>
          <w:szCs w:val="20"/>
        </w:rPr>
        <w:t>es included:</w:t>
      </w:r>
    </w:p>
    <w:p w:rsidR="00000000" w:rsidRDefault="00AF3814">
      <w:pPr>
        <w:ind w:hanging="360"/>
        <w:jc w:val="both"/>
        <w:divId w:val="2047219399"/>
        <w:rPr>
          <w:rFonts w:eastAsia="Times New Roman"/>
        </w:rPr>
      </w:pPr>
      <w:r>
        <w:rPr>
          <w:rFonts w:eastAsia="Times New Roman"/>
          <w:color w:val="000000"/>
          <w:sz w:val="20"/>
          <w:szCs w:val="20"/>
        </w:rPr>
        <w:t>•Capital One Bank (USA), National Association (“COBNA”</w:t>
      </w:r>
      <w:r>
        <w:rPr>
          <w:rFonts w:eastAsia="Times New Roman"/>
          <w:color w:val="000000"/>
          <w:sz w:val="20"/>
          <w:szCs w:val="20"/>
        </w:rPr>
        <w:t>), which offers credit and debit card products, other lending products and deposit products; and</w:t>
      </w:r>
    </w:p>
    <w:p w:rsidR="00000000" w:rsidRDefault="00AF3814">
      <w:pPr>
        <w:ind w:hanging="360"/>
        <w:jc w:val="both"/>
        <w:divId w:val="1292900636"/>
        <w:rPr>
          <w:rFonts w:eastAsia="Times New Roman"/>
        </w:rPr>
      </w:pPr>
      <w:r>
        <w:rPr>
          <w:rFonts w:eastAsia="Times New Roman"/>
          <w:color w:val="000000"/>
          <w:sz w:val="20"/>
          <w:szCs w:val="20"/>
        </w:rPr>
        <w:t>•Capital One, National Association (“CONA”), which offers a broad spectrum of banking products and financial services to consumers, small businesses and commer</w:t>
      </w:r>
      <w:r>
        <w:rPr>
          <w:rFonts w:eastAsia="Times New Roman"/>
          <w:color w:val="000000"/>
          <w:sz w:val="20"/>
          <w:szCs w:val="20"/>
        </w:rPr>
        <w:t>cial clients.</w:t>
      </w:r>
    </w:p>
    <w:p w:rsidR="00000000" w:rsidRDefault="00AF3814">
      <w:pPr>
        <w:jc w:val="both"/>
        <w:divId w:val="1244222748"/>
        <w:rPr>
          <w:rFonts w:eastAsia="Times New Roman"/>
        </w:rPr>
      </w:pPr>
      <w:r>
        <w:rPr>
          <w:rFonts w:eastAsia="Times New Roman"/>
          <w:color w:val="000000"/>
          <w:sz w:val="20"/>
          <w:szCs w:val="20"/>
        </w:rPr>
        <w:t>The Company is hereafter collectively referred to as “we,” “us” or “our.” COBNA and CONA are collectively referred to as the “Banks.”</w:t>
      </w:r>
    </w:p>
    <w:p w:rsidR="00000000" w:rsidRDefault="00AF3814">
      <w:pPr>
        <w:jc w:val="both"/>
        <w:divId w:val="1059942824"/>
        <w:rPr>
          <w:rFonts w:eastAsia="Times New Roman"/>
        </w:rPr>
      </w:pPr>
      <w:r>
        <w:rPr>
          <w:rFonts w:eastAsia="Times New Roman"/>
          <w:color w:val="000000"/>
          <w:sz w:val="20"/>
          <w:szCs w:val="20"/>
        </w:rPr>
        <w:t>We also offer products outside of the United States of America (“U.S.”) principally through Capital One (Eur</w:t>
      </w:r>
      <w:r>
        <w:rPr>
          <w:rFonts w:eastAsia="Times New Roman"/>
          <w:color w:val="000000"/>
          <w:sz w:val="20"/>
          <w:szCs w:val="20"/>
        </w:rPr>
        <w:t>ope) plc (“COEP”), an indirect subsidiary of COBNA organized and located in the United Kingdom (“U.K.”), and through a branch of COBNA in Canada. COEP has authority, among other things, to provide credit card loans. Our branch of COBNA in Canada also has t</w:t>
      </w:r>
      <w:r>
        <w:rPr>
          <w:rFonts w:eastAsia="Times New Roman"/>
          <w:color w:val="000000"/>
          <w:sz w:val="20"/>
          <w:szCs w:val="20"/>
        </w:rPr>
        <w:t>he authority to provide credit card loans.</w:t>
      </w:r>
    </w:p>
    <w:p w:rsidR="00000000" w:rsidRDefault="00AF3814">
      <w:pPr>
        <w:jc w:val="both"/>
        <w:divId w:val="1522014713"/>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w:t>
      </w:r>
      <w:r>
        <w:rPr>
          <w:rFonts w:eastAsia="Times New Roman"/>
          <w:color w:val="000000"/>
          <w:sz w:val="20"/>
          <w:szCs w:val="20"/>
        </w:rPr>
        <w:t xml:space="preserve"> Credit Card, Consumer Banking and Commercial Banking. We provide details on our business segments, the integration of recent acquisitions, if any, into our business segments and the allocation methodologies and accounting policies used to derive our busin</w:t>
      </w:r>
      <w:r>
        <w:rPr>
          <w:rFonts w:eastAsia="Times New Roman"/>
          <w:color w:val="000000"/>
          <w:sz w:val="20"/>
          <w:szCs w:val="20"/>
        </w:rPr>
        <w:t>ess segment results in “Note 12—Business Segments and Revenue from Contracts with Customers.”</w:t>
      </w:r>
    </w:p>
    <w:p w:rsidR="00000000" w:rsidRDefault="00AF3814">
      <w:pPr>
        <w:divId w:val="2084451079"/>
        <w:rPr>
          <w:rFonts w:eastAsia="Times New Roman"/>
        </w:rPr>
      </w:pPr>
      <w:r>
        <w:rPr>
          <w:rFonts w:eastAsia="Times New Roman"/>
          <w:b/>
          <w:bCs/>
          <w:color w:val="000000"/>
          <w:sz w:val="20"/>
          <w:szCs w:val="20"/>
        </w:rPr>
        <w:t>Basis of Presentation and Use of Estimates</w:t>
      </w:r>
    </w:p>
    <w:p w:rsidR="00000000" w:rsidRDefault="00AF3814">
      <w:pPr>
        <w:jc w:val="both"/>
        <w:divId w:val="833178782"/>
        <w:rPr>
          <w:rFonts w:eastAsia="Times New Roman"/>
        </w:rPr>
      </w:pPr>
      <w:r>
        <w:rPr>
          <w:rFonts w:eastAsia="Times New Roman"/>
          <w:color w:val="000000"/>
          <w:sz w:val="20"/>
          <w:szCs w:val="20"/>
        </w:rPr>
        <w:t>The accompanying unaudited interim consolidated financial statements have been prepared in accordance with generally ac</w:t>
      </w:r>
      <w:r>
        <w:rPr>
          <w:rFonts w:eastAsia="Times New Roman"/>
          <w:color w:val="000000"/>
          <w:sz w:val="20"/>
          <w:szCs w:val="20"/>
        </w:rPr>
        <w:t>cepted accounting principles in the U.S. (“U.S. GAAP”). The preparation of the consolidated financial statements in conformity with U.S. GAAP requires management to make estimates and assumptions that affect the amounts reported in the consolidated financi</w:t>
      </w:r>
      <w:r>
        <w:rPr>
          <w:rFonts w:eastAsia="Times New Roman"/>
          <w:color w:val="000000"/>
          <w:sz w:val="20"/>
          <w:szCs w:val="20"/>
        </w:rPr>
        <w:t>al statements and in the related disclosures. These estimates are based on information available as of the date of the consolidated financial statements. While management makes its best judgments, actual amounts or results could differ from these estimates</w:t>
      </w:r>
      <w:r>
        <w:rPr>
          <w:rFonts w:eastAsia="Times New Roman"/>
          <w:color w:val="000000"/>
          <w:sz w:val="20"/>
          <w:szCs w:val="20"/>
        </w:rPr>
        <w:t>. In the opinion of management, all normal, recurring adjustments have been included for a fair statement of this interim financial information.</w:t>
      </w:r>
      <w:r>
        <w:rPr>
          <w:rFonts w:eastAsia="Times New Roman"/>
          <w:i/>
          <w:iCs/>
          <w:color w:val="000000"/>
          <w:sz w:val="20"/>
          <w:szCs w:val="20"/>
        </w:rPr>
        <w:t xml:space="preserve"> </w:t>
      </w:r>
      <w:r>
        <w:rPr>
          <w:rFonts w:eastAsia="Times New Roman"/>
          <w:color w:val="000000"/>
          <w:sz w:val="20"/>
          <w:szCs w:val="20"/>
        </w:rPr>
        <w:t>Certain prior period amounts have been reclassified to conform to the current period presentation.</w:t>
      </w:r>
    </w:p>
    <w:p w:rsidR="00000000" w:rsidRDefault="00AF3814">
      <w:pPr>
        <w:jc w:val="both"/>
        <w:divId w:val="1803577747"/>
        <w:rPr>
          <w:rFonts w:eastAsia="Times New Roman"/>
        </w:rPr>
      </w:pPr>
      <w:r>
        <w:rPr>
          <w:rFonts w:eastAsia="Times New Roman"/>
          <w:color w:val="000000"/>
          <w:sz w:val="20"/>
          <w:szCs w:val="20"/>
        </w:rPr>
        <w:t>These unaudi</w:t>
      </w:r>
      <w:r>
        <w:rPr>
          <w:rFonts w:eastAsia="Times New Roman"/>
          <w:color w:val="000000"/>
          <w:sz w:val="20"/>
          <w:szCs w:val="20"/>
        </w:rPr>
        <w:t>ted interim consolidated financial statements should be read in conjunction with the audited consolidated financial statements, and related notes thereto, included in Capital One Financial Corporation’s 2020 Annual Report on Form 10-K (“2020 Form 10-K”).</w:t>
      </w:r>
    </w:p>
    <w:p w:rsidR="00000000" w:rsidRDefault="00AF3814">
      <w:pPr>
        <w:jc w:val="both"/>
        <w:divId w:val="136983588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34132601"/>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3413260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413260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00" style="width:0;height:1.5pt" o:hralign="center" o:hrstd="t" o:hr="t" fillcolor="#a0a0a0" stroked="f"/>
        </w:pict>
      </w:r>
    </w:p>
    <w:p w:rsidR="00000000" w:rsidRDefault="00AF3814">
      <w:pPr>
        <w:jc w:val="both"/>
        <w:divId w:val="39604899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396048995"/>
        <w:rPr>
          <w:rFonts w:eastAsia="Times New Roman"/>
        </w:rPr>
      </w:pPr>
    </w:p>
    <w:p w:rsidR="00000000" w:rsidRDefault="00AF3814">
      <w:pPr>
        <w:divId w:val="1872187734"/>
        <w:rPr>
          <w:rFonts w:eastAsia="Times New Roman"/>
        </w:rPr>
      </w:pPr>
      <w:r>
        <w:rPr>
          <w:rFonts w:eastAsia="Times New Roman"/>
          <w:b/>
          <w:bCs/>
          <w:color w:val="000000"/>
          <w:sz w:val="20"/>
          <w:szCs w:val="20"/>
        </w:rPr>
        <w:t>Newly Adopted Accounting Standards During the Six Months Ended June 30, 2021</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6"/>
        <w:gridCol w:w="36"/>
        <w:gridCol w:w="36"/>
        <w:gridCol w:w="36"/>
        <w:gridCol w:w="40"/>
        <w:gridCol w:w="2593"/>
        <w:gridCol w:w="36"/>
        <w:gridCol w:w="36"/>
        <w:gridCol w:w="36"/>
        <w:gridCol w:w="36"/>
        <w:gridCol w:w="42"/>
        <w:gridCol w:w="2606"/>
        <w:gridCol w:w="37"/>
      </w:tblGrid>
      <w:tr w:rsidR="00000000">
        <w:trPr>
          <w:divId w:val="424037020"/>
          <w:jc w:val="center"/>
        </w:trPr>
        <w:tc>
          <w:tcPr>
            <w:tcW w:w="50" w:type="pct"/>
            <w:vAlign w:val="center"/>
            <w:hideMark/>
          </w:tcPr>
          <w:p w:rsidR="00000000" w:rsidRDefault="00AF3814">
            <w:pPr>
              <w:rPr>
                <w:rFonts w:eastAsia="Times New Roman"/>
              </w:rPr>
            </w:pPr>
          </w:p>
        </w:tc>
        <w:tc>
          <w:tcPr>
            <w:tcW w:w="15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5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59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24037020"/>
          <w:jc w:val="center"/>
        </w:trPr>
        <w:tc>
          <w:tcPr>
            <w:tcW w:w="0" w:type="auto"/>
            <w:gridSpan w:val="3"/>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Adoption Timing and Financial Statement Impacts</w:t>
            </w:r>
          </w:p>
        </w:tc>
      </w:tr>
      <w:tr w:rsidR="00000000">
        <w:trPr>
          <w:divId w:val="424037020"/>
          <w:jc w:val="center"/>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037020"/>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037020"/>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037020"/>
          <w:jc w:val="center"/>
        </w:trPr>
        <w:tc>
          <w:tcPr>
            <w:tcW w:w="0" w:type="auto"/>
            <w:gridSpan w:val="3"/>
            <w:tcBorders>
              <w:top w:val="single" w:sz="8" w:space="0" w:color="000000"/>
            </w:tcBorders>
            <w:tcMar>
              <w:top w:w="30" w:type="dxa"/>
              <w:left w:w="20" w:type="dxa"/>
              <w:bottom w:w="30" w:type="dxa"/>
              <w:right w:w="20" w:type="dxa"/>
            </w:tcMar>
            <w:hideMark/>
          </w:tcPr>
          <w:p w:rsidR="00000000" w:rsidRDefault="00AF3814">
            <w:pPr>
              <w:spacing w:after="100"/>
              <w:divId w:val="1799294957"/>
              <w:rPr>
                <w:rFonts w:eastAsia="Times New Roman"/>
              </w:rPr>
            </w:pPr>
            <w:r>
              <w:rPr>
                <w:rFonts w:eastAsia="Times New Roman"/>
                <w:b/>
                <w:bCs/>
                <w:color w:val="000000"/>
                <w:sz w:val="18"/>
                <w:szCs w:val="18"/>
              </w:rPr>
              <w:t>Income Tax Accounting Simplification</w:t>
            </w:r>
          </w:p>
          <w:p w:rsidR="00000000" w:rsidRDefault="00AF3814">
            <w:pPr>
              <w:spacing w:after="100"/>
              <w:divId w:val="1911772409"/>
              <w:rPr>
                <w:rFonts w:eastAsia="Times New Roman"/>
              </w:rPr>
            </w:pPr>
            <w:r>
              <w:rPr>
                <w:rFonts w:eastAsia="Times New Roman"/>
                <w:color w:val="000000"/>
                <w:sz w:val="18"/>
                <w:szCs w:val="18"/>
              </w:rPr>
              <w:t>ASU No. 2019-12, Income Taxes (Topic 740):</w:t>
            </w:r>
            <w:r>
              <w:rPr>
                <w:rFonts w:eastAsia="Times New Roman"/>
                <w:i/>
                <w:iCs/>
                <w:color w:val="000000"/>
                <w:sz w:val="18"/>
                <w:szCs w:val="18"/>
              </w:rPr>
              <w:t xml:space="preserve"> </w:t>
            </w:r>
            <w:r>
              <w:rPr>
                <w:rFonts w:eastAsia="Times New Roman"/>
                <w:i/>
                <w:iCs/>
                <w:color w:val="000000"/>
                <w:sz w:val="18"/>
                <w:szCs w:val="18"/>
              </w:rPr>
              <w:t>Simplifying the Accounting for Income Taxes</w:t>
            </w:r>
          </w:p>
          <w:p w:rsidR="00000000" w:rsidRDefault="00AF3814">
            <w:pPr>
              <w:spacing w:after="100"/>
              <w:divId w:val="1866820896"/>
              <w:rPr>
                <w:rFonts w:eastAsia="Times New Roman"/>
              </w:rPr>
            </w:pPr>
            <w:r>
              <w:rPr>
                <w:rFonts w:eastAsia="Times New Roman"/>
                <w:i/>
                <w:iCs/>
                <w:color w:val="000000"/>
                <w:sz w:val="18"/>
                <w:szCs w:val="18"/>
              </w:rPr>
              <w:t>Issued December 2019</w:t>
            </w:r>
          </w:p>
          <w:p w:rsidR="00000000" w:rsidRDefault="00AF3814">
            <w:pPr>
              <w:spacing w:after="100"/>
              <w:divId w:val="379717792"/>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F3814">
            <w:pPr>
              <w:spacing w:after="100"/>
              <w:divId w:val="1525094201"/>
              <w:rPr>
                <w:rFonts w:eastAsia="Times New Roman"/>
              </w:rPr>
            </w:pPr>
            <w:r>
              <w:rPr>
                <w:rFonts w:eastAsia="Times New Roman"/>
                <w:color w:val="000000"/>
                <w:sz w:val="18"/>
                <w:szCs w:val="18"/>
              </w:rPr>
              <w:t>Simplifies various aspects of the guidance on accounting for income taxes.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We adopted this guidance in the first quarter of 2021 using the modified retrospective and prospective m</w:t>
            </w:r>
            <w:r>
              <w:rPr>
                <w:rFonts w:eastAsia="Times New Roman"/>
                <w:color w:val="000000"/>
                <w:sz w:val="18"/>
                <w:szCs w:val="18"/>
              </w:rPr>
              <w:t xml:space="preserve">ethods of adoption. </w:t>
            </w:r>
            <w:r>
              <w:rPr>
                <w:rFonts w:eastAsia="Times New Roman"/>
                <w:color w:val="000000"/>
                <w:sz w:val="18"/>
                <w:szCs w:val="18"/>
              </w:rPr>
              <w:br/>
            </w:r>
            <w:r>
              <w:rPr>
                <w:rFonts w:eastAsia="Times New Roman"/>
                <w:sz w:val="18"/>
                <w:szCs w:val="18"/>
              </w:rPr>
              <w:br/>
            </w:r>
            <w:r>
              <w:rPr>
                <w:rFonts w:eastAsia="Times New Roman"/>
                <w:color w:val="000000"/>
                <w:sz w:val="18"/>
                <w:szCs w:val="18"/>
              </w:rPr>
              <w:t>Our adoption of this standard did not have a material impact on our consolidated financial statements.</w:t>
            </w:r>
          </w:p>
        </w:tc>
      </w:tr>
      <w:tr w:rsidR="00000000">
        <w:trPr>
          <w:divId w:val="424037020"/>
          <w:trHeight w:val="3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jc w:val="cente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01" style="width:0;height:1.5pt" o:hralign="center" o:hrstd="t" o:hr="t" fillcolor="#a0a0a0" stroked="f"/>
        </w:pict>
      </w:r>
    </w:p>
    <w:p w:rsidR="00000000" w:rsidRDefault="00AF3814">
      <w:pPr>
        <w:jc w:val="both"/>
        <w:divId w:val="516970992"/>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51697099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22898266"/>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32289826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2—INVESTMENT SECURITIES</w:t>
            </w:r>
          </w:p>
        </w:tc>
      </w:tr>
    </w:tbl>
    <w:p w:rsidR="00000000" w:rsidRDefault="00AF3814">
      <w:pPr>
        <w:jc w:val="both"/>
        <w:divId w:val="1539321589"/>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commercial mortgage-backed securities (“CMBS”), U.S. Treasury se</w:t>
      </w:r>
      <w:r>
        <w:rPr>
          <w:rFonts w:eastAsia="Times New Roman"/>
          <w:color w:val="000000"/>
          <w:sz w:val="20"/>
          <w:szCs w:val="20"/>
        </w:rPr>
        <w:t>curities and other securities. Agency securities include Government National Mortgage Association (“Ginnie Mae”) guaranteed securities, Federal National Mortgage Association (“Fannie Mae”) and Federal Home Loan Mortgage Corporation (“Freddie Mac”) issued s</w:t>
      </w:r>
      <w:r>
        <w:rPr>
          <w:rFonts w:eastAsia="Times New Roman"/>
          <w:color w:val="000000"/>
          <w:sz w:val="20"/>
          <w:szCs w:val="20"/>
        </w:rPr>
        <w:t>ecurities. The carrying value of our investments in Agency and U.S. Treasury securities represented 96% of our total investment securities portfolio as of both June 30, 2021 and December 31, 2020.</w:t>
      </w:r>
    </w:p>
    <w:p w:rsidR="00000000" w:rsidRDefault="00AF3814">
      <w:pPr>
        <w:jc w:val="both"/>
        <w:divId w:val="312222292"/>
        <w:rPr>
          <w:rFonts w:eastAsia="Times New Roman"/>
        </w:rPr>
      </w:pPr>
      <w:r>
        <w:rPr>
          <w:rFonts w:eastAsia="Times New Roman"/>
          <w:color w:val="000000"/>
          <w:sz w:val="20"/>
          <w:szCs w:val="20"/>
        </w:rPr>
        <w:t>The table below presents the amortized cost, gross unrealiz</w:t>
      </w:r>
      <w:r>
        <w:rPr>
          <w:rFonts w:eastAsia="Times New Roman"/>
          <w:color w:val="000000"/>
          <w:sz w:val="20"/>
          <w:szCs w:val="20"/>
        </w:rPr>
        <w:t>ed gains and losses, and fair value of securities available for sale as of June 30, 2021 and December 31, 2020. Accrued interest receivable of $221 million and $230 million as of June 30, 2021, and December 31, 2020, respectively, is not included in the ta</w:t>
      </w:r>
      <w:r>
        <w:rPr>
          <w:rFonts w:eastAsia="Times New Roman"/>
          <w:color w:val="000000"/>
          <w:sz w:val="20"/>
          <w:szCs w:val="20"/>
        </w:rPr>
        <w:t>ble below.</w:t>
      </w:r>
    </w:p>
    <w:p w:rsidR="00000000" w:rsidRDefault="00AF3814">
      <w:pPr>
        <w:divId w:val="72748565"/>
        <w:rPr>
          <w:rFonts w:eastAsia="Times New Roman"/>
        </w:rPr>
      </w:pPr>
      <w:r>
        <w:rPr>
          <w:rFonts w:eastAsia="Times New Roman"/>
          <w:b/>
          <w:bCs/>
          <w:color w:val="000000"/>
          <w:sz w:val="18"/>
          <w:szCs w:val="18"/>
        </w:rPr>
        <w:t xml:space="preserve">Table 2.1: Investment Securities Available for Sale </w:t>
      </w:r>
    </w:p>
    <w:tbl>
      <w:tblPr>
        <w:tblW w:w="4978" w:type="pct"/>
        <w:tblCellMar>
          <w:top w:w="15" w:type="dxa"/>
          <w:left w:w="15" w:type="dxa"/>
          <w:bottom w:w="15" w:type="dxa"/>
          <w:right w:w="15" w:type="dxa"/>
        </w:tblCellMar>
        <w:tblLook w:val="04A0" w:firstRow="1" w:lastRow="0" w:firstColumn="1" w:lastColumn="0" w:noHBand="0" w:noVBand="1"/>
      </w:tblPr>
      <w:tblGrid>
        <w:gridCol w:w="38"/>
        <w:gridCol w:w="3622"/>
        <w:gridCol w:w="37"/>
        <w:gridCol w:w="36"/>
        <w:gridCol w:w="36"/>
        <w:gridCol w:w="36"/>
        <w:gridCol w:w="110"/>
        <w:gridCol w:w="630"/>
        <w:gridCol w:w="36"/>
        <w:gridCol w:w="36"/>
        <w:gridCol w:w="36"/>
        <w:gridCol w:w="36"/>
        <w:gridCol w:w="111"/>
        <w:gridCol w:w="659"/>
        <w:gridCol w:w="36"/>
        <w:gridCol w:w="36"/>
        <w:gridCol w:w="36"/>
        <w:gridCol w:w="36"/>
        <w:gridCol w:w="111"/>
        <w:gridCol w:w="690"/>
        <w:gridCol w:w="36"/>
        <w:gridCol w:w="36"/>
        <w:gridCol w:w="36"/>
        <w:gridCol w:w="36"/>
        <w:gridCol w:w="111"/>
        <w:gridCol w:w="690"/>
        <w:gridCol w:w="36"/>
        <w:gridCol w:w="36"/>
        <w:gridCol w:w="36"/>
        <w:gridCol w:w="36"/>
        <w:gridCol w:w="110"/>
        <w:gridCol w:w="630"/>
        <w:gridCol w:w="36"/>
      </w:tblGrid>
      <w:tr w:rsidR="00000000">
        <w:trPr>
          <w:divId w:val="1674406795"/>
        </w:trPr>
        <w:tc>
          <w:tcPr>
            <w:tcW w:w="50" w:type="pct"/>
            <w:vAlign w:val="center"/>
            <w:hideMark/>
          </w:tcPr>
          <w:p w:rsidR="00000000" w:rsidRDefault="00AF3814">
            <w:pPr>
              <w:rPr>
                <w:rFonts w:eastAsia="Times New Roman"/>
              </w:rPr>
            </w:pPr>
          </w:p>
        </w:tc>
        <w:tc>
          <w:tcPr>
            <w:tcW w:w="25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67440679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r>
      <w:tr w:rsidR="00000000">
        <w:trPr>
          <w:divId w:val="167440679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167440679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7440679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7440679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7440679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76,318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77,206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7440679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7440679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77,226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1,642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78,322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7440679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10,781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11,087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7440679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489588294"/>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7440679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100,336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101,766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06"/>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9"/>
        <w:gridCol w:w="144"/>
      </w:tblGrid>
      <w:tr w:rsidR="00000000">
        <w:tc>
          <w:tcPr>
            <w:tcW w:w="50" w:type="pct"/>
            <w:vAlign w:val="center"/>
            <w:hideMark/>
          </w:tcPr>
          <w:p w:rsidR="00000000" w:rsidRDefault="00AF3814">
            <w:pPr>
              <w:rPr>
                <w:rFonts w:eastAsia="Times New Roman"/>
              </w:rPr>
            </w:pPr>
          </w:p>
        </w:tc>
        <w:tc>
          <w:tcPr>
            <w:tcW w:w="25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9,302 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9,318 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73,248 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2,326 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75,466 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74,283 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76,703 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11,298 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448 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11,735 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631521152"/>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2,686 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2,689 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97,569 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100,445 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253588329"/>
        <w:rPr>
          <w:rFonts w:eastAsia="Times New Roman"/>
        </w:rPr>
      </w:pPr>
      <w:r>
        <w:rPr>
          <w:rFonts w:eastAsia="Times New Roman"/>
          <w:b/>
          <w:bCs/>
          <w:color w:val="000000"/>
          <w:sz w:val="18"/>
          <w:szCs w:val="18"/>
        </w:rPr>
        <w:t>__________    </w:t>
      </w:r>
    </w:p>
    <w:p w:rsidR="00000000" w:rsidRDefault="00AF3814">
      <w:pPr>
        <w:ind w:hanging="360"/>
        <w:jc w:val="both"/>
        <w:divId w:val="72877157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$2.3 billion and $1.8 billion of asset-backed securities (“ABS”) as of June 30, 2021, and December 31, 2020, respectively. The remaining amount is primarily comprised of supran</w:t>
      </w:r>
      <w:r>
        <w:rPr>
          <w:rFonts w:eastAsia="Times New Roman"/>
          <w:color w:val="000000"/>
          <w:sz w:val="16"/>
          <w:szCs w:val="16"/>
        </w:rPr>
        <w:t>ational bonds and foreign government bonds.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99080070"/>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99080070"/>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9908007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02" style="width:0;height:1.5pt" o:hralign="center" o:hrstd="t" o:hr="t" fillcolor="#a0a0a0" stroked="f"/>
        </w:pict>
      </w:r>
    </w:p>
    <w:p w:rsidR="00000000" w:rsidRDefault="00AF3814">
      <w:pPr>
        <w:jc w:val="both"/>
        <w:divId w:val="518397716"/>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518397716"/>
        <w:rPr>
          <w:rFonts w:eastAsia="Times New Roman"/>
        </w:rPr>
      </w:pPr>
    </w:p>
    <w:p w:rsidR="00000000" w:rsidRDefault="00AF3814">
      <w:pPr>
        <w:divId w:val="1584335142"/>
        <w:rPr>
          <w:rFonts w:eastAsia="Times New Roman"/>
        </w:rPr>
      </w:pPr>
      <w:r>
        <w:rPr>
          <w:rFonts w:eastAsia="Times New Roman"/>
          <w:b/>
          <w:bCs/>
          <w:color w:val="000000"/>
          <w:sz w:val="20"/>
          <w:szCs w:val="20"/>
        </w:rPr>
        <w:t>Investment Securities in a Gross Unrealized Loss Position</w:t>
      </w:r>
    </w:p>
    <w:p w:rsidR="00000000" w:rsidRDefault="00AF3814">
      <w:pPr>
        <w:jc w:val="both"/>
        <w:divId w:val="76751701"/>
        <w:rPr>
          <w:rFonts w:eastAsia="Times New Roman"/>
        </w:rPr>
      </w:pPr>
      <w:r>
        <w:rPr>
          <w:rFonts w:eastAsia="Times New Roman"/>
          <w:color w:val="000000"/>
          <w:sz w:val="20"/>
          <w:szCs w:val="20"/>
        </w:rPr>
        <w:t>The table below provides the gross unrealized losses and fair value of our securities available for sale aggregated by major security type and the length of time that individual securities have been in a continuous unrealized loss position as of June 30, 2</w:t>
      </w:r>
      <w:r>
        <w:rPr>
          <w:rFonts w:eastAsia="Times New Roman"/>
          <w:color w:val="000000"/>
          <w:sz w:val="20"/>
          <w:szCs w:val="20"/>
        </w:rPr>
        <w:t xml:space="preserve">021 and December 31, 2020. The amounts include securities available for sale without an allowance for credit losses. </w:t>
      </w:r>
    </w:p>
    <w:p w:rsidR="00000000" w:rsidRDefault="00AF3814">
      <w:pPr>
        <w:divId w:val="2103522665"/>
        <w:rPr>
          <w:rFonts w:eastAsia="Times New Roman"/>
        </w:rPr>
      </w:pPr>
      <w:r>
        <w:rPr>
          <w:rFonts w:eastAsia="Times New Roman"/>
          <w:b/>
          <w:bCs/>
          <w:color w:val="000000"/>
          <w:sz w:val="18"/>
          <w:szCs w:val="18"/>
        </w:rPr>
        <w:t>Table 2.2: Securities in a Gross Unrealized Loss Position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5"/>
        <w:gridCol w:w="37"/>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1887720478"/>
        </w:trPr>
        <w:tc>
          <w:tcPr>
            <w:tcW w:w="50" w:type="pct"/>
            <w:vAlign w:val="center"/>
            <w:hideMark/>
          </w:tcPr>
          <w:p w:rsidR="00000000" w:rsidRDefault="00AF3814">
            <w:pPr>
              <w:rPr>
                <w:rFonts w:eastAsia="Times New Roman"/>
              </w:rPr>
            </w:pPr>
          </w:p>
        </w:tc>
        <w:tc>
          <w:tcPr>
            <w:tcW w:w="213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87720478"/>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r>
      <w:tr w:rsidR="00000000">
        <w:trPr>
          <w:divId w:val="1887720478"/>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1887720478"/>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r>
            <w:r>
              <w:rPr>
                <w:rFonts w:eastAsia="Times New Roman"/>
                <w:b/>
                <w:bCs/>
                <w:color w:val="000000"/>
                <w:sz w:val="16"/>
                <w:szCs w:val="16"/>
              </w:rPr>
              <w:t>Losses</w:t>
            </w:r>
          </w:p>
        </w:tc>
      </w:tr>
      <w:tr w:rsidR="00000000">
        <w:trPr>
          <w:divId w:val="18877204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87720478"/>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887720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87720478"/>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34,165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(485)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35,850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87720478"/>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Non-agency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87720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RMBS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34,171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(485)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35,856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877204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 CMBS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877204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35492742"/>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887720478"/>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divId w:val="1527057502"/>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36,728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1,908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38,636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bl>
    <w:p w:rsidR="00000000" w:rsidRDefault="00AF381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5"/>
        <w:gridCol w:w="37"/>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2104178346"/>
        </w:trPr>
        <w:tc>
          <w:tcPr>
            <w:tcW w:w="50" w:type="pct"/>
            <w:vAlign w:val="center"/>
            <w:hideMark/>
          </w:tcPr>
          <w:p w:rsidR="00000000" w:rsidRDefault="00AF3814">
            <w:pPr>
              <w:jc w:val="both"/>
              <w:rPr>
                <w:rFonts w:eastAsia="Times New Roman"/>
              </w:rPr>
            </w:pPr>
          </w:p>
        </w:tc>
        <w:tc>
          <w:tcPr>
            <w:tcW w:w="213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104178346"/>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2104178346"/>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210417834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trPr>
          <w:divId w:val="210417834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0417834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0417834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0417834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7,424 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1,791 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9,215 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0417834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Non-agency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0417834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RMBS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9,227 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0417834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 CMBS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0417834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780346027"/>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04178346"/>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divId w:val="182741825"/>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2,059 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11,154 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bl>
    <w:p w:rsidR="00000000" w:rsidRDefault="00AF3814">
      <w:pPr>
        <w:divId w:val="1038551151"/>
        <w:rPr>
          <w:rFonts w:eastAsia="Times New Roman"/>
        </w:rPr>
      </w:pPr>
      <w:r>
        <w:rPr>
          <w:rFonts w:eastAsia="Times New Roman"/>
          <w:color w:val="000000"/>
          <w:sz w:val="20"/>
          <w:szCs w:val="20"/>
        </w:rPr>
        <w:t>__________</w:t>
      </w:r>
    </w:p>
    <w:p w:rsidR="00000000" w:rsidRDefault="00AF3814">
      <w:pPr>
        <w:ind w:hanging="360"/>
        <w:jc w:val="both"/>
        <w:divId w:val="66278489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w:t>
      </w:r>
      <w:r>
        <w:rPr>
          <w:rFonts w:eastAsia="Times New Roman"/>
          <w:color w:val="000000"/>
          <w:sz w:val="16"/>
          <w:szCs w:val="16"/>
        </w:rPr>
        <w:t>Includes primarily other asset-backed securities, foreign government bonds, and supranational bonds.</w:t>
      </w:r>
    </w:p>
    <w:p w:rsidR="00000000" w:rsidRDefault="00AF3814">
      <w:pPr>
        <w:ind w:hanging="360"/>
        <w:jc w:val="both"/>
        <w:divId w:val="154871314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Consists of approxima</w:t>
      </w:r>
      <w:r>
        <w:rPr>
          <w:rFonts w:eastAsia="Times New Roman"/>
          <w:color w:val="000000"/>
          <w:sz w:val="16"/>
          <w:szCs w:val="16"/>
          <w:shd w:val="clear" w:color="auto" w:fill="FFFFFF"/>
        </w:rPr>
        <w:t xml:space="preserve">tely </w:t>
      </w:r>
      <w:r>
        <w:rPr>
          <w:rFonts w:eastAsia="Times New Roman"/>
          <w:color w:val="000000"/>
          <w:sz w:val="16"/>
          <w:szCs w:val="16"/>
        </w:rPr>
        <w:t>570 and 320 se</w:t>
      </w:r>
      <w:r>
        <w:rPr>
          <w:rFonts w:eastAsia="Times New Roman"/>
          <w:color w:val="000000"/>
          <w:sz w:val="16"/>
          <w:szCs w:val="16"/>
          <w:shd w:val="clear" w:color="auto" w:fill="FFFFFF"/>
        </w:rPr>
        <w:t>cur</w:t>
      </w:r>
      <w:r>
        <w:rPr>
          <w:rFonts w:eastAsia="Times New Roman"/>
          <w:color w:val="000000"/>
          <w:sz w:val="16"/>
          <w:szCs w:val="16"/>
        </w:rPr>
        <w:t>ities in gross unrealized loss positions as of June 30, 2021 and December 31, 2020,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2941861"/>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7294186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7294186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03" style="width:0;height:1.5pt" o:hralign="center" o:hrstd="t" o:hr="t" fillcolor="#a0a0a0" stroked="f"/>
        </w:pict>
      </w:r>
    </w:p>
    <w:p w:rsidR="00000000" w:rsidRDefault="00AF3814">
      <w:pPr>
        <w:jc w:val="both"/>
        <w:divId w:val="66574426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665744265"/>
        <w:rPr>
          <w:rFonts w:eastAsia="Times New Roman"/>
        </w:rPr>
      </w:pPr>
    </w:p>
    <w:p w:rsidR="00000000" w:rsidRDefault="00AF3814">
      <w:pPr>
        <w:divId w:val="2117871545"/>
        <w:rPr>
          <w:rFonts w:eastAsia="Times New Roman"/>
        </w:rPr>
      </w:pPr>
      <w:r>
        <w:rPr>
          <w:rFonts w:eastAsia="Times New Roman"/>
          <w:b/>
          <w:bCs/>
          <w:color w:val="000000"/>
          <w:sz w:val="20"/>
          <w:szCs w:val="20"/>
        </w:rPr>
        <w:t>Maturities and Yields of Investment Securities</w:t>
      </w:r>
    </w:p>
    <w:p w:rsidR="00000000" w:rsidRDefault="00AF3814">
      <w:pPr>
        <w:jc w:val="both"/>
        <w:divId w:val="89006849"/>
        <w:rPr>
          <w:rFonts w:eastAsia="Times New Roman"/>
        </w:rPr>
      </w:pPr>
      <w:r>
        <w:rPr>
          <w:rFonts w:eastAsia="Times New Roman"/>
          <w:color w:val="000000"/>
          <w:sz w:val="20"/>
          <w:szCs w:val="20"/>
        </w:rPr>
        <w:t>The table below summarizes, by major security type, the contractual maturities and weighted-average yields of our investment securities as of June 30, 2021. Because borrowers may have the right to call or prepay certain obligations, the expected maturities</w:t>
      </w:r>
      <w:r>
        <w:rPr>
          <w:rFonts w:eastAsia="Times New Roman"/>
          <w:color w:val="000000"/>
          <w:sz w:val="20"/>
          <w:szCs w:val="20"/>
        </w:rPr>
        <w:t xml:space="preserve"> of our securities are likely to differ from the scheduled contractual maturities presented below. The weighted-average yield below represents the effective yield for the investment securities and is calculated based on the amortized cost of each security.</w:t>
      </w:r>
    </w:p>
    <w:p w:rsidR="00000000" w:rsidRDefault="00AF3814">
      <w:pPr>
        <w:divId w:val="2003727949"/>
        <w:rPr>
          <w:rFonts w:eastAsia="Times New Roman"/>
        </w:rPr>
      </w:pPr>
      <w:r>
        <w:rPr>
          <w:rFonts w:eastAsia="Times New Roman"/>
          <w:b/>
          <w:bCs/>
          <w:color w:val="000000"/>
          <w:sz w:val="18"/>
          <w:szCs w:val="18"/>
        </w:rPr>
        <w:t>Table 2.3: Contractual Maturities and Weighted-Average Yields of Securities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3314"/>
        <w:gridCol w:w="38"/>
        <w:gridCol w:w="36"/>
        <w:gridCol w:w="36"/>
        <w:gridCol w:w="36"/>
        <w:gridCol w:w="110"/>
        <w:gridCol w:w="541"/>
        <w:gridCol w:w="200"/>
        <w:gridCol w:w="36"/>
        <w:gridCol w:w="36"/>
        <w:gridCol w:w="36"/>
        <w:gridCol w:w="110"/>
        <w:gridCol w:w="542"/>
        <w:gridCol w:w="200"/>
        <w:gridCol w:w="36"/>
        <w:gridCol w:w="36"/>
        <w:gridCol w:w="36"/>
        <w:gridCol w:w="110"/>
        <w:gridCol w:w="543"/>
        <w:gridCol w:w="200"/>
        <w:gridCol w:w="36"/>
        <w:gridCol w:w="36"/>
        <w:gridCol w:w="36"/>
        <w:gridCol w:w="110"/>
        <w:gridCol w:w="544"/>
        <w:gridCol w:w="200"/>
        <w:gridCol w:w="36"/>
        <w:gridCol w:w="36"/>
        <w:gridCol w:w="36"/>
        <w:gridCol w:w="110"/>
        <w:gridCol w:w="630"/>
        <w:gridCol w:w="200"/>
      </w:tblGrid>
      <w:tr w:rsidR="00000000">
        <w:trPr>
          <w:divId w:val="1357925333"/>
        </w:trPr>
        <w:tc>
          <w:tcPr>
            <w:tcW w:w="50" w:type="pct"/>
            <w:vAlign w:val="center"/>
            <w:hideMark/>
          </w:tcPr>
          <w:p w:rsidR="00000000" w:rsidRDefault="00AF3814">
            <w:pPr>
              <w:rPr>
                <w:rFonts w:eastAsia="Times New Roman"/>
              </w:rPr>
            </w:pPr>
          </w:p>
        </w:tc>
        <w:tc>
          <w:tcPr>
            <w:tcW w:w="21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57925333"/>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r>
      <w:tr w:rsidR="00000000">
        <w:trPr>
          <w:divId w:val="1357925333"/>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xml:space="preserve">Due in </w:t>
            </w:r>
            <w:r>
              <w:rPr>
                <w:rFonts w:eastAsia="Times New Roman"/>
                <w:b/>
                <w:bCs/>
                <w:color w:val="000000"/>
                <w:sz w:val="16"/>
                <w:szCs w:val="16"/>
              </w:rPr>
              <w:br/>
              <w:t>1 Year or Less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Due &gt; 1 Year</w:t>
            </w:r>
            <w:r>
              <w:rPr>
                <w:rFonts w:eastAsia="Times New Roman"/>
                <w:b/>
                <w:bCs/>
                <w:color w:val="000000"/>
                <w:sz w:val="16"/>
                <w:szCs w:val="16"/>
              </w:rPr>
              <w:br/>
              <w:t>through</w:t>
            </w:r>
            <w:r>
              <w:rPr>
                <w:rFonts w:eastAsia="Times New Roman"/>
                <w:b/>
                <w:bCs/>
                <w:color w:val="000000"/>
                <w:sz w:val="16"/>
                <w:szCs w:val="16"/>
              </w:rPr>
              <w:br/>
              <w:t>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xml:space="preserve">Due &gt; </w:t>
            </w:r>
            <w:r>
              <w:rPr>
                <w:rFonts w:eastAsia="Times New Roman"/>
                <w:b/>
                <w:bCs/>
                <w:color w:val="000000"/>
                <w:sz w:val="16"/>
                <w:szCs w:val="16"/>
              </w:rPr>
              <w:t>5 Years</w:t>
            </w:r>
            <w:r>
              <w:rPr>
                <w:rFonts w:eastAsia="Times New Roman"/>
                <w:b/>
                <w:bCs/>
                <w:color w:val="000000"/>
                <w:sz w:val="16"/>
                <w:szCs w:val="16"/>
              </w:rPr>
              <w:br/>
              <w:t>through</w:t>
            </w:r>
            <w:r>
              <w:rPr>
                <w:rFonts w:eastAsia="Times New Roman"/>
                <w:b/>
                <w:bCs/>
                <w:color w:val="000000"/>
                <w:sz w:val="16"/>
                <w:szCs w:val="16"/>
              </w:rPr>
              <w:br/>
              <w:t>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Due &gt;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13579253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Fair value of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579253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1,401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7,830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9,231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3579253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67214548"/>
              <w:rPr>
                <w:rFonts w:eastAsia="Times New Roman"/>
              </w:rPr>
            </w:pPr>
            <w:r>
              <w:rPr>
                <w:rFonts w:eastAsia="Times New Roman"/>
                <w:color w:val="000000"/>
                <w:sz w:val="18"/>
                <w:szCs w:val="18"/>
              </w:rPr>
              <w:t>RMB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5792533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75,970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77,206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35792533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3579253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77,086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78,322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3579253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449474102"/>
              <w:rPr>
                <w:rFonts w:eastAsia="Times New Roman"/>
              </w:rPr>
            </w:pPr>
            <w:r>
              <w:rPr>
                <w:rFonts w:eastAsia="Times New Roman"/>
                <w:color w:val="000000"/>
                <w:sz w:val="18"/>
                <w:szCs w:val="18"/>
              </w:rPr>
              <w:t>Agency CMB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2,666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5,133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2,889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11,087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3579253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2,560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3579253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2,098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13,153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6,540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79,975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101,766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35792533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Amortized cost of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2,096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13,087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6,376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78,777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100,336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35792533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Weighted-average yield for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r>
      <w:tr w:rsidR="00000000">
        <w:trPr>
          <w:divId w:val="1357925333"/>
        </w:trPr>
        <w:tc>
          <w:tcPr>
            <w:tcW w:w="0" w:type="auto"/>
            <w:gridSpan w:val="3"/>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357925333"/>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57925333"/>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57925333"/>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57925333"/>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57925333"/>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357925333"/>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divId w:val="964964354"/>
        <w:rPr>
          <w:rFonts w:eastAsia="Times New Roman"/>
        </w:rPr>
      </w:pPr>
      <w:r>
        <w:rPr>
          <w:rFonts w:eastAsia="Times New Roman"/>
          <w:color w:val="000000"/>
          <w:sz w:val="20"/>
          <w:szCs w:val="20"/>
        </w:rPr>
        <w:t>__________</w:t>
      </w:r>
    </w:p>
    <w:p w:rsidR="00000000" w:rsidRDefault="00AF3814">
      <w:pPr>
        <w:ind w:hanging="360"/>
        <w:jc w:val="both"/>
        <w:divId w:val="135588639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June 30, 2021, the weighted-average expected maturities of RMBS and Agency CMBS are 5.4 years and 5.6 years, respectively.</w:t>
      </w:r>
    </w:p>
    <w:p w:rsidR="00000000" w:rsidRDefault="00AF3814">
      <w:pPr>
        <w:divId w:val="196700116"/>
        <w:rPr>
          <w:rFonts w:eastAsia="Times New Roman"/>
        </w:rPr>
      </w:pPr>
      <w:r>
        <w:rPr>
          <w:rFonts w:eastAsia="Times New Roman"/>
          <w:b/>
          <w:bCs/>
          <w:color w:val="000000"/>
          <w:sz w:val="20"/>
          <w:szCs w:val="20"/>
        </w:rPr>
        <w:t>Net Securities Gains or Losses and Proceeds from Sales</w:t>
      </w:r>
    </w:p>
    <w:p w:rsidR="00000000" w:rsidRDefault="00AF3814">
      <w:pPr>
        <w:jc w:val="both"/>
        <w:divId w:val="1379938064"/>
        <w:rPr>
          <w:rFonts w:eastAsia="Times New Roman"/>
        </w:rPr>
      </w:pPr>
      <w:r>
        <w:rPr>
          <w:rFonts w:eastAsia="Times New Roman"/>
          <w:color w:val="000000"/>
          <w:sz w:val="20"/>
          <w:szCs w:val="20"/>
        </w:rPr>
        <w:t xml:space="preserve">Total proceeds from sales of our securities were $595 million, with gains of $4 million for the six months ended June 30, 2021. We had no </w:t>
      </w:r>
      <w:r>
        <w:rPr>
          <w:rFonts w:eastAsia="Times New Roman"/>
          <w:color w:val="000000"/>
          <w:sz w:val="20"/>
          <w:szCs w:val="20"/>
        </w:rPr>
        <w:t>sales of securities both for the three months ended June 30, 2021 and 2020. For the six months ended June 30, 2020, total proceeds from the sale of our securities were $144 million and we recognized less than $1 million of gains.</w:t>
      </w:r>
    </w:p>
    <w:p w:rsidR="00000000" w:rsidRDefault="00AF3814">
      <w:pPr>
        <w:divId w:val="2141990461"/>
        <w:rPr>
          <w:rFonts w:eastAsia="Times New Roman"/>
        </w:rPr>
      </w:pPr>
      <w:r>
        <w:rPr>
          <w:rFonts w:eastAsia="Times New Roman"/>
          <w:b/>
          <w:bCs/>
          <w:color w:val="000000"/>
          <w:sz w:val="20"/>
          <w:szCs w:val="20"/>
        </w:rPr>
        <w:t>Securities Pledged and Rec</w:t>
      </w:r>
      <w:r>
        <w:rPr>
          <w:rFonts w:eastAsia="Times New Roman"/>
          <w:b/>
          <w:bCs/>
          <w:color w:val="000000"/>
          <w:sz w:val="20"/>
          <w:szCs w:val="20"/>
        </w:rPr>
        <w:t>eived</w:t>
      </w:r>
    </w:p>
    <w:p w:rsidR="00000000" w:rsidRDefault="00AF3814">
      <w:pPr>
        <w:jc w:val="both"/>
        <w:divId w:val="1584415922"/>
        <w:rPr>
          <w:rFonts w:eastAsia="Times New Roman"/>
        </w:rPr>
      </w:pPr>
      <w:r>
        <w:rPr>
          <w:rFonts w:eastAsia="Times New Roman"/>
          <w:color w:val="000000"/>
          <w:sz w:val="20"/>
          <w:szCs w:val="20"/>
        </w:rPr>
        <w:t>We pledged investment securities totaling $19.2 billion and $16.5 billion as of June 30, 2021 and December 31, 2020, respectively. These securities are primarily pledged to secure FHLB advances and Public Funds deposits, as well as for other purposes</w:t>
      </w:r>
      <w:r>
        <w:rPr>
          <w:rFonts w:eastAsia="Times New Roman"/>
          <w:color w:val="000000"/>
          <w:sz w:val="20"/>
          <w:szCs w:val="20"/>
        </w:rPr>
        <w:t xml:space="preserve"> as required or permitted by law. We accepted pledges of securities with a fair value of approximately $1 million as of both June 30, 2021 and December 31, 2020, related to our derivative transactions.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65793210"/>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65793210"/>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6579321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79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04" style="width:0;height:1.5pt" o:hralign="center" o:hrstd="t" o:hr="t" fillcolor="#a0a0a0" stroked="f"/>
        </w:pict>
      </w:r>
    </w:p>
    <w:p w:rsidR="00000000" w:rsidRDefault="00AF3814">
      <w:pPr>
        <w:jc w:val="both"/>
        <w:divId w:val="570772623"/>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57077262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12604513"/>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01260451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3—LOANS</w:t>
            </w:r>
          </w:p>
        </w:tc>
      </w:tr>
    </w:tbl>
    <w:p w:rsidR="00000000" w:rsidRDefault="00AF3814">
      <w:pPr>
        <w:jc w:val="both"/>
        <w:divId w:val="1870801708"/>
        <w:rPr>
          <w:rFonts w:eastAsia="Times New Roman"/>
        </w:rPr>
      </w:pPr>
      <w:r>
        <w:rPr>
          <w:rFonts w:eastAsia="Times New Roman"/>
          <w:color w:val="000000"/>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eastAsia="Times New Roman"/>
          <w:color w:val="000000"/>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eastAsia="Times New Roman"/>
          <w:color w:val="000000"/>
          <w:sz w:val="20"/>
          <w:szCs w:val="20"/>
        </w:rPr>
        <w:t>rial loans. The information presented in this section excludes loans held for sale, which are carried at either fair value (if we elect the fair value option) or at the lower of cost or fair value. Amounts include the impacts of COVID-19 customer assistanc</w:t>
      </w:r>
      <w:r>
        <w:rPr>
          <w:rFonts w:eastAsia="Times New Roman"/>
          <w:color w:val="000000"/>
          <w:sz w:val="20"/>
          <w:szCs w:val="20"/>
        </w:rPr>
        <w:t>e programs where applicable.</w:t>
      </w:r>
    </w:p>
    <w:p w:rsidR="00000000" w:rsidRDefault="00AF3814">
      <w:pPr>
        <w:jc w:val="both"/>
        <w:divId w:val="1583563230"/>
        <w:rPr>
          <w:rFonts w:eastAsia="Times New Roman"/>
        </w:rPr>
      </w:pPr>
      <w:r>
        <w:rPr>
          <w:rFonts w:eastAsia="Times New Roman"/>
          <w:color w:val="000000"/>
          <w:sz w:val="20"/>
          <w:szCs w:val="20"/>
        </w:rPr>
        <w:t>Accrued interest receivable of</w:t>
      </w:r>
      <w:r>
        <w:rPr>
          <w:rFonts w:eastAsia="Times New Roman"/>
          <w:color w:val="000000"/>
          <w:sz w:val="20"/>
          <w:szCs w:val="20"/>
          <w:shd w:val="clear" w:color="auto" w:fill="FFFFFF"/>
        </w:rPr>
        <w:t xml:space="preserve"> </w:t>
      </w:r>
      <w:r>
        <w:rPr>
          <w:rFonts w:eastAsia="Times New Roman"/>
          <w:color w:val="000000"/>
          <w:sz w:val="20"/>
          <w:szCs w:val="20"/>
        </w:rPr>
        <w:t>$1.2 billion as of both June 30, 2021 and December 31, 2020, is not included in the tables in this note. The table below presents the composition and aging analysis of our loans held for investmen</w:t>
      </w:r>
      <w:r>
        <w:rPr>
          <w:rFonts w:eastAsia="Times New Roman"/>
          <w:color w:val="000000"/>
          <w:sz w:val="20"/>
          <w:szCs w:val="20"/>
        </w:rPr>
        <w:t xml:space="preserve">t portfolio as of June 30, 2021 and December 31, 2020. The delinquency aging includes all past due loans, both performing and nonperforming. </w:t>
      </w:r>
    </w:p>
    <w:p w:rsidR="00000000" w:rsidRDefault="00AF3814">
      <w:pPr>
        <w:divId w:val="1057811"/>
        <w:rPr>
          <w:rFonts w:eastAsia="Times New Roman"/>
        </w:rPr>
      </w:pPr>
      <w:r>
        <w:rPr>
          <w:rFonts w:eastAsia="Times New Roman"/>
          <w:b/>
          <w:bCs/>
          <w:color w:val="000000"/>
          <w:sz w:val="18"/>
          <w:szCs w:val="18"/>
        </w:rPr>
        <w:t>Table 3.1: Loan Portfolio Composition and Aging Analysis</w:t>
      </w:r>
    </w:p>
    <w:tbl>
      <w:tblPr>
        <w:tblW w:w="5000" w:type="pct"/>
        <w:tblCellMar>
          <w:top w:w="15" w:type="dxa"/>
          <w:left w:w="15" w:type="dxa"/>
          <w:bottom w:w="15" w:type="dxa"/>
          <w:right w:w="15" w:type="dxa"/>
        </w:tblCellMar>
        <w:tblLook w:val="04A0" w:firstRow="1" w:lastRow="0" w:firstColumn="1" w:lastColumn="0" w:noHBand="0" w:noVBand="1"/>
      </w:tblPr>
      <w:tblGrid>
        <w:gridCol w:w="40"/>
        <w:gridCol w:w="2321"/>
        <w:gridCol w:w="38"/>
        <w:gridCol w:w="36"/>
        <w:gridCol w:w="36"/>
        <w:gridCol w:w="36"/>
        <w:gridCol w:w="110"/>
        <w:gridCol w:w="630"/>
        <w:gridCol w:w="200"/>
        <w:gridCol w:w="36"/>
        <w:gridCol w:w="36"/>
        <w:gridCol w:w="36"/>
        <w:gridCol w:w="110"/>
        <w:gridCol w:w="466"/>
        <w:gridCol w:w="200"/>
        <w:gridCol w:w="36"/>
        <w:gridCol w:w="36"/>
        <w:gridCol w:w="36"/>
        <w:gridCol w:w="110"/>
        <w:gridCol w:w="475"/>
        <w:gridCol w:w="200"/>
        <w:gridCol w:w="36"/>
        <w:gridCol w:w="36"/>
        <w:gridCol w:w="36"/>
        <w:gridCol w:w="110"/>
        <w:gridCol w:w="476"/>
        <w:gridCol w:w="200"/>
        <w:gridCol w:w="36"/>
        <w:gridCol w:w="36"/>
        <w:gridCol w:w="36"/>
        <w:gridCol w:w="111"/>
        <w:gridCol w:w="721"/>
        <w:gridCol w:w="200"/>
        <w:gridCol w:w="36"/>
        <w:gridCol w:w="36"/>
        <w:gridCol w:w="36"/>
        <w:gridCol w:w="110"/>
        <w:gridCol w:w="630"/>
        <w:gridCol w:w="200"/>
      </w:tblGrid>
      <w:tr w:rsidR="00000000">
        <w:trPr>
          <w:divId w:val="1435444159"/>
        </w:trPr>
        <w:tc>
          <w:tcPr>
            <w:tcW w:w="50" w:type="pct"/>
            <w:vAlign w:val="center"/>
            <w:hideMark/>
          </w:tcPr>
          <w:p w:rsidR="00000000" w:rsidRDefault="00AF3814">
            <w:pPr>
              <w:rPr>
                <w:rFonts w:eastAsia="Times New Roman"/>
              </w:rPr>
            </w:pPr>
          </w:p>
        </w:tc>
        <w:tc>
          <w:tcPr>
            <w:tcW w:w="152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35444159"/>
        </w:trPr>
        <w:tc>
          <w:tcPr>
            <w:tcW w:w="0" w:type="auto"/>
            <w:gridSpan w:val="3"/>
            <w:tcMar>
              <w:top w:w="30" w:type="dxa"/>
              <w:left w:w="155"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r>
      <w:tr w:rsidR="00000000">
        <w:trPr>
          <w:divId w:val="1435444159"/>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5444159"/>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AF3814">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143544415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5444159"/>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93,711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95,309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5444159"/>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5,536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5,708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3544415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99,247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592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101,017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544415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5444159"/>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69,222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71,713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5444159"/>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544415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72,221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74,759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544415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35444159"/>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29,476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29,616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435444159"/>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43,924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44,205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544415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73,400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73,821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544415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2085715911"/>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244,868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249,597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3544415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98.11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0.42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0.46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05" style="width:0;height:1.5pt" o:hralign="center" o:hrstd="t" o:hr="t" fillcolor="#a0a0a0" stroked="f"/>
        </w:pict>
      </w:r>
    </w:p>
    <w:p w:rsidR="00000000" w:rsidRDefault="00AF3814">
      <w:pPr>
        <w:jc w:val="both"/>
        <w:divId w:val="1541435321"/>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5414353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358"/>
        <w:gridCol w:w="38"/>
        <w:gridCol w:w="36"/>
        <w:gridCol w:w="36"/>
        <w:gridCol w:w="36"/>
        <w:gridCol w:w="110"/>
        <w:gridCol w:w="657"/>
        <w:gridCol w:w="170"/>
        <w:gridCol w:w="36"/>
        <w:gridCol w:w="36"/>
        <w:gridCol w:w="36"/>
        <w:gridCol w:w="110"/>
        <w:gridCol w:w="511"/>
        <w:gridCol w:w="170"/>
        <w:gridCol w:w="36"/>
        <w:gridCol w:w="36"/>
        <w:gridCol w:w="36"/>
        <w:gridCol w:w="110"/>
        <w:gridCol w:w="511"/>
        <w:gridCol w:w="170"/>
        <w:gridCol w:w="36"/>
        <w:gridCol w:w="36"/>
        <w:gridCol w:w="36"/>
        <w:gridCol w:w="110"/>
        <w:gridCol w:w="512"/>
        <w:gridCol w:w="170"/>
        <w:gridCol w:w="36"/>
        <w:gridCol w:w="36"/>
        <w:gridCol w:w="36"/>
        <w:gridCol w:w="111"/>
        <w:gridCol w:w="721"/>
        <w:gridCol w:w="170"/>
        <w:gridCol w:w="36"/>
        <w:gridCol w:w="36"/>
        <w:gridCol w:w="36"/>
        <w:gridCol w:w="110"/>
        <w:gridCol w:w="630"/>
        <w:gridCol w:w="170"/>
      </w:tblGrid>
      <w:tr w:rsidR="00000000">
        <w:trPr>
          <w:divId w:val="62719932"/>
        </w:trPr>
        <w:tc>
          <w:tcPr>
            <w:tcW w:w="50" w:type="pct"/>
            <w:vAlign w:val="center"/>
            <w:hideMark/>
          </w:tcPr>
          <w:p w:rsidR="00000000" w:rsidRDefault="00AF3814">
            <w:pPr>
              <w:jc w:val="center"/>
              <w:rPr>
                <w:rFonts w:eastAsia="Times New Roman"/>
              </w:rPr>
            </w:pPr>
          </w:p>
        </w:tc>
        <w:tc>
          <w:tcPr>
            <w:tcW w:w="152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62719932"/>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62719932"/>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4"/>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r>
      <w:tr w:rsidR="00000000">
        <w:trPr>
          <w:divId w:val="6271993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AF3814">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627199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6271993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96,116 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2,388 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98,504 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271993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8,218 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8,452 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271993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104,334 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106,956 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271993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6271993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62,381 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2,252 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907 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3,381 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65,762 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271993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3,064 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3,126 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271993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65,445 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68,888 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271993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6271993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30,340 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136 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183 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341 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30,681 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6271993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44,941 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158 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45,099 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6271993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75,281 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75,780 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6271993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986784939"/>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245,060 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1,485 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251,624 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6271993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97.39 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0.59 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0.70 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2.61 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100.00 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r>
    </w:tbl>
    <w:p w:rsidR="00000000" w:rsidRDefault="00AF3814">
      <w:pPr>
        <w:divId w:val="62719932"/>
        <w:rPr>
          <w:rFonts w:eastAsia="Times New Roman"/>
        </w:rPr>
      </w:pPr>
      <w:r>
        <w:rPr>
          <w:rFonts w:eastAsia="Times New Roman"/>
          <w:color w:val="000000"/>
          <w:sz w:val="20"/>
          <w:szCs w:val="20"/>
        </w:rPr>
        <w:t>____</w:t>
      </w:r>
      <w:r>
        <w:rPr>
          <w:rFonts w:eastAsia="Times New Roman"/>
          <w:color w:val="000000"/>
          <w:sz w:val="20"/>
          <w:szCs w:val="20"/>
        </w:rPr>
        <w:t>______</w:t>
      </w:r>
    </w:p>
    <w:p w:rsidR="00000000" w:rsidRDefault="00AF3814">
      <w:pPr>
        <w:ind w:hanging="360"/>
        <w:jc w:val="both"/>
        <w:divId w:val="138506455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Loans include unamortized premiums and discounts, and unamortized deferred fees and costs totaling $1.3 billion</w:t>
      </w:r>
      <w:r>
        <w:rPr>
          <w:rFonts w:eastAsia="Times New Roman"/>
          <w:color w:val="000000"/>
          <w:sz w:val="16"/>
          <w:szCs w:val="16"/>
          <w:shd w:val="clear" w:color="auto" w:fill="FFFFFF"/>
        </w:rPr>
        <w:t xml:space="preserve"> </w:t>
      </w:r>
      <w:r>
        <w:rPr>
          <w:rFonts w:eastAsia="Times New Roman"/>
          <w:color w:val="000000"/>
          <w:sz w:val="16"/>
          <w:szCs w:val="16"/>
        </w:rPr>
        <w:t>and $1.1 billion as of June 30, 2021 and December 31, 2020, respectively.</w:t>
      </w:r>
    </w:p>
    <w:p w:rsidR="00000000" w:rsidRDefault="00AF3814">
      <w:pPr>
        <w:jc w:val="both"/>
        <w:divId w:val="1670644365"/>
        <w:rPr>
          <w:rFonts w:eastAsia="Times New Roman"/>
        </w:rPr>
      </w:pPr>
      <w:r>
        <w:rPr>
          <w:rFonts w:eastAsia="Times New Roman"/>
          <w:color w:val="000000"/>
          <w:sz w:val="20"/>
          <w:szCs w:val="20"/>
        </w:rPr>
        <w:t>The following table presents our loans held for investment t</w:t>
      </w:r>
      <w:r>
        <w:rPr>
          <w:rFonts w:eastAsia="Times New Roman"/>
          <w:color w:val="000000"/>
          <w:sz w:val="20"/>
          <w:szCs w:val="20"/>
        </w:rPr>
        <w:t>hat are 90 days or more past due that continue to accrue interest, loans that are classified as nonperforming and loans that are classified as nonperforming without an allowance as of June 30, 2021 and December 31, 2020. Nonperforming loans generally inclu</w:t>
      </w:r>
      <w:r>
        <w:rPr>
          <w:rFonts w:eastAsia="Times New Roman"/>
          <w:color w:val="000000"/>
          <w:sz w:val="20"/>
          <w:szCs w:val="20"/>
        </w:rPr>
        <w:t>de loans that have been placed on nonaccrual status.</w:t>
      </w:r>
    </w:p>
    <w:p w:rsidR="00000000" w:rsidRDefault="00AF3814">
      <w:pPr>
        <w:divId w:val="1663117388"/>
        <w:rPr>
          <w:rFonts w:eastAsia="Times New Roman"/>
        </w:rPr>
      </w:pPr>
      <w:r>
        <w:rPr>
          <w:rFonts w:eastAsia="Times New Roman"/>
          <w:b/>
          <w:bCs/>
          <w:color w:val="000000"/>
          <w:sz w:val="18"/>
          <w:szCs w:val="18"/>
        </w:rPr>
        <w:t>Table 3.2: 90+ Day Delinquent Loans Accruing Interest and Nonperforming Loans</w:t>
      </w:r>
    </w:p>
    <w:tbl>
      <w:tblPr>
        <w:tblW w:w="5000" w:type="pct"/>
        <w:tblCellMar>
          <w:top w:w="15" w:type="dxa"/>
          <w:left w:w="15" w:type="dxa"/>
          <w:bottom w:w="15" w:type="dxa"/>
          <w:right w:w="15" w:type="dxa"/>
        </w:tblCellMar>
        <w:tblLook w:val="04A0" w:firstRow="1" w:lastRow="0" w:firstColumn="1" w:lastColumn="0" w:noHBand="0" w:noVBand="1"/>
      </w:tblPr>
      <w:tblGrid>
        <w:gridCol w:w="45"/>
        <w:gridCol w:w="1137"/>
        <w:gridCol w:w="38"/>
        <w:gridCol w:w="36"/>
        <w:gridCol w:w="36"/>
        <w:gridCol w:w="36"/>
        <w:gridCol w:w="111"/>
        <w:gridCol w:w="604"/>
        <w:gridCol w:w="200"/>
        <w:gridCol w:w="36"/>
        <w:gridCol w:w="36"/>
        <w:gridCol w:w="36"/>
        <w:gridCol w:w="111"/>
        <w:gridCol w:w="1002"/>
        <w:gridCol w:w="200"/>
        <w:gridCol w:w="36"/>
        <w:gridCol w:w="36"/>
        <w:gridCol w:w="36"/>
        <w:gridCol w:w="111"/>
        <w:gridCol w:w="1004"/>
        <w:gridCol w:w="200"/>
        <w:gridCol w:w="36"/>
        <w:gridCol w:w="36"/>
        <w:gridCol w:w="36"/>
        <w:gridCol w:w="110"/>
        <w:gridCol w:w="450"/>
        <w:gridCol w:w="170"/>
        <w:gridCol w:w="36"/>
        <w:gridCol w:w="36"/>
        <w:gridCol w:w="36"/>
        <w:gridCol w:w="111"/>
        <w:gridCol w:w="1002"/>
        <w:gridCol w:w="170"/>
        <w:gridCol w:w="36"/>
        <w:gridCol w:w="36"/>
        <w:gridCol w:w="36"/>
        <w:gridCol w:w="111"/>
        <w:gridCol w:w="1004"/>
        <w:gridCol w:w="170"/>
      </w:tblGrid>
      <w:tr w:rsidR="00000000">
        <w:trPr>
          <w:divId w:val="1817137674"/>
        </w:trPr>
        <w:tc>
          <w:tcPr>
            <w:tcW w:w="50" w:type="pct"/>
            <w:vAlign w:val="center"/>
            <w:hideMark/>
          </w:tcPr>
          <w:p w:rsidR="00000000" w:rsidRDefault="00AF3814">
            <w:pPr>
              <w:rPr>
                <w:rFonts w:eastAsia="Times New Roman"/>
              </w:rPr>
            </w:pPr>
          </w:p>
        </w:tc>
        <w:tc>
          <w:tcPr>
            <w:tcW w:w="12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3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3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17137674"/>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81713767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xml:space="preserve">Nonperforming </w:t>
            </w:r>
          </w:p>
          <w:p w:rsidR="00000000" w:rsidRDefault="00AF3814">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xml:space="preserve">Nonperforming </w:t>
            </w:r>
          </w:p>
          <w:p w:rsidR="00000000" w:rsidRDefault="00AF3814">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r>
      <w:tr w:rsidR="00000000">
        <w:trPr>
          <w:divId w:val="18171376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1713767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1,169 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AF3814">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1713767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1713767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1,251 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1713767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1713767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294 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1713767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1713767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1713767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1713767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184 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1713767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265 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1713767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1713767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1,033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1713767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 of Total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8"/>
                <w:szCs w:val="18"/>
              </w:rPr>
              <w:t>%</w:t>
            </w:r>
          </w:p>
        </w:tc>
      </w:tr>
    </w:tbl>
    <w:p w:rsidR="00000000" w:rsidRDefault="00AF3814">
      <w:pPr>
        <w:divId w:val="1817137674"/>
        <w:rPr>
          <w:rFonts w:eastAsia="Times New Roman"/>
        </w:rPr>
      </w:pPr>
      <w:r>
        <w:rPr>
          <w:rFonts w:eastAsia="Times New Roman"/>
          <w:color w:val="000000"/>
          <w:sz w:val="20"/>
          <w:szCs w:val="20"/>
        </w:rPr>
        <w:t>____</w:t>
      </w:r>
      <w:r>
        <w:rPr>
          <w:rFonts w:eastAsia="Times New Roman"/>
          <w:color w:val="000000"/>
          <w:sz w:val="20"/>
          <w:szCs w:val="20"/>
        </w:rPr>
        <w:t>______</w:t>
      </w:r>
    </w:p>
    <w:p w:rsidR="00000000" w:rsidRDefault="00AF3814">
      <w:pPr>
        <w:ind w:hanging="360"/>
        <w:jc w:val="both"/>
        <w:divId w:val="199139569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$3 million and $8 million for the three and six months ended June 30, 2021, respectively, and $5 million and $11 million for the three and six months ended June 30, 2020, resp</w:t>
      </w:r>
      <w:r>
        <w:rPr>
          <w:rFonts w:eastAsia="Times New Roman"/>
          <w:color w:val="000000"/>
          <w:sz w:val="16"/>
          <w:szCs w:val="16"/>
        </w:rPr>
        <w:t>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76987585"/>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7698758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7698758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06" style="width:0;height:1.5pt" o:hralign="center" o:hrstd="t" o:hr="t" fillcolor="#a0a0a0" stroked="f"/>
        </w:pict>
      </w:r>
    </w:p>
    <w:p w:rsidR="00000000" w:rsidRDefault="00AF3814">
      <w:pPr>
        <w:jc w:val="both"/>
        <w:divId w:val="22619232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226192325"/>
        <w:rPr>
          <w:rFonts w:eastAsia="Times New Roman"/>
        </w:rPr>
      </w:pPr>
    </w:p>
    <w:p w:rsidR="00000000" w:rsidRDefault="00AF3814">
      <w:pPr>
        <w:divId w:val="340934625"/>
        <w:rPr>
          <w:rFonts w:eastAsia="Times New Roman"/>
        </w:rPr>
      </w:pPr>
      <w:r>
        <w:rPr>
          <w:rFonts w:eastAsia="Times New Roman"/>
          <w:b/>
          <w:bCs/>
          <w:color w:val="000000"/>
          <w:sz w:val="20"/>
          <w:szCs w:val="20"/>
        </w:rPr>
        <w:t>Credit Quality Indicators</w:t>
      </w:r>
    </w:p>
    <w:p w:rsidR="00000000" w:rsidRDefault="00AF3814">
      <w:pPr>
        <w:jc w:val="both"/>
        <w:divId w:val="855268169"/>
        <w:rPr>
          <w:rFonts w:eastAsia="Times New Roman"/>
        </w:rPr>
      </w:pPr>
      <w:r>
        <w:rPr>
          <w:rFonts w:eastAsia="Times New Roman"/>
          <w:color w:val="000000"/>
          <w:sz w:val="20"/>
          <w:szCs w:val="20"/>
        </w:rPr>
        <w:t>We closely monitor economic conditions and loan performance trends to assess and manage our exposure to credit risk. We discuss these risks and our credit quality indicator for each portfolio segment below.</w:t>
      </w:r>
    </w:p>
    <w:p w:rsidR="00000000" w:rsidRDefault="00AF3814">
      <w:pPr>
        <w:jc w:val="both"/>
        <w:divId w:val="793985944"/>
        <w:rPr>
          <w:rFonts w:eastAsia="Times New Roman"/>
        </w:rPr>
      </w:pPr>
      <w:r>
        <w:rPr>
          <w:rFonts w:eastAsia="Times New Roman"/>
          <w:b/>
          <w:bCs/>
          <w:i/>
          <w:iCs/>
          <w:color w:val="000000"/>
          <w:sz w:val="20"/>
          <w:szCs w:val="20"/>
        </w:rPr>
        <w:t>Credit Card</w:t>
      </w:r>
    </w:p>
    <w:p w:rsidR="00000000" w:rsidRDefault="00AF3814">
      <w:pPr>
        <w:jc w:val="both"/>
        <w:divId w:val="1020351700"/>
        <w:rPr>
          <w:rFonts w:eastAsia="Times New Roman"/>
        </w:rPr>
      </w:pPr>
      <w:r>
        <w:rPr>
          <w:rFonts w:eastAsia="Times New Roman"/>
          <w:color w:val="000000"/>
          <w:sz w:val="20"/>
          <w:szCs w:val="20"/>
        </w:rPr>
        <w:t>Our credit card loan portfolio is hig</w:t>
      </w:r>
      <w:r>
        <w:rPr>
          <w:rFonts w:eastAsia="Times New Roman"/>
          <w:color w:val="000000"/>
          <w:sz w:val="20"/>
          <w:szCs w:val="20"/>
        </w:rPr>
        <w:t>hly diversified across millions of accounts and numerous geographies without significant individual exposure. We therefore generally manage credit risk based on portfolios with common risk characteristics. The risk in our credit card loan portfolio correla</w:t>
      </w:r>
      <w:r>
        <w:rPr>
          <w:rFonts w:eastAsia="Times New Roman"/>
          <w:color w:val="000000"/>
          <w:sz w:val="20"/>
          <w:szCs w:val="20"/>
        </w:rPr>
        <w:t>tes to broad economic trends, such as unemployment rates and home values, as well as consumers’ financial condition, all of which can have a material effect on credit performance. The key indicator we assess in monitoring the credit quality and risk of our</w:t>
      </w:r>
      <w:r>
        <w:rPr>
          <w:rFonts w:eastAsia="Times New Roman"/>
          <w:color w:val="000000"/>
          <w:sz w:val="20"/>
          <w:szCs w:val="20"/>
        </w:rPr>
        <w:t xml:space="preserve"> credit card loan portfolio is delinquency trends, including an analysis of loan migration between delinquency categories over time. </w:t>
      </w:r>
    </w:p>
    <w:p w:rsidR="00000000" w:rsidRDefault="00AF3814">
      <w:pPr>
        <w:jc w:val="both"/>
        <w:divId w:val="1859655445"/>
        <w:rPr>
          <w:rFonts w:eastAsia="Times New Roman"/>
        </w:rPr>
      </w:pPr>
      <w:r>
        <w:rPr>
          <w:rFonts w:eastAsia="Times New Roman"/>
          <w:color w:val="000000"/>
          <w:sz w:val="20"/>
          <w:szCs w:val="20"/>
        </w:rPr>
        <w:t>The table below presents our credit card portfolio by delinquency status as of June 30, 2021 and December 31, 2020.</w:t>
      </w:r>
    </w:p>
    <w:p w:rsidR="00000000" w:rsidRDefault="00AF3814">
      <w:pPr>
        <w:divId w:val="262879397"/>
        <w:rPr>
          <w:rFonts w:eastAsia="Times New Roman"/>
        </w:rPr>
      </w:pPr>
      <w:r>
        <w:rPr>
          <w:rFonts w:eastAsia="Times New Roman"/>
          <w:b/>
          <w:bCs/>
          <w:color w:val="000000"/>
          <w:sz w:val="18"/>
          <w:szCs w:val="18"/>
        </w:rPr>
        <w:t xml:space="preserve">Table </w:t>
      </w:r>
      <w:r>
        <w:rPr>
          <w:rFonts w:eastAsia="Times New Roman"/>
          <w:b/>
          <w:bCs/>
          <w:color w:val="000000"/>
          <w:sz w:val="18"/>
          <w:szCs w:val="18"/>
        </w:rPr>
        <w:t>3.3: Credit Card Delinquency Status</w:t>
      </w:r>
    </w:p>
    <w:tbl>
      <w:tblPr>
        <w:tblW w:w="5000" w:type="pct"/>
        <w:tblCellMar>
          <w:top w:w="15" w:type="dxa"/>
          <w:left w:w="15" w:type="dxa"/>
          <w:bottom w:w="15" w:type="dxa"/>
          <w:right w:w="15" w:type="dxa"/>
        </w:tblCellMar>
        <w:tblLook w:val="04A0" w:firstRow="1" w:lastRow="0" w:firstColumn="1" w:lastColumn="0" w:noHBand="0" w:noVBand="1"/>
      </w:tblPr>
      <w:tblGrid>
        <w:gridCol w:w="41"/>
        <w:gridCol w:w="2460"/>
        <w:gridCol w:w="40"/>
        <w:gridCol w:w="36"/>
        <w:gridCol w:w="36"/>
        <w:gridCol w:w="36"/>
        <w:gridCol w:w="36"/>
        <w:gridCol w:w="36"/>
        <w:gridCol w:w="110"/>
        <w:gridCol w:w="722"/>
        <w:gridCol w:w="36"/>
        <w:gridCol w:w="36"/>
        <w:gridCol w:w="36"/>
        <w:gridCol w:w="36"/>
        <w:gridCol w:w="111"/>
        <w:gridCol w:w="722"/>
        <w:gridCol w:w="36"/>
        <w:gridCol w:w="36"/>
        <w:gridCol w:w="36"/>
        <w:gridCol w:w="36"/>
        <w:gridCol w:w="110"/>
        <w:gridCol w:w="666"/>
        <w:gridCol w:w="36"/>
        <w:gridCol w:w="36"/>
        <w:gridCol w:w="36"/>
        <w:gridCol w:w="36"/>
        <w:gridCol w:w="110"/>
        <w:gridCol w:w="723"/>
        <w:gridCol w:w="36"/>
        <w:gridCol w:w="36"/>
        <w:gridCol w:w="36"/>
        <w:gridCol w:w="36"/>
        <w:gridCol w:w="111"/>
        <w:gridCol w:w="681"/>
        <w:gridCol w:w="36"/>
        <w:gridCol w:w="36"/>
        <w:gridCol w:w="36"/>
        <w:gridCol w:w="36"/>
        <w:gridCol w:w="110"/>
        <w:gridCol w:w="653"/>
        <w:gridCol w:w="36"/>
      </w:tblGrid>
      <w:tr w:rsidR="00000000">
        <w:trPr>
          <w:divId w:val="1702976974"/>
        </w:trPr>
        <w:tc>
          <w:tcPr>
            <w:tcW w:w="50" w:type="pct"/>
            <w:vAlign w:val="center"/>
            <w:hideMark/>
          </w:tcPr>
          <w:p w:rsidR="00000000" w:rsidRDefault="00AF3814">
            <w:pPr>
              <w:rPr>
                <w:rFonts w:eastAsia="Times New Roman"/>
              </w:rPr>
            </w:pPr>
          </w:p>
        </w:tc>
        <w:tc>
          <w:tcPr>
            <w:tcW w:w="15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702976974"/>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702976974"/>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170297697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0297697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0297697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804547878"/>
              <w:rPr>
                <w:rFonts w:eastAsia="Times New Roman"/>
              </w:rPr>
            </w:pPr>
            <w:r>
              <w:rPr>
                <w:rFonts w:eastAsia="Times New Roman"/>
                <w:color w:val="000000"/>
                <w:sz w:val="18"/>
                <w:szCs w:val="18"/>
              </w:rPr>
              <w:t>Current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93,304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93,711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95,629 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487 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96,116 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97697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010134526"/>
              <w:rPr>
                <w:rFonts w:eastAsia="Times New Roman"/>
              </w:rPr>
            </w:pPr>
            <w:r>
              <w:rPr>
                <w:rFonts w:eastAsia="Times New Roman"/>
                <w:color w:val="000000"/>
                <w:sz w:val="18"/>
                <w:szCs w:val="18"/>
              </w:rPr>
              <w:t>30-59 days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734 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755 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97697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492455079"/>
              <w:rPr>
                <w:rFonts w:eastAsia="Times New Roman"/>
              </w:rPr>
            </w:pPr>
            <w:r>
              <w:rPr>
                <w:rFonts w:eastAsia="Times New Roman"/>
                <w:color w:val="000000"/>
                <w:sz w:val="18"/>
                <w:szCs w:val="18"/>
              </w:rPr>
              <w:t>60-89 days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464 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97697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186283123"/>
              <w:rPr>
                <w:rFonts w:eastAsia="Times New Roman"/>
              </w:rPr>
            </w:pPr>
            <w:r>
              <w:rPr>
                <w:rFonts w:eastAsia="Times New Roman"/>
                <w:color w:val="000000"/>
                <w:sz w:val="18"/>
                <w:szCs w:val="18"/>
              </w:rPr>
              <w:t>Greater than 90 days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1,155 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1,169 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97697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94,871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95,309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97,969 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98,504 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976974"/>
          <w:trHeight w:val="240"/>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0297697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0297697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807701482"/>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5,484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5,536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8,152 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8,218 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97697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00608572"/>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97697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442334247"/>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97697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432160074"/>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97697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5,642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5,708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8,354 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8,452 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97697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100,513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101,017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106,323 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106,956 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07" style="width:0;height:1.5pt" o:hralign="center" o:hrstd="t" o:hr="t" fillcolor="#a0a0a0" stroked="f"/>
        </w:pict>
      </w:r>
    </w:p>
    <w:p w:rsidR="00000000" w:rsidRDefault="00AF3814">
      <w:pPr>
        <w:jc w:val="both"/>
        <w:divId w:val="102173643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021736435"/>
        <w:rPr>
          <w:rFonts w:eastAsia="Times New Roman"/>
        </w:rPr>
      </w:pPr>
    </w:p>
    <w:p w:rsidR="00000000" w:rsidRDefault="00AF3814">
      <w:pPr>
        <w:divId w:val="58291045"/>
        <w:rPr>
          <w:rFonts w:eastAsia="Times New Roman"/>
        </w:rPr>
      </w:pPr>
      <w:r>
        <w:rPr>
          <w:rFonts w:eastAsia="Times New Roman"/>
          <w:b/>
          <w:bCs/>
          <w:i/>
          <w:iCs/>
          <w:color w:val="000000"/>
          <w:sz w:val="20"/>
          <w:szCs w:val="20"/>
        </w:rPr>
        <w:t>Consumer Banking</w:t>
      </w:r>
    </w:p>
    <w:p w:rsidR="00000000" w:rsidRDefault="00AF3814">
      <w:pPr>
        <w:jc w:val="both"/>
        <w:divId w:val="500194693"/>
        <w:rPr>
          <w:rFonts w:eastAsia="Times New Roman"/>
        </w:rPr>
      </w:pPr>
      <w:r>
        <w:rPr>
          <w:rFonts w:eastAsia="Times New Roman"/>
          <w:color w:val="000000"/>
          <w:sz w:val="20"/>
          <w:szCs w:val="20"/>
        </w:rPr>
        <w:t>Our consumer banking loan portfolio consists of auto and retail banking loans. Similar to our credit card loan portfolio, th</w:t>
      </w:r>
      <w:r>
        <w:rPr>
          <w:rFonts w:eastAsia="Times New Roman"/>
          <w:color w:val="000000"/>
          <w:sz w:val="20"/>
          <w:szCs w:val="20"/>
        </w:rPr>
        <w:t>e risk in our consumer banking loan portfolio correlates to broad economic trends, such as unemployment rates, gross domestic product and home values, as well as consumers’ financial condition, all of which can have a material effect on credit performance.</w:t>
      </w:r>
      <w:r>
        <w:rPr>
          <w:rFonts w:eastAsia="Times New Roman"/>
          <w:color w:val="000000"/>
          <w:sz w:val="20"/>
          <w:szCs w:val="20"/>
        </w:rPr>
        <w:t xml:space="preserve"> The key indicator we monitor when assessing the credit quality and risk of our auto loan portfolio is borrower credit scores as they measure the creditworthiness of borrowers. Delinquency trends are the key indicator we assess in monitoring the credit qua</w:t>
      </w:r>
      <w:r>
        <w:rPr>
          <w:rFonts w:eastAsia="Times New Roman"/>
          <w:color w:val="000000"/>
          <w:sz w:val="20"/>
          <w:szCs w:val="20"/>
        </w:rPr>
        <w:t xml:space="preserve">lity and risk of our retail banking loan portfolio. </w:t>
      </w:r>
    </w:p>
    <w:p w:rsidR="00000000" w:rsidRDefault="00AF3814">
      <w:pPr>
        <w:jc w:val="both"/>
        <w:divId w:val="1654871442"/>
        <w:rPr>
          <w:rFonts w:eastAsia="Times New Roman"/>
        </w:rPr>
      </w:pPr>
      <w:r>
        <w:rPr>
          <w:rFonts w:eastAsia="Times New Roman"/>
          <w:color w:val="000000"/>
          <w:sz w:val="20"/>
          <w:szCs w:val="20"/>
        </w:rPr>
        <w:t>The table below presents our consumer banking portfolio of loans held for investment by credit quality indicator as of June 30, 2021 and December 31, 2020. We present our auto loan portfolio by FICO scores at origination and our retail banking loan portfol</w:t>
      </w:r>
      <w:r>
        <w:rPr>
          <w:rFonts w:eastAsia="Times New Roman"/>
          <w:color w:val="000000"/>
          <w:sz w:val="20"/>
          <w:szCs w:val="20"/>
        </w:rPr>
        <w:t xml:space="preserve">io by delinquency status, which includes all past due loans, both performing and nonperforming. </w:t>
      </w:r>
    </w:p>
    <w:p w:rsidR="00000000" w:rsidRDefault="00AF3814">
      <w:pPr>
        <w:divId w:val="1664158481"/>
        <w:rPr>
          <w:rFonts w:eastAsia="Times New Roman"/>
        </w:rPr>
      </w:pPr>
      <w:r>
        <w:rPr>
          <w:rFonts w:eastAsia="Times New Roman"/>
          <w:b/>
          <w:bCs/>
          <w:color w:val="000000"/>
          <w:sz w:val="18"/>
          <w:szCs w:val="18"/>
        </w:rPr>
        <w:t>Table 3.4: Consumer Banking Portfolio by Credit Quality Indicator</w:t>
      </w:r>
    </w:p>
    <w:tbl>
      <w:tblPr>
        <w:tblW w:w="5000" w:type="pct"/>
        <w:tblCellMar>
          <w:top w:w="15" w:type="dxa"/>
          <w:left w:w="15" w:type="dxa"/>
          <w:bottom w:w="15" w:type="dxa"/>
          <w:right w:w="15" w:type="dxa"/>
        </w:tblCellMar>
        <w:tblLook w:val="04A0" w:firstRow="1" w:lastRow="0" w:firstColumn="1" w:lastColumn="0" w:noHBand="0" w:noVBand="1"/>
      </w:tblPr>
      <w:tblGrid>
        <w:gridCol w:w="49"/>
        <w:gridCol w:w="95"/>
        <w:gridCol w:w="853"/>
        <w:gridCol w:w="39"/>
        <w:gridCol w:w="36"/>
        <w:gridCol w:w="36"/>
        <w:gridCol w:w="36"/>
        <w:gridCol w:w="110"/>
        <w:gridCol w:w="540"/>
        <w:gridCol w:w="36"/>
        <w:gridCol w:w="36"/>
        <w:gridCol w:w="36"/>
        <w:gridCol w:w="36"/>
        <w:gridCol w:w="110"/>
        <w:gridCol w:w="540"/>
        <w:gridCol w:w="36"/>
        <w:gridCol w:w="36"/>
        <w:gridCol w:w="36"/>
        <w:gridCol w:w="36"/>
        <w:gridCol w:w="75"/>
        <w:gridCol w:w="35"/>
        <w:gridCol w:w="109"/>
        <w:gridCol w:w="144"/>
        <w:gridCol w:w="287"/>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23"/>
        <w:gridCol w:w="144"/>
        <w:gridCol w:w="144"/>
        <w:gridCol w:w="229"/>
        <w:gridCol w:w="36"/>
        <w:gridCol w:w="36"/>
        <w:gridCol w:w="36"/>
        <w:gridCol w:w="36"/>
        <w:gridCol w:w="111"/>
        <w:gridCol w:w="581"/>
        <w:gridCol w:w="36"/>
        <w:gridCol w:w="36"/>
        <w:gridCol w:w="36"/>
        <w:gridCol w:w="36"/>
        <w:gridCol w:w="111"/>
        <w:gridCol w:w="630"/>
        <w:gridCol w:w="36"/>
        <w:gridCol w:w="36"/>
        <w:gridCol w:w="36"/>
        <w:gridCol w:w="36"/>
        <w:gridCol w:w="110"/>
        <w:gridCol w:w="472"/>
        <w:gridCol w:w="68"/>
        <w:gridCol w:w="36"/>
        <w:gridCol w:w="40"/>
      </w:tblGrid>
      <w:tr w:rsidR="00000000">
        <w:trPr>
          <w:gridAfter w:val="1"/>
          <w:divId w:val="1385635609"/>
        </w:trPr>
        <w:tc>
          <w:tcPr>
            <w:tcW w:w="50" w:type="pct"/>
            <w:vAlign w:val="center"/>
            <w:hideMark/>
          </w:tcPr>
          <w:p w:rsidR="00000000" w:rsidRDefault="00AF3814">
            <w:pPr>
              <w:rPr>
                <w:rFonts w:eastAsia="Times New Roman"/>
              </w:rPr>
            </w:pPr>
          </w:p>
        </w:tc>
        <w:tc>
          <w:tcPr>
            <w:tcW w:w="968"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95"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gridSpan w:val="4"/>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6"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gridAfter w:val="1"/>
          <w:divId w:val="1385635609"/>
        </w:trPr>
        <w:tc>
          <w:tcPr>
            <w:tcW w:w="0" w:type="auto"/>
            <w:gridSpan w:val="4"/>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June 30, 2021</w:t>
            </w:r>
          </w:p>
        </w:tc>
        <w:tc>
          <w:tcPr>
            <w:tcW w:w="0" w:type="auto"/>
            <w:vAlign w:val="center"/>
            <w:hideMark/>
          </w:tcPr>
          <w:p w:rsidR="00000000" w:rsidRDefault="00AF3814">
            <w:pPr>
              <w:spacing w:after="100"/>
              <w:jc w:val="center"/>
              <w:rPr>
                <w:rFonts w:eastAsia="Times New Roman"/>
              </w:rPr>
            </w:pPr>
          </w:p>
        </w:tc>
      </w:tr>
      <w:tr w:rsidR="00000000">
        <w:trPr>
          <w:gridAfter w:val="1"/>
          <w:divId w:val="1385635609"/>
        </w:trPr>
        <w:tc>
          <w:tcPr>
            <w:tcW w:w="0" w:type="auto"/>
            <w:gridSpan w:val="4"/>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gridAfter w:val="1"/>
          <w:divId w:val="1385635609"/>
        </w:trPr>
        <w:tc>
          <w:tcPr>
            <w:tcW w:w="0" w:type="auto"/>
            <w:gridSpan w:val="4"/>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AF3814">
            <w:pPr>
              <w:spacing w:after="100"/>
              <w:jc w:val="center"/>
              <w:rPr>
                <w:rFonts w:eastAsia="Times New Roman"/>
              </w:rPr>
            </w:pPr>
          </w:p>
        </w:tc>
      </w:tr>
      <w:tr w:rsidR="00000000">
        <w:trPr>
          <w:gridAfter w:val="1"/>
          <w:divId w:val="1385635609"/>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gridAfter w:val="1"/>
          <w:divId w:val="1385635609"/>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312374097"/>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gridAfter w:val="1"/>
          <w:divId w:val="1385635609"/>
        </w:trPr>
        <w:tc>
          <w:tcPr>
            <w:tcW w:w="0" w:type="auto"/>
            <w:gridSpan w:val="4"/>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11,276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10,874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6,258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3,396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1,855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34,342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34,342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gridAfter w:val="1"/>
          <w:divId w:val="1385635609"/>
        </w:trPr>
        <w:tc>
          <w:tcPr>
            <w:tcW w:w="0" w:type="auto"/>
            <w:gridSpan w:val="4"/>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14,336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14,336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1"/>
          <w:divId w:val="1385635609"/>
        </w:trPr>
        <w:tc>
          <w:tcPr>
            <w:tcW w:w="0" w:type="auto"/>
            <w:gridSpan w:val="4"/>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5,536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7,988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23,035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1"/>
          <w:divId w:val="1385635609"/>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20,942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23,614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14,035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71,713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71,713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gridAfter w:val="1"/>
          <w:divId w:val="1385635609"/>
          <w:trHeight w:val="280"/>
        </w:trPr>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gridAfter w:val="1"/>
          <w:divId w:val="1385635609"/>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gridAfter w:val="1"/>
          <w:divId w:val="1385635609"/>
        </w:trPr>
        <w:tc>
          <w:tcPr>
            <w:tcW w:w="0" w:type="auto"/>
            <w:gridSpan w:val="4"/>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1"/>
          <w:divId w:val="1385635609"/>
        </w:trPr>
        <w:tc>
          <w:tcPr>
            <w:tcW w:w="0" w:type="auto"/>
            <w:gridSpan w:val="4"/>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1"/>
          <w:divId w:val="1385635609"/>
        </w:trPr>
        <w:tc>
          <w:tcPr>
            <w:tcW w:w="0" w:type="auto"/>
            <w:gridSpan w:val="4"/>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1"/>
          <w:divId w:val="1385635609"/>
        </w:trPr>
        <w:tc>
          <w:tcPr>
            <w:tcW w:w="0" w:type="auto"/>
            <w:gridSpan w:val="4"/>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gridAfter w:val="1"/>
          <w:divId w:val="1385635609"/>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divId w:val="578102588"/>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199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2,471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566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3,046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gridAfter w:val="1"/>
          <w:divId w:val="1385635609"/>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21,453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24,359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14,245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7,600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4,272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2,255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74,184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74,759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blPrEx>
          <w:tblW w:w="4992" w:type="pct"/>
          <w:jc w:val="center"/>
        </w:tblPrEx>
        <w:trPr>
          <w:jc w:val="center"/>
        </w:trPr>
        <w:tc>
          <w:tcPr>
            <w:tcW w:w="50" w:type="pct"/>
            <w:gridSpan w:val="2"/>
            <w:vAlign w:val="center"/>
            <w:hideMark/>
          </w:tcPr>
          <w:p w:rsidR="00000000" w:rsidRDefault="00AF3814">
            <w:pPr>
              <w:rPr>
                <w:rFonts w:eastAsia="Times New Roman"/>
              </w:rPr>
            </w:pPr>
          </w:p>
        </w:tc>
        <w:tc>
          <w:tcPr>
            <w:tcW w:w="1606" w:type="pct"/>
            <w:gridSpan w:val="18"/>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gridSpan w:val="25"/>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gridSpan w:val="19"/>
            <w:vAlign w:val="center"/>
            <w:hideMark/>
          </w:tcPr>
          <w:p w:rsidR="00000000" w:rsidRDefault="00AF3814">
            <w:pPr>
              <w:spacing w:after="100"/>
              <w:rPr>
                <w:rFonts w:eastAsia="Times New Roman"/>
                <w:sz w:val="20"/>
                <w:szCs w:val="20"/>
              </w:rPr>
            </w:pPr>
          </w:p>
        </w:tc>
        <w:tc>
          <w:tcPr>
            <w:tcW w:w="5" w:type="pct"/>
            <w:gridSpan w:val="3"/>
            <w:vAlign w:val="center"/>
            <w:hideMark/>
          </w:tcPr>
          <w:p w:rsidR="00000000" w:rsidRDefault="00AF3814">
            <w:pPr>
              <w:spacing w:after="100"/>
              <w:rPr>
                <w:rFonts w:eastAsia="Times New Roman"/>
                <w:sz w:val="20"/>
                <w:szCs w:val="20"/>
              </w:rPr>
            </w:pPr>
          </w:p>
        </w:tc>
      </w:tr>
      <w:tr w:rsidR="00000000">
        <w:tblPrEx>
          <w:tblW w:w="4992" w:type="pct"/>
          <w:jc w:val="center"/>
        </w:tblPrEx>
        <w:trPr>
          <w:trHeight w:val="300"/>
          <w:jc w:val="center"/>
        </w:trPr>
        <w:tc>
          <w:tcPr>
            <w:tcW w:w="0" w:type="auto"/>
            <w:gridSpan w:val="72"/>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blPrEx>
          <w:tblW w:w="4992" w:type="pct"/>
          <w:jc w:val="center"/>
        </w:tblPrEx>
        <w:trPr>
          <w:jc w:val="center"/>
        </w:trPr>
        <w:tc>
          <w:tcPr>
            <w:tcW w:w="0" w:type="auto"/>
            <w:gridSpan w:val="22"/>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83</w:t>
            </w:r>
          </w:p>
        </w:tc>
        <w:tc>
          <w:tcPr>
            <w:tcW w:w="0" w:type="auto"/>
            <w:gridSpan w:val="2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08" style="width:0;height:1.5pt" o:hralign="center" o:hrstd="t" o:hr="t" fillcolor="#a0a0a0" stroked="f"/>
        </w:pict>
      </w:r>
    </w:p>
    <w:p w:rsidR="00000000" w:rsidRDefault="00AF3814">
      <w:pPr>
        <w:jc w:val="both"/>
        <w:divId w:val="129416837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29416837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946"/>
        <w:gridCol w:w="39"/>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1"/>
        <w:gridCol w:w="581"/>
        <w:gridCol w:w="36"/>
        <w:gridCol w:w="36"/>
        <w:gridCol w:w="36"/>
        <w:gridCol w:w="36"/>
        <w:gridCol w:w="111"/>
        <w:gridCol w:w="630"/>
        <w:gridCol w:w="36"/>
        <w:gridCol w:w="36"/>
        <w:gridCol w:w="36"/>
        <w:gridCol w:w="36"/>
        <w:gridCol w:w="110"/>
        <w:gridCol w:w="540"/>
        <w:gridCol w:w="36"/>
      </w:tblGrid>
      <w:tr w:rsidR="00000000">
        <w:trPr>
          <w:divId w:val="1484660842"/>
        </w:trPr>
        <w:tc>
          <w:tcPr>
            <w:tcW w:w="50" w:type="pct"/>
            <w:vAlign w:val="center"/>
            <w:hideMark/>
          </w:tcPr>
          <w:p w:rsidR="00000000" w:rsidRDefault="00AF3814">
            <w:pPr>
              <w:jc w:val="center"/>
              <w:rPr>
                <w:rFonts w:eastAsia="Times New Roman"/>
              </w:rPr>
            </w:pPr>
          </w:p>
        </w:tc>
        <w:tc>
          <w:tcPr>
            <w:tcW w:w="9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84660842"/>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December 31, 2020</w:t>
            </w:r>
          </w:p>
        </w:tc>
        <w:tc>
          <w:tcPr>
            <w:tcW w:w="0" w:type="auto"/>
            <w:vAlign w:val="center"/>
            <w:hideMark/>
          </w:tcPr>
          <w:p w:rsidR="00000000" w:rsidRDefault="00AF3814">
            <w:pPr>
              <w:spacing w:after="100"/>
              <w:rPr>
                <w:rFonts w:eastAsia="Times New Roman"/>
                <w:sz w:val="20"/>
                <w:szCs w:val="20"/>
              </w:rPr>
            </w:pPr>
          </w:p>
        </w:tc>
      </w:tr>
      <w:tr w:rsidR="00000000">
        <w:trPr>
          <w:divId w:val="1484660842"/>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8466084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AF3814">
            <w:pPr>
              <w:spacing w:after="100"/>
              <w:rPr>
                <w:rFonts w:eastAsia="Times New Roman"/>
                <w:sz w:val="20"/>
                <w:szCs w:val="20"/>
              </w:rPr>
            </w:pPr>
          </w:p>
        </w:tc>
      </w:tr>
      <w:tr w:rsidR="00000000">
        <w:trPr>
          <w:divId w:val="1484660842"/>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8466084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74405687"/>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divId w:val="1484660842"/>
        </w:trPr>
        <w:tc>
          <w:tcPr>
            <w:tcW w:w="0" w:type="auto"/>
            <w:gridSpan w:val="3"/>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13,352 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8,091 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4,675 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2,810 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1,168 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30,299 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30,299 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484660842"/>
        </w:trPr>
        <w:tc>
          <w:tcPr>
            <w:tcW w:w="0" w:type="auto"/>
            <w:gridSpan w:val="3"/>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5,781 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3,631 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2,003 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13,184 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13,184 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484660842"/>
        </w:trPr>
        <w:tc>
          <w:tcPr>
            <w:tcW w:w="0" w:type="auto"/>
            <w:gridSpan w:val="3"/>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9,550 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6,298 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3,317 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1,985 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886 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22,279 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22,279 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48466084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28,683 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18,020 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9,995 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5,967 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84660842"/>
          <w:trHeight w:val="280"/>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8466084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divId w:val="1484660842"/>
        </w:trPr>
        <w:tc>
          <w:tcPr>
            <w:tcW w:w="0" w:type="auto"/>
            <w:gridSpan w:val="3"/>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1,041 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2,406 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3,064 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484660842"/>
        </w:trPr>
        <w:tc>
          <w:tcPr>
            <w:tcW w:w="0" w:type="auto"/>
            <w:gridSpan w:val="3"/>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484660842"/>
        </w:trPr>
        <w:tc>
          <w:tcPr>
            <w:tcW w:w="0" w:type="auto"/>
            <w:gridSpan w:val="3"/>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divId w:val="1484660842"/>
        </w:trPr>
        <w:tc>
          <w:tcPr>
            <w:tcW w:w="0" w:type="auto"/>
            <w:gridSpan w:val="3"/>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48466084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13986042"/>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48466084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29,724 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18,253 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6,191 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2,717 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68,196 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68,888 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bl>
    <w:p w:rsidR="00000000" w:rsidRDefault="00AF3814">
      <w:pPr>
        <w:jc w:val="both"/>
        <w:divId w:val="1484660842"/>
        <w:rPr>
          <w:rFonts w:eastAsia="Times New Roman"/>
        </w:rPr>
      </w:pPr>
      <w:r>
        <w:rPr>
          <w:rFonts w:eastAsia="Times New Roman"/>
          <w:color w:val="000000"/>
          <w:sz w:val="20"/>
          <w:szCs w:val="20"/>
        </w:rPr>
        <w:t>__________</w:t>
      </w:r>
    </w:p>
    <w:p w:rsidR="00000000" w:rsidRDefault="00AF3814">
      <w:pPr>
        <w:ind w:hanging="360"/>
        <w:jc w:val="both"/>
        <w:divId w:val="22225479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Amounts represent period-end loans held for investment in each credit score category. Auto credit scores gener</w:t>
      </w:r>
      <w:r>
        <w:rPr>
          <w:rFonts w:eastAsia="Times New Roman"/>
          <w:color w:val="000000"/>
          <w:sz w:val="16"/>
          <w:szCs w:val="16"/>
        </w:rPr>
        <w:t>ally represent average FICO scores obtained from three credit bureaus at the time of application and are not refreshed thereafter. Balances for which no credit score is available or the credit score is invalid are included in the 620 or below category.</w:t>
      </w:r>
    </w:p>
    <w:p w:rsidR="00000000" w:rsidRDefault="00AF3814">
      <w:pPr>
        <w:ind w:hanging="360"/>
        <w:jc w:val="both"/>
        <w:divId w:val="52876178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$1.1 billion and $919 million as of June 30, 2021 and December 31, 2020, respectively.</w:t>
      </w:r>
    </w:p>
    <w:p w:rsidR="00000000" w:rsidRDefault="00AF3814">
      <w:pPr>
        <w:jc w:val="both"/>
        <w:divId w:val="598173137"/>
        <w:rPr>
          <w:rFonts w:eastAsia="Times New Roman"/>
        </w:rPr>
      </w:pPr>
      <w:r>
        <w:rPr>
          <w:rFonts w:eastAsia="Times New Roman"/>
          <w:b/>
          <w:bCs/>
          <w:i/>
          <w:iCs/>
          <w:color w:val="000000"/>
          <w:sz w:val="20"/>
          <w:szCs w:val="20"/>
        </w:rPr>
        <w:t>Commercial Banking</w:t>
      </w:r>
    </w:p>
    <w:p w:rsidR="00000000" w:rsidRDefault="00AF3814">
      <w:pPr>
        <w:jc w:val="both"/>
        <w:divId w:val="873543086"/>
        <w:rPr>
          <w:rFonts w:eastAsia="Times New Roman"/>
        </w:rPr>
      </w:pPr>
      <w:r>
        <w:rPr>
          <w:rFonts w:eastAsia="Times New Roman"/>
          <w:color w:val="000000"/>
          <w:sz w:val="20"/>
          <w:szCs w:val="20"/>
        </w:rPr>
        <w:t>The key credit quality indicator for our commercial loan portfolios is our internal risk ratings. We assign internal risk rating</w:t>
      </w:r>
      <w:r>
        <w:rPr>
          <w:rFonts w:eastAsia="Times New Roman"/>
          <w:color w:val="000000"/>
          <w:sz w:val="20"/>
          <w:szCs w:val="20"/>
        </w:rPr>
        <w:t>s to loans based on relevant information about the ability of the borrowers to repay their debt. In determining the risk rating of a particular loan, some of the factors considered are the borrower’s current financial condition, historical and projected fu</w:t>
      </w:r>
      <w:r>
        <w:rPr>
          <w:rFonts w:eastAsia="Times New Roman"/>
          <w:color w:val="000000"/>
          <w:sz w:val="20"/>
          <w:szCs w:val="20"/>
        </w:rPr>
        <w:t>ture credit performance, prospects for support from financially responsible guarantors, the estimated realizable value of any collateral and current economic trends. The scale based on our internal risk rating system is as follows:</w:t>
      </w:r>
    </w:p>
    <w:p w:rsidR="00000000" w:rsidRDefault="00AF3814">
      <w:pPr>
        <w:ind w:hanging="360"/>
        <w:jc w:val="both"/>
        <w:divId w:val="1592667620"/>
        <w:rPr>
          <w:rFonts w:eastAsia="Times New Roman"/>
        </w:rPr>
      </w:pPr>
      <w:r>
        <w:rPr>
          <w:rFonts w:eastAsia="Times New Roman"/>
          <w:color w:val="000000"/>
          <w:sz w:val="20"/>
          <w:szCs w:val="20"/>
        </w:rPr>
        <w:t>•</w:t>
      </w:r>
      <w:r>
        <w:rPr>
          <w:rFonts w:eastAsia="Times New Roman"/>
          <w:i/>
          <w:iCs/>
          <w:color w:val="000000"/>
          <w:sz w:val="20"/>
          <w:szCs w:val="20"/>
        </w:rPr>
        <w:t>Noncriticized:</w:t>
      </w:r>
      <w:r>
        <w:rPr>
          <w:rFonts w:eastAsia="Times New Roman"/>
          <w:color w:val="000000"/>
          <w:sz w:val="20"/>
          <w:szCs w:val="20"/>
        </w:rPr>
        <w:t xml:space="preserve"> Loans th</w:t>
      </w:r>
      <w:r>
        <w:rPr>
          <w:rFonts w:eastAsia="Times New Roman"/>
          <w:color w:val="000000"/>
          <w:sz w:val="20"/>
          <w:szCs w:val="20"/>
        </w:rPr>
        <w:t>at have not been designated as criticized, frequently referred to as “pass” loans.</w:t>
      </w:r>
    </w:p>
    <w:p w:rsidR="00000000" w:rsidRDefault="00AF3814">
      <w:pPr>
        <w:ind w:hanging="360"/>
        <w:jc w:val="both"/>
        <w:divId w:val="606738556"/>
        <w:rPr>
          <w:rFonts w:eastAsia="Times New Roman"/>
        </w:rPr>
      </w:pPr>
      <w:r>
        <w:rPr>
          <w:rFonts w:eastAsia="Times New Roman"/>
          <w:color w:val="000000"/>
          <w:sz w:val="20"/>
          <w:szCs w:val="20"/>
        </w:rPr>
        <w:t>•</w:t>
      </w:r>
      <w:r>
        <w:rPr>
          <w:rFonts w:eastAsia="Times New Roman"/>
          <w:i/>
          <w:iCs/>
          <w:color w:val="000000"/>
          <w:sz w:val="20"/>
          <w:szCs w:val="20"/>
        </w:rPr>
        <w:t>Criticized performing:</w:t>
      </w:r>
      <w:r>
        <w:rPr>
          <w:rFonts w:eastAsia="Times New Roman"/>
          <w:color w:val="000000"/>
          <w:sz w:val="20"/>
          <w:szCs w:val="20"/>
        </w:rPr>
        <w:t xml:space="preserve"> Loans in which the financial condition of the obligor is stressed, affecting earnings, cash flows or collateral values. The borrower currently has ad</w:t>
      </w:r>
      <w:r>
        <w:rPr>
          <w:rFonts w:eastAsia="Times New Roman"/>
          <w:color w:val="000000"/>
          <w:sz w:val="20"/>
          <w:szCs w:val="20"/>
        </w:rPr>
        <w:t>equate capacity to meet near-term obligations; however, the stress, left unabated, may result in deterioration of the repayment prospects at some future date.</w:t>
      </w:r>
    </w:p>
    <w:p w:rsidR="00000000" w:rsidRDefault="00AF3814">
      <w:pPr>
        <w:ind w:hanging="360"/>
        <w:jc w:val="both"/>
        <w:divId w:val="1655378015"/>
        <w:rPr>
          <w:rFonts w:eastAsia="Times New Roman"/>
        </w:rPr>
      </w:pPr>
      <w:r>
        <w:rPr>
          <w:rFonts w:eastAsia="Times New Roman"/>
          <w:color w:val="000000"/>
          <w:sz w:val="20"/>
          <w:szCs w:val="20"/>
        </w:rPr>
        <w:t>•</w:t>
      </w:r>
      <w:r>
        <w:rPr>
          <w:rFonts w:eastAsia="Times New Roman"/>
          <w:i/>
          <w:iCs/>
          <w:color w:val="000000"/>
          <w:sz w:val="20"/>
          <w:szCs w:val="20"/>
        </w:rPr>
        <w:t>Criticized nonperforming:</w:t>
      </w:r>
      <w:r>
        <w:rPr>
          <w:rFonts w:eastAsia="Times New Roman"/>
          <w:color w:val="000000"/>
          <w:sz w:val="20"/>
          <w:szCs w:val="20"/>
        </w:rPr>
        <w:t xml:space="preserve"> Loans that are not adequately protected by the current net worth and p</w:t>
      </w:r>
      <w:r>
        <w:rPr>
          <w:rFonts w:eastAsia="Times New Roman"/>
          <w:color w:val="000000"/>
          <w:sz w:val="20"/>
          <w:szCs w:val="20"/>
        </w:rPr>
        <w:t>aying capacity of the obligor or the collateral pledged, if any. Loans classified as criticized nonperforming have a well-defined weakness, or weaknesses, which jeopardize the full repayment of the debt. These loans are characterized by the distinct possib</w:t>
      </w:r>
      <w:r>
        <w:rPr>
          <w:rFonts w:eastAsia="Times New Roman"/>
          <w:color w:val="000000"/>
          <w:sz w:val="20"/>
          <w:szCs w:val="20"/>
        </w:rPr>
        <w:t>ility that we will sustain a credit loss if the deficiencies are not corrected and are generally placed on nonaccrual status.</w:t>
      </w:r>
    </w:p>
    <w:p w:rsidR="00000000" w:rsidRDefault="00AF3814">
      <w:pPr>
        <w:jc w:val="both"/>
        <w:divId w:val="475799583"/>
        <w:rPr>
          <w:rFonts w:eastAsia="Times New Roman"/>
        </w:rPr>
      </w:pPr>
      <w:r>
        <w:rPr>
          <w:rFonts w:eastAsia="Times New Roman"/>
          <w:color w:val="000000"/>
          <w:sz w:val="20"/>
          <w:szCs w:val="20"/>
        </w:rPr>
        <w:t>We use our internal risk rating system for regulatory reporting, determining the frequency of credit exposure reviews, and evaluat</w:t>
      </w:r>
      <w:r>
        <w:rPr>
          <w:rFonts w:eastAsia="Times New Roman"/>
          <w:color w:val="000000"/>
          <w:sz w:val="20"/>
          <w:szCs w:val="20"/>
        </w:rPr>
        <w:t>ing and determining the allowance for credit losses for commercial loans. Generally, loans that are designated as criticized performing and criticized nonperforming are reviewed quarterly by management to determine if they are appropriately classified/rate</w:t>
      </w:r>
      <w:r>
        <w:rPr>
          <w:rFonts w:eastAsia="Times New Roman"/>
          <w:color w:val="000000"/>
          <w:sz w:val="20"/>
          <w:szCs w:val="20"/>
        </w:rPr>
        <w:t>d and whether any impairment exists. Noncriticized loans are also generally reviewed, at least annually, to determine the appropriate risk rating. In addition, we evaluate the risk rating during the renewal process of any loan or if a loan becomes past due</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59731551"/>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5973155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5973155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09" style="width:0;height:1.5pt" o:hralign="center" o:hrstd="t" o:hr="t" fillcolor="#a0a0a0" stroked="f"/>
        </w:pict>
      </w:r>
    </w:p>
    <w:p w:rsidR="00000000" w:rsidRDefault="00AF3814">
      <w:pPr>
        <w:jc w:val="both"/>
        <w:divId w:val="696154683"/>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696154683"/>
        <w:rPr>
          <w:rFonts w:eastAsia="Times New Roman"/>
        </w:rPr>
      </w:pPr>
    </w:p>
    <w:p w:rsidR="00000000" w:rsidRDefault="00AF3814">
      <w:pPr>
        <w:jc w:val="both"/>
        <w:divId w:val="1700206703"/>
        <w:rPr>
          <w:rFonts w:eastAsia="Times New Roman"/>
        </w:rPr>
      </w:pPr>
      <w:r>
        <w:rPr>
          <w:rFonts w:eastAsia="Times New Roman"/>
          <w:color w:val="000000"/>
          <w:sz w:val="20"/>
          <w:szCs w:val="20"/>
        </w:rPr>
        <w:t>The following table presents our commercial banking portfolio of loans held for investment by internal risk ratings as of June 30, 2021 and D</w:t>
      </w:r>
      <w:r>
        <w:rPr>
          <w:rFonts w:eastAsia="Times New Roman"/>
          <w:color w:val="000000"/>
          <w:sz w:val="20"/>
          <w:szCs w:val="20"/>
        </w:rPr>
        <w:t>ecember 31, 2020. The internal risk rating status includes all past due loans, both performing and nonperforming.</w:t>
      </w:r>
    </w:p>
    <w:p w:rsidR="00000000" w:rsidRDefault="00AF3814">
      <w:pPr>
        <w:divId w:val="1977055404"/>
        <w:rPr>
          <w:rFonts w:eastAsia="Times New Roman"/>
        </w:rPr>
      </w:pPr>
      <w:r>
        <w:rPr>
          <w:rFonts w:eastAsia="Times New Roman"/>
          <w:b/>
          <w:bCs/>
          <w:color w:val="000000"/>
          <w:sz w:val="18"/>
          <w:szCs w:val="18"/>
        </w:rPr>
        <w:t>Table 3.5: Commercial Banking Portfolio by Internal Risk Ratings</w:t>
      </w:r>
    </w:p>
    <w:tbl>
      <w:tblPr>
        <w:tblW w:w="5000" w:type="pct"/>
        <w:tblCellMar>
          <w:top w:w="15" w:type="dxa"/>
          <w:left w:w="15" w:type="dxa"/>
          <w:bottom w:w="15" w:type="dxa"/>
          <w:right w:w="15" w:type="dxa"/>
        </w:tblCellMar>
        <w:tblLook w:val="04A0" w:firstRow="1" w:lastRow="0" w:firstColumn="1" w:lastColumn="0" w:noHBand="0" w:noVBand="1"/>
      </w:tblPr>
      <w:tblGrid>
        <w:gridCol w:w="65"/>
        <w:gridCol w:w="79"/>
        <w:gridCol w:w="1330"/>
        <w:gridCol w:w="40"/>
        <w:gridCol w:w="36"/>
        <w:gridCol w:w="36"/>
        <w:gridCol w:w="36"/>
        <w:gridCol w:w="110"/>
        <w:gridCol w:w="202"/>
        <w:gridCol w:w="144"/>
        <w:gridCol w:w="104"/>
        <w:gridCol w:w="36"/>
        <w:gridCol w:w="4"/>
        <w:gridCol w:w="32"/>
        <w:gridCol w:w="36"/>
        <w:gridCol w:w="36"/>
        <w:gridCol w:w="40"/>
        <w:gridCol w:w="70"/>
        <w:gridCol w:w="74"/>
        <w:gridCol w:w="144"/>
        <w:gridCol w:w="322"/>
        <w:gridCol w:w="36"/>
        <w:gridCol w:w="36"/>
        <w:gridCol w:w="36"/>
        <w:gridCol w:w="36"/>
        <w:gridCol w:w="12"/>
        <w:gridCol w:w="98"/>
        <w:gridCol w:w="46"/>
        <w:gridCol w:w="144"/>
        <w:gridCol w:w="144"/>
        <w:gridCol w:w="144"/>
        <w:gridCol w:w="62"/>
        <w:gridCol w:w="36"/>
        <w:gridCol w:w="36"/>
        <w:gridCol w:w="10"/>
        <w:gridCol w:w="26"/>
        <w:gridCol w:w="36"/>
        <w:gridCol w:w="110"/>
        <w:gridCol w:w="306"/>
        <w:gridCol w:w="144"/>
        <w:gridCol w:w="36"/>
        <w:gridCol w:w="36"/>
        <w:gridCol w:w="36"/>
        <w:gridCol w:w="36"/>
        <w:gridCol w:w="110"/>
        <w:gridCol w:w="34"/>
        <w:gridCol w:w="144"/>
        <w:gridCol w:w="144"/>
        <w:gridCol w:w="128"/>
        <w:gridCol w:w="36"/>
        <w:gridCol w:w="36"/>
        <w:gridCol w:w="36"/>
        <w:gridCol w:w="36"/>
        <w:gridCol w:w="110"/>
        <w:gridCol w:w="96"/>
        <w:gridCol w:w="144"/>
        <w:gridCol w:w="144"/>
        <w:gridCol w:w="144"/>
        <w:gridCol w:w="12"/>
        <w:gridCol w:w="36"/>
        <w:gridCol w:w="36"/>
        <w:gridCol w:w="36"/>
        <w:gridCol w:w="24"/>
        <w:gridCol w:w="12"/>
        <w:gridCol w:w="110"/>
        <w:gridCol w:w="22"/>
        <w:gridCol w:w="453"/>
        <w:gridCol w:w="65"/>
        <w:gridCol w:w="36"/>
        <w:gridCol w:w="36"/>
        <w:gridCol w:w="7"/>
        <w:gridCol w:w="29"/>
        <w:gridCol w:w="36"/>
        <w:gridCol w:w="79"/>
        <w:gridCol w:w="31"/>
        <w:gridCol w:w="113"/>
        <w:gridCol w:w="144"/>
        <w:gridCol w:w="144"/>
        <w:gridCol w:w="139"/>
        <w:gridCol w:w="36"/>
        <w:gridCol w:w="36"/>
        <w:gridCol w:w="36"/>
        <w:gridCol w:w="36"/>
        <w:gridCol w:w="111"/>
        <w:gridCol w:w="59"/>
        <w:gridCol w:w="144"/>
        <w:gridCol w:w="144"/>
        <w:gridCol w:w="144"/>
        <w:gridCol w:w="127"/>
        <w:gridCol w:w="17"/>
        <w:gridCol w:w="19"/>
        <w:gridCol w:w="36"/>
        <w:gridCol w:w="36"/>
        <w:gridCol w:w="36"/>
        <w:gridCol w:w="17"/>
        <w:gridCol w:w="93"/>
        <w:gridCol w:w="385"/>
        <w:gridCol w:w="144"/>
        <w:gridCol w:w="11"/>
        <w:gridCol w:w="36"/>
        <w:gridCol w:w="97"/>
        <w:gridCol w:w="144"/>
        <w:gridCol w:w="144"/>
        <w:gridCol w:w="144"/>
        <w:gridCol w:w="478"/>
        <w:gridCol w:w="144"/>
        <w:gridCol w:w="144"/>
        <w:gridCol w:w="144"/>
        <w:gridCol w:w="144"/>
        <w:gridCol w:w="144"/>
        <w:gridCol w:w="526"/>
        <w:gridCol w:w="144"/>
        <w:gridCol w:w="144"/>
        <w:gridCol w:w="144"/>
        <w:gridCol w:w="144"/>
        <w:gridCol w:w="144"/>
        <w:gridCol w:w="576"/>
        <w:gridCol w:w="144"/>
        <w:gridCol w:w="144"/>
        <w:gridCol w:w="144"/>
        <w:gridCol w:w="144"/>
        <w:gridCol w:w="144"/>
        <w:gridCol w:w="491"/>
        <w:gridCol w:w="144"/>
      </w:tblGrid>
      <w:tr w:rsidR="00000000">
        <w:trPr>
          <w:gridAfter w:val="24"/>
          <w:divId w:val="794104397"/>
        </w:trPr>
        <w:tc>
          <w:tcPr>
            <w:tcW w:w="50" w:type="pct"/>
            <w:vAlign w:val="center"/>
            <w:hideMark/>
          </w:tcPr>
          <w:p w:rsidR="00000000" w:rsidRDefault="00AF3814">
            <w:pPr>
              <w:rPr>
                <w:rFonts w:eastAsia="Times New Roman"/>
              </w:rPr>
            </w:pPr>
          </w:p>
        </w:tc>
        <w:tc>
          <w:tcPr>
            <w:tcW w:w="108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1"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88"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88" w:type="pct"/>
            <w:gridSpan w:val="5"/>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73"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73" w:type="pct"/>
            <w:gridSpan w:val="4"/>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gridSpan w:val="5"/>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317" w:type="pct"/>
            <w:gridSpan w:val="4"/>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gridSpan w:val="5"/>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96"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gridAfter w:val="24"/>
          <w:divId w:val="794104397"/>
        </w:trPr>
        <w:tc>
          <w:tcPr>
            <w:tcW w:w="0" w:type="auto"/>
            <w:gridSpan w:val="4"/>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2"/>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June 30, 2021</w:t>
            </w:r>
          </w:p>
        </w:tc>
        <w:tc>
          <w:tcPr>
            <w:tcW w:w="0" w:type="auto"/>
            <w:vAlign w:val="center"/>
            <w:hideMark/>
          </w:tcPr>
          <w:p w:rsidR="00000000" w:rsidRDefault="00AF3814">
            <w:pPr>
              <w:spacing w:after="100"/>
              <w:rPr>
                <w:rFonts w:eastAsia="Times New Roman"/>
                <w:sz w:val="20"/>
                <w:szCs w:val="20"/>
              </w:rPr>
            </w:pPr>
          </w:p>
        </w:tc>
      </w:tr>
      <w:tr w:rsidR="00000000">
        <w:trPr>
          <w:gridAfter w:val="24"/>
          <w:divId w:val="794104397"/>
        </w:trPr>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2"/>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Term Loans by Vintage Year</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gridAfter w:val="24"/>
          <w:divId w:val="794104397"/>
        </w:trPr>
        <w:tc>
          <w:tcPr>
            <w:tcW w:w="0" w:type="auto"/>
            <w:gridSpan w:val="4"/>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2021</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2019</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Prior</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Total Term Loans</w:t>
            </w:r>
          </w:p>
        </w:tc>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AF3814">
            <w:pPr>
              <w:spacing w:after="100"/>
              <w:rPr>
                <w:rFonts w:eastAsia="Times New Roman"/>
                <w:sz w:val="20"/>
                <w:szCs w:val="20"/>
              </w:rPr>
            </w:pPr>
          </w:p>
        </w:tc>
      </w:tr>
      <w:tr w:rsidR="00000000">
        <w:trPr>
          <w:gridAfter w:val="24"/>
          <w:divId w:val="794104397"/>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182130540"/>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gridAfter w:val="24"/>
          <w:divId w:val="794104397"/>
        </w:trPr>
        <w:tc>
          <w:tcPr>
            <w:tcW w:w="0" w:type="auto"/>
            <w:gridSpan w:val="4"/>
            <w:shd w:val="clear" w:color="auto" w:fill="FFFFFF"/>
            <w:tcMar>
              <w:top w:w="30" w:type="dxa"/>
              <w:left w:w="15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gridAfter w:val="24"/>
          <w:divId w:val="794104397"/>
        </w:trPr>
        <w:tc>
          <w:tcPr>
            <w:tcW w:w="0" w:type="auto"/>
            <w:gridSpan w:val="4"/>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4,838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18,223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7,983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26,206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4"/>
          <w:divId w:val="794104397"/>
        </w:trPr>
        <w:tc>
          <w:tcPr>
            <w:tcW w:w="0" w:type="auto"/>
            <w:gridSpan w:val="4"/>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4"/>
          <w:divId w:val="794104397"/>
        </w:trPr>
        <w:tc>
          <w:tcPr>
            <w:tcW w:w="0" w:type="auto"/>
            <w:gridSpan w:val="4"/>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4"/>
          <w:divId w:val="794104397"/>
        </w:trPr>
        <w:tc>
          <w:tcPr>
            <w:tcW w:w="0" w:type="auto"/>
            <w:gridSpan w:val="4"/>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1,792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3,728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4,765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3,366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1,345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6,551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21,547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8,044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29,616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gridAfter w:val="24"/>
          <w:divId w:val="794104397"/>
        </w:trPr>
        <w:tc>
          <w:tcPr>
            <w:tcW w:w="0" w:type="auto"/>
            <w:gridSpan w:val="4"/>
            <w:shd w:val="clear" w:color="auto" w:fill="CCEEFF"/>
            <w:tcMar>
              <w:top w:w="30" w:type="dxa"/>
              <w:left w:w="15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gridAfter w:val="24"/>
          <w:divId w:val="794104397"/>
        </w:trPr>
        <w:tc>
          <w:tcPr>
            <w:tcW w:w="0" w:type="auto"/>
            <w:gridSpan w:val="4"/>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8,160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6,730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29,664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11,596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41,275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4"/>
          <w:divId w:val="794104397"/>
        </w:trPr>
        <w:tc>
          <w:tcPr>
            <w:tcW w:w="0" w:type="auto"/>
            <w:gridSpan w:val="4"/>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4"/>
          <w:divId w:val="794104397"/>
        </w:trPr>
        <w:tc>
          <w:tcPr>
            <w:tcW w:w="0" w:type="auto"/>
            <w:gridSpan w:val="4"/>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AF3814">
        <w:trPr>
          <w:gridAfter w:val="24"/>
          <w:divId w:val="794104397"/>
        </w:trPr>
        <w:tc>
          <w:tcPr>
            <w:tcW w:w="0" w:type="auto"/>
            <w:gridSpan w:val="4"/>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5,039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8,391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7,631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3,912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2,497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4,222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31,692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12,498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44,205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gridAfter w:val="24"/>
          <w:divId w:val="794104397"/>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divId w:val="402527321"/>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6,831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12,119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12,396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7,278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3,842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10,773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53,239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20,542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73,821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50" w:type="pct"/>
            <w:gridSpan w:val="2"/>
            <w:vAlign w:val="center"/>
            <w:hideMark/>
          </w:tcPr>
          <w:p w:rsidR="00000000" w:rsidRDefault="00AF3814">
            <w:pPr>
              <w:rPr>
                <w:rFonts w:eastAsia="Times New Roman"/>
              </w:rPr>
            </w:pPr>
          </w:p>
        </w:tc>
        <w:tc>
          <w:tcPr>
            <w:tcW w:w="1078" w:type="pct"/>
            <w:gridSpan w:val="7"/>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gridSpan w:val="3"/>
            <w:vAlign w:val="center"/>
            <w:hideMark/>
          </w:tcPr>
          <w:p w:rsidR="00000000" w:rsidRDefault="00AF3814">
            <w:pPr>
              <w:spacing w:after="100"/>
              <w:rPr>
                <w:rFonts w:eastAsia="Times New Roman"/>
                <w:sz w:val="20"/>
                <w:szCs w:val="20"/>
              </w:rPr>
            </w:pPr>
          </w:p>
        </w:tc>
        <w:tc>
          <w:tcPr>
            <w:tcW w:w="26" w:type="pct"/>
            <w:gridSpan w:val="4"/>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gridSpan w:val="6"/>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4"/>
            <w:vAlign w:val="center"/>
            <w:hideMark/>
          </w:tcPr>
          <w:p w:rsidR="00000000" w:rsidRDefault="00AF3814">
            <w:pPr>
              <w:spacing w:after="100"/>
              <w:rPr>
                <w:rFonts w:eastAsia="Times New Roman"/>
                <w:sz w:val="20"/>
                <w:szCs w:val="20"/>
              </w:rPr>
            </w:pPr>
          </w:p>
        </w:tc>
        <w:tc>
          <w:tcPr>
            <w:tcW w:w="288" w:type="pct"/>
            <w:gridSpan w:val="4"/>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gridSpan w:val="4"/>
            <w:vAlign w:val="center"/>
            <w:hideMark/>
          </w:tcPr>
          <w:p w:rsidR="00000000" w:rsidRDefault="00AF3814">
            <w:pPr>
              <w:spacing w:after="100"/>
              <w:rPr>
                <w:rFonts w:eastAsia="Times New Roman"/>
                <w:sz w:val="20"/>
                <w:szCs w:val="20"/>
              </w:rPr>
            </w:pPr>
          </w:p>
        </w:tc>
        <w:tc>
          <w:tcPr>
            <w:tcW w:w="26"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gridSpan w:val="7"/>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gridSpan w:val="5"/>
            <w:vAlign w:val="center"/>
            <w:hideMark/>
          </w:tcPr>
          <w:p w:rsidR="00000000" w:rsidRDefault="00AF3814">
            <w:pPr>
              <w:spacing w:after="100"/>
              <w:rPr>
                <w:rFonts w:eastAsia="Times New Roman"/>
                <w:sz w:val="20"/>
                <w:szCs w:val="20"/>
              </w:rPr>
            </w:pPr>
          </w:p>
        </w:tc>
        <w:tc>
          <w:tcPr>
            <w:tcW w:w="50" w:type="pct"/>
            <w:gridSpan w:val="3"/>
            <w:vAlign w:val="center"/>
            <w:hideMark/>
          </w:tcPr>
          <w:p w:rsidR="00000000" w:rsidRDefault="00AF3814">
            <w:pPr>
              <w:spacing w:after="100"/>
              <w:rPr>
                <w:rFonts w:eastAsia="Times New Roman"/>
                <w:sz w:val="20"/>
                <w:szCs w:val="20"/>
              </w:rPr>
            </w:pPr>
          </w:p>
        </w:tc>
        <w:tc>
          <w:tcPr>
            <w:tcW w:w="273" w:type="pct"/>
            <w:vAlign w:val="center"/>
            <w:hideMark/>
          </w:tcPr>
          <w:p w:rsidR="00000000" w:rsidRDefault="00AF3814">
            <w:pPr>
              <w:spacing w:after="100"/>
              <w:rPr>
                <w:rFonts w:eastAsia="Times New Roman"/>
                <w:sz w:val="20"/>
                <w:szCs w:val="20"/>
              </w:rPr>
            </w:pPr>
          </w:p>
        </w:tc>
        <w:tc>
          <w:tcPr>
            <w:tcW w:w="5" w:type="pct"/>
            <w:gridSpan w:val="4"/>
            <w:vAlign w:val="center"/>
            <w:hideMark/>
          </w:tcPr>
          <w:p w:rsidR="00000000" w:rsidRDefault="00AF3814">
            <w:pPr>
              <w:spacing w:after="100"/>
              <w:rPr>
                <w:rFonts w:eastAsia="Times New Roman"/>
                <w:sz w:val="20"/>
                <w:szCs w:val="20"/>
              </w:rPr>
            </w:pPr>
          </w:p>
        </w:tc>
        <w:tc>
          <w:tcPr>
            <w:tcW w:w="5" w:type="pct"/>
            <w:gridSpan w:val="3"/>
            <w:vAlign w:val="center"/>
            <w:hideMark/>
          </w:tcPr>
          <w:p w:rsidR="00000000" w:rsidRDefault="00AF3814">
            <w:pPr>
              <w:spacing w:after="100"/>
              <w:rPr>
                <w:rFonts w:eastAsia="Times New Roman"/>
                <w:sz w:val="20"/>
                <w:szCs w:val="20"/>
              </w:rPr>
            </w:pPr>
          </w:p>
        </w:tc>
        <w:tc>
          <w:tcPr>
            <w:tcW w:w="26"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73" w:type="pct"/>
            <w:gridSpan w:val="7"/>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gridSpan w:val="5"/>
            <w:vAlign w:val="center"/>
            <w:hideMark/>
          </w:tcPr>
          <w:p w:rsidR="00000000" w:rsidRDefault="00AF3814">
            <w:pPr>
              <w:spacing w:after="100"/>
              <w:rPr>
                <w:rFonts w:eastAsia="Times New Roman"/>
                <w:sz w:val="20"/>
                <w:szCs w:val="20"/>
              </w:rPr>
            </w:pPr>
          </w:p>
        </w:tc>
        <w:tc>
          <w:tcPr>
            <w:tcW w:w="288"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gridSpan w:val="3"/>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10"/>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04"/>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December 31, 2020</w:t>
            </w: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10"/>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7"/>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10"/>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5"/>
                <w:szCs w:val="15"/>
              </w:rPr>
              <w:t>(Dollars in millions)</w:t>
            </w:r>
          </w:p>
        </w:tc>
        <w:tc>
          <w:tcPr>
            <w:tcW w:w="0" w:type="auto"/>
            <w:gridSpan w:val="9"/>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2019</w:t>
            </w: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2018</w:t>
            </w: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2017</w:t>
            </w: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2016</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Prior</w:t>
            </w: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5"/>
                <w:szCs w:val="15"/>
              </w:rPr>
              <w:t>Total</w:t>
            </w: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10"/>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428085476"/>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10"/>
            <w:shd w:val="clear" w:color="auto" w:fill="FFFFFF"/>
            <w:tcMar>
              <w:top w:w="30" w:type="dxa"/>
              <w:left w:w="15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c>
          <w:tcPr>
            <w:tcW w:w="0" w:type="auto"/>
            <w:gridSpan w:val="10"/>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Noncriticized</w:t>
            </w: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6"/>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3,791 </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4"/>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4,932 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7"/>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3,232 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1,437 </w:t>
            </w:r>
          </w:p>
        </w:tc>
        <w:tc>
          <w:tcPr>
            <w:tcW w:w="0" w:type="auto"/>
            <w:gridSpan w:val="4"/>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7"/>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1,649 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4,904 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19,945 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7,114 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27,059 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10"/>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Criticized performing</w:t>
            </w: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320 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446 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355 </w:t>
            </w:r>
          </w:p>
        </w:tc>
        <w:tc>
          <w:tcPr>
            <w:tcW w:w="0" w:type="auto"/>
            <w:gridSpan w:val="4"/>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1,258 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3,285 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3,422 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10"/>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Criticized nonperforming</w:t>
            </w: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gridSpan w:val="4"/>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10"/>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and multifamily real estate</w:t>
            </w: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4,111 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5,389 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1,798 </w:t>
            </w:r>
          </w:p>
        </w:tc>
        <w:tc>
          <w:tcPr>
            <w:tcW w:w="0" w:type="auto"/>
            <w:gridSpan w:val="4"/>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2,043 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23,430 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30,681 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c>
          <w:tcPr>
            <w:tcW w:w="0" w:type="auto"/>
            <w:gridSpan w:val="10"/>
            <w:shd w:val="clear" w:color="auto" w:fill="CCEEFF"/>
            <w:tcMar>
              <w:top w:w="30" w:type="dxa"/>
              <w:left w:w="15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10"/>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Noncriticized</w:t>
            </w: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9,761 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7,890 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4,043 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2,717 </w:t>
            </w:r>
          </w:p>
        </w:tc>
        <w:tc>
          <w:tcPr>
            <w:tcW w:w="0" w:type="auto"/>
            <w:gridSpan w:val="4"/>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1,832 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3,034 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29,277 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11,548 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40,905 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10"/>
            <w:shd w:val="clear" w:color="auto" w:fill="CCEE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Criticized performing</w:t>
            </w: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316 </w:t>
            </w:r>
          </w:p>
        </w:tc>
        <w:tc>
          <w:tcPr>
            <w:tcW w:w="0" w:type="auto"/>
            <w:gridSpan w:val="2"/>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794 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252 </w:t>
            </w:r>
          </w:p>
        </w:tc>
        <w:tc>
          <w:tcPr>
            <w:tcW w:w="0" w:type="auto"/>
            <w:gridSpan w:val="4"/>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2,204 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1,498 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3,744 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10"/>
            <w:shd w:val="clear" w:color="auto" w:fill="FFFFFF"/>
            <w:tcMar>
              <w:top w:w="30" w:type="dxa"/>
              <w:left w:w="38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Criticized nonperforming</w:t>
            </w: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74 </w:t>
            </w:r>
          </w:p>
        </w:tc>
        <w:tc>
          <w:tcPr>
            <w:tcW w:w="0" w:type="auto"/>
            <w:gridSpan w:val="2"/>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51 </w:t>
            </w:r>
          </w:p>
        </w:tc>
        <w:tc>
          <w:tcPr>
            <w:tcW w:w="0" w:type="auto"/>
            <w:gridSpan w:val="4"/>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10"/>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and industrial</w:t>
            </w: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10,151 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8,792 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3,020 </w:t>
            </w:r>
          </w:p>
        </w:tc>
        <w:tc>
          <w:tcPr>
            <w:tcW w:w="0" w:type="auto"/>
            <w:gridSpan w:val="4"/>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1,947 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31,748 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13,229 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c>
          <w:tcPr>
            <w:tcW w:w="0" w:type="auto"/>
            <w:gridSpan w:val="10"/>
            <w:shd w:val="clear" w:color="auto" w:fill="FFFFFF"/>
            <w:tcMar>
              <w:top w:w="30" w:type="dxa"/>
              <w:left w:w="20" w:type="dxa"/>
              <w:bottom w:w="30" w:type="dxa"/>
              <w:right w:w="20" w:type="dxa"/>
            </w:tcMar>
            <w:vAlign w:val="center"/>
            <w:hideMark/>
          </w:tcPr>
          <w:p w:rsidR="00000000" w:rsidRDefault="00AF3814">
            <w:pPr>
              <w:spacing w:after="100"/>
              <w:divId w:val="2079089857"/>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6"/>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14,262 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14,181 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8,366 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4,818 </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9,561 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55,178 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20,455 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75,780 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both"/>
        <w:rPr>
          <w:rFonts w:eastAsia="Times New Roman"/>
        </w:rPr>
      </w:pPr>
      <w:r>
        <w:rPr>
          <w:rFonts w:eastAsia="Times New Roman"/>
          <w:color w:val="000000"/>
          <w:sz w:val="20"/>
          <w:szCs w:val="20"/>
        </w:rPr>
        <w:t>__________</w:t>
      </w:r>
    </w:p>
    <w:p w:rsidR="00000000" w:rsidRDefault="00AF3814">
      <w:pPr>
        <w:ind w:hanging="360"/>
        <w:jc w:val="both"/>
        <w:divId w:val="5134441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Criticized exposures correspond to the “Special Mention,” “Substandard” and “Doubtful” asset categories defined by bank regulatory authorities.</w:t>
      </w:r>
    </w:p>
    <w:p w:rsidR="00000000" w:rsidRDefault="00AF3814">
      <w:pPr>
        <w:ind w:hanging="360"/>
        <w:jc w:val="both"/>
        <w:divId w:val="116563356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$296 million and $238 mil</w:t>
      </w:r>
      <w:r>
        <w:rPr>
          <w:rFonts w:eastAsia="Times New Roman"/>
          <w:color w:val="000000"/>
          <w:sz w:val="16"/>
          <w:szCs w:val="16"/>
        </w:rPr>
        <w:t>lion as of June 30, 2021 and December 31, 2020, respectively.</w:t>
      </w:r>
    </w:p>
    <w:p w:rsidR="00000000" w:rsidRDefault="00AF3814">
      <w:pPr>
        <w:jc w:val="both"/>
        <w:divId w:val="1545554230"/>
        <w:rPr>
          <w:rFonts w:eastAsia="Times New Roman"/>
        </w:rPr>
      </w:pPr>
    </w:p>
    <w:p w:rsidR="00000000" w:rsidRDefault="00AF3814">
      <w:pPr>
        <w:jc w:val="both"/>
        <w:divId w:val="76954206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29144693"/>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29144693"/>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529144693"/>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10" style="width:0;height:1.5pt" o:hralign="center" o:hrstd="t" o:hr="t" fillcolor="#a0a0a0" stroked="f"/>
        </w:pict>
      </w:r>
    </w:p>
    <w:p w:rsidR="00000000" w:rsidRDefault="00AF3814">
      <w:pPr>
        <w:jc w:val="both"/>
        <w:divId w:val="962149171"/>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962149171"/>
        <w:rPr>
          <w:rFonts w:eastAsia="Times New Roman"/>
        </w:rPr>
      </w:pPr>
    </w:p>
    <w:p w:rsidR="00000000" w:rsidRDefault="00AF3814">
      <w:pPr>
        <w:divId w:val="650018631"/>
        <w:rPr>
          <w:rFonts w:eastAsia="Times New Roman"/>
        </w:rPr>
      </w:pPr>
      <w:r>
        <w:rPr>
          <w:rFonts w:eastAsia="Times New Roman"/>
          <w:b/>
          <w:bCs/>
          <w:color w:val="000000"/>
          <w:sz w:val="20"/>
          <w:szCs w:val="20"/>
        </w:rPr>
        <w:t>Troubled Debt Restructurings</w:t>
      </w:r>
    </w:p>
    <w:p w:rsidR="00000000" w:rsidRDefault="00AF3814">
      <w:pPr>
        <w:jc w:val="both"/>
        <w:rPr>
          <w:rFonts w:eastAsia="Times New Roman"/>
        </w:rPr>
      </w:pPr>
      <w:r>
        <w:rPr>
          <w:rFonts w:eastAsia="Times New Roman"/>
          <w:color w:val="000000"/>
          <w:sz w:val="20"/>
          <w:szCs w:val="20"/>
        </w:rPr>
        <w:t>Additional guidance issued by the Federal Banking Agencies and contained in the Coronavirus Aid, Relief, and Economic Security Act provides banking organizations with troubled debt restructurings (“TDRs”) relief for modifications of current borrowers impac</w:t>
      </w:r>
      <w:r>
        <w:rPr>
          <w:rFonts w:eastAsia="Times New Roman"/>
          <w:color w:val="000000"/>
          <w:sz w:val="20"/>
          <w:szCs w:val="20"/>
        </w:rPr>
        <w:t>ted by the COVID-19 pandemic. In adherence with the guidance, we assessed all loan modifications introduced to current borrowers in response to the COVID-19 pandemic through June 30, 2021, that would have been designated as TDRs under our existing policies</w:t>
      </w:r>
      <w:r>
        <w:rPr>
          <w:rFonts w:eastAsia="Times New Roman"/>
          <w:color w:val="000000"/>
          <w:sz w:val="20"/>
          <w:szCs w:val="20"/>
        </w:rPr>
        <w:t>, and followed guidance that any such eligible loan modifications made on a temporary and good faith basis are not considered TDRs. We consider the impact of all loan modifications, including those classified as TDRs and those offered in response to the CO</w:t>
      </w:r>
      <w:r>
        <w:rPr>
          <w:rFonts w:eastAsia="Times New Roman"/>
          <w:color w:val="000000"/>
          <w:sz w:val="20"/>
          <w:szCs w:val="20"/>
        </w:rPr>
        <w:t>VID-19 pandemic, when estimating the credit quality of our loan portfolio and establishing allowance levels. For our Commercial Banking customers, enrollment in a customer assistance program is also considered in the assignment of an internal risk rating.</w:t>
      </w:r>
    </w:p>
    <w:p w:rsidR="00000000" w:rsidRDefault="00AF3814">
      <w:pPr>
        <w:jc w:val="both"/>
        <w:divId w:val="1896046290"/>
        <w:rPr>
          <w:rFonts w:eastAsia="Times New Roman"/>
        </w:rPr>
      </w:pPr>
      <w:r>
        <w:rPr>
          <w:rFonts w:eastAsia="Times New Roman"/>
          <w:color w:val="000000"/>
          <w:sz w:val="20"/>
          <w:szCs w:val="20"/>
        </w:rPr>
        <w:t xml:space="preserve">Total recorded TDRs were $1.8 billion and $2.1 billion as of June 30, 2021 and December 31, 2020, respectively. TDRs classified as performing in our credit card and consumer banking loan portfolios totaled $1.2 billion and $1.3 billion as of June 30, 2021 </w:t>
      </w:r>
      <w:r>
        <w:rPr>
          <w:rFonts w:eastAsia="Times New Roman"/>
          <w:color w:val="000000"/>
          <w:sz w:val="20"/>
          <w:szCs w:val="20"/>
        </w:rPr>
        <w:t>and December 31, 2020, respectively. TDRs classified as performing in our commercial banking loan portfolio totaled $243 million and $442 million as of June 30, 2021 and December 31, 2020, respectively. Commitments to lend additional funds on loans modifie</w:t>
      </w:r>
      <w:r>
        <w:rPr>
          <w:rFonts w:eastAsia="Times New Roman"/>
          <w:color w:val="000000"/>
          <w:sz w:val="20"/>
          <w:szCs w:val="20"/>
        </w:rPr>
        <w:t>d in TDRs totaled $173 million as of both June 30, 2021 and December 31, 2020.</w:t>
      </w:r>
    </w:p>
    <w:p w:rsidR="00000000" w:rsidRDefault="00AF3814">
      <w:pPr>
        <w:divId w:val="980232150"/>
        <w:rPr>
          <w:rFonts w:eastAsia="Times New Roman"/>
        </w:rPr>
      </w:pPr>
      <w:r>
        <w:rPr>
          <w:rFonts w:eastAsia="Times New Roman"/>
          <w:b/>
          <w:bCs/>
          <w:i/>
          <w:iCs/>
          <w:color w:val="000000"/>
          <w:sz w:val="20"/>
          <w:szCs w:val="20"/>
        </w:rPr>
        <w:t xml:space="preserve">Loans Modified in TDRs </w:t>
      </w:r>
    </w:p>
    <w:p w:rsidR="00000000" w:rsidRDefault="00AF3814">
      <w:pPr>
        <w:jc w:val="both"/>
        <w:divId w:val="1223905539"/>
        <w:rPr>
          <w:rFonts w:eastAsia="Times New Roman"/>
        </w:rPr>
      </w:pPr>
      <w:r>
        <w:rPr>
          <w:rFonts w:eastAsia="Times New Roman"/>
          <w:color w:val="000000"/>
          <w:sz w:val="20"/>
          <w:szCs w:val="20"/>
        </w:rPr>
        <w:t>As part of our loan modification programs to borrowers experiencing financial difficulty, we may provide multiple concessions to minimize our economic lo</w:t>
      </w:r>
      <w:r>
        <w:rPr>
          <w:rFonts w:eastAsia="Times New Roman"/>
          <w:color w:val="000000"/>
          <w:sz w:val="20"/>
          <w:szCs w:val="20"/>
        </w:rPr>
        <w:t>ss and improve long-term loan performance and collectability. The following tables present the major modification types, amortized cost amounts and financial effects of loans modified in TDRs during the three and six months ended June 30, 2021 and 2020.</w:t>
      </w:r>
    </w:p>
    <w:p w:rsidR="00000000" w:rsidRDefault="00AF3814">
      <w:pPr>
        <w:divId w:val="2091387852"/>
        <w:rPr>
          <w:rFonts w:eastAsia="Times New Roman"/>
        </w:rPr>
      </w:pPr>
      <w:r>
        <w:rPr>
          <w:rFonts w:eastAsia="Times New Roman"/>
          <w:b/>
          <w:bCs/>
          <w:color w:val="000000"/>
          <w:sz w:val="18"/>
          <w:szCs w:val="18"/>
        </w:rPr>
        <w:t>Ta</w:t>
      </w:r>
      <w:r>
        <w:rPr>
          <w:rFonts w:eastAsia="Times New Roman"/>
          <w:b/>
          <w:bCs/>
          <w:color w:val="000000"/>
          <w:sz w:val="18"/>
          <w:szCs w:val="18"/>
        </w:rPr>
        <w:t>ble 3.6: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960"/>
        <w:gridCol w:w="38"/>
        <w:gridCol w:w="36"/>
        <w:gridCol w:w="36"/>
        <w:gridCol w:w="36"/>
        <w:gridCol w:w="111"/>
        <w:gridCol w:w="679"/>
        <w:gridCol w:w="36"/>
        <w:gridCol w:w="36"/>
        <w:gridCol w:w="36"/>
        <w:gridCol w:w="36"/>
        <w:gridCol w:w="82"/>
        <w:gridCol w:w="609"/>
        <w:gridCol w:w="200"/>
        <w:gridCol w:w="36"/>
        <w:gridCol w:w="36"/>
        <w:gridCol w:w="36"/>
        <w:gridCol w:w="87"/>
        <w:gridCol w:w="648"/>
        <w:gridCol w:w="200"/>
        <w:gridCol w:w="36"/>
        <w:gridCol w:w="36"/>
        <w:gridCol w:w="36"/>
        <w:gridCol w:w="81"/>
        <w:gridCol w:w="609"/>
        <w:gridCol w:w="20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trPr>
          <w:divId w:val="211963523"/>
        </w:trPr>
        <w:tc>
          <w:tcPr>
            <w:tcW w:w="50" w:type="pct"/>
            <w:vAlign w:val="center"/>
            <w:hideMark/>
          </w:tcPr>
          <w:p w:rsidR="00000000" w:rsidRDefault="00AF3814">
            <w:pPr>
              <w:rPr>
                <w:rFonts w:eastAsia="Times New Roman"/>
              </w:rPr>
            </w:pPr>
          </w:p>
        </w:tc>
        <w:tc>
          <w:tcPr>
            <w:tcW w:w="26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2021</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41</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17</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17</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196352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11" style="width:0;height:1.5pt" o:hralign="center" o:hrstd="t" o:hr="t" fillcolor="#a0a0a0" stroked="f"/>
        </w:pict>
      </w:r>
    </w:p>
    <w:p w:rsidR="00000000" w:rsidRDefault="00AF3814">
      <w:pPr>
        <w:jc w:val="both"/>
        <w:divId w:val="582303833"/>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58230383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885"/>
        <w:gridCol w:w="38"/>
        <w:gridCol w:w="36"/>
        <w:gridCol w:w="36"/>
        <w:gridCol w:w="36"/>
        <w:gridCol w:w="111"/>
        <w:gridCol w:w="679"/>
        <w:gridCol w:w="36"/>
        <w:gridCol w:w="36"/>
        <w:gridCol w:w="36"/>
        <w:gridCol w:w="36"/>
        <w:gridCol w:w="88"/>
        <w:gridCol w:w="657"/>
        <w:gridCol w:w="201"/>
        <w:gridCol w:w="37"/>
        <w:gridCol w:w="46"/>
        <w:gridCol w:w="37"/>
        <w:gridCol w:w="87"/>
        <w:gridCol w:w="656"/>
        <w:gridCol w:w="200"/>
        <w:gridCol w:w="36"/>
        <w:gridCol w:w="36"/>
        <w:gridCol w:w="36"/>
        <w:gridCol w:w="81"/>
        <w:gridCol w:w="609"/>
        <w:gridCol w:w="20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trPr>
          <w:divId w:val="1187207386"/>
        </w:trPr>
        <w:tc>
          <w:tcPr>
            <w:tcW w:w="50" w:type="pct"/>
            <w:vAlign w:val="center"/>
            <w:hideMark/>
          </w:tcPr>
          <w:p w:rsidR="00000000" w:rsidRDefault="00AF3814">
            <w:pPr>
              <w:jc w:val="center"/>
              <w:rPr>
                <w:rFonts w:eastAsia="Times New Roman"/>
              </w:rPr>
            </w:pPr>
          </w:p>
        </w:tc>
        <w:tc>
          <w:tcPr>
            <w:tcW w:w="26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2021</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28</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14</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18720738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gridSpan w:val="3"/>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77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tblGrid>
      <w:tr w:rsidR="00000000">
        <w:tc>
          <w:tcPr>
            <w:tcW w:w="50" w:type="pct"/>
            <w:vAlign w:val="center"/>
            <w:hideMark/>
          </w:tcPr>
          <w:p w:rsidR="00000000" w:rsidRDefault="00AF3814">
            <w:pPr>
              <w:rPr>
                <w:rFonts w:eastAsia="Times New Roman"/>
              </w:rPr>
            </w:pPr>
          </w:p>
        </w:tc>
        <w:tc>
          <w:tcPr>
            <w:tcW w:w="167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24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2020</w:t>
            </w:r>
          </w:p>
        </w:tc>
      </w:tr>
      <w:tr w:rsidR="00000000">
        <w:trPr>
          <w:trHeight w:val="24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Balance Reduction</w:t>
            </w:r>
          </w:p>
        </w:tc>
      </w:tr>
      <w:tr w:rsidR="00000000">
        <w:trPr>
          <w:trHeight w:val="72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 Balance Reduction</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15.41 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26.56 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19.14 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4</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7</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8</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17.96 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center"/>
        <w:divId w:val="634680371"/>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34680371"/>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63468037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63468037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12" style="width:0;height:1.5pt" o:hralign="center" o:hrstd="t" o:hr="t" fillcolor="#a0a0a0" stroked="f"/>
        </w:pict>
      </w:r>
    </w:p>
    <w:p w:rsidR="00000000" w:rsidRDefault="00AF3814">
      <w:pPr>
        <w:jc w:val="both"/>
        <w:divId w:val="38167476"/>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381674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535"/>
        <w:gridCol w:w="38"/>
        <w:gridCol w:w="36"/>
        <w:gridCol w:w="36"/>
        <w:gridCol w:w="36"/>
        <w:gridCol w:w="111"/>
        <w:gridCol w:w="679"/>
        <w:gridCol w:w="36"/>
        <w:gridCol w:w="36"/>
        <w:gridCol w:w="36"/>
        <w:gridCol w:w="36"/>
        <w:gridCol w:w="88"/>
        <w:gridCol w:w="657"/>
        <w:gridCol w:w="171"/>
        <w:gridCol w:w="37"/>
        <w:gridCol w:w="46"/>
        <w:gridCol w:w="37"/>
        <w:gridCol w:w="87"/>
        <w:gridCol w:w="656"/>
        <w:gridCol w:w="170"/>
        <w:gridCol w:w="36"/>
        <w:gridCol w:w="36"/>
        <w:gridCol w:w="36"/>
        <w:gridCol w:w="82"/>
        <w:gridCol w:w="609"/>
        <w:gridCol w:w="171"/>
        <w:gridCol w:w="37"/>
        <w:gridCol w:w="37"/>
        <w:gridCol w:w="37"/>
        <w:gridCol w:w="84"/>
        <w:gridCol w:w="624"/>
        <w:gridCol w:w="36"/>
        <w:gridCol w:w="36"/>
        <w:gridCol w:w="36"/>
        <w:gridCol w:w="36"/>
        <w:gridCol w:w="82"/>
        <w:gridCol w:w="609"/>
        <w:gridCol w:w="171"/>
        <w:gridCol w:w="37"/>
        <w:gridCol w:w="37"/>
        <w:gridCol w:w="37"/>
        <w:gridCol w:w="112"/>
        <w:gridCol w:w="648"/>
        <w:gridCol w:w="37"/>
      </w:tblGrid>
      <w:tr w:rsidR="00000000">
        <w:trPr>
          <w:divId w:val="443304922"/>
        </w:trPr>
        <w:tc>
          <w:tcPr>
            <w:tcW w:w="50" w:type="pct"/>
            <w:vAlign w:val="center"/>
            <w:hideMark/>
          </w:tcPr>
          <w:p w:rsidR="00000000" w:rsidRDefault="00AF3814">
            <w:pPr>
              <w:jc w:val="center"/>
              <w:rPr>
                <w:rFonts w:eastAsia="Times New Roman"/>
              </w:rPr>
            </w:pPr>
          </w:p>
        </w:tc>
        <w:tc>
          <w:tcPr>
            <w:tcW w:w="167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43304922"/>
          <w:trHeight w:val="24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2020</w:t>
            </w:r>
          </w:p>
        </w:tc>
      </w:tr>
      <w:tr w:rsidR="00000000">
        <w:trPr>
          <w:divId w:val="443304922"/>
          <w:trHeight w:val="24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Balance Reduction</w:t>
            </w:r>
          </w:p>
        </w:tc>
      </w:tr>
      <w:tr w:rsidR="00000000">
        <w:trPr>
          <w:divId w:val="443304922"/>
          <w:trHeight w:val="72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 Balance Reduction</w:t>
            </w:r>
          </w:p>
        </w:tc>
      </w:tr>
      <w:tr w:rsidR="00000000">
        <w:trPr>
          <w:divId w:val="44330492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4330492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16.05 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330492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27.05 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330492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19.94 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330492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4330492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330492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4</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330492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330492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4330492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10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330492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330492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4330492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17.90 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2122258234"/>
        <w:rPr>
          <w:rFonts w:eastAsia="Times New Roman"/>
        </w:rPr>
      </w:pPr>
      <w:r>
        <w:rPr>
          <w:rFonts w:eastAsia="Times New Roman"/>
          <w:color w:val="000000"/>
          <w:sz w:val="20"/>
          <w:szCs w:val="20"/>
        </w:rPr>
        <w:t>__________</w:t>
      </w:r>
    </w:p>
    <w:p w:rsidR="00000000" w:rsidRDefault="00AF3814">
      <w:pPr>
        <w:ind w:hanging="360"/>
        <w:jc w:val="both"/>
        <w:divId w:val="37408761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the amortized cost of total loans modified in TDRs at the end of the period in which they were modified. As not every modification type is included in the table above, the total percentage of TDR activity may not add up to 100%. Some loans may r</w:t>
      </w:r>
      <w:r>
        <w:rPr>
          <w:rFonts w:eastAsia="Times New Roman"/>
          <w:color w:val="000000"/>
          <w:sz w:val="16"/>
          <w:szCs w:val="16"/>
        </w:rPr>
        <w:t>eceive more than one type of concession as part of the modification.</w:t>
      </w:r>
    </w:p>
    <w:p w:rsidR="00000000" w:rsidRDefault="00AF3814">
      <w:pPr>
        <w:ind w:hanging="360"/>
        <w:jc w:val="both"/>
        <w:divId w:val="139408456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Due to multiple concessions granted to some troubled borrowers, percentages may total more than 100% for certain loan types.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02111"/>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0211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0211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13" style="width:0;height:1.5pt" o:hralign="center" o:hrstd="t" o:hr="t" fillcolor="#a0a0a0" stroked="f"/>
        </w:pict>
      </w:r>
    </w:p>
    <w:p w:rsidR="00000000" w:rsidRDefault="00AF3814">
      <w:pPr>
        <w:jc w:val="both"/>
        <w:divId w:val="734277392"/>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734277392"/>
        <w:rPr>
          <w:rFonts w:eastAsia="Times New Roman"/>
        </w:rPr>
      </w:pPr>
    </w:p>
    <w:p w:rsidR="00000000" w:rsidRDefault="00AF3814">
      <w:pPr>
        <w:divId w:val="375395480"/>
        <w:rPr>
          <w:rFonts w:eastAsia="Times New Roman"/>
        </w:rPr>
      </w:pPr>
      <w:r>
        <w:rPr>
          <w:rFonts w:eastAsia="Times New Roman"/>
          <w:b/>
          <w:bCs/>
          <w:i/>
          <w:iCs/>
          <w:color w:val="000000"/>
          <w:sz w:val="20"/>
          <w:szCs w:val="20"/>
        </w:rPr>
        <w:t>Subsequent Defaults of Completed TDR Modifications</w:t>
      </w:r>
    </w:p>
    <w:p w:rsidR="00000000" w:rsidRDefault="00AF3814">
      <w:pPr>
        <w:jc w:val="both"/>
        <w:divId w:val="119538698"/>
        <w:rPr>
          <w:rFonts w:eastAsia="Times New Roman"/>
        </w:rPr>
      </w:pPr>
      <w:r>
        <w:rPr>
          <w:rFonts w:eastAsia="Times New Roman"/>
          <w:color w:val="000000"/>
          <w:sz w:val="20"/>
          <w:szCs w:val="20"/>
        </w:rPr>
        <w:t>The following table presents the type, number and amortized cost of loans modified in TDRs</w:t>
      </w:r>
      <w:r>
        <w:rPr>
          <w:rFonts w:eastAsia="Times New Roman"/>
          <w:color w:val="000000"/>
          <w:sz w:val="20"/>
          <w:szCs w:val="20"/>
        </w:rPr>
        <w:t xml:space="preserve"> that experienced a default during the period and had completed a modification event in the twelve months prior to the default. A default occurs if the loan is either 90 days or more delinquent, has been charged off as of the end of the period presented or</w:t>
      </w:r>
      <w:r>
        <w:rPr>
          <w:rFonts w:eastAsia="Times New Roman"/>
          <w:color w:val="000000"/>
          <w:sz w:val="20"/>
          <w:szCs w:val="20"/>
        </w:rPr>
        <w:t xml:space="preserve"> has been reclassified from accrual to nonaccrual status.</w:t>
      </w:r>
    </w:p>
    <w:p w:rsidR="00000000" w:rsidRDefault="00AF3814">
      <w:pPr>
        <w:divId w:val="2005936297"/>
        <w:rPr>
          <w:rFonts w:eastAsia="Times New Roman"/>
        </w:rPr>
      </w:pPr>
      <w:r>
        <w:rPr>
          <w:rFonts w:eastAsia="Times New Roman"/>
          <w:b/>
          <w:bCs/>
          <w:color w:val="000000"/>
          <w:sz w:val="18"/>
          <w:szCs w:val="18"/>
        </w:rPr>
        <w:t>Table 3.7: TDRs—Subsequent Defaults</w:t>
      </w:r>
    </w:p>
    <w:tbl>
      <w:tblPr>
        <w:tblW w:w="5000" w:type="pct"/>
        <w:tblCellMar>
          <w:top w:w="15" w:type="dxa"/>
          <w:left w:w="15" w:type="dxa"/>
          <w:bottom w:w="15" w:type="dxa"/>
          <w:right w:w="15" w:type="dxa"/>
        </w:tblCellMar>
        <w:tblLook w:val="04A0" w:firstRow="1" w:lastRow="0" w:firstColumn="1" w:lastColumn="0" w:noHBand="0" w:noVBand="1"/>
      </w:tblPr>
      <w:tblGrid>
        <w:gridCol w:w="52"/>
        <w:gridCol w:w="1129"/>
        <w:gridCol w:w="38"/>
        <w:gridCol w:w="36"/>
        <w:gridCol w:w="36"/>
        <w:gridCol w:w="3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7"/>
        <w:gridCol w:w="36"/>
        <w:gridCol w:w="36"/>
        <w:gridCol w:w="36"/>
        <w:gridCol w:w="3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6"/>
        <w:gridCol w:w="37"/>
        <w:gridCol w:w="36"/>
        <w:gridCol w:w="36"/>
        <w:gridCol w:w="36"/>
        <w:gridCol w:w="36"/>
        <w:gridCol w:w="36"/>
        <w:gridCol w:w="36"/>
        <w:gridCol w:w="36"/>
        <w:gridCol w:w="36"/>
        <w:gridCol w:w="36"/>
        <w:gridCol w:w="36"/>
        <w:gridCol w:w="36"/>
      </w:tblGrid>
      <w:tr w:rsidR="00000000">
        <w:trPr>
          <w:divId w:val="112794560"/>
        </w:trPr>
        <w:tc>
          <w:tcPr>
            <w:tcW w:w="50" w:type="pct"/>
            <w:vAlign w:val="center"/>
            <w:hideMark/>
          </w:tcPr>
          <w:p w:rsidR="00000000" w:rsidRDefault="00AF3814">
            <w:pPr>
              <w:rPr>
                <w:rFonts w:eastAsia="Times New Roman"/>
              </w:rPr>
            </w:pPr>
          </w:p>
        </w:tc>
        <w:tc>
          <w:tcPr>
            <w:tcW w:w="109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279456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1279456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1279456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Number </w:t>
            </w:r>
            <w:r>
              <w:rPr>
                <w:rFonts w:eastAsia="Times New Roman"/>
                <w:b/>
                <w:bCs/>
                <w:color w:val="000000"/>
                <w:sz w:val="16"/>
                <w:szCs w:val="16"/>
              </w:rPr>
              <w:t>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Amount</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27945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11279456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9,582 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9,360</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2C2C2C"/>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18</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20,468 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11279456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14,827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17,508 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32,029</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51</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35,365 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1127945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19,053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27,090 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41,389</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69</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55,833 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27945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11279456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860 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4,302</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64</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2,135 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11279456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8</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1127945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4,310</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64</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000000">
        <w:trPr>
          <w:divId w:val="1127945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11279456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11279456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82</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11279456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7</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132</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r w:rsidR="00AF3814">
        <w:trPr>
          <w:divId w:val="11279456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21,334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27,954 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45,706</w:t>
            </w:r>
            <w:r>
              <w:rPr>
                <w:rFonts w:eastAsia="Times New Roman"/>
                <w:color w:val="2C2C2C"/>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2C2C2C"/>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2C2C2C"/>
                <w:sz w:val="18"/>
                <w:szCs w:val="18"/>
              </w:rPr>
              <w:t>265</w:t>
            </w:r>
            <w:r>
              <w:rPr>
                <w:rFonts w:eastAsia="Times New Roman"/>
                <w:color w:val="2C2C2C"/>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57,979 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2C2C2C"/>
                <w:sz w:val="18"/>
                <w:szCs w:val="18"/>
              </w:rPr>
              <w:t>170 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r>
    </w:tbl>
    <w:p w:rsidR="00000000" w:rsidRDefault="00AF3814">
      <w:pPr>
        <w:jc w:val="both"/>
        <w:divId w:val="604270768"/>
        <w:rPr>
          <w:rFonts w:eastAsia="Times New Roman"/>
        </w:rPr>
      </w:pPr>
      <w:r>
        <w:rPr>
          <w:rFonts w:eastAsia="Times New Roman"/>
          <w:b/>
          <w:bCs/>
          <w:color w:val="000000"/>
          <w:sz w:val="20"/>
          <w:szCs w:val="20"/>
        </w:rPr>
        <w:t>Loans Pledged</w:t>
      </w:r>
    </w:p>
    <w:p w:rsidR="00000000" w:rsidRDefault="00AF3814">
      <w:pPr>
        <w:jc w:val="both"/>
        <w:divId w:val="1047992750"/>
        <w:rPr>
          <w:rFonts w:eastAsia="Times New Roman"/>
        </w:rPr>
      </w:pPr>
      <w:r>
        <w:rPr>
          <w:rFonts w:eastAsia="Times New Roman"/>
          <w:color w:val="000000"/>
          <w:sz w:val="20"/>
          <w:szCs w:val="20"/>
        </w:rPr>
        <w:t>We pledged loan collateral of $11.6 billion and $14.1 billion to secure</w:t>
      </w:r>
      <w:r>
        <w:rPr>
          <w:rFonts w:eastAsia="Times New Roman"/>
          <w:color w:val="000000"/>
          <w:sz w:val="20"/>
          <w:szCs w:val="20"/>
        </w:rPr>
        <w:t xml:space="preserve"> the majority of our FHLB borrowing capacity of $19.2 billion and $19.6 billion as of June 30, 2021 and December 31, 2020, respectively. We also pledged loan collateral of $26.9 billion and $25.5 billion to secure our Federal Reserve Discount Window borrow</w:t>
      </w:r>
      <w:r>
        <w:rPr>
          <w:rFonts w:eastAsia="Times New Roman"/>
          <w:color w:val="000000"/>
          <w:sz w:val="20"/>
          <w:szCs w:val="20"/>
        </w:rPr>
        <w:t>ing capacity of $21.3 billion and $20.0 billion as of June 30, 2021 and December 31, 2020, respectively. In addition to loans pledged, we have securitized a portion of our credit card and auto loan portfolios. See “Note 5—Variable Interest Entities and Sec</w:t>
      </w:r>
      <w:r>
        <w:rPr>
          <w:rFonts w:eastAsia="Times New Roman"/>
          <w:color w:val="000000"/>
          <w:sz w:val="20"/>
          <w:szCs w:val="20"/>
        </w:rPr>
        <w:t>uritizations” for additional information.</w:t>
      </w:r>
    </w:p>
    <w:p w:rsidR="00000000" w:rsidRDefault="00AF3814">
      <w:pPr>
        <w:divId w:val="699357205"/>
        <w:rPr>
          <w:rFonts w:eastAsia="Times New Roman"/>
        </w:rPr>
      </w:pPr>
      <w:r>
        <w:rPr>
          <w:rFonts w:eastAsia="Times New Roman"/>
          <w:b/>
          <w:bCs/>
          <w:color w:val="000000"/>
          <w:sz w:val="20"/>
          <w:szCs w:val="20"/>
        </w:rPr>
        <w:t>Revolving Loans Converted to Term Loans</w:t>
      </w:r>
    </w:p>
    <w:p w:rsidR="00000000" w:rsidRDefault="00AF3814">
      <w:pPr>
        <w:jc w:val="both"/>
        <w:divId w:val="1391617579"/>
        <w:rPr>
          <w:rFonts w:eastAsia="Times New Roman"/>
        </w:rPr>
      </w:pPr>
      <w:r>
        <w:rPr>
          <w:rFonts w:eastAsia="Times New Roman"/>
          <w:color w:val="000000"/>
          <w:sz w:val="20"/>
          <w:szCs w:val="20"/>
        </w:rPr>
        <w:t xml:space="preserve">For the three and six months ended June 30, 2021, we converted $38 million and $135 </w:t>
      </w:r>
      <w:r>
        <w:rPr>
          <w:rFonts w:eastAsia="Times New Roman"/>
          <w:color w:val="000000"/>
          <w:sz w:val="20"/>
          <w:szCs w:val="20"/>
        </w:rPr>
        <w:t>million of revolving loans to term loans, respectively, primarily in our domestic credit card and commercial banking loan portfolios. For the three and six months ended June 30, 2020, we converted $89 million and $249 million of revolving loans to term loa</w:t>
      </w:r>
      <w:r>
        <w:rPr>
          <w:rFonts w:eastAsia="Times New Roman"/>
          <w:color w:val="000000"/>
          <w:sz w:val="20"/>
          <w:szCs w:val="20"/>
        </w:rPr>
        <w:t>ns, respectively, primarily in our domestic credit card loan portfolio.</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93704739"/>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293704739"/>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293704739"/>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89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14" style="width:0;height:1.5pt" o:hralign="center" o:hrstd="t" o:hr="t" fillcolor="#a0a0a0" stroked="f"/>
        </w:pict>
      </w:r>
    </w:p>
    <w:p w:rsidR="00000000" w:rsidRDefault="00AF3814">
      <w:pPr>
        <w:jc w:val="both"/>
        <w:divId w:val="197625427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97625427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5756234"/>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575623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4—</w:t>
            </w:r>
            <w:r>
              <w:rPr>
                <w:rFonts w:eastAsia="Times New Roman"/>
                <w:b/>
                <w:bCs/>
                <w:color w:val="000000"/>
                <w:sz w:val="20"/>
                <w:szCs w:val="20"/>
              </w:rPr>
              <w:t>ALLOWANCE FOR CREDIT LOSSES AND RESERVE FOR UNFUNDED LENDING COMMITMENTS</w:t>
            </w:r>
          </w:p>
        </w:tc>
      </w:tr>
    </w:tbl>
    <w:p w:rsidR="00000000" w:rsidRDefault="00AF3814">
      <w:pPr>
        <w:jc w:val="both"/>
        <w:divId w:val="1298947852"/>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w:t>
      </w:r>
      <w:r>
        <w:rPr>
          <w:rFonts w:eastAsia="Times New Roman"/>
          <w:color w:val="000000"/>
          <w:sz w:val="20"/>
          <w:szCs w:val="20"/>
        </w:rPr>
        <w:t>heet date. Expected recoveries of amounts previously charged off or expected to be charged off are recognized within the allowance. When developing an estimate of expected credit losses, we use both quantitative and qualitative methods in considering all a</w:t>
      </w:r>
      <w:r>
        <w:rPr>
          <w:rFonts w:eastAsia="Times New Roman"/>
          <w:color w:val="000000"/>
          <w:sz w:val="20"/>
          <w:szCs w:val="20"/>
        </w:rPr>
        <w:t xml:space="preserve">vailable information relevant to assessing collectability. This may include internal information, external information or a combination of both relating to past events, current conditions, and reasonable and supportable forecasts. Management will consider </w:t>
      </w:r>
      <w:r>
        <w:rPr>
          <w:rFonts w:eastAsia="Times New Roman"/>
          <w:color w:val="000000"/>
          <w:sz w:val="20"/>
          <w:szCs w:val="20"/>
        </w:rPr>
        <w:t>and may qualitatively adjust for conditions, changes and trends in loan portfolios that may not be captured in modeled results. These adjustments are referred to as qualitative factors and represent management’s judgment of the imprecision and risks inhere</w:t>
      </w:r>
      <w:r>
        <w:rPr>
          <w:rFonts w:eastAsia="Times New Roman"/>
          <w:color w:val="000000"/>
          <w:sz w:val="20"/>
          <w:szCs w:val="20"/>
        </w:rPr>
        <w:t>nt in the processes and assumptions used in establishing the allowance for credit losses. Significant judgment is applied in our estimation of lifetime credit losses.</w:t>
      </w:r>
    </w:p>
    <w:p w:rsidR="00000000" w:rsidRDefault="00AF3814">
      <w:pPr>
        <w:jc w:val="both"/>
        <w:divId w:val="1701198118"/>
        <w:rPr>
          <w:rFonts w:eastAsia="Times New Roman"/>
        </w:rPr>
      </w:pPr>
      <w:r>
        <w:rPr>
          <w:rFonts w:eastAsia="Times New Roman"/>
          <w:color w:val="000000"/>
          <w:sz w:val="20"/>
          <w:szCs w:val="20"/>
        </w:rPr>
        <w:t>We have unfunded lending commitments in our Commercial Banking business that are not unco</w:t>
      </w:r>
      <w:r>
        <w:rPr>
          <w:rFonts w:eastAsia="Times New Roman"/>
          <w:color w:val="000000"/>
          <w:sz w:val="20"/>
          <w:szCs w:val="20"/>
        </w:rPr>
        <w:t>nditionally cancellable by us and for which we estimate expected credit losses in establishing a reserve. This reserve is measured using the same measurement objectives as the allowance for loans held for investment. We build or release the reserve for unf</w:t>
      </w:r>
      <w:r>
        <w:rPr>
          <w:rFonts w:eastAsia="Times New Roman"/>
          <w:color w:val="000000"/>
          <w:sz w:val="20"/>
          <w:szCs w:val="20"/>
        </w:rPr>
        <w:t xml:space="preserve">unded lending commitments through the provision for credit losses in our consolidated statements of income, and the related reserve for unfunded lending commitments is included in other liabilities on our consolidated balance sheets. </w:t>
      </w:r>
    </w:p>
    <w:p w:rsidR="00000000" w:rsidRDefault="00AF3814">
      <w:pPr>
        <w:jc w:val="both"/>
        <w:divId w:val="2061591748"/>
        <w:rPr>
          <w:rFonts w:eastAsia="Times New Roman"/>
        </w:rPr>
      </w:pPr>
      <w:r>
        <w:rPr>
          <w:rFonts w:eastAsia="Times New Roman"/>
          <w:color w:val="000000"/>
          <w:sz w:val="20"/>
          <w:szCs w:val="20"/>
        </w:rPr>
        <w:t>See “Note 1—Summary o</w:t>
      </w:r>
      <w:r>
        <w:rPr>
          <w:rFonts w:eastAsia="Times New Roman"/>
          <w:color w:val="000000"/>
          <w:sz w:val="20"/>
          <w:szCs w:val="20"/>
        </w:rPr>
        <w:t>f Significant Accounting Policies” in our 2020 Form 10-K for further discussion of the methodology and policy for determining our allowance for credit losses for each of our loan portfolio segments, as well as information on our reserve for unfunded lendin</w:t>
      </w:r>
      <w:r>
        <w:rPr>
          <w:rFonts w:eastAsia="Times New Roman"/>
          <w:color w:val="000000"/>
          <w:sz w:val="20"/>
          <w:szCs w:val="20"/>
        </w:rPr>
        <w:t>g commitments.</w:t>
      </w:r>
    </w:p>
    <w:p w:rsidR="00000000" w:rsidRDefault="00AF3814">
      <w:pPr>
        <w:divId w:val="1626278909"/>
        <w:rPr>
          <w:rFonts w:eastAsia="Times New Roman"/>
        </w:rPr>
      </w:pPr>
      <w:r>
        <w:rPr>
          <w:rFonts w:eastAsia="Times New Roman"/>
          <w:b/>
          <w:bCs/>
          <w:color w:val="000000"/>
          <w:sz w:val="20"/>
          <w:szCs w:val="20"/>
        </w:rPr>
        <w:t>Allowance for Credit Losses and Reserve for Unfunded Lending Commitments Activity</w:t>
      </w:r>
    </w:p>
    <w:p w:rsidR="00000000" w:rsidRDefault="00AF3814">
      <w:pPr>
        <w:jc w:val="both"/>
        <w:divId w:val="2065060970"/>
        <w:rPr>
          <w:rFonts w:eastAsia="Times New Roman"/>
        </w:rPr>
      </w:pPr>
      <w:r>
        <w:rPr>
          <w:rFonts w:eastAsia="Times New Roman"/>
          <w:color w:val="000000"/>
          <w:sz w:val="20"/>
          <w:szCs w:val="20"/>
        </w:rPr>
        <w:t xml:space="preserve">The table below summarizes changes in the allowance for credit losses and reserve for unfunded lending commitments by portfolio segment for the three and six months ended June 30, 2021 and 2020. Our allowance for credit losses decreased by $3.2 billion to </w:t>
      </w:r>
      <w:r>
        <w:rPr>
          <w:rFonts w:eastAsia="Times New Roman"/>
          <w:color w:val="000000"/>
          <w:sz w:val="20"/>
          <w:szCs w:val="20"/>
        </w:rPr>
        <w:t>$12.3 billion as of June 30, 2021 from December 31, 2020, primarily driven by strong credit performance and an improved economic outlook.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96291886"/>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796291886"/>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796291886"/>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15" style="width:0;height:1.5pt" o:hralign="center" o:hrstd="t" o:hr="t" fillcolor="#a0a0a0" stroked="f"/>
        </w:pict>
      </w:r>
    </w:p>
    <w:p w:rsidR="00000000" w:rsidRDefault="00AF3814">
      <w:pPr>
        <w:jc w:val="both"/>
        <w:divId w:val="175528047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755280470"/>
        <w:rPr>
          <w:rFonts w:eastAsia="Times New Roman"/>
        </w:rPr>
      </w:pPr>
    </w:p>
    <w:p w:rsidR="00000000" w:rsidRDefault="00AF3814">
      <w:pPr>
        <w:divId w:val="822697724"/>
        <w:rPr>
          <w:rFonts w:eastAsia="Times New Roman"/>
        </w:rPr>
      </w:pPr>
      <w:r>
        <w:rPr>
          <w:rFonts w:eastAsia="Times New Roman"/>
          <w:b/>
          <w:bCs/>
          <w:color w:val="000000"/>
          <w:sz w:val="18"/>
          <w:szCs w:val="18"/>
        </w:rPr>
        <w:t>Table 4.1: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trPr>
          <w:divId w:val="38212707"/>
        </w:trPr>
        <w:tc>
          <w:tcPr>
            <w:tcW w:w="50" w:type="pct"/>
            <w:vAlign w:val="center"/>
            <w:hideMark/>
          </w:tcPr>
          <w:p w:rsidR="00000000" w:rsidRDefault="00AF3814">
            <w:pPr>
              <w:rPr>
                <w:rFonts w:eastAsia="Times New Roman"/>
              </w:rPr>
            </w:pPr>
          </w:p>
        </w:tc>
        <w:tc>
          <w:tcPr>
            <w:tcW w:w="28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38212707"/>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2021</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821270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382127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382127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March 31,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10,072 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2,498 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14,017 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236020417"/>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(967)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(1,235)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030499092"/>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recoveries (charge-offs)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(635)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(1,137)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721976048"/>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12,346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3821270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March 31,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21270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Combined allowance and reserve as of June 30,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12,510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716"/>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480"/>
        <w:gridCol w:w="480"/>
        <w:gridCol w:w="480"/>
        <w:gridCol w:w="480"/>
        <w:gridCol w:w="144"/>
        <w:gridCol w:w="722"/>
        <w:gridCol w:w="144"/>
      </w:tblGrid>
      <w:tr w:rsidR="00000000">
        <w:tc>
          <w:tcPr>
            <w:tcW w:w="50" w:type="pct"/>
            <w:vAlign w:val="center"/>
            <w:hideMark/>
          </w:tcPr>
          <w:p w:rsidR="00000000" w:rsidRDefault="00AF3814">
            <w:pPr>
              <w:jc w:val="both"/>
              <w:rPr>
                <w:rFonts w:eastAsia="Times New Roman"/>
              </w:rPr>
            </w:pPr>
          </w:p>
        </w:tc>
        <w:tc>
          <w:tcPr>
            <w:tcW w:w="28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2021</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w:t>
            </w:r>
            <w:r>
              <w:rPr>
                <w:rFonts w:eastAsia="Times New Roman"/>
                <w:i/>
                <w:i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11,191 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1,658 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15,564 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384330429"/>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(1,960)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(2,589)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94448057"/>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recoveries (charge-offs)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(1,204)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(1,281)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(1,127)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(1,950)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034694917"/>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12,346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Combined allowance and reserve as of June 30,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12,510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center"/>
        <w:divId w:val="364211381"/>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64211381"/>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36421138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36421138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16" style="width:0;height:1.5pt" o:hralign="center" o:hrstd="t" o:hr="t" fillcolor="#a0a0a0" stroked="f"/>
        </w:pict>
      </w:r>
    </w:p>
    <w:p w:rsidR="00000000" w:rsidRDefault="00AF3814">
      <w:pPr>
        <w:jc w:val="both"/>
        <w:divId w:val="659161166"/>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65916116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trPr>
          <w:divId w:val="219172053"/>
        </w:trPr>
        <w:tc>
          <w:tcPr>
            <w:tcW w:w="50" w:type="pct"/>
            <w:vAlign w:val="center"/>
            <w:hideMark/>
          </w:tcPr>
          <w:p w:rsidR="00000000" w:rsidRDefault="00AF3814">
            <w:pPr>
              <w:jc w:val="center"/>
              <w:rPr>
                <w:rFonts w:eastAsia="Times New Roman"/>
              </w:rPr>
            </w:pPr>
          </w:p>
        </w:tc>
        <w:tc>
          <w:tcPr>
            <w:tcW w:w="28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19172053"/>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19172053"/>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21917205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917205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March 31,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10,346 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2,154 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1,573 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14,073 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171214823"/>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w:t>
            </w:r>
            <w:r>
              <w:rPr>
                <w:rFonts w:eastAsia="Times New Roman"/>
                <w:color w:val="000000"/>
                <w:sz w:val="18"/>
                <w:szCs w:val="18"/>
              </w:rPr>
              <w:t>1,612)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(2,131)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550193805"/>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626 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(1,505)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2,944 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876 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4,252 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313605511"/>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June 30,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12,091 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16,832 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917205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March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June 30,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917205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Combined allowance and reserve as of June 30,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12,091 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17,050 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716"/>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480"/>
        <w:gridCol w:w="480"/>
        <w:gridCol w:w="480"/>
        <w:gridCol w:w="480"/>
        <w:gridCol w:w="144"/>
        <w:gridCol w:w="722"/>
        <w:gridCol w:w="144"/>
      </w:tblGrid>
      <w:tr w:rsidR="00000000">
        <w:tc>
          <w:tcPr>
            <w:tcW w:w="50" w:type="pct"/>
            <w:vAlign w:val="center"/>
            <w:hideMark/>
          </w:tcPr>
          <w:p w:rsidR="00000000" w:rsidRDefault="00AF3814">
            <w:pPr>
              <w:jc w:val="both"/>
              <w:rPr>
                <w:rFonts w:eastAsia="Times New Roman"/>
              </w:rPr>
            </w:pPr>
          </w:p>
        </w:tc>
        <w:tc>
          <w:tcPr>
            <w:tcW w:w="28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2020</w:t>
            </w: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w:t>
            </w:r>
            <w:r>
              <w:rPr>
                <w:rFonts w:eastAsia="Times New Roman"/>
                <w:i/>
                <w:i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5,395 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775 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7,208 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2,241 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2,845 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divId w:val="578057731"/>
              <w:rPr>
                <w:rFonts w:eastAsia="Times New Roman"/>
              </w:rPr>
            </w:pPr>
            <w:r>
              <w:rPr>
                <w:rFonts w:eastAsia="Times New Roman"/>
                <w:color w:val="000000"/>
                <w:sz w:val="18"/>
                <w:szCs w:val="18"/>
              </w:rPr>
              <w:t>Finance charge and fee reserve reclassificatio</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Balance as of January 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10,515 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65960897"/>
              <w:rPr>
                <w:rFonts w:eastAsia="Times New Roman"/>
              </w:rPr>
            </w:pPr>
            <w:r>
              <w:rPr>
                <w:rFonts w:eastAsia="Times New Roman"/>
                <w:color w:val="000000"/>
                <w:sz w:val="18"/>
                <w:szCs w:val="18"/>
              </w:rPr>
              <w:t>Charge-offs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(3,461)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(912)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(4,588)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163550509"/>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814 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1,292 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(2,647)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w:t>
            </w:r>
            <w:r>
              <w:rPr>
                <w:rFonts w:eastAsia="Times New Roman"/>
                <w:color w:val="000000"/>
                <w:sz w:val="18"/>
                <w:szCs w:val="18"/>
              </w:rPr>
              <w:t>438)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(3,296)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6,646 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1,736 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9,619 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6,323 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627270494"/>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June 30,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12,091 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16,832 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Balance as of January 1,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June 30,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Combined allowance and reserve as of June 30,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12,091 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17,050 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both"/>
        <w:rPr>
          <w:rFonts w:eastAsia="Times New Roman"/>
        </w:rPr>
      </w:pPr>
      <w:r>
        <w:rPr>
          <w:rFonts w:eastAsia="Times New Roman"/>
          <w:color w:val="000000"/>
          <w:sz w:val="20"/>
          <w:szCs w:val="20"/>
        </w:rPr>
        <w:t>__________</w:t>
      </w:r>
    </w:p>
    <w:p w:rsidR="00000000" w:rsidRDefault="00AF3814">
      <w:pPr>
        <w:ind w:hanging="360"/>
        <w:jc w:val="both"/>
        <w:divId w:val="91543820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customer behavior and risk profile and include direct customer communications, repossession of collateral, the periodic sale of charged off loans as well as a</w:t>
      </w:r>
      <w:r>
        <w:rPr>
          <w:rFonts w:eastAsia="Times New Roman"/>
          <w:color w:val="000000"/>
          <w:sz w:val="16"/>
          <w:szCs w:val="16"/>
        </w:rPr>
        <w:t xml:space="preserve">dditional strategies, such as litigation. </w:t>
      </w:r>
    </w:p>
    <w:p w:rsidR="00000000" w:rsidRDefault="00AF3814">
      <w:pPr>
        <w:ind w:hanging="360"/>
        <w:jc w:val="both"/>
        <w:divId w:val="160407034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currency translation adjustments.</w:t>
      </w:r>
    </w:p>
    <w:p w:rsidR="00000000" w:rsidRDefault="00AF3814">
      <w:pPr>
        <w:ind w:hanging="360"/>
        <w:jc w:val="both"/>
        <w:divId w:val="43740949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Concurrent with our adoption of the CECL standard in the first quarter of 2020, we reclassified our finance charge and fee reserve to our allowance for cr</w:t>
      </w:r>
      <w:r>
        <w:rPr>
          <w:rFonts w:eastAsia="Times New Roman"/>
          <w:color w:val="000000"/>
          <w:sz w:val="16"/>
          <w:szCs w:val="16"/>
        </w:rPr>
        <w:t>edit losses, with a corresponding increase to credit card loans held for investment.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12586228"/>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12586228"/>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12586228"/>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17" style="width:0;height:1.5pt" o:hralign="center" o:hrstd="t" o:hr="t" fillcolor="#a0a0a0" stroked="f"/>
        </w:pict>
      </w:r>
    </w:p>
    <w:p w:rsidR="00000000" w:rsidRDefault="00AF3814">
      <w:pPr>
        <w:jc w:val="both"/>
        <w:divId w:val="158927179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589271790"/>
        <w:rPr>
          <w:rFonts w:eastAsia="Times New Roman"/>
        </w:rPr>
      </w:pPr>
    </w:p>
    <w:p w:rsidR="00000000" w:rsidRDefault="00AF3814">
      <w:pPr>
        <w:divId w:val="816651928"/>
        <w:rPr>
          <w:rFonts w:eastAsia="Times New Roman"/>
        </w:rPr>
      </w:pPr>
      <w:r>
        <w:rPr>
          <w:rFonts w:eastAsia="Times New Roman"/>
          <w:b/>
          <w:bCs/>
          <w:color w:val="000000"/>
          <w:sz w:val="20"/>
          <w:szCs w:val="20"/>
        </w:rPr>
        <w:t>Credit Card Partnership Loss Sharing Arrangements</w:t>
      </w:r>
    </w:p>
    <w:p w:rsidR="00000000" w:rsidRDefault="00AF3814">
      <w:pPr>
        <w:jc w:val="both"/>
        <w:divId w:val="1122306196"/>
        <w:rPr>
          <w:rFonts w:eastAsia="Times New Roman"/>
        </w:rPr>
      </w:pPr>
      <w:r>
        <w:rPr>
          <w:rFonts w:eastAsia="Times New Roman"/>
          <w:color w:val="000000"/>
          <w:sz w:val="20"/>
          <w:szCs w:val="20"/>
        </w:rPr>
        <w:t>We have certain credit card partnership agreements that are presented within our consolidat</w:t>
      </w:r>
      <w:r>
        <w:rPr>
          <w:rFonts w:eastAsia="Times New Roman"/>
          <w:color w:val="000000"/>
          <w:sz w:val="20"/>
          <w:szCs w:val="20"/>
        </w:rPr>
        <w:t>ed financial statements on a net basis, in which our partner agrees to share a portion of the credit losses on the underlying loan portfolio. The expected reimbursements from these partners are netted against our allowance for credit losses. Our methodolog</w:t>
      </w:r>
      <w:r>
        <w:rPr>
          <w:rFonts w:eastAsia="Times New Roman"/>
          <w:color w:val="000000"/>
          <w:sz w:val="20"/>
          <w:szCs w:val="20"/>
        </w:rPr>
        <w:t>y for estimating reimbursements is consistent with the methodology we use to estimate the allowance for credit losses on our credit card loan receivables. These expected reimbursements result in reductions to net charge-offs and the provision for credit lo</w:t>
      </w:r>
      <w:r>
        <w:rPr>
          <w:rFonts w:eastAsia="Times New Roman"/>
          <w:color w:val="000000"/>
          <w:sz w:val="20"/>
          <w:szCs w:val="20"/>
        </w:rPr>
        <w:t>sses. See “Note 1—Summary of Significant Accounting Policies” in our 2020 Form 10-K for further discussion of our credit card partnership agreements.</w:t>
      </w:r>
    </w:p>
    <w:p w:rsidR="00000000" w:rsidRDefault="00AF3814">
      <w:pPr>
        <w:jc w:val="both"/>
        <w:divId w:val="440997287"/>
        <w:rPr>
          <w:rFonts w:eastAsia="Times New Roman"/>
        </w:rPr>
      </w:pPr>
      <w:r>
        <w:rPr>
          <w:rFonts w:eastAsia="Times New Roman"/>
          <w:color w:val="000000"/>
          <w:sz w:val="20"/>
          <w:szCs w:val="20"/>
        </w:rPr>
        <w:t>The table below summarizes the changes in the estimated reimbursements from these partners for the three a</w:t>
      </w:r>
      <w:r>
        <w:rPr>
          <w:rFonts w:eastAsia="Times New Roman"/>
          <w:color w:val="000000"/>
          <w:sz w:val="20"/>
          <w:szCs w:val="20"/>
        </w:rPr>
        <w:t>nd six months ended June 30, 2021 and 2020.</w:t>
      </w:r>
    </w:p>
    <w:p w:rsidR="00000000" w:rsidRDefault="00AF3814">
      <w:pPr>
        <w:divId w:val="601568875"/>
        <w:rPr>
          <w:rFonts w:eastAsia="Times New Roman"/>
        </w:rPr>
      </w:pPr>
      <w:r>
        <w:rPr>
          <w:rFonts w:eastAsia="Times New Roman"/>
          <w:b/>
          <w:bCs/>
          <w:color w:val="000000"/>
          <w:sz w:val="18"/>
          <w:szCs w:val="18"/>
        </w:rPr>
        <w:t>Table 4.2: Summary of Credit Card Partnership Loss Sharing Arrangements Impacts</w:t>
      </w:r>
    </w:p>
    <w:tbl>
      <w:tblPr>
        <w:tblW w:w="5000" w:type="pct"/>
        <w:tblCellMar>
          <w:top w:w="15" w:type="dxa"/>
          <w:left w:w="15" w:type="dxa"/>
          <w:bottom w:w="15" w:type="dxa"/>
          <w:right w:w="15" w:type="dxa"/>
        </w:tblCellMar>
        <w:tblLook w:val="04A0" w:firstRow="1" w:lastRow="0" w:firstColumn="1" w:lastColumn="0" w:noHBand="0" w:noVBand="1"/>
      </w:tblPr>
      <w:tblGrid>
        <w:gridCol w:w="41"/>
        <w:gridCol w:w="6058"/>
        <w:gridCol w:w="37"/>
        <w:gridCol w:w="36"/>
        <w:gridCol w:w="36"/>
        <w:gridCol w:w="36"/>
        <w:gridCol w:w="110"/>
        <w:gridCol w:w="795"/>
        <w:gridCol w:w="36"/>
        <w:gridCol w:w="36"/>
        <w:gridCol w:w="36"/>
        <w:gridCol w:w="36"/>
        <w:gridCol w:w="110"/>
        <w:gridCol w:w="795"/>
        <w:gridCol w:w="36"/>
        <w:gridCol w:w="36"/>
        <w:gridCol w:w="36"/>
      </w:tblGrid>
      <w:tr w:rsidR="00000000">
        <w:trPr>
          <w:divId w:val="546647166"/>
        </w:trPr>
        <w:tc>
          <w:tcPr>
            <w:tcW w:w="50" w:type="pct"/>
            <w:vAlign w:val="center"/>
            <w:hideMark/>
          </w:tcPr>
          <w:p w:rsidR="00000000" w:rsidRDefault="00AF3814">
            <w:pPr>
              <w:rPr>
                <w:rFonts w:eastAsia="Times New Roman"/>
              </w:rPr>
            </w:pPr>
          </w:p>
        </w:tc>
        <w:tc>
          <w:tcPr>
            <w:tcW w:w="370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546647166"/>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54664716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5466471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54664716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54664716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Amounts estimated to be charged (from) to partners which reduced 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54664716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1,711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6149"/>
        <w:gridCol w:w="144"/>
        <w:gridCol w:w="144"/>
        <w:gridCol w:w="144"/>
        <w:gridCol w:w="144"/>
        <w:gridCol w:w="144"/>
        <w:gridCol w:w="878"/>
        <w:gridCol w:w="144"/>
        <w:gridCol w:w="144"/>
        <w:gridCol w:w="144"/>
        <w:gridCol w:w="144"/>
        <w:gridCol w:w="144"/>
        <w:gridCol w:w="878"/>
        <w:gridCol w:w="144"/>
        <w:gridCol w:w="480"/>
        <w:gridCol w:w="1440"/>
      </w:tblGrid>
      <w:tr w:rsidR="00000000">
        <w:tc>
          <w:tcPr>
            <w:tcW w:w="50" w:type="pct"/>
            <w:vAlign w:val="center"/>
            <w:hideMark/>
          </w:tcPr>
          <w:p w:rsidR="00000000" w:rsidRDefault="00AF3814">
            <w:pPr>
              <w:jc w:val="both"/>
              <w:rPr>
                <w:rFonts w:eastAsia="Times New Roman"/>
              </w:rPr>
            </w:pPr>
          </w:p>
        </w:tc>
        <w:tc>
          <w:tcPr>
            <w:tcW w:w="370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(595)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Amounts estimated to be charged (from) to partners which reduced 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1,711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jc w:val="center"/>
        <w:divId w:val="1382829096"/>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82829096"/>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82829096"/>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82829096"/>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18" style="width:0;height:1.5pt" o:hralign="center" o:hrstd="t" o:hr="t" fillcolor="#a0a0a0" stroked="f"/>
        </w:pict>
      </w:r>
    </w:p>
    <w:p w:rsidR="00000000" w:rsidRDefault="00AF3814">
      <w:pPr>
        <w:jc w:val="both"/>
        <w:divId w:val="144391614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44391614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06442988"/>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70644298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5—VARIABLE INTEREST ENTITIES AND SECURITIZATIONS</w:t>
            </w:r>
          </w:p>
        </w:tc>
      </w:tr>
    </w:tbl>
    <w:p w:rsidR="00000000" w:rsidRDefault="00AF3814">
      <w:pPr>
        <w:jc w:val="both"/>
        <w:divId w:val="1673604109"/>
        <w:rPr>
          <w:rFonts w:eastAsia="Times New Roman"/>
        </w:rPr>
      </w:pPr>
      <w:r>
        <w:rPr>
          <w:rFonts w:eastAsia="Times New Roman"/>
          <w:color w:val="000000"/>
          <w:sz w:val="20"/>
          <w:szCs w:val="20"/>
        </w:rPr>
        <w:t xml:space="preserve">In the normal course of business, we enter into various types of transactions with entities that are considered to be variable interest entities (“VIEs”). Our primary involvement with VIEs is related to our securitization transactions in which we transfer </w:t>
      </w:r>
      <w:r>
        <w:rPr>
          <w:rFonts w:eastAsia="Times New Roman"/>
          <w:color w:val="000000"/>
          <w:sz w:val="20"/>
          <w:szCs w:val="20"/>
        </w:rPr>
        <w:t>assets to securitization trusts. We primarily securitize credit card and auto loans, which have provided a source of funding for us and enabled us to transfer a certain portion of the economic risk of the loans or related debt securities to third parties.</w:t>
      </w:r>
    </w:p>
    <w:p w:rsidR="00000000" w:rsidRDefault="00AF3814">
      <w:pPr>
        <w:jc w:val="both"/>
        <w:divId w:val="2066176997"/>
        <w:rPr>
          <w:rFonts w:eastAsia="Times New Roman"/>
        </w:rPr>
      </w:pPr>
      <w:r>
        <w:rPr>
          <w:rFonts w:eastAsia="Times New Roman"/>
          <w:color w:val="000000"/>
          <w:sz w:val="20"/>
          <w:szCs w:val="20"/>
        </w:rPr>
        <w:t>The entity that has a controlling financial interest in a VIE is referred to as the primary beneficiary and is required to consolidate the VIE. The majority of the VIEs in which we are involved have been consolidated in our financial statements.</w:t>
      </w:r>
    </w:p>
    <w:p w:rsidR="00000000" w:rsidRDefault="00AF3814">
      <w:pPr>
        <w:jc w:val="both"/>
        <w:divId w:val="269897275"/>
        <w:rPr>
          <w:rFonts w:eastAsia="Times New Roman"/>
        </w:rPr>
      </w:pPr>
      <w:r>
        <w:rPr>
          <w:rFonts w:eastAsia="Times New Roman"/>
          <w:b/>
          <w:bCs/>
          <w:color w:val="000000"/>
          <w:sz w:val="20"/>
          <w:szCs w:val="20"/>
        </w:rPr>
        <w:t>Summary of</w:t>
      </w:r>
      <w:r>
        <w:rPr>
          <w:rFonts w:eastAsia="Times New Roman"/>
          <w:b/>
          <w:bCs/>
          <w:color w:val="000000"/>
          <w:sz w:val="20"/>
          <w:szCs w:val="20"/>
        </w:rPr>
        <w:t xml:space="preserve"> Consolidated and Unconsolidated VIEs</w:t>
      </w:r>
    </w:p>
    <w:p w:rsidR="00000000" w:rsidRDefault="00AF3814">
      <w:pPr>
        <w:jc w:val="both"/>
        <w:divId w:val="1479028555"/>
        <w:rPr>
          <w:rFonts w:eastAsia="Times New Roman"/>
        </w:rPr>
      </w:pPr>
      <w:r>
        <w:rPr>
          <w:rFonts w:eastAsia="Times New Roman"/>
          <w:color w:val="000000"/>
          <w:sz w:val="20"/>
          <w:szCs w:val="20"/>
        </w:rPr>
        <w:t>The assets of our consolidated VIEs primarily consist of cash, loan receivables and the related allowance for credit losses, which we report on our consolidated balance sheets under restricted cash for securitization i</w:t>
      </w:r>
      <w:r>
        <w:rPr>
          <w:rFonts w:eastAsia="Times New Roman"/>
          <w:color w:val="000000"/>
          <w:sz w:val="20"/>
          <w:szCs w:val="20"/>
        </w:rPr>
        <w:t>nvestors, loans held in consolidated trusts and allowance for credit losses, respectively. The assets of a particular VIE are the primary source of funds to settle its obligations. Creditors of these VIEs typically do not have recourse to our general credi</w:t>
      </w:r>
      <w:r>
        <w:rPr>
          <w:rFonts w:eastAsia="Times New Roman"/>
          <w:color w:val="000000"/>
          <w:sz w:val="20"/>
          <w:szCs w:val="20"/>
        </w:rPr>
        <w:t>t. Liabilities primarily consist of debt securities issued by the VIEs, which we report under securitized debt obligations on our consolidated balance sheets. For unconsolidated VIEs, we present the carrying amount of assets and liabilities reflected on ou</w:t>
      </w:r>
      <w:r>
        <w:rPr>
          <w:rFonts w:eastAsia="Times New Roman"/>
          <w:color w:val="000000"/>
          <w:sz w:val="20"/>
          <w:szCs w:val="20"/>
        </w:rPr>
        <w:t>r consolidated balance sheets and our maximum exposure to loss. Our maximum exposure to loss is estimated based on the unlikely event that all of the assets in the VIEs become worthless and we are required to meet our maximum remaining funding obligations.</w:t>
      </w:r>
    </w:p>
    <w:p w:rsidR="00000000" w:rsidRDefault="00AF3814">
      <w:pPr>
        <w:jc w:val="both"/>
        <w:divId w:val="1853453117"/>
        <w:rPr>
          <w:rFonts w:eastAsia="Times New Roman"/>
        </w:rPr>
      </w:pPr>
      <w:r>
        <w:rPr>
          <w:rFonts w:eastAsia="Times New Roman"/>
          <w:color w:val="000000"/>
          <w:sz w:val="20"/>
          <w:szCs w:val="20"/>
        </w:rPr>
        <w:t>The tables below present a summary of VIEs in which we had continuing involvement or held a significant variable interest, aggregated based on VIEs with similar characteristics as of June 30, 2021 and December 31, 2020. We separately present information f</w:t>
      </w:r>
      <w:r>
        <w:rPr>
          <w:rFonts w:eastAsia="Times New Roman"/>
          <w:color w:val="000000"/>
          <w:sz w:val="20"/>
          <w:szCs w:val="20"/>
        </w:rPr>
        <w:t>or consolidated and unconsolidated VIEs.</w:t>
      </w:r>
    </w:p>
    <w:p w:rsidR="00000000" w:rsidRDefault="00AF3814">
      <w:pPr>
        <w:divId w:val="579678219"/>
        <w:rPr>
          <w:rFonts w:eastAsia="Times New Roman"/>
        </w:rPr>
      </w:pPr>
      <w:r>
        <w:rPr>
          <w:rFonts w:eastAsia="Times New Roman"/>
          <w:b/>
          <w:bCs/>
          <w:color w:val="000000"/>
          <w:sz w:val="18"/>
          <w:szCs w:val="18"/>
        </w:rPr>
        <w:t>Table 5.1: Carrying Amount of Consolidated and Unconsolidated VIEs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1186212776"/>
        </w:trPr>
        <w:tc>
          <w:tcPr>
            <w:tcW w:w="50" w:type="pct"/>
            <w:vAlign w:val="center"/>
            <w:hideMark/>
          </w:tcPr>
          <w:p w:rsidR="00000000" w:rsidRDefault="00AF3814">
            <w:pPr>
              <w:rPr>
                <w:rFonts w:eastAsia="Times New Roman"/>
              </w:rPr>
            </w:pPr>
          </w:p>
        </w:tc>
        <w:tc>
          <w:tcPr>
            <w:tcW w:w="24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8621277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r>
      <w:tr w:rsidR="00000000">
        <w:trPr>
          <w:divId w:val="118621277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Unconsolidated</w:t>
            </w:r>
          </w:p>
        </w:tc>
      </w:tr>
      <w:tr w:rsidR="00000000">
        <w:trPr>
          <w:divId w:val="118621277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Maximum Exposure to Loss</w:t>
            </w:r>
          </w:p>
        </w:tc>
      </w:tr>
      <w:tr w:rsidR="00000000">
        <w:trPr>
          <w:divId w:val="118621277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1053043359"/>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8621277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906568918"/>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20,671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9,115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8621277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8621277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10,624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8621277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086422206"/>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8621277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8621277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8621277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8621277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8621277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24,746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10,681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5,174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19" style="width:0;height:1.5pt" o:hralign="center" o:hrstd="t" o:hr="t" fillcolor="#a0a0a0" stroked="f"/>
        </w:pict>
      </w:r>
    </w:p>
    <w:p w:rsidR="00000000" w:rsidRDefault="00AF3814">
      <w:pPr>
        <w:jc w:val="both"/>
        <w:divId w:val="473790922"/>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47379092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159468"/>
        </w:trPr>
        <w:tc>
          <w:tcPr>
            <w:tcW w:w="50" w:type="pct"/>
            <w:vAlign w:val="center"/>
            <w:hideMark/>
          </w:tcPr>
          <w:p w:rsidR="00000000" w:rsidRDefault="00AF3814">
            <w:pPr>
              <w:jc w:val="center"/>
              <w:rPr>
                <w:rFonts w:eastAsia="Times New Roman"/>
              </w:rPr>
            </w:pPr>
          </w:p>
        </w:tc>
        <w:tc>
          <w:tcPr>
            <w:tcW w:w="24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59468"/>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59468"/>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Unconsolidated</w:t>
            </w:r>
          </w:p>
        </w:tc>
      </w:tr>
      <w:tr w:rsidR="00000000">
        <w:trPr>
          <w:divId w:val="159468"/>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Maximum Exposure to Loss</w:t>
            </w:r>
          </w:p>
        </w:tc>
      </w:tr>
      <w:tr w:rsidR="00000000">
        <w:trPr>
          <w:divId w:val="15946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1946841438"/>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5946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226799212"/>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22,066 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10,338 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9468"/>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2,360 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2,055 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946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24,426 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12,393 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946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00489517"/>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59468"/>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4,602 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4,602 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9468"/>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1,951 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9468"/>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946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946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26,619 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1832330588"/>
        <w:rPr>
          <w:rFonts w:eastAsia="Times New Roman"/>
        </w:rPr>
      </w:pPr>
      <w:r>
        <w:rPr>
          <w:rFonts w:eastAsia="Times New Roman"/>
          <w:color w:val="000000"/>
          <w:sz w:val="20"/>
          <w:szCs w:val="20"/>
        </w:rPr>
        <w:t>__________</w:t>
      </w:r>
    </w:p>
    <w:p w:rsidR="00000000" w:rsidRDefault="00AF3814">
      <w:pPr>
        <w:ind w:hanging="360"/>
        <w:jc w:val="both"/>
        <w:divId w:val="100482313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Excludes insignificant VIEs from </w:t>
      </w:r>
      <w:r>
        <w:rPr>
          <w:rFonts w:eastAsia="Times New Roman"/>
          <w:color w:val="000000"/>
          <w:sz w:val="16"/>
          <w:szCs w:val="16"/>
        </w:rPr>
        <w:t>previously exited businesses.</w:t>
      </w:r>
    </w:p>
    <w:p w:rsidR="00000000" w:rsidRDefault="00AF3814">
      <w:pPr>
        <w:ind w:hanging="360"/>
        <w:jc w:val="both"/>
        <w:divId w:val="187080101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the carrying amount of assets and liabilities owned by the VIE, which includes the seller’s interest and repurchased notes held by other related parties.</w:t>
      </w:r>
    </w:p>
    <w:p w:rsidR="00000000" w:rsidRDefault="00AF3814">
      <w:pPr>
        <w:ind w:hanging="360"/>
        <w:jc w:val="both"/>
        <w:divId w:val="199926033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 certain investment structures, we consolidate a VIE which in turn holds as its primary asset an investment in an unconsolidated VIE. In these instances, we disclose the carrying amount of assets and liabilities on our consolidated balance sheets as unco</w:t>
      </w:r>
      <w:r>
        <w:rPr>
          <w:rFonts w:eastAsia="Times New Roman"/>
          <w:color w:val="000000"/>
          <w:sz w:val="16"/>
          <w:szCs w:val="16"/>
        </w:rPr>
        <w:t>nsolidated VIEs to avoid duplicating our exposure, as the unconsolidated VIEs are generally the operating entities generating the exposure. The carrying amount of assets and liabilities included in the unconsolidated VIE columns above related to these inve</w:t>
      </w:r>
      <w:r>
        <w:rPr>
          <w:rFonts w:eastAsia="Times New Roman"/>
          <w:color w:val="000000"/>
          <w:sz w:val="16"/>
          <w:szCs w:val="16"/>
        </w:rPr>
        <w:t xml:space="preserve">stment structures were $2.2 billion of assets and $606 million of liabilities as of June 30, 2021, and $2.3 billion of assets and $596 million of liabilities as of December 31, 2020. </w:t>
      </w:r>
    </w:p>
    <w:p w:rsidR="00000000" w:rsidRDefault="00AF3814">
      <w:pPr>
        <w:jc w:val="both"/>
        <w:divId w:val="1324695731"/>
        <w:rPr>
          <w:rFonts w:eastAsia="Times New Roman"/>
        </w:rPr>
      </w:pPr>
      <w:r>
        <w:rPr>
          <w:rFonts w:eastAsia="Times New Roman"/>
          <w:b/>
          <w:bCs/>
          <w:color w:val="000000"/>
          <w:sz w:val="20"/>
          <w:szCs w:val="20"/>
        </w:rPr>
        <w:t>Securitization-Related VIEs</w:t>
      </w:r>
    </w:p>
    <w:p w:rsidR="00000000" w:rsidRDefault="00AF3814">
      <w:pPr>
        <w:jc w:val="both"/>
        <w:divId w:val="1007751698"/>
        <w:rPr>
          <w:rFonts w:eastAsia="Times New Roman"/>
        </w:rPr>
      </w:pPr>
      <w:r>
        <w:rPr>
          <w:rFonts w:eastAsia="Times New Roman"/>
          <w:color w:val="000000"/>
          <w:sz w:val="20"/>
          <w:szCs w:val="20"/>
        </w:rPr>
        <w:t>In a securitization transaction, assets are transferred to a trust, which generally meets the definition of a VIE. We engage in securitization activities as an issuer and an investor. Our primary securitization issuance activity includes credit card and au</w:t>
      </w:r>
      <w:r>
        <w:rPr>
          <w:rFonts w:eastAsia="Times New Roman"/>
          <w:color w:val="000000"/>
          <w:sz w:val="20"/>
          <w:szCs w:val="20"/>
        </w:rPr>
        <w:t>to securitizations, conducted through securitization trusts which we consolidate. Our continuing involvement in these securitization transactions mainly consists of acting as the primary servicer and holding certain retained interests.</w:t>
      </w:r>
    </w:p>
    <w:p w:rsidR="00000000" w:rsidRDefault="00AF3814">
      <w:pPr>
        <w:jc w:val="both"/>
        <w:divId w:val="1267352690"/>
        <w:rPr>
          <w:rFonts w:eastAsia="Times New Roman"/>
        </w:rPr>
      </w:pPr>
      <w:r>
        <w:rPr>
          <w:rFonts w:eastAsia="Times New Roman"/>
          <w:color w:val="000000"/>
          <w:sz w:val="20"/>
          <w:szCs w:val="20"/>
        </w:rPr>
        <w:t>In our multifamily a</w:t>
      </w:r>
      <w:r>
        <w:rPr>
          <w:rFonts w:eastAsia="Times New Roman"/>
          <w:color w:val="000000"/>
          <w:sz w:val="20"/>
          <w:szCs w:val="20"/>
        </w:rPr>
        <w:t>gency business, we originate multifamily commercial real estate loans and transfer them to Government-sponsored enterprise (“GSEs”) who may, in turn, securitize them. We retain the related mortgage servicing rights (“MSRs”) and service the transferred loan</w:t>
      </w:r>
      <w:r>
        <w:rPr>
          <w:rFonts w:eastAsia="Times New Roman"/>
          <w:color w:val="000000"/>
          <w:sz w:val="20"/>
          <w:szCs w:val="20"/>
        </w:rPr>
        <w:t>s pursuant to the guidelines set forth by the GSEs. As an investor, we hold primarily RMBS, CMBS, and ABS in our investment securities portfolio, which represent variable interests in the respective securitization trusts from which those securities were is</w:t>
      </w:r>
      <w:r>
        <w:rPr>
          <w:rFonts w:eastAsia="Times New Roman"/>
          <w:color w:val="000000"/>
          <w:sz w:val="20"/>
          <w:szCs w:val="20"/>
        </w:rPr>
        <w:t>sued. We do not consolidate the securitization trusts employed in these transactions as we do not have the power to direct the activities that most significantly impact the economic performance of these securitization trusts. We exclude these VIEs from the</w:t>
      </w:r>
      <w:r>
        <w:rPr>
          <w:rFonts w:eastAsia="Times New Roman"/>
          <w:color w:val="000000"/>
          <w:sz w:val="20"/>
          <w:szCs w:val="20"/>
        </w:rPr>
        <w:t xml:space="preserve"> tables within this note because we do not consider our continuing involvement with these VIEs to be significant as we either invest in securities issued by the VIE and were not involved in the design of the VIE or no transfers have occurred between the VI</w:t>
      </w:r>
      <w:r>
        <w:rPr>
          <w:rFonts w:eastAsia="Times New Roman"/>
          <w:color w:val="000000"/>
          <w:sz w:val="20"/>
          <w:szCs w:val="20"/>
        </w:rPr>
        <w:t>E and us. Our maximum exposure to loss as a result of our involvement with these VIEs is the carrying value of the MSRs and investment securities on our consolidated balance sheets as well as our contractual obligations under loss sharing arrangements. See</w:t>
      </w:r>
      <w:r>
        <w:rPr>
          <w:rFonts w:eastAsia="Times New Roman"/>
          <w:color w:val="000000"/>
          <w:sz w:val="20"/>
          <w:szCs w:val="20"/>
        </w:rPr>
        <w:t xml:space="preserve"> “Note 6—Goodwill and Intangible Assets” for information related to our MSRs associated with these securitizations and “Note 2—Investment Securities” for more information on the securities held in our investment securities portfolio. In addition, where we </w:t>
      </w:r>
      <w:r>
        <w:rPr>
          <w:rFonts w:eastAsia="Times New Roman"/>
          <w:color w:val="000000"/>
          <w:sz w:val="20"/>
          <w:szCs w:val="20"/>
        </w:rPr>
        <w:t>have certain lending arrangements in the normal course of business with entities that could be VIEs, we have also excluded these VIEs from the tables presented in this note. See “Note 3—Loans” for additional information regarding our lending arrangements i</w:t>
      </w:r>
      <w:r>
        <w:rPr>
          <w:rFonts w:eastAsia="Times New Roman"/>
          <w:color w:val="000000"/>
          <w:sz w:val="20"/>
          <w:szCs w:val="20"/>
        </w:rPr>
        <w:t>n the normal course of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29204603"/>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129204603"/>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29204603"/>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20" style="width:0;height:1.5pt" o:hralign="center" o:hrstd="t" o:hr="t" fillcolor="#a0a0a0" stroked="f"/>
        </w:pict>
      </w:r>
    </w:p>
    <w:p w:rsidR="00000000" w:rsidRDefault="00AF3814">
      <w:pPr>
        <w:jc w:val="both"/>
        <w:divId w:val="1544444681"/>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544444681"/>
        <w:rPr>
          <w:rFonts w:eastAsia="Times New Roman"/>
        </w:rPr>
      </w:pPr>
    </w:p>
    <w:p w:rsidR="00000000" w:rsidRDefault="00AF3814">
      <w:pPr>
        <w:divId w:val="232476440"/>
        <w:rPr>
          <w:rFonts w:eastAsia="Times New Roman"/>
        </w:rPr>
      </w:pPr>
      <w:r>
        <w:rPr>
          <w:rFonts w:eastAsia="Times New Roman"/>
          <w:color w:val="000000"/>
          <w:sz w:val="20"/>
          <w:szCs w:val="20"/>
        </w:rPr>
        <w:t>The table below presents our continuing involvement in certain securitization-related VIEs as of June 30, 2021 and December 31, 2020.</w:t>
      </w:r>
    </w:p>
    <w:p w:rsidR="00000000" w:rsidRDefault="00AF3814">
      <w:pPr>
        <w:divId w:val="1635403752"/>
        <w:rPr>
          <w:rFonts w:eastAsia="Times New Roman"/>
        </w:rPr>
      </w:pPr>
      <w:r>
        <w:rPr>
          <w:rFonts w:eastAsia="Times New Roman"/>
          <w:b/>
          <w:bCs/>
          <w:color w:val="000000"/>
          <w:sz w:val="18"/>
          <w:szCs w:val="18"/>
        </w:rPr>
        <w:t>Table 5</w:t>
      </w:r>
      <w:r>
        <w:rPr>
          <w:rFonts w:eastAsia="Times New Roman"/>
          <w:b/>
          <w:bCs/>
          <w:color w:val="000000"/>
          <w:sz w:val="18"/>
          <w:szCs w:val="18"/>
        </w:rPr>
        <w:t>.2: Continuing Involvement in Securitization-Related VIEs</w:t>
      </w:r>
    </w:p>
    <w:tbl>
      <w:tblPr>
        <w:tblW w:w="5000" w:type="pct"/>
        <w:tblCellMar>
          <w:top w:w="15" w:type="dxa"/>
          <w:left w:w="15" w:type="dxa"/>
          <w:bottom w:w="15" w:type="dxa"/>
          <w:right w:w="15" w:type="dxa"/>
        </w:tblCellMar>
        <w:tblLook w:val="04A0" w:firstRow="1" w:lastRow="0" w:firstColumn="1" w:lastColumn="0" w:noHBand="0" w:noVBand="1"/>
      </w:tblPr>
      <w:tblGrid>
        <w:gridCol w:w="41"/>
        <w:gridCol w:w="6281"/>
        <w:gridCol w:w="39"/>
        <w:gridCol w:w="36"/>
        <w:gridCol w:w="36"/>
        <w:gridCol w:w="36"/>
        <w:gridCol w:w="110"/>
        <w:gridCol w:w="718"/>
        <w:gridCol w:w="36"/>
        <w:gridCol w:w="36"/>
        <w:gridCol w:w="36"/>
        <w:gridCol w:w="36"/>
        <w:gridCol w:w="110"/>
        <w:gridCol w:w="719"/>
        <w:gridCol w:w="36"/>
      </w:tblGrid>
      <w:tr w:rsidR="00000000">
        <w:trPr>
          <w:divId w:val="1412267027"/>
        </w:trPr>
        <w:tc>
          <w:tcPr>
            <w:tcW w:w="50" w:type="pct"/>
            <w:vAlign w:val="center"/>
            <w:hideMark/>
          </w:tcPr>
          <w:p w:rsidR="00000000" w:rsidRDefault="00AF3814">
            <w:pPr>
              <w:rPr>
                <w:rFonts w:eastAsia="Times New Roman"/>
              </w:rPr>
            </w:pPr>
          </w:p>
        </w:tc>
        <w:tc>
          <w:tcPr>
            <w:tcW w:w="380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1226702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Auto</w:t>
            </w:r>
          </w:p>
        </w:tc>
      </w:tr>
      <w:tr w:rsidR="00000000">
        <w:trPr>
          <w:divId w:val="141226702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1226702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9,054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1226702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21,803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1226702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1226702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Yes</w:t>
            </w:r>
          </w:p>
        </w:tc>
      </w:tr>
      <w:tr w:rsidR="00000000">
        <w:trPr>
          <w:divId w:val="141226702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Yes</w:t>
            </w: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Yes</w:t>
            </w:r>
          </w:p>
        </w:tc>
      </w:tr>
      <w:tr w:rsidR="00000000">
        <w:trPr>
          <w:divId w:val="141226702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1226702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10,361 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2,053 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1226702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23,683 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2,243 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1226702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1226702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Yes</w:t>
            </w:r>
          </w:p>
        </w:tc>
      </w:tr>
      <w:tr w:rsidR="00000000">
        <w:trPr>
          <w:divId w:val="141226702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Yes</w:t>
            </w:r>
          </w:p>
        </w:tc>
        <w:tc>
          <w:tcPr>
            <w:tcW w:w="0" w:type="auto"/>
            <w:gridSpan w:val="3"/>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Yes</w:t>
            </w:r>
          </w:p>
        </w:tc>
      </w:tr>
    </w:tbl>
    <w:p w:rsidR="00000000" w:rsidRDefault="00AF3814">
      <w:pPr>
        <w:divId w:val="453406234"/>
        <w:rPr>
          <w:rFonts w:eastAsia="Times New Roman"/>
        </w:rPr>
      </w:pPr>
      <w:r>
        <w:rPr>
          <w:rFonts w:eastAsia="Times New Roman"/>
          <w:b/>
          <w:bCs/>
          <w:i/>
          <w:iCs/>
          <w:color w:val="000000"/>
          <w:sz w:val="20"/>
          <w:szCs w:val="20"/>
        </w:rPr>
        <w:t>Credit Card Securitizations</w:t>
      </w:r>
    </w:p>
    <w:p w:rsidR="00000000" w:rsidRDefault="00AF3814">
      <w:pPr>
        <w:jc w:val="both"/>
        <w:divId w:val="1905409722"/>
        <w:rPr>
          <w:rFonts w:eastAsia="Times New Roman"/>
        </w:rPr>
      </w:pPr>
      <w:r>
        <w:rPr>
          <w:rFonts w:eastAsia="Times New Roman"/>
          <w:color w:val="000000"/>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eastAsia="Times New Roman"/>
          <w:color w:val="000000"/>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eastAsia="Times New Roman"/>
          <w:color w:val="000000"/>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 </w:t>
      </w:r>
    </w:p>
    <w:p w:rsidR="00000000" w:rsidRDefault="00AF3814">
      <w:pPr>
        <w:divId w:val="1871339245"/>
        <w:rPr>
          <w:rFonts w:eastAsia="Times New Roman"/>
        </w:rPr>
      </w:pPr>
      <w:r>
        <w:rPr>
          <w:rFonts w:eastAsia="Times New Roman"/>
          <w:b/>
          <w:bCs/>
          <w:i/>
          <w:iCs/>
          <w:color w:val="000000"/>
          <w:sz w:val="20"/>
          <w:szCs w:val="20"/>
        </w:rPr>
        <w:t>Auto Securitiza</w:t>
      </w:r>
      <w:r>
        <w:rPr>
          <w:rFonts w:eastAsia="Times New Roman"/>
          <w:b/>
          <w:bCs/>
          <w:i/>
          <w:iCs/>
          <w:color w:val="000000"/>
          <w:sz w:val="20"/>
          <w:szCs w:val="20"/>
        </w:rPr>
        <w:t>tions</w:t>
      </w:r>
    </w:p>
    <w:p w:rsidR="00000000" w:rsidRDefault="00AF3814">
      <w:pPr>
        <w:jc w:val="both"/>
        <w:divId w:val="1087767273"/>
        <w:rPr>
          <w:rFonts w:eastAsia="Times New Roman"/>
        </w:rPr>
      </w:pPr>
      <w:r>
        <w:rPr>
          <w:rFonts w:eastAsia="Times New Roman"/>
          <w:color w:val="000000"/>
          <w:sz w:val="20"/>
          <w:szCs w:val="20"/>
        </w:rPr>
        <w:t>Similar to our credit card securitizations, we securitize a portion of our auto loans which provides a source of funding for us. Auto securitization involves the transfer of auto loans to securitization trusts. These trusts then issue debt securities</w:t>
      </w:r>
      <w:r>
        <w:rPr>
          <w:rFonts w:eastAsia="Times New Roman"/>
          <w:color w:val="000000"/>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eastAsia="Times New Roman"/>
          <w:color w:val="000000"/>
          <w:sz w:val="20"/>
          <w:szCs w:val="20"/>
        </w:rPr>
        <w:t xml:space="preserve"> direct the activities that most significantly impact the economic performance of the trusts, and the right to receive benefits or the obligation to absorb losses that could potentially be significant to the trusts.</w:t>
      </w:r>
    </w:p>
    <w:p w:rsidR="00000000" w:rsidRDefault="00AF3814">
      <w:pPr>
        <w:jc w:val="both"/>
        <w:divId w:val="500127333"/>
        <w:rPr>
          <w:rFonts w:eastAsia="Times New Roman"/>
        </w:rPr>
      </w:pPr>
      <w:r>
        <w:rPr>
          <w:rFonts w:eastAsia="Times New Roman"/>
          <w:b/>
          <w:bCs/>
          <w:color w:val="000000"/>
          <w:sz w:val="20"/>
          <w:szCs w:val="20"/>
        </w:rPr>
        <w:t>Other VIEs</w:t>
      </w:r>
    </w:p>
    <w:p w:rsidR="00000000" w:rsidRDefault="00AF3814">
      <w:pPr>
        <w:jc w:val="both"/>
        <w:divId w:val="148131391"/>
        <w:rPr>
          <w:rFonts w:eastAsia="Times New Roman"/>
        </w:rPr>
      </w:pPr>
      <w:r>
        <w:rPr>
          <w:rFonts w:eastAsia="Times New Roman"/>
          <w:b/>
          <w:bCs/>
          <w:i/>
          <w:iCs/>
          <w:color w:val="000000"/>
          <w:sz w:val="20"/>
          <w:szCs w:val="20"/>
        </w:rPr>
        <w:t>Affordable Housing Entities</w:t>
      </w:r>
    </w:p>
    <w:p w:rsidR="00000000" w:rsidRDefault="00AF3814">
      <w:pPr>
        <w:jc w:val="both"/>
        <w:divId w:val="1884712738"/>
        <w:rPr>
          <w:rFonts w:eastAsia="Times New Roman"/>
        </w:rPr>
      </w:pPr>
      <w:r>
        <w:rPr>
          <w:rFonts w:eastAsia="Times New Roman"/>
          <w:color w:val="000000"/>
          <w:sz w:val="20"/>
          <w:szCs w:val="20"/>
        </w:rPr>
        <w:t>A</w:t>
      </w:r>
      <w:r>
        <w:rPr>
          <w:rFonts w:eastAsia="Times New Roman"/>
          <w:color w:val="000000"/>
          <w:sz w:val="20"/>
          <w:szCs w:val="20"/>
        </w:rPr>
        <w:t>s part of our community reinvestment initiatives, we invest in private investment funds that make equity investments in multifamily affordable housing properties. We receive affordable housing tax credits for these investments. The activities of these enti</w:t>
      </w:r>
      <w:r>
        <w:rPr>
          <w:rFonts w:eastAsia="Times New Roman"/>
          <w:color w:val="000000"/>
          <w:sz w:val="20"/>
          <w:szCs w:val="20"/>
        </w:rPr>
        <w:t>ties are financed with a combination of invested equity capital and debt. We account for certain investments in qualified affordable housing projects using the proportional amortization method if certain criteria are met. The proportional amortization meth</w:t>
      </w:r>
      <w:r>
        <w:rPr>
          <w:rFonts w:eastAsia="Times New Roman"/>
          <w:color w:val="000000"/>
          <w:sz w:val="20"/>
          <w:szCs w:val="20"/>
        </w:rPr>
        <w:t>od amortizes the cost of the investment over the period in which the investor expects to receive tax credits and other tax benefits, and the resulting amortization is recognized as a component of income tax expense attributable to continuing operations. Fo</w:t>
      </w:r>
      <w:r>
        <w:rPr>
          <w:rFonts w:eastAsia="Times New Roman"/>
          <w:color w:val="000000"/>
          <w:sz w:val="20"/>
          <w:szCs w:val="20"/>
        </w:rPr>
        <w:t>r the six months ended June 30, 2021 and June 30, 2020, we recognized amortization of $317 million and $285 million, respectively, and tax credits of $423 million and $622 million, respectively, associated with these investments within income tax provision</w:t>
      </w:r>
      <w:r>
        <w:rPr>
          <w:rFonts w:eastAsia="Times New Roman"/>
          <w:color w:val="000000"/>
          <w:sz w:val="20"/>
          <w:szCs w:val="20"/>
        </w:rPr>
        <w:t xml:space="preserve"> or benefit. The carrying value of our equity investments in these qualified affordable housing projects was $4.6 billion and $4.5 billion as of June 30, 2021 and December 31, 2020, respectively. We are periodically required to provide additional financial</w:t>
      </w:r>
      <w:r>
        <w:rPr>
          <w:rFonts w:eastAsia="Times New Roman"/>
          <w:color w:val="000000"/>
          <w:sz w:val="20"/>
          <w:szCs w:val="20"/>
        </w:rPr>
        <w:t xml:space="preserve"> or other support during the period of the investments. Our liability for these unfunded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4829773"/>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34829773"/>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934829773"/>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21" style="width:0;height:1.5pt" o:hralign="center" o:hrstd="t" o:hr="t" fillcolor="#a0a0a0" stroked="f"/>
        </w:pict>
      </w:r>
    </w:p>
    <w:p w:rsidR="00000000" w:rsidRDefault="00AF3814">
      <w:pPr>
        <w:jc w:val="both"/>
        <w:divId w:val="2085757204"/>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2085757204"/>
        <w:rPr>
          <w:rFonts w:eastAsia="Times New Roman"/>
        </w:rPr>
      </w:pPr>
    </w:p>
    <w:p w:rsidR="00000000" w:rsidRDefault="00AF3814">
      <w:pPr>
        <w:jc w:val="both"/>
        <w:divId w:val="157961717"/>
        <w:rPr>
          <w:rFonts w:eastAsia="Times New Roman"/>
        </w:rPr>
      </w:pPr>
      <w:r>
        <w:rPr>
          <w:rFonts w:eastAsia="Times New Roman"/>
          <w:color w:val="000000"/>
          <w:sz w:val="20"/>
          <w:szCs w:val="20"/>
        </w:rPr>
        <w:t>commitments was $1.6 billion and $1.5 </w:t>
      </w:r>
      <w:r>
        <w:rPr>
          <w:rFonts w:eastAsia="Times New Roman"/>
          <w:color w:val="000000"/>
          <w:sz w:val="20"/>
          <w:szCs w:val="20"/>
        </w:rPr>
        <w:t>billion as of June 30, 2021 and December 31, 2020, respectively, and is largely expected to be paid from 2021 to 2023.</w:t>
      </w:r>
    </w:p>
    <w:p w:rsidR="00000000" w:rsidRDefault="00AF3814">
      <w:pPr>
        <w:jc w:val="both"/>
        <w:divId w:val="1527719289"/>
        <w:rPr>
          <w:rFonts w:eastAsia="Times New Roman"/>
        </w:rPr>
      </w:pPr>
      <w:r>
        <w:rPr>
          <w:rFonts w:eastAsia="Times New Roman"/>
          <w:color w:val="000000"/>
          <w:sz w:val="20"/>
          <w:szCs w:val="20"/>
        </w:rPr>
        <w:t>For those investment funds considered to be VIEs, we are not required to consolidate them if we do not have the power to direct the activ</w:t>
      </w:r>
      <w:r>
        <w:rPr>
          <w:rFonts w:eastAsia="Times New Roman"/>
          <w:color w:val="000000"/>
          <w:sz w:val="20"/>
          <w:szCs w:val="20"/>
        </w:rPr>
        <w:t xml:space="preserve">ities that most significantly impact the economic performance of those entities. We record our interests in these unconsolidated VIEs in loans held for investment, other assets and other liabilities on our consolidated balance sheets. Our maximum exposure </w:t>
      </w:r>
      <w:r>
        <w:rPr>
          <w:rFonts w:eastAsia="Times New Roman"/>
          <w:color w:val="000000"/>
          <w:sz w:val="20"/>
          <w:szCs w:val="20"/>
        </w:rPr>
        <w:t>to these entities is limited to our variable interests in the entities which consisted of assets of approximately $4.8 billion and $4.6 billion as of June 30, 2021 and December 31, 2020, respectively. The creditors of the VIEs have no recourse to our gener</w:t>
      </w:r>
      <w:r>
        <w:rPr>
          <w:rFonts w:eastAsia="Times New Roman"/>
          <w:color w:val="000000"/>
          <w:sz w:val="20"/>
          <w:szCs w:val="20"/>
        </w:rPr>
        <w:t>al credit and we do not provide additional financial or other support other than during the period that we are contractually required to provide it. The total assets of the unconsolidated VIE investment funds were approximately $11.6 billion and $11.0 bill</w:t>
      </w:r>
      <w:r>
        <w:rPr>
          <w:rFonts w:eastAsia="Times New Roman"/>
          <w:color w:val="000000"/>
          <w:sz w:val="20"/>
          <w:szCs w:val="20"/>
        </w:rPr>
        <w:t>ion as of June 30, 2021 and December 31, 2020, respectively.</w:t>
      </w:r>
    </w:p>
    <w:p w:rsidR="00000000" w:rsidRDefault="00AF3814">
      <w:pPr>
        <w:jc w:val="both"/>
        <w:divId w:val="618607780"/>
        <w:rPr>
          <w:rFonts w:eastAsia="Times New Roman"/>
        </w:rPr>
      </w:pPr>
      <w:r>
        <w:rPr>
          <w:rFonts w:eastAsia="Times New Roman"/>
          <w:b/>
          <w:bCs/>
          <w:i/>
          <w:iCs/>
          <w:color w:val="000000"/>
          <w:sz w:val="20"/>
          <w:szCs w:val="20"/>
        </w:rPr>
        <w:t xml:space="preserve">Entities that Provide Capital to Low-Income and Rural Communities </w:t>
      </w:r>
    </w:p>
    <w:p w:rsidR="00000000" w:rsidRDefault="00AF3814">
      <w:pPr>
        <w:jc w:val="both"/>
        <w:divId w:val="3749086"/>
        <w:rPr>
          <w:rFonts w:eastAsia="Times New Roman"/>
        </w:rPr>
      </w:pPr>
      <w:r>
        <w:rPr>
          <w:rFonts w:eastAsia="Times New Roman"/>
          <w:color w:val="000000"/>
          <w:sz w:val="20"/>
          <w:szCs w:val="20"/>
        </w:rPr>
        <w:t>We hold variable interests in entities (“Investor Entities”) that invest in community development entities (“CDEs”) that provide</w:t>
      </w:r>
      <w:r>
        <w:rPr>
          <w:rFonts w:eastAsia="Times New Roman"/>
          <w:color w:val="000000"/>
          <w:sz w:val="20"/>
          <w:szCs w:val="20"/>
        </w:rPr>
        <w:t xml:space="preserve"> debt financing to businesses and non-profit entities in low-income and rural communities. Variable interests in the CDEs held by the consolidated Investor Entities are also our variable interests. The activities of the Investor Entities are financed with </w:t>
      </w:r>
      <w:r>
        <w:rPr>
          <w:rFonts w:eastAsia="Times New Roman"/>
          <w:color w:val="000000"/>
          <w:sz w:val="20"/>
          <w:szCs w:val="20"/>
        </w:rPr>
        <w:t>a combination of invested equity capital and debt. The activities of the CDEs are financed solely with invested equity capital. We receive federal and state tax credits for these investments. We consolidate the VIEs in which we have the power to direct the</w:t>
      </w:r>
      <w:r>
        <w:rPr>
          <w:rFonts w:eastAsia="Times New Roman"/>
          <w:color w:val="000000"/>
          <w:sz w:val="20"/>
          <w:szCs w:val="20"/>
        </w:rPr>
        <w:t xml:space="preserve"> activities that most significantly impact the VIE’s economic performance and where we have the obligation to absorb losses or right to receive benefits that could be potentially significant to the VIE. We consolidate other investments and CDEs that are no</w:t>
      </w:r>
      <w:r>
        <w:rPr>
          <w:rFonts w:eastAsia="Times New Roman"/>
          <w:color w:val="000000"/>
          <w:sz w:val="20"/>
          <w:szCs w:val="20"/>
        </w:rPr>
        <w:t>t considered to be VIEs, but where we hold a controlling financial interest. The assets of the VIEs that we consolidated, which totaled approximately $2.0 billion as of both June 30, 2021 and December 31, 2020 are reflected on our consolidated balance shee</w:t>
      </w:r>
      <w:r>
        <w:rPr>
          <w:rFonts w:eastAsia="Times New Roman"/>
          <w:color w:val="000000"/>
          <w:sz w:val="20"/>
          <w:szCs w:val="20"/>
        </w:rPr>
        <w:t xml:space="preserve">ts in cash, loans held for investment, and other assets. The liabilities are reflected in other liabilities. The creditors of the VIEs have no recourse to our general credit. We have not provided additional financial or other support other than during the </w:t>
      </w:r>
      <w:r>
        <w:rPr>
          <w:rFonts w:eastAsia="Times New Roman"/>
          <w:color w:val="000000"/>
          <w:sz w:val="20"/>
          <w:szCs w:val="20"/>
        </w:rPr>
        <w:t>period that we are contractually required to provide it.</w:t>
      </w:r>
    </w:p>
    <w:p w:rsidR="00000000" w:rsidRDefault="00AF3814">
      <w:pPr>
        <w:jc w:val="both"/>
        <w:divId w:val="861012453"/>
        <w:rPr>
          <w:rFonts w:eastAsia="Times New Roman"/>
        </w:rPr>
      </w:pPr>
      <w:r>
        <w:rPr>
          <w:rFonts w:eastAsia="Times New Roman"/>
          <w:b/>
          <w:bCs/>
          <w:i/>
          <w:iCs/>
          <w:color w:val="000000"/>
          <w:sz w:val="20"/>
          <w:szCs w:val="20"/>
        </w:rPr>
        <w:t>Other</w:t>
      </w:r>
    </w:p>
    <w:p w:rsidR="00000000" w:rsidRDefault="00AF3814">
      <w:pPr>
        <w:jc w:val="both"/>
        <w:divId w:val="762340309"/>
        <w:rPr>
          <w:rFonts w:eastAsia="Times New Roman"/>
        </w:rPr>
      </w:pPr>
      <w:r>
        <w:rPr>
          <w:rFonts w:eastAsia="Times New Roman"/>
          <w:color w:val="000000"/>
          <w:sz w:val="20"/>
          <w:szCs w:val="20"/>
        </w:rPr>
        <w:t>We hold variable interests in other VIEs, including companies that promote renewable energy sources and other equity method investments. We were not required to consolidate these VIEs because we do not have the power to direct the activities that most sign</w:t>
      </w:r>
      <w:r>
        <w:rPr>
          <w:rFonts w:eastAsia="Times New Roman"/>
          <w:color w:val="000000"/>
          <w:sz w:val="20"/>
          <w:szCs w:val="20"/>
        </w:rPr>
        <w:t xml:space="preserve">ificantly impact their economic performance. Our maximum exposure to these VIEs is limited to the investments on our consolidated balance sheets of $411 million and $436 million as of June 30, 2021 and December 31, 2020, respectively. The creditors of the </w:t>
      </w:r>
      <w:r>
        <w:rPr>
          <w:rFonts w:eastAsia="Times New Roman"/>
          <w:color w:val="000000"/>
          <w:sz w:val="20"/>
          <w:szCs w:val="20"/>
        </w:rPr>
        <w:t>other VIEs have no recourse to our general credit. We have not provided additional financial or other support other than during the period that we are contractually required to provide it.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39447546"/>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39447546"/>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39447546"/>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22" style="width:0;height:1.5pt" o:hralign="center" o:hrstd="t" o:hr="t" fillcolor="#a0a0a0" stroked="f"/>
        </w:pict>
      </w:r>
    </w:p>
    <w:p w:rsidR="00000000" w:rsidRDefault="00AF3814">
      <w:pPr>
        <w:jc w:val="both"/>
        <w:divId w:val="1994140674"/>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99414067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13466549"/>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1346654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6—GOODWILL AND INTANGIBLE ASSETS</w:t>
            </w:r>
          </w:p>
        </w:tc>
      </w:tr>
    </w:tbl>
    <w:p w:rsidR="00000000" w:rsidRDefault="00AF3814">
      <w:pPr>
        <w:divId w:val="172496271"/>
        <w:rPr>
          <w:rFonts w:eastAsia="Times New Roman"/>
        </w:rPr>
      </w:pPr>
      <w:r>
        <w:rPr>
          <w:rFonts w:eastAsia="Times New Roman"/>
          <w:color w:val="000000"/>
          <w:sz w:val="20"/>
          <w:szCs w:val="20"/>
        </w:rPr>
        <w:t>The table below presents our goodwill, intangible assets and MSRs as of June 30, 2021 and December 31, 2020. Goodwill is presented separately, while intangible assets and MSRs are included in other assets on our consolidated balance sheets.</w:t>
      </w:r>
    </w:p>
    <w:p w:rsidR="00000000" w:rsidRDefault="00AF3814">
      <w:pPr>
        <w:divId w:val="170341979"/>
        <w:rPr>
          <w:rFonts w:eastAsia="Times New Roman"/>
        </w:rPr>
      </w:pPr>
      <w:r>
        <w:rPr>
          <w:rFonts w:eastAsia="Times New Roman"/>
          <w:b/>
          <w:bCs/>
          <w:color w:val="000000"/>
          <w:sz w:val="18"/>
          <w:szCs w:val="18"/>
        </w:rPr>
        <w:t>Table 6.1: Comp</w:t>
      </w:r>
      <w:r>
        <w:rPr>
          <w:rFonts w:eastAsia="Times New Roman"/>
          <w:b/>
          <w:bCs/>
          <w:color w:val="000000"/>
          <w:sz w:val="18"/>
          <w:szCs w:val="18"/>
        </w:rPr>
        <w:t>onents of Goodwill, Intangible Assets and MSRs</w:t>
      </w:r>
    </w:p>
    <w:tbl>
      <w:tblPr>
        <w:tblW w:w="5000" w:type="pct"/>
        <w:tblCellMar>
          <w:top w:w="15" w:type="dxa"/>
          <w:left w:w="15" w:type="dxa"/>
          <w:bottom w:w="15" w:type="dxa"/>
          <w:right w:w="15" w:type="dxa"/>
        </w:tblCellMar>
        <w:tblLook w:val="04A0" w:firstRow="1" w:lastRow="0" w:firstColumn="1" w:lastColumn="0" w:noHBand="0" w:noVBand="1"/>
      </w:tblPr>
      <w:tblGrid>
        <w:gridCol w:w="39"/>
        <w:gridCol w:w="5311"/>
        <w:gridCol w:w="38"/>
        <w:gridCol w:w="36"/>
        <w:gridCol w:w="36"/>
        <w:gridCol w:w="36"/>
        <w:gridCol w:w="111"/>
        <w:gridCol w:w="690"/>
        <w:gridCol w:w="36"/>
        <w:gridCol w:w="36"/>
        <w:gridCol w:w="36"/>
        <w:gridCol w:w="36"/>
        <w:gridCol w:w="111"/>
        <w:gridCol w:w="852"/>
        <w:gridCol w:w="36"/>
        <w:gridCol w:w="36"/>
        <w:gridCol w:w="36"/>
        <w:gridCol w:w="36"/>
        <w:gridCol w:w="110"/>
        <w:gridCol w:w="540"/>
        <w:gridCol w:w="36"/>
        <w:gridCol w:w="36"/>
        <w:gridCol w:w="36"/>
      </w:tblGrid>
      <w:tr w:rsidR="00000000">
        <w:trPr>
          <w:divId w:val="2033920723"/>
        </w:trPr>
        <w:tc>
          <w:tcPr>
            <w:tcW w:w="50" w:type="pct"/>
            <w:vAlign w:val="center"/>
            <w:hideMark/>
          </w:tcPr>
          <w:p w:rsidR="00000000" w:rsidRDefault="00AF3814">
            <w:pPr>
              <w:rPr>
                <w:rFonts w:eastAsia="Times New Roman"/>
              </w:rPr>
            </w:pPr>
          </w:p>
        </w:tc>
        <w:tc>
          <w:tcPr>
            <w:tcW w:w="330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4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Carrying Amount</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14,654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14,654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810318445"/>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goodwill and intangible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14,985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881018349"/>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(189)</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Height w:val="28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Carrying Amount</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PCCR intangibles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91613258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goodwill and intangible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15,049 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14,743 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2033920723"/>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580753687"/>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542 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(175)</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367 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divId w:val="1816335902"/>
        <w:rPr>
          <w:rFonts w:eastAsia="Times New Roman"/>
        </w:rPr>
      </w:pPr>
      <w:r>
        <w:rPr>
          <w:rFonts w:eastAsia="Times New Roman"/>
          <w:color w:val="000000"/>
          <w:sz w:val="20"/>
          <w:szCs w:val="20"/>
        </w:rPr>
        <w:t>__________</w:t>
      </w:r>
    </w:p>
    <w:p w:rsidR="00000000" w:rsidRDefault="00AF3814">
      <w:pPr>
        <w:ind w:hanging="360"/>
        <w:jc w:val="both"/>
        <w:divId w:val="46624095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Primarily consists of intangibles for sponsorship, customer and merchant relationships, partnership, trade name and other contract intangibles.</w:t>
      </w:r>
    </w:p>
    <w:p w:rsidR="00000000" w:rsidRDefault="00AF3814">
      <w:pPr>
        <w:ind w:hanging="360"/>
        <w:jc w:val="both"/>
        <w:divId w:val="70564197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Commercial MSRs are accounted for </w:t>
      </w:r>
      <w:r>
        <w:rPr>
          <w:rFonts w:eastAsia="Times New Roman"/>
          <w:color w:val="000000"/>
          <w:sz w:val="16"/>
          <w:szCs w:val="16"/>
        </w:rPr>
        <w:t xml:space="preserve">under the amortization method on our consolidated balance sheets. </w:t>
      </w:r>
    </w:p>
    <w:p w:rsidR="00000000" w:rsidRDefault="00AF3814">
      <w:pPr>
        <w:jc w:val="both"/>
        <w:divId w:val="659431631"/>
        <w:rPr>
          <w:rFonts w:eastAsia="Times New Roman"/>
        </w:rPr>
      </w:pPr>
      <w:r>
        <w:rPr>
          <w:rFonts w:eastAsia="Times New Roman"/>
          <w:color w:val="000000"/>
          <w:sz w:val="20"/>
          <w:szCs w:val="20"/>
        </w:rPr>
        <w:t>Amortization expense for amortizable intangible assets, which is presented separately in our consolidated statements of income, totaled $5 million and $11 million for the three and six mont</w:t>
      </w:r>
      <w:r>
        <w:rPr>
          <w:rFonts w:eastAsia="Times New Roman"/>
          <w:color w:val="000000"/>
          <w:sz w:val="20"/>
          <w:szCs w:val="20"/>
        </w:rPr>
        <w:t>hs ended June 30, 2021, respectively, and $16 million and $38 million for the three and six months ended June 30, 2020, respectively.</w:t>
      </w:r>
    </w:p>
    <w:p w:rsidR="00000000" w:rsidRDefault="00AF3814">
      <w:pPr>
        <w:divId w:val="1106117437"/>
        <w:rPr>
          <w:rFonts w:eastAsia="Times New Roman"/>
        </w:rPr>
      </w:pPr>
      <w:r>
        <w:rPr>
          <w:rFonts w:eastAsia="Times New Roman"/>
          <w:b/>
          <w:bCs/>
          <w:color w:val="000000"/>
          <w:sz w:val="20"/>
          <w:szCs w:val="20"/>
        </w:rPr>
        <w:t>Goodwill</w:t>
      </w:r>
    </w:p>
    <w:p w:rsidR="00000000" w:rsidRDefault="00AF3814">
      <w:pPr>
        <w:divId w:val="1261332679"/>
        <w:rPr>
          <w:rFonts w:eastAsia="Times New Roman"/>
        </w:rPr>
      </w:pPr>
      <w:r>
        <w:rPr>
          <w:rFonts w:eastAsia="Times New Roman"/>
          <w:color w:val="000000"/>
          <w:sz w:val="20"/>
          <w:szCs w:val="20"/>
        </w:rPr>
        <w:t>The following table presents changes in carrying amount of goodwill by each of our business segments as of June 30, 2021 and December 31, 2020.</w:t>
      </w:r>
    </w:p>
    <w:p w:rsidR="00000000" w:rsidRDefault="00AF3814">
      <w:pPr>
        <w:divId w:val="1173764686"/>
        <w:rPr>
          <w:rFonts w:eastAsia="Times New Roman"/>
        </w:rPr>
      </w:pPr>
      <w:r>
        <w:rPr>
          <w:rFonts w:eastAsia="Times New Roman"/>
          <w:b/>
          <w:bCs/>
          <w:color w:val="000000"/>
          <w:sz w:val="18"/>
          <w:szCs w:val="18"/>
        </w:rPr>
        <w:t>Table 6.2: Goodwill by Business Segments</w:t>
      </w:r>
    </w:p>
    <w:tbl>
      <w:tblPr>
        <w:tblW w:w="4978" w:type="pct"/>
        <w:tblCellMar>
          <w:top w:w="15" w:type="dxa"/>
          <w:left w:w="15" w:type="dxa"/>
          <w:bottom w:w="15" w:type="dxa"/>
          <w:right w:w="15" w:type="dxa"/>
        </w:tblCellMar>
        <w:tblLook w:val="04A0" w:firstRow="1" w:lastRow="0" w:firstColumn="1" w:lastColumn="0" w:noHBand="0" w:noVBand="1"/>
      </w:tblPr>
      <w:tblGrid>
        <w:gridCol w:w="39"/>
        <w:gridCol w:w="4652"/>
        <w:gridCol w:w="38"/>
        <w:gridCol w:w="36"/>
        <w:gridCol w:w="36"/>
        <w:gridCol w:w="36"/>
        <w:gridCol w:w="110"/>
        <w:gridCol w:w="533"/>
        <w:gridCol w:w="36"/>
        <w:gridCol w:w="36"/>
        <w:gridCol w:w="36"/>
        <w:gridCol w:w="36"/>
        <w:gridCol w:w="111"/>
        <w:gridCol w:w="666"/>
        <w:gridCol w:w="36"/>
        <w:gridCol w:w="36"/>
        <w:gridCol w:w="36"/>
        <w:gridCol w:w="36"/>
        <w:gridCol w:w="111"/>
        <w:gridCol w:w="783"/>
        <w:gridCol w:w="36"/>
        <w:gridCol w:w="36"/>
        <w:gridCol w:w="36"/>
        <w:gridCol w:w="36"/>
        <w:gridCol w:w="110"/>
        <w:gridCol w:w="540"/>
        <w:gridCol w:w="36"/>
      </w:tblGrid>
      <w:tr w:rsidR="00000000">
        <w:trPr>
          <w:divId w:val="861866095"/>
        </w:trPr>
        <w:tc>
          <w:tcPr>
            <w:tcW w:w="50" w:type="pct"/>
            <w:vAlign w:val="center"/>
            <w:hideMark/>
          </w:tcPr>
          <w:p w:rsidR="00000000" w:rsidRDefault="00AF3814">
            <w:pPr>
              <w:rPr>
                <w:rFonts w:eastAsia="Times New Roman"/>
              </w:rPr>
            </w:pPr>
          </w:p>
        </w:tc>
        <w:tc>
          <w:tcPr>
            <w:tcW w:w="288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861866095"/>
        </w:trPr>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4,920 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861866095"/>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6186609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505165529"/>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86186609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4,645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14,654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861866095"/>
        <w:rPr>
          <w:rFonts w:eastAsia="Times New Roman"/>
        </w:rPr>
      </w:pPr>
      <w:r>
        <w:rPr>
          <w:rFonts w:eastAsia="Times New Roman"/>
          <w:color w:val="000000"/>
          <w:sz w:val="20"/>
          <w:szCs w:val="20"/>
        </w:rPr>
        <w:t>__________</w:t>
      </w:r>
    </w:p>
    <w:p w:rsidR="00000000" w:rsidRDefault="00AF3814">
      <w:pPr>
        <w:ind w:hanging="360"/>
        <w:jc w:val="both"/>
        <w:divId w:val="2714422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foreign currency translation adjustments.</w:t>
      </w:r>
    </w:p>
    <w:tbl>
      <w:tblPr>
        <w:tblW w:w="4992" w:type="pct"/>
        <w:tblCellMar>
          <w:top w:w="15" w:type="dxa"/>
          <w:left w:w="15" w:type="dxa"/>
          <w:bottom w:w="15" w:type="dxa"/>
          <w:right w:w="15" w:type="dxa"/>
        </w:tblCellMar>
        <w:tblLook w:val="04A0" w:firstRow="1" w:lastRow="0" w:firstColumn="1" w:lastColumn="0" w:noHBand="0" w:noVBand="1"/>
      </w:tblPr>
      <w:tblGrid>
        <w:gridCol w:w="61"/>
        <w:gridCol w:w="7282"/>
        <w:gridCol w:w="36"/>
        <w:gridCol w:w="36"/>
        <w:gridCol w:w="36"/>
        <w:gridCol w:w="36"/>
        <w:gridCol w:w="46"/>
        <w:gridCol w:w="724"/>
        <w:gridCol w:w="36"/>
      </w:tblGrid>
      <w:tr w:rsidR="00000000">
        <w:trPr>
          <w:divId w:val="2085296741"/>
        </w:trPr>
        <w:tc>
          <w:tcPr>
            <w:tcW w:w="50" w:type="pct"/>
            <w:vAlign w:val="center"/>
            <w:hideMark/>
          </w:tcPr>
          <w:p w:rsidR="00000000" w:rsidRDefault="00AF3814">
            <w:pPr>
              <w:ind w:hanging="360"/>
              <w:jc w:val="both"/>
              <w:rPr>
                <w:rFonts w:eastAsia="Times New Roman"/>
              </w:rPr>
            </w:pPr>
          </w:p>
        </w:tc>
        <w:tc>
          <w:tcPr>
            <w:tcW w:w="44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85296741"/>
          <w:trHeight w:val="60"/>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085296741"/>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ind w:firstLine="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23" style="width:0;height:1.5pt" o:hralign="center" o:hrstd="t" o:hr="t" fillcolor="#a0a0a0" stroked="f"/>
        </w:pict>
      </w:r>
    </w:p>
    <w:p w:rsidR="00000000" w:rsidRDefault="00AF3814">
      <w:pPr>
        <w:jc w:val="both"/>
        <w:divId w:val="168162076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68162076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63985927"/>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06398592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7—DEPOSITS AND BORROWINGS</w:t>
            </w:r>
          </w:p>
        </w:tc>
      </w:tr>
    </w:tbl>
    <w:p w:rsidR="00000000" w:rsidRDefault="00AF3814">
      <w:pPr>
        <w:jc w:val="both"/>
        <w:divId w:val="1712487622"/>
        <w:rPr>
          <w:rFonts w:eastAsia="Times New Roman"/>
        </w:rPr>
      </w:pPr>
      <w:r>
        <w:rPr>
          <w:rFonts w:eastAsia="Times New Roman"/>
          <w:color w:val="000000"/>
          <w:sz w:val="20"/>
          <w:szCs w:val="20"/>
        </w:rPr>
        <w:t xml:space="preserve">Our deposits represent our largest source of funding for our assets and operations, which include checking accounts, money market deposits, negotiable order of withdrawals, savings deposits and time deposits. We also use a variety of other funding sources </w:t>
      </w:r>
      <w:r>
        <w:rPr>
          <w:rFonts w:eastAsia="Times New Roman"/>
          <w:color w:val="000000"/>
          <w:sz w:val="20"/>
          <w:szCs w:val="20"/>
        </w:rPr>
        <w:t>including short-term borrowings, senior and subordinated notes, securitized debt obligations and other borrowings. Securitized debt obligations are presented separately on our consolidated balance sheets, as they represent obligations of consolidated secur</w:t>
      </w:r>
      <w:r>
        <w:rPr>
          <w:rFonts w:eastAsia="Times New Roman"/>
          <w:color w:val="000000"/>
          <w:sz w:val="20"/>
          <w:szCs w:val="20"/>
        </w:rPr>
        <w:t>itization trusts, while federal funds purchased and securities loaned or sold under agreements to repurchase, senior and subordinated notes and other borrowings, including FHLB advances, are included in other debt on our consolidated balance sheets.</w:t>
      </w:r>
    </w:p>
    <w:p w:rsidR="00000000" w:rsidRDefault="00AF3814">
      <w:pPr>
        <w:jc w:val="both"/>
        <w:divId w:val="1916477357"/>
        <w:rPr>
          <w:rFonts w:eastAsia="Times New Roman"/>
        </w:rPr>
      </w:pPr>
      <w:r>
        <w:rPr>
          <w:rFonts w:eastAsia="Times New Roman"/>
          <w:color w:val="000000"/>
          <w:sz w:val="20"/>
          <w:szCs w:val="20"/>
        </w:rPr>
        <w:t>Our to</w:t>
      </w:r>
      <w:r>
        <w:rPr>
          <w:rFonts w:eastAsia="Times New Roman"/>
          <w:color w:val="000000"/>
          <w:sz w:val="20"/>
          <w:szCs w:val="20"/>
        </w:rPr>
        <w:t>tal short-term borrowings generally consist of federal funds purchased and securities loaned or sold under agreements to repurchase. Our long-term debt consists of borrowings with an original contractual maturity of greater than one year. The following tab</w:t>
      </w:r>
      <w:r>
        <w:rPr>
          <w:rFonts w:eastAsia="Times New Roman"/>
          <w:color w:val="000000"/>
          <w:sz w:val="20"/>
          <w:szCs w:val="20"/>
        </w:rPr>
        <w:t>les summarize the components of our deposits, short-term borrowings and long-term debt as of June 30, 2021 and December 31, 2020. The carrying value presented below for these borrowings includes unamortized debt premiums and discounts, net of debt issuance</w:t>
      </w:r>
      <w:r>
        <w:rPr>
          <w:rFonts w:eastAsia="Times New Roman"/>
          <w:color w:val="000000"/>
          <w:sz w:val="20"/>
          <w:szCs w:val="20"/>
        </w:rPr>
        <w:t xml:space="preserve"> costs and fair value hedge accounting adjustments.</w:t>
      </w:r>
    </w:p>
    <w:p w:rsidR="00000000" w:rsidRDefault="00AF3814">
      <w:pPr>
        <w:divId w:val="1016926466"/>
        <w:rPr>
          <w:rFonts w:eastAsia="Times New Roman"/>
        </w:rPr>
      </w:pPr>
      <w:r>
        <w:rPr>
          <w:rFonts w:eastAsia="Times New Roman"/>
          <w:b/>
          <w:bCs/>
          <w:color w:val="000000"/>
          <w:sz w:val="18"/>
          <w:szCs w:val="18"/>
        </w:rPr>
        <w:t>Table 7.1: Components of Deposits, Short-Term Borrowings and Long-Term Debt</w:t>
      </w:r>
    </w:p>
    <w:tbl>
      <w:tblPr>
        <w:tblW w:w="5000" w:type="pct"/>
        <w:tblCellMar>
          <w:top w:w="15" w:type="dxa"/>
          <w:left w:w="15" w:type="dxa"/>
          <w:bottom w:w="15" w:type="dxa"/>
          <w:right w:w="15" w:type="dxa"/>
        </w:tblCellMar>
        <w:tblLook w:val="04A0" w:firstRow="1" w:lastRow="0" w:firstColumn="1" w:lastColumn="0" w:noHBand="0" w:noVBand="1"/>
      </w:tblPr>
      <w:tblGrid>
        <w:gridCol w:w="41"/>
        <w:gridCol w:w="6269"/>
        <w:gridCol w:w="40"/>
        <w:gridCol w:w="36"/>
        <w:gridCol w:w="36"/>
        <w:gridCol w:w="36"/>
        <w:gridCol w:w="110"/>
        <w:gridCol w:w="742"/>
        <w:gridCol w:w="36"/>
        <w:gridCol w:w="36"/>
        <w:gridCol w:w="36"/>
        <w:gridCol w:w="36"/>
        <w:gridCol w:w="110"/>
        <w:gridCol w:w="706"/>
        <w:gridCol w:w="36"/>
      </w:tblGrid>
      <w:tr w:rsidR="00000000">
        <w:trPr>
          <w:divId w:val="2106725936"/>
        </w:trPr>
        <w:tc>
          <w:tcPr>
            <w:tcW w:w="50" w:type="pct"/>
            <w:vAlign w:val="center"/>
            <w:hideMark/>
          </w:tcPr>
          <w:p w:rsidR="00000000" w:rsidRDefault="00AF3814">
            <w:pPr>
              <w:rPr>
                <w:rFonts w:eastAsia="Times New Roman"/>
              </w:rPr>
            </w:pPr>
          </w:p>
        </w:tc>
        <w:tc>
          <w:tcPr>
            <w:tcW w:w="37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10672593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210672593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0672593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34,994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31,142 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0672593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352807007"/>
              <w:rPr>
                <w:rFonts w:eastAsia="Times New Roman"/>
              </w:rPr>
            </w:pPr>
            <w:r>
              <w:rPr>
                <w:rFonts w:eastAsia="Times New Roman"/>
                <w:color w:val="000000"/>
                <w:sz w:val="18"/>
                <w:szCs w:val="18"/>
              </w:rPr>
              <w:t>Interest-bearing deposit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271,314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274,300 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0672593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306,308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305,442 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0672593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Short-term borrowings: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10672593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845</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106725936"/>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210672593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short-term borrowings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149"/>
        <w:gridCol w:w="144"/>
        <w:gridCol w:w="144"/>
        <w:gridCol w:w="144"/>
        <w:gridCol w:w="144"/>
        <w:gridCol w:w="144"/>
        <w:gridCol w:w="818"/>
        <w:gridCol w:w="144"/>
        <w:gridCol w:w="144"/>
        <w:gridCol w:w="144"/>
        <w:gridCol w:w="144"/>
        <w:gridCol w:w="144"/>
        <w:gridCol w:w="1024"/>
        <w:gridCol w:w="144"/>
        <w:gridCol w:w="144"/>
        <w:gridCol w:w="144"/>
        <w:gridCol w:w="144"/>
        <w:gridCol w:w="144"/>
        <w:gridCol w:w="818"/>
        <w:gridCol w:w="144"/>
        <w:gridCol w:w="144"/>
        <w:gridCol w:w="144"/>
        <w:gridCol w:w="144"/>
        <w:gridCol w:w="144"/>
        <w:gridCol w:w="818"/>
        <w:gridCol w:w="144"/>
        <w:gridCol w:w="144"/>
        <w:gridCol w:w="144"/>
        <w:gridCol w:w="144"/>
        <w:gridCol w:w="144"/>
        <w:gridCol w:w="818"/>
        <w:gridCol w:w="144"/>
      </w:tblGrid>
      <w:tr w:rsidR="00000000">
        <w:tc>
          <w:tcPr>
            <w:tcW w:w="50" w:type="pct"/>
            <w:vAlign w:val="center"/>
            <w:hideMark/>
          </w:tcPr>
          <w:p w:rsidR="00000000" w:rsidRDefault="00AF3814">
            <w:pPr>
              <w:rPr>
                <w:rFonts w:eastAsia="Times New Roman"/>
              </w:rPr>
            </w:pPr>
          </w:p>
        </w:tc>
        <w:tc>
          <w:tcPr>
            <w:tcW w:w="189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515"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Maturity Dates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Stated Interest Rates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Weighted-Average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Value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2021-2026</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0.42% - 2.84%</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10,561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12,414 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059522955"/>
              <w:rPr>
                <w:rFonts w:eastAsia="Times New Roman"/>
              </w:rPr>
            </w:pPr>
            <w:r>
              <w:rPr>
                <w:rFonts w:eastAsia="Times New Roman"/>
                <w:color w:val="000000"/>
                <w:sz w:val="18"/>
                <w:szCs w:val="18"/>
              </w:rPr>
              <w:t>Fixed unsecured senior deb</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2021-2029</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0.80 - 4.75</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18,883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21,045 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Floating unsecured senior debt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2022-2023</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0.91 - 1.34</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1,609 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15"/>
            <w:shd w:val="clear" w:color="auto" w:fill="FFFFFF"/>
            <w:tcMar>
              <w:top w:w="30" w:type="dxa"/>
              <w:left w:w="60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unsecured senior debt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20,242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22,654 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51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Fixed unsecured subordinated debt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2023-2026</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3.38 - 4.20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4,636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4,728 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21"/>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24,878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27,382 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51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Finance lease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2021-2031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0.25 - 9.91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21"/>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21"/>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long-term debt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35,498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39,871 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21"/>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short-term borrowings and long-term debt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36,343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40,539 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1750495816"/>
        <w:rPr>
          <w:rFonts w:eastAsia="Times New Roman"/>
        </w:rPr>
      </w:pPr>
      <w:r>
        <w:rPr>
          <w:rFonts w:eastAsia="Times New Roman"/>
          <w:color w:val="000000"/>
          <w:sz w:val="20"/>
          <w:szCs w:val="20"/>
        </w:rPr>
        <w:t>__________</w:t>
      </w:r>
    </w:p>
    <w:p w:rsidR="00000000" w:rsidRDefault="00AF3814">
      <w:pPr>
        <w:ind w:hanging="360"/>
        <w:jc w:val="both"/>
        <w:divId w:val="187441467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$2.1 billion and $4.2 </w:t>
      </w:r>
      <w:r>
        <w:rPr>
          <w:rFonts w:eastAsia="Times New Roman"/>
          <w:color w:val="000000"/>
          <w:sz w:val="16"/>
          <w:szCs w:val="16"/>
        </w:rPr>
        <w:t>billion of time deposits in denominations in excess of the $250,000 federal insurance limit as of June 30, 2021 and December 31, 2020, respectively.</w:t>
      </w:r>
    </w:p>
    <w:p w:rsidR="00000000" w:rsidRDefault="00AF3814">
      <w:pPr>
        <w:ind w:hanging="360"/>
        <w:jc w:val="both"/>
        <w:divId w:val="84949413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$1.5 billion and $1.6 billion of EUR-denominated unsecured notes as of June 30, 2021</w:t>
      </w:r>
      <w:r>
        <w:rPr>
          <w:rFonts w:eastAsia="Times New Roman"/>
          <w:color w:val="000000"/>
          <w:sz w:val="20"/>
          <w:szCs w:val="20"/>
        </w:rPr>
        <w:t xml:space="preserve"> </w:t>
      </w:r>
      <w:r>
        <w:rPr>
          <w:rFonts w:eastAsia="Times New Roman"/>
          <w:color w:val="000000"/>
          <w:sz w:val="16"/>
          <w:szCs w:val="16"/>
        </w:rPr>
        <w:t>and</w:t>
      </w:r>
      <w:r>
        <w:rPr>
          <w:rFonts w:eastAsia="Times New Roman"/>
          <w:color w:val="000000"/>
          <w:sz w:val="20"/>
          <w:szCs w:val="20"/>
        </w:rPr>
        <w:t xml:space="preserve"> </w:t>
      </w:r>
      <w:r>
        <w:rPr>
          <w:rFonts w:eastAsia="Times New Roman"/>
          <w:color w:val="000000"/>
          <w:sz w:val="16"/>
          <w:szCs w:val="16"/>
        </w:rPr>
        <w:t>Decemb</w:t>
      </w:r>
      <w:r>
        <w:rPr>
          <w:rFonts w:eastAsia="Times New Roman"/>
          <w:color w:val="000000"/>
          <w:sz w:val="16"/>
          <w:szCs w:val="16"/>
        </w:rPr>
        <w:t>er 31, 2020, respectively.</w:t>
      </w:r>
    </w:p>
    <w:tbl>
      <w:tblPr>
        <w:tblW w:w="4963" w:type="pct"/>
        <w:tblCellMar>
          <w:top w:w="15" w:type="dxa"/>
          <w:left w:w="15" w:type="dxa"/>
          <w:bottom w:w="15" w:type="dxa"/>
          <w:right w:w="15" w:type="dxa"/>
        </w:tblCellMar>
        <w:tblLook w:val="04A0" w:firstRow="1" w:lastRow="0" w:firstColumn="1" w:lastColumn="0" w:noHBand="0" w:noVBand="1"/>
      </w:tblPr>
      <w:tblGrid>
        <w:gridCol w:w="55"/>
        <w:gridCol w:w="2864"/>
        <w:gridCol w:w="36"/>
        <w:gridCol w:w="36"/>
        <w:gridCol w:w="36"/>
        <w:gridCol w:w="36"/>
        <w:gridCol w:w="36"/>
        <w:gridCol w:w="574"/>
        <w:gridCol w:w="36"/>
        <w:gridCol w:w="36"/>
        <w:gridCol w:w="36"/>
        <w:gridCol w:w="36"/>
        <w:gridCol w:w="36"/>
        <w:gridCol w:w="574"/>
        <w:gridCol w:w="36"/>
        <w:gridCol w:w="36"/>
        <w:gridCol w:w="36"/>
        <w:gridCol w:w="36"/>
        <w:gridCol w:w="36"/>
        <w:gridCol w:w="574"/>
        <w:gridCol w:w="36"/>
        <w:gridCol w:w="36"/>
        <w:gridCol w:w="36"/>
        <w:gridCol w:w="36"/>
        <w:gridCol w:w="36"/>
        <w:gridCol w:w="575"/>
        <w:gridCol w:w="36"/>
        <w:gridCol w:w="36"/>
        <w:gridCol w:w="36"/>
        <w:gridCol w:w="36"/>
        <w:gridCol w:w="37"/>
        <w:gridCol w:w="576"/>
        <w:gridCol w:w="36"/>
        <w:gridCol w:w="36"/>
        <w:gridCol w:w="36"/>
        <w:gridCol w:w="36"/>
        <w:gridCol w:w="37"/>
        <w:gridCol w:w="576"/>
        <w:gridCol w:w="36"/>
        <w:gridCol w:w="36"/>
        <w:gridCol w:w="36"/>
        <w:gridCol w:w="36"/>
        <w:gridCol w:w="37"/>
        <w:gridCol w:w="578"/>
        <w:gridCol w:w="36"/>
      </w:tblGrid>
      <w:tr w:rsidR="00000000">
        <w:trPr>
          <w:divId w:val="1082262112"/>
        </w:trPr>
        <w:tc>
          <w:tcPr>
            <w:tcW w:w="50" w:type="pct"/>
            <w:vAlign w:val="center"/>
            <w:hideMark/>
          </w:tcPr>
          <w:p w:rsidR="00000000" w:rsidRDefault="00AF3814">
            <w:pPr>
              <w:ind w:hanging="360"/>
              <w:jc w:val="both"/>
              <w:rPr>
                <w:rFonts w:eastAsia="Times New Roman"/>
              </w:rPr>
            </w:pPr>
          </w:p>
        </w:tc>
        <w:tc>
          <w:tcPr>
            <w:tcW w:w="174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082262112"/>
          <w:trHeight w:val="60"/>
        </w:trPr>
        <w:tc>
          <w:tcPr>
            <w:tcW w:w="0" w:type="auto"/>
            <w:gridSpan w:val="45"/>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08226211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8226211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8226211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8226211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8226211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8226211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8226211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99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24" style="width:0;height:1.5pt" o:hralign="center" o:hrstd="t" o:hr="t" fillcolor="#a0a0a0" stroked="f"/>
        </w:pict>
      </w:r>
    </w:p>
    <w:p w:rsidR="00000000" w:rsidRDefault="00AF3814">
      <w:pPr>
        <w:jc w:val="both"/>
        <w:divId w:val="239564308"/>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23956430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43856693"/>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4385669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8—</w:t>
            </w:r>
            <w:r>
              <w:rPr>
                <w:rFonts w:eastAsia="Times New Roman"/>
                <w:b/>
                <w:bCs/>
                <w:color w:val="000000"/>
                <w:sz w:val="20"/>
                <w:szCs w:val="20"/>
              </w:rPr>
              <w:t>DERIVATIVE INSTRUMENTS AND HEDGING ACTIVITIES</w:t>
            </w:r>
          </w:p>
        </w:tc>
      </w:tr>
    </w:tbl>
    <w:p w:rsidR="00000000" w:rsidRDefault="00AF3814">
      <w:pPr>
        <w:divId w:val="1167668092"/>
        <w:rPr>
          <w:rFonts w:eastAsia="Times New Roman"/>
        </w:rPr>
      </w:pPr>
      <w:r>
        <w:rPr>
          <w:rFonts w:eastAsia="Times New Roman"/>
          <w:b/>
          <w:bCs/>
          <w:color w:val="000000"/>
          <w:sz w:val="20"/>
          <w:szCs w:val="20"/>
        </w:rPr>
        <w:t>Use of Derivatives and Accounting for Derivatives</w:t>
      </w:r>
    </w:p>
    <w:p w:rsidR="00000000" w:rsidRDefault="00AF3814">
      <w:pPr>
        <w:jc w:val="both"/>
        <w:divId w:val="612514573"/>
        <w:rPr>
          <w:rFonts w:eastAsia="Times New Roman"/>
        </w:rPr>
      </w:pPr>
      <w:r>
        <w:rPr>
          <w:rFonts w:eastAsia="Times New Roman"/>
          <w:color w:val="000000"/>
          <w:sz w:val="20"/>
          <w:szCs w:val="20"/>
        </w:rPr>
        <w:t xml:space="preserve">We regularly enter into derivative transactions to support our overall risk management activities. Our primary market risks stem from the impact on our earnings and economic value of equity due to changes in interest rates and, to a lesser extent, changes </w:t>
      </w:r>
      <w:r>
        <w:rPr>
          <w:rFonts w:eastAsia="Times New Roman"/>
          <w:color w:val="000000"/>
          <w:sz w:val="20"/>
          <w:szCs w:val="20"/>
        </w:rPr>
        <w:t>in foreign exchange rates. We manage our interest rate sensitivity by employing several techniques, which include changing the duration and re-pricing characteristics of various assets and liabilities by using interest rate derivatives. We also use foreign</w:t>
      </w:r>
      <w:r>
        <w:rPr>
          <w:rFonts w:eastAsia="Times New Roman"/>
          <w:color w:val="000000"/>
          <w:sz w:val="20"/>
          <w:szCs w:val="20"/>
        </w:rPr>
        <w:t xml:space="preserve"> currency derivatives to limit our earnings and capital exposures to foreign exchange risk by hedging exposures denominated in foreign currencies. We primarily use interest rate and foreign currency swaps to hedge, but we may also use a variety of other de</w:t>
      </w:r>
      <w:r>
        <w:rPr>
          <w:rFonts w:eastAsia="Times New Roman"/>
          <w:color w:val="000000"/>
          <w:sz w:val="20"/>
          <w:szCs w:val="20"/>
        </w:rPr>
        <w:t>rivative instruments, including caps, floors, options, futures and forward contracts, to manage our interest rate and foreign exchange risks. We designate these risk management derivatives as either qualifying accounting hedges or free-standing derivatives</w:t>
      </w:r>
      <w:r>
        <w:rPr>
          <w:rFonts w:eastAsia="Times New Roman"/>
          <w:color w:val="000000"/>
          <w:sz w:val="20"/>
          <w:szCs w:val="20"/>
        </w:rPr>
        <w:t xml:space="preserve">. Qualifying accounting hedges are further designated as fair value hedges, cash flow hedges or net investment hedges. Free-standing derivatives are economic hedges that do not qualify for hedge accounting. </w:t>
      </w:r>
    </w:p>
    <w:p w:rsidR="00000000" w:rsidRDefault="00AF3814">
      <w:pPr>
        <w:jc w:val="both"/>
        <w:divId w:val="1848711078"/>
        <w:rPr>
          <w:rFonts w:eastAsia="Times New Roman"/>
        </w:rPr>
      </w:pPr>
      <w:r>
        <w:rPr>
          <w:rFonts w:eastAsia="Times New Roman"/>
          <w:color w:val="000000"/>
          <w:sz w:val="20"/>
          <w:szCs w:val="20"/>
        </w:rPr>
        <w:t xml:space="preserve">We also offer interest rate, commodity, foreign </w:t>
      </w:r>
      <w:r>
        <w:rPr>
          <w:rFonts w:eastAsia="Times New Roman"/>
          <w:color w:val="000000"/>
          <w:sz w:val="20"/>
          <w:szCs w:val="20"/>
        </w:rPr>
        <w:t>currency derivatives and other contracts as an accommodation to our customers within our Commercial Banking business. We enter into these derivatives with our customers primarily to help them manage their interest rate risks, hedge their energy and other c</w:t>
      </w:r>
      <w:r>
        <w:rPr>
          <w:rFonts w:eastAsia="Times New Roman"/>
          <w:color w:val="000000"/>
          <w:sz w:val="20"/>
          <w:szCs w:val="20"/>
        </w:rPr>
        <w:t xml:space="preserve">ommodities exposures, and manage foreign currency fluctuations. We then enter into derivative contracts with counterparties to economically hedge substantially all of our subsequent exposures. </w:t>
      </w:r>
    </w:p>
    <w:p w:rsidR="00000000" w:rsidRDefault="00AF3814">
      <w:pPr>
        <w:jc w:val="both"/>
        <w:divId w:val="1543978043"/>
        <w:rPr>
          <w:rFonts w:eastAsia="Times New Roman"/>
        </w:rPr>
      </w:pPr>
      <w:r>
        <w:rPr>
          <w:rFonts w:eastAsia="Times New Roman"/>
          <w:color w:val="000000"/>
          <w:sz w:val="20"/>
          <w:szCs w:val="20"/>
        </w:rPr>
        <w:t>See below for additional information on our use of derivatives</w:t>
      </w:r>
      <w:r>
        <w:rPr>
          <w:rFonts w:eastAsia="Times New Roman"/>
          <w:color w:val="000000"/>
          <w:sz w:val="20"/>
          <w:szCs w:val="20"/>
        </w:rPr>
        <w:t xml:space="preserve"> and how we account for them:</w:t>
      </w:r>
    </w:p>
    <w:p w:rsidR="00000000" w:rsidRDefault="00AF3814">
      <w:pPr>
        <w:ind w:hanging="360"/>
        <w:jc w:val="both"/>
        <w:divId w:val="816193130"/>
        <w:rPr>
          <w:rFonts w:eastAsia="Times New Roman"/>
        </w:rPr>
      </w:pPr>
      <w:r>
        <w:rPr>
          <w:rFonts w:eastAsia="Times New Roman"/>
          <w:i/>
          <w:iCs/>
          <w:color w:val="000000"/>
          <w:sz w:val="20"/>
          <w:szCs w:val="20"/>
        </w:rPr>
        <w:t>•Fair Value Hedges:</w:t>
      </w:r>
      <w:r>
        <w:rPr>
          <w:rFonts w:eastAsia="Times New Roman"/>
          <w:color w:val="000000"/>
          <w:sz w:val="20"/>
          <w:szCs w:val="20"/>
        </w:rPr>
        <w:t xml:space="preserve"> We designate derivatives as fair value hedges when they are used to manage our exposure to changes in the fair value of certain financial assets and liabilities, which fluctuate in value as a result of move</w:t>
      </w:r>
      <w:r>
        <w:rPr>
          <w:rFonts w:eastAsia="Times New Roman"/>
          <w:color w:val="000000"/>
          <w:sz w:val="20"/>
          <w:szCs w:val="20"/>
        </w:rPr>
        <w:t>ments in interest rates. Changes in the fair value of derivatives designated as fair value hedges are presented in the same line item in our consolidated statements of income as the earnings effect of the hedged items. Our fair value hedges primarily consi</w:t>
      </w:r>
      <w:r>
        <w:rPr>
          <w:rFonts w:eastAsia="Times New Roman"/>
          <w:color w:val="000000"/>
          <w:sz w:val="20"/>
          <w:szCs w:val="20"/>
        </w:rPr>
        <w:t>st of interest rate swaps that are intended to modify our exposure to interest rate risk on various fixed-rate financial assets and liabilities.</w:t>
      </w:r>
    </w:p>
    <w:p w:rsidR="00000000" w:rsidRDefault="00AF3814">
      <w:pPr>
        <w:ind w:hanging="360"/>
        <w:divId w:val="1374964319"/>
        <w:rPr>
          <w:rFonts w:eastAsia="Times New Roman"/>
        </w:rPr>
      </w:pPr>
      <w:r>
        <w:rPr>
          <w:rFonts w:eastAsia="Times New Roman"/>
          <w:color w:val="000000"/>
          <w:sz w:val="20"/>
          <w:szCs w:val="20"/>
        </w:rPr>
        <w:t>•</w:t>
      </w:r>
      <w:r>
        <w:rPr>
          <w:rFonts w:eastAsia="Times New Roman"/>
          <w:i/>
          <w:iCs/>
          <w:color w:val="000000"/>
          <w:sz w:val="20"/>
          <w:szCs w:val="20"/>
        </w:rPr>
        <w:t>Cash Flow Hedges:</w:t>
      </w:r>
      <w:r>
        <w:rPr>
          <w:rFonts w:eastAsia="Times New Roman"/>
          <w:color w:val="000000"/>
          <w:sz w:val="20"/>
          <w:szCs w:val="20"/>
        </w:rPr>
        <w:t xml:space="preserve"> We designate derivatives as cash flow hedges when they are used to manage our exposure to va</w:t>
      </w:r>
      <w:r>
        <w:rPr>
          <w:rFonts w:eastAsia="Times New Roman"/>
          <w:color w:val="000000"/>
          <w:sz w:val="20"/>
          <w:szCs w:val="20"/>
        </w:rPr>
        <w:t>riability in cash flows related to forecasted transactions. Changes in the fair value of derivatives designated as cash flow hedges are recorded as a component of accumulated other comprehensive income (“AOCI”) . Those amounts are reclassified into earning</w:t>
      </w:r>
      <w:r>
        <w:rPr>
          <w:rFonts w:eastAsia="Times New Roman"/>
          <w:color w:val="000000"/>
          <w:sz w:val="20"/>
          <w:szCs w:val="20"/>
        </w:rPr>
        <w:t>s in the same period during which the forecasted transactions impact earnings and presented in the same line item in our consolidated statements of income as the earnings effect of the hedged items. Our cash flow hedges use interest rate swaps and floors t</w:t>
      </w:r>
      <w:r>
        <w:rPr>
          <w:rFonts w:eastAsia="Times New Roman"/>
          <w:color w:val="000000"/>
          <w:sz w:val="20"/>
          <w:szCs w:val="20"/>
        </w:rPr>
        <w:t>hat are intended to hedge the variability in interest receipts or interest payments on some of our variable-rate financial assets or liabilities. We also enter into foreign currency forward contracts to hedge our exposure to variability in cash flows relat</w:t>
      </w:r>
      <w:r>
        <w:rPr>
          <w:rFonts w:eastAsia="Times New Roman"/>
          <w:color w:val="000000"/>
          <w:sz w:val="20"/>
          <w:szCs w:val="20"/>
        </w:rPr>
        <w:t>ed to intercompany borrowings denominated in foreign currencies.</w:t>
      </w:r>
    </w:p>
    <w:p w:rsidR="00000000" w:rsidRDefault="00AF3814">
      <w:pPr>
        <w:ind w:hanging="360"/>
        <w:jc w:val="both"/>
        <w:divId w:val="926228398"/>
        <w:rPr>
          <w:rFonts w:eastAsia="Times New Roman"/>
        </w:rPr>
      </w:pPr>
      <w:r>
        <w:rPr>
          <w:rFonts w:eastAsia="Times New Roman"/>
          <w:color w:val="000000"/>
          <w:sz w:val="20"/>
          <w:szCs w:val="20"/>
        </w:rPr>
        <w:t>•</w:t>
      </w:r>
      <w:r>
        <w:rPr>
          <w:rFonts w:eastAsia="Times New Roman"/>
          <w:i/>
          <w:iCs/>
          <w:color w:val="000000"/>
          <w:sz w:val="20"/>
          <w:szCs w:val="20"/>
        </w:rPr>
        <w:t xml:space="preserve">Net Investment Hedges: </w:t>
      </w:r>
      <w:r>
        <w:rPr>
          <w:rFonts w:eastAsia="Times New Roman"/>
          <w:color w:val="000000"/>
          <w:sz w:val="20"/>
          <w:szCs w:val="20"/>
        </w:rPr>
        <w:t>We use net investment hedges to manage the foreign currency exposure related to our net investments in foreign operations that have functional currencies other than th</w:t>
      </w:r>
      <w:r>
        <w:rPr>
          <w:rFonts w:eastAsia="Times New Roman"/>
          <w:color w:val="000000"/>
          <w:sz w:val="20"/>
          <w:szCs w:val="20"/>
        </w:rPr>
        <w:t>e U.S. dollar. Changes in the fair value of net investment hedges are recorded in the translation adjustment component of AOCI, offsetting the translation gain or loss from those foreign operations. We execute net investment hedges using foreign currency f</w:t>
      </w:r>
      <w:r>
        <w:rPr>
          <w:rFonts w:eastAsia="Times New Roman"/>
          <w:color w:val="000000"/>
          <w:sz w:val="20"/>
          <w:szCs w:val="20"/>
        </w:rPr>
        <w:t>orward contracts to hedge the translation exposure of the net investment in our foreign operations under the forward method.</w:t>
      </w:r>
    </w:p>
    <w:p w:rsidR="00000000" w:rsidRDefault="00AF3814">
      <w:pPr>
        <w:ind w:hanging="360"/>
        <w:jc w:val="both"/>
        <w:divId w:val="1605068585"/>
        <w:rPr>
          <w:rFonts w:eastAsia="Times New Roman"/>
        </w:rPr>
      </w:pPr>
      <w:r>
        <w:rPr>
          <w:rFonts w:eastAsia="Times New Roman"/>
          <w:i/>
          <w:iCs/>
          <w:color w:val="000000"/>
          <w:sz w:val="20"/>
          <w:szCs w:val="20"/>
        </w:rPr>
        <w:t>•Free-Standing Derivatives:</w:t>
      </w:r>
      <w:r>
        <w:rPr>
          <w:rFonts w:eastAsia="Times New Roman"/>
          <w:color w:val="000000"/>
          <w:sz w:val="20"/>
          <w:szCs w:val="20"/>
        </w:rPr>
        <w:t xml:space="preserve"> </w:t>
      </w:r>
      <w:r>
        <w:rPr>
          <w:rFonts w:eastAsia="Times New Roman"/>
          <w:color w:val="000000"/>
          <w:sz w:val="20"/>
          <w:szCs w:val="20"/>
        </w:rPr>
        <w:t>Our free-standing derivatives primarily consist of our customer accommodation derivatives and other economic hedges. The customer accommodation derivatives and the related offsetting contracts are mainly interest rate, commodity and foreign currency contra</w:t>
      </w:r>
      <w:r>
        <w:rPr>
          <w:rFonts w:eastAsia="Times New Roman"/>
          <w:color w:val="000000"/>
          <w:sz w:val="20"/>
          <w:szCs w:val="20"/>
        </w:rPr>
        <w:t>cts. The other free-standing derivatives are primarily used to economically hedge the risk of changes in the fair value of our commercial mortgage loan origination and purchase commitments as well as other interests held. Changes in the fair value of free-</w:t>
      </w:r>
      <w:r>
        <w:rPr>
          <w:rFonts w:eastAsia="Times New Roman"/>
          <w:color w:val="000000"/>
          <w:sz w:val="20"/>
          <w:szCs w:val="20"/>
        </w:rPr>
        <w:t>standing derivatives are recorded in earnings as a component of other non-interest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88807970"/>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888807970"/>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88880797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25" style="width:0;height:1.5pt" o:hralign="center" o:hrstd="t" o:hr="t" fillcolor="#a0a0a0" stroked="f"/>
        </w:pict>
      </w:r>
    </w:p>
    <w:p w:rsidR="00000000" w:rsidRDefault="00AF3814">
      <w:pPr>
        <w:jc w:val="both"/>
        <w:divId w:val="1415010768"/>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415010768"/>
        <w:rPr>
          <w:rFonts w:eastAsia="Times New Roman"/>
        </w:rPr>
      </w:pPr>
    </w:p>
    <w:p w:rsidR="00000000" w:rsidRDefault="00AF3814">
      <w:pPr>
        <w:divId w:val="732586608"/>
        <w:rPr>
          <w:rFonts w:eastAsia="Times New Roman"/>
        </w:rPr>
      </w:pPr>
      <w:r>
        <w:rPr>
          <w:rFonts w:eastAsia="Times New Roman"/>
          <w:b/>
          <w:bCs/>
          <w:color w:val="000000"/>
          <w:sz w:val="20"/>
          <w:szCs w:val="20"/>
        </w:rPr>
        <w:t>Derivatives Counterparty Credit Risk</w:t>
      </w:r>
    </w:p>
    <w:p w:rsidR="00000000" w:rsidRDefault="00AF3814">
      <w:pPr>
        <w:divId w:val="139158539"/>
        <w:rPr>
          <w:rFonts w:eastAsia="Times New Roman"/>
        </w:rPr>
      </w:pPr>
      <w:r>
        <w:rPr>
          <w:rFonts w:eastAsia="Times New Roman"/>
          <w:b/>
          <w:bCs/>
          <w:i/>
          <w:iCs/>
          <w:color w:val="000000"/>
          <w:sz w:val="20"/>
          <w:szCs w:val="20"/>
        </w:rPr>
        <w:t>Counterparty Types</w:t>
      </w:r>
    </w:p>
    <w:p w:rsidR="00000000" w:rsidRDefault="00AF3814">
      <w:pPr>
        <w:jc w:val="both"/>
        <w:divId w:val="346833943"/>
        <w:rPr>
          <w:rFonts w:eastAsia="Times New Roman"/>
        </w:rPr>
      </w:pPr>
      <w:r>
        <w:rPr>
          <w:rFonts w:eastAsia="Times New Roman"/>
          <w:color w:val="000000"/>
          <w:sz w:val="20"/>
          <w:szCs w:val="20"/>
        </w:rPr>
        <w:t>Derivative instruments contain an element of credit risk that arises from the potenti</w:t>
      </w:r>
      <w:r>
        <w:rPr>
          <w:rFonts w:eastAsia="Times New Roman"/>
          <w:color w:val="000000"/>
          <w:sz w:val="20"/>
          <w:szCs w:val="20"/>
        </w:rPr>
        <w:t>al failure of a counterparty to perform according to the terms of the contract, including making payments due upon maturity of certain derivative instruments. We execute our derivative contracts primarily in over-the-counter (“OTC”) markets. We also execut</w:t>
      </w:r>
      <w:r>
        <w:rPr>
          <w:rFonts w:eastAsia="Times New Roman"/>
          <w:color w:val="000000"/>
          <w:sz w:val="20"/>
          <w:szCs w:val="20"/>
        </w:rPr>
        <w:t>e interest rate and commodity futures in the exchange-traded derivative markets. Our OTC derivatives consist of both trades cleared through central counterparty clearinghouses (“CCPs”) and uncleared bilateral contracts. The Chicago Mercantile Exchange (“CM</w:t>
      </w:r>
      <w:r>
        <w:rPr>
          <w:rFonts w:eastAsia="Times New Roman"/>
          <w:color w:val="000000"/>
          <w:sz w:val="20"/>
          <w:szCs w:val="20"/>
        </w:rPr>
        <w:t xml:space="preserve">E”), the Intercontinental Exchange (“ICE”) and the LCH Group (“LCH”) are our CCPs for our centrally cleared contracts. In our uncleared bilateral contracts, we enter into agreements directly with our derivative counterparties. </w:t>
      </w:r>
    </w:p>
    <w:p w:rsidR="00000000" w:rsidRDefault="00AF3814">
      <w:pPr>
        <w:divId w:val="1295983960"/>
        <w:rPr>
          <w:rFonts w:eastAsia="Times New Roman"/>
        </w:rPr>
      </w:pPr>
      <w:r>
        <w:rPr>
          <w:rFonts w:eastAsia="Times New Roman"/>
          <w:b/>
          <w:bCs/>
          <w:i/>
          <w:iCs/>
          <w:color w:val="000000"/>
          <w:sz w:val="20"/>
          <w:szCs w:val="20"/>
        </w:rPr>
        <w:t>Counterparty Credit Risk Man</w:t>
      </w:r>
      <w:r>
        <w:rPr>
          <w:rFonts w:eastAsia="Times New Roman"/>
          <w:b/>
          <w:bCs/>
          <w:i/>
          <w:iCs/>
          <w:color w:val="000000"/>
          <w:sz w:val="20"/>
          <w:szCs w:val="20"/>
        </w:rPr>
        <w:t>agement</w:t>
      </w:r>
    </w:p>
    <w:p w:rsidR="00000000" w:rsidRDefault="00AF3814">
      <w:pPr>
        <w:jc w:val="both"/>
        <w:divId w:val="870538016"/>
        <w:rPr>
          <w:rFonts w:eastAsia="Times New Roman"/>
        </w:rPr>
      </w:pPr>
      <w:r>
        <w:rPr>
          <w:rFonts w:eastAsia="Times New Roman"/>
          <w:color w:val="000000"/>
          <w:sz w:val="20"/>
          <w:szCs w:val="20"/>
        </w:rPr>
        <w:t>We manage the counterparty credit risk associated with derivative instruments by entering into legally enforceable master netting arrangements, where possible, and exchanging collateral with our counterparties, typically in the form of cash or high</w:t>
      </w:r>
      <w:r>
        <w:rPr>
          <w:rFonts w:eastAsia="Times New Roman"/>
          <w:color w:val="000000"/>
          <w:sz w:val="20"/>
          <w:szCs w:val="20"/>
        </w:rPr>
        <w:t>-quality liquid securities. The amount of collateral exchanged is dependent upon the fair value of the derivative instruments as well as the fair value of the pledged collateral and will vary over time as market variables change. When valuing collateral, a</w:t>
      </w:r>
      <w:r>
        <w:rPr>
          <w:rFonts w:eastAsia="Times New Roman"/>
          <w:color w:val="000000"/>
          <w:sz w:val="20"/>
          <w:szCs w:val="20"/>
        </w:rPr>
        <w:t>n estimate of the variation in price and liquidity over time is subtracted in the form of a “haircut” to discount the value of the collateral pledged. Our exposure to derivative counterparty credit risk, at any point in time, is equal to the amount reporte</w:t>
      </w:r>
      <w:r>
        <w:rPr>
          <w:rFonts w:eastAsia="Times New Roman"/>
          <w:color w:val="000000"/>
          <w:sz w:val="20"/>
          <w:szCs w:val="20"/>
        </w:rPr>
        <w:t>d as a derivative asset on our balance sheet. The fair value of our derivatives is adjusted on an aggregate basis to take into consideration the effects of legally enforceable master netting agreements and any associated cash collateral received or pledged</w:t>
      </w:r>
      <w:r>
        <w:rPr>
          <w:rFonts w:eastAsia="Times New Roman"/>
          <w:color w:val="000000"/>
          <w:sz w:val="20"/>
          <w:szCs w:val="20"/>
        </w:rPr>
        <w:t xml:space="preserve">. See Table 8.3 for our net exposure associated with derivatives. </w:t>
      </w:r>
    </w:p>
    <w:p w:rsidR="00000000" w:rsidRDefault="00AF3814">
      <w:pPr>
        <w:jc w:val="both"/>
        <w:divId w:val="240680866"/>
        <w:rPr>
          <w:rFonts w:eastAsia="Times New Roman"/>
        </w:rPr>
      </w:pPr>
      <w:r>
        <w:rPr>
          <w:rFonts w:eastAsia="Times New Roman"/>
          <w:color w:val="000000"/>
          <w:sz w:val="20"/>
          <w:szCs w:val="20"/>
        </w:rPr>
        <w:t>The terms under which we collateralize our exposures differ between cleared exposures and uncleared bilateral exposures.</w:t>
      </w:r>
    </w:p>
    <w:p w:rsidR="00000000" w:rsidRDefault="00AF3814">
      <w:pPr>
        <w:ind w:hanging="360"/>
        <w:jc w:val="both"/>
        <w:divId w:val="211039197"/>
        <w:rPr>
          <w:rFonts w:eastAsia="Times New Roman"/>
        </w:rPr>
      </w:pPr>
      <w:r>
        <w:rPr>
          <w:rFonts w:eastAsia="Times New Roman"/>
          <w:color w:val="000000"/>
          <w:sz w:val="20"/>
          <w:szCs w:val="20"/>
        </w:rPr>
        <w:t>•</w:t>
      </w:r>
      <w:r>
        <w:rPr>
          <w:rFonts w:eastAsia="Times New Roman"/>
          <w:i/>
          <w:iCs/>
          <w:color w:val="000000"/>
          <w:sz w:val="20"/>
          <w:szCs w:val="20"/>
        </w:rPr>
        <w:t>CCPs</w:t>
      </w:r>
      <w:r>
        <w:rPr>
          <w:rFonts w:eastAsia="Times New Roman"/>
          <w:color w:val="000000"/>
          <w:sz w:val="20"/>
          <w:szCs w:val="20"/>
        </w:rPr>
        <w:t>: We clear eligible OTC derivatives with CCPs as part of our re</w:t>
      </w:r>
      <w:r>
        <w:rPr>
          <w:rFonts w:eastAsia="Times New Roman"/>
          <w:color w:val="000000"/>
          <w:sz w:val="20"/>
          <w:szCs w:val="20"/>
        </w:rPr>
        <w:t>gulatory requirements. Futures commission merchants (“FCMs”) serve as the intermediary between CCPs and us. CCPs require that we post initial and variation margin through our FCMs to mitigate the risk of non-payment or default. Initial margin is required u</w:t>
      </w:r>
      <w:r>
        <w:rPr>
          <w:rFonts w:eastAsia="Times New Roman"/>
          <w:color w:val="000000"/>
          <w:sz w:val="20"/>
          <w:szCs w:val="20"/>
        </w:rPr>
        <w:t xml:space="preserve">pfront by CCPs as collateral against potential losses on our cleared derivative contracts and variation margin is exchanged on a daily basis to account for mark-to-market changes in those derivative contracts. For CME, ICE and LCH-cleared OTC derivatives, </w:t>
      </w:r>
      <w:r>
        <w:rPr>
          <w:rFonts w:eastAsia="Times New Roman"/>
          <w:color w:val="000000"/>
          <w:sz w:val="20"/>
          <w:szCs w:val="20"/>
        </w:rPr>
        <w:t xml:space="preserve">we characterize variation margin cash payments as settlements. Our FCM agreements governing these derivative transactions include provisions that may require us to post additional collateral under certain circumstances. </w:t>
      </w:r>
    </w:p>
    <w:p w:rsidR="00000000" w:rsidRDefault="00AF3814">
      <w:pPr>
        <w:ind w:hanging="360"/>
        <w:jc w:val="both"/>
        <w:divId w:val="905650512"/>
        <w:rPr>
          <w:rFonts w:eastAsia="Times New Roman"/>
        </w:rPr>
      </w:pPr>
      <w:r>
        <w:rPr>
          <w:rFonts w:eastAsia="Times New Roman"/>
          <w:color w:val="000000"/>
          <w:sz w:val="20"/>
          <w:szCs w:val="20"/>
        </w:rPr>
        <w:t>•</w:t>
      </w:r>
      <w:r>
        <w:rPr>
          <w:rFonts w:eastAsia="Times New Roman"/>
          <w:i/>
          <w:iCs/>
          <w:color w:val="000000"/>
          <w:sz w:val="20"/>
          <w:szCs w:val="20"/>
        </w:rPr>
        <w:t>Bilateral Counterparties</w:t>
      </w:r>
      <w:r>
        <w:rPr>
          <w:rFonts w:eastAsia="Times New Roman"/>
          <w:color w:val="000000"/>
          <w:sz w:val="20"/>
          <w:szCs w:val="20"/>
        </w:rPr>
        <w:t>: We enter</w:t>
      </w:r>
      <w:r>
        <w:rPr>
          <w:rFonts w:eastAsia="Times New Roman"/>
          <w:color w:val="000000"/>
          <w:sz w:val="20"/>
          <w:szCs w:val="20"/>
        </w:rPr>
        <w:t xml:space="preserve"> into legally enforceable master netting agreements and collateral agreements, where possible, with bilateral derivative counterparties to mitigate the risk of default. We review our collateral positions on a daily basis and exchange collateral with our co</w:t>
      </w:r>
      <w:r>
        <w:rPr>
          <w:rFonts w:eastAsia="Times New Roman"/>
          <w:color w:val="000000"/>
          <w:sz w:val="20"/>
          <w:szCs w:val="20"/>
        </w:rPr>
        <w:t>unterparties in accordance with these agreements. These bilateral agreements typically provide the right to offset exposure with the same counterparty and require the party in a net liability position to post collateral. Agreements with certain bilateral c</w:t>
      </w:r>
      <w:r>
        <w:rPr>
          <w:rFonts w:eastAsia="Times New Roman"/>
          <w:color w:val="000000"/>
          <w:sz w:val="20"/>
          <w:szCs w:val="20"/>
        </w:rPr>
        <w:t>ounterparties require both parties to maintain collateral in the event the fair values of derivative instruments exceed established exposure thresholds. Certain of these bilateral agreements include provisions requiring that our debt maintain a credit rati</w:t>
      </w:r>
      <w:r>
        <w:rPr>
          <w:rFonts w:eastAsia="Times New Roman"/>
          <w:color w:val="000000"/>
          <w:sz w:val="20"/>
          <w:szCs w:val="20"/>
        </w:rPr>
        <w:t xml:space="preserve">ng of investment grade or above by each of the major credit rating agencies. In the event of a downgrade of our debt credit rating below investment grade, some of our counterparties would have the right to terminate their derivative contract and close out </w:t>
      </w:r>
      <w:r>
        <w:rPr>
          <w:rFonts w:eastAsia="Times New Roman"/>
          <w:color w:val="000000"/>
          <w:sz w:val="20"/>
          <w:szCs w:val="20"/>
        </w:rPr>
        <w:t xml:space="preserve">existing positions. </w:t>
      </w:r>
    </w:p>
    <w:p w:rsidR="00000000" w:rsidRDefault="00AF3814">
      <w:pPr>
        <w:divId w:val="63534275"/>
        <w:rPr>
          <w:rFonts w:eastAsia="Times New Roman"/>
        </w:rPr>
      </w:pPr>
      <w:r>
        <w:rPr>
          <w:rFonts w:eastAsia="Times New Roman"/>
          <w:b/>
          <w:bCs/>
          <w:color w:val="000000"/>
          <w:sz w:val="20"/>
          <w:szCs w:val="20"/>
        </w:rPr>
        <w:t>Credit Risk Valuation Adjustments</w:t>
      </w:r>
    </w:p>
    <w:p w:rsidR="00000000" w:rsidRDefault="00AF3814">
      <w:pPr>
        <w:jc w:val="both"/>
        <w:divId w:val="119614343"/>
        <w:rPr>
          <w:rFonts w:eastAsia="Times New Roman"/>
        </w:rPr>
      </w:pPr>
      <w:r>
        <w:rPr>
          <w:rFonts w:eastAsia="Times New Roman"/>
          <w:color w:val="000000"/>
          <w:sz w:val="20"/>
          <w:szCs w:val="20"/>
        </w:rPr>
        <w:t>We record counterparty credit valuation adjustments (“CVAs”</w:t>
      </w:r>
      <w:r>
        <w:rPr>
          <w:rFonts w:eastAsia="Times New Roman"/>
          <w:color w:val="000000"/>
          <w:sz w:val="20"/>
          <w:szCs w:val="20"/>
        </w:rPr>
        <w:t>) on our derivative assets to reflect the credit quality of our counterparties. We consider collateral and legally enforceable master netting agreements that mitigate our credit exposure to each counterparty in determining CVAs, which may be adjusted due t</w:t>
      </w:r>
      <w:r>
        <w:rPr>
          <w:rFonts w:eastAsia="Times New Roman"/>
          <w:color w:val="000000"/>
          <w:sz w:val="20"/>
          <w:szCs w:val="20"/>
        </w:rPr>
        <w:t>o changes in the fair values of the derivative contracts, collateral, and creditworthiness of the counterparty. We also record debit valuation adjustments (“DVAs”) to adjust the fair values of our derivative liabilities to reflect the impact of our own cre</w:t>
      </w:r>
      <w:r>
        <w:rPr>
          <w:rFonts w:eastAsia="Times New Roman"/>
          <w:color w:val="000000"/>
          <w:sz w:val="20"/>
          <w:szCs w:val="20"/>
        </w:rPr>
        <w:t xml:space="preserve">dit quality.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53460078"/>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53460078"/>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53460078"/>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26" style="width:0;height:1.5pt" o:hralign="center" o:hrstd="t" o:hr="t" fillcolor="#a0a0a0" stroked="f"/>
        </w:pict>
      </w:r>
    </w:p>
    <w:p w:rsidR="00000000" w:rsidRDefault="00AF3814">
      <w:pPr>
        <w:jc w:val="both"/>
        <w:divId w:val="54252493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542524937"/>
        <w:rPr>
          <w:rFonts w:eastAsia="Times New Roman"/>
        </w:rPr>
      </w:pPr>
    </w:p>
    <w:p w:rsidR="00000000" w:rsidRDefault="00AF3814">
      <w:pPr>
        <w:divId w:val="1747729453"/>
        <w:rPr>
          <w:rFonts w:eastAsia="Times New Roman"/>
        </w:rPr>
      </w:pPr>
      <w:r>
        <w:rPr>
          <w:rFonts w:eastAsia="Times New Roman"/>
          <w:b/>
          <w:bCs/>
          <w:color w:val="000000"/>
          <w:sz w:val="20"/>
          <w:szCs w:val="20"/>
        </w:rPr>
        <w:t>Balance Sheet Presentation</w:t>
      </w:r>
    </w:p>
    <w:p w:rsidR="00000000" w:rsidRDefault="00AF3814">
      <w:pPr>
        <w:jc w:val="both"/>
        <w:divId w:val="557397270"/>
        <w:rPr>
          <w:rFonts w:eastAsia="Times New Roman"/>
        </w:rPr>
      </w:pPr>
      <w:r>
        <w:rPr>
          <w:rFonts w:eastAsia="Times New Roman"/>
          <w:color w:val="000000"/>
          <w:sz w:val="20"/>
          <w:szCs w:val="20"/>
        </w:rPr>
        <w:t>The following table summarizes the notional amounts and fair values of our derivative instruments as of June 30, 2021 and December 31, 2020, which are segregated by derivatives that are designated as accounting hedges and those that are not, and are furthe</w:t>
      </w:r>
      <w:r>
        <w:rPr>
          <w:rFonts w:eastAsia="Times New Roman"/>
          <w:color w:val="000000"/>
          <w:sz w:val="20"/>
          <w:szCs w:val="20"/>
        </w:rPr>
        <w:t>r segregated by type of contract within those two categories. The total derivative assets and liabilities are adjusted on an aggregate basis to take into consideration the effects of legally enforceable master netting agreements and any associated cash col</w:t>
      </w:r>
      <w:r>
        <w:rPr>
          <w:rFonts w:eastAsia="Times New Roman"/>
          <w:color w:val="000000"/>
          <w:sz w:val="20"/>
          <w:szCs w:val="20"/>
        </w:rPr>
        <w:t xml:space="preserve">lateral received or pledged. Derivative assets and liabilities are included in other assets and other liabilities, respectively, on our consolidated balance sheets, and their related gains or losses are included in operating activities as changes in other </w:t>
      </w:r>
      <w:r>
        <w:rPr>
          <w:rFonts w:eastAsia="Times New Roman"/>
          <w:color w:val="000000"/>
          <w:sz w:val="20"/>
          <w:szCs w:val="20"/>
        </w:rPr>
        <w:t xml:space="preserve">assets and other liabilities in the consolidated statements of cash flows. </w:t>
      </w:r>
    </w:p>
    <w:p w:rsidR="00000000" w:rsidRDefault="00AF3814">
      <w:pPr>
        <w:divId w:val="914585123"/>
        <w:rPr>
          <w:rFonts w:eastAsia="Times New Roman"/>
        </w:rPr>
      </w:pPr>
      <w:r>
        <w:rPr>
          <w:rFonts w:eastAsia="Times New Roman"/>
          <w:b/>
          <w:bCs/>
          <w:color w:val="000000"/>
          <w:sz w:val="18"/>
          <w:szCs w:val="18"/>
        </w:rPr>
        <w:t>Table 8.1: Derivative Assets and Liabilities at Fair Value</w:t>
      </w:r>
    </w:p>
    <w:tbl>
      <w:tblPr>
        <w:tblW w:w="4985" w:type="pct"/>
        <w:tblCellMar>
          <w:top w:w="15" w:type="dxa"/>
          <w:left w:w="15" w:type="dxa"/>
          <w:bottom w:w="15" w:type="dxa"/>
          <w:right w:w="15" w:type="dxa"/>
        </w:tblCellMar>
        <w:tblLook w:val="04A0" w:firstRow="1" w:lastRow="0" w:firstColumn="1" w:lastColumn="0" w:noHBand="0" w:noVBand="1"/>
      </w:tblPr>
      <w:tblGrid>
        <w:gridCol w:w="40"/>
        <w:gridCol w:w="2964"/>
        <w:gridCol w:w="39"/>
        <w:gridCol w:w="36"/>
        <w:gridCol w:w="36"/>
        <w:gridCol w:w="36"/>
        <w:gridCol w:w="111"/>
        <w:gridCol w:w="765"/>
        <w:gridCol w:w="36"/>
        <w:gridCol w:w="36"/>
        <w:gridCol w:w="36"/>
        <w:gridCol w:w="36"/>
        <w:gridCol w:w="110"/>
        <w:gridCol w:w="450"/>
        <w:gridCol w:w="36"/>
        <w:gridCol w:w="36"/>
        <w:gridCol w:w="36"/>
        <w:gridCol w:w="36"/>
        <w:gridCol w:w="111"/>
        <w:gridCol w:w="640"/>
        <w:gridCol w:w="36"/>
        <w:gridCol w:w="36"/>
        <w:gridCol w:w="36"/>
        <w:gridCol w:w="36"/>
        <w:gridCol w:w="111"/>
        <w:gridCol w:w="765"/>
        <w:gridCol w:w="36"/>
        <w:gridCol w:w="36"/>
        <w:gridCol w:w="36"/>
        <w:gridCol w:w="36"/>
        <w:gridCol w:w="110"/>
        <w:gridCol w:w="450"/>
        <w:gridCol w:w="36"/>
        <w:gridCol w:w="36"/>
        <w:gridCol w:w="36"/>
        <w:gridCol w:w="36"/>
        <w:gridCol w:w="111"/>
        <w:gridCol w:w="640"/>
        <w:gridCol w:w="36"/>
      </w:tblGrid>
      <w:tr w:rsidR="00000000">
        <w:trPr>
          <w:divId w:val="1605768004"/>
        </w:trPr>
        <w:tc>
          <w:tcPr>
            <w:tcW w:w="50" w:type="pct"/>
            <w:vAlign w:val="center"/>
            <w:hideMark/>
          </w:tcPr>
          <w:p w:rsidR="00000000" w:rsidRDefault="00AF3814">
            <w:pPr>
              <w:rPr>
                <w:rFonts w:eastAsia="Times New Roman"/>
              </w:rPr>
            </w:pPr>
          </w:p>
        </w:tc>
        <w:tc>
          <w:tcPr>
            <w:tcW w:w="190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605768004"/>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605768004"/>
          <w:trHeight w:val="28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605768004"/>
          <w:trHeight w:val="24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Liabilities</w:t>
            </w:r>
          </w:p>
        </w:tc>
      </w:tr>
      <w:tr w:rsidR="00000000">
        <w:trPr>
          <w:divId w:val="16057680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057680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0576800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44,361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47,349 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86,900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82,150 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131,261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129,499 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0576800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1,527 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4,582 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investment hedges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3,116 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9,112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9,225 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140,373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138,724 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057680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0576800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68,537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68,459 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1,429 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16,776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16,871 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Foreign exchange and other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4,677 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89,763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90,007 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282496274"/>
              <w:rPr>
                <w:rFonts w:eastAsia="Times New Roman"/>
              </w:rPr>
            </w:pPr>
            <w:r>
              <w:rPr>
                <w:rFonts w:eastAsia="Times New Roman"/>
                <w:color w:val="000000"/>
                <w:sz w:val="18"/>
                <w:szCs w:val="18"/>
              </w:rPr>
              <w:t>Other interest rate exposure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1,770 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contracts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1,826 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92,960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93,603 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233,333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232,327 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9"/>
            <w:shd w:val="clear" w:color="auto" w:fill="FFFFFF"/>
            <w:tcMar>
              <w:top w:w="30" w:type="dxa"/>
              <w:left w:w="20" w:type="dxa"/>
              <w:bottom w:w="30" w:type="dxa"/>
              <w:right w:w="20" w:type="dxa"/>
            </w:tcMar>
            <w:vAlign w:val="center"/>
            <w:hideMark/>
          </w:tcPr>
          <w:p w:rsidR="00000000" w:rsidRDefault="00AF3814">
            <w:pPr>
              <w:spacing w:after="100"/>
              <w:divId w:val="1572427708"/>
              <w:rPr>
                <w:rFonts w:eastAsia="Times New Roman"/>
              </w:rPr>
            </w:pPr>
            <w:r>
              <w:rPr>
                <w:rFonts w:eastAsia="Times New Roman"/>
                <w:color w:val="000000"/>
                <w:sz w:val="18"/>
                <w:szCs w:val="18"/>
              </w:rPr>
              <w:t>Less: netting adjustmen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(964)</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(850)</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(1,148)</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(739)</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605768004"/>
        </w:trPr>
        <w:tc>
          <w:tcPr>
            <w:tcW w:w="0" w:type="auto"/>
            <w:gridSpan w:val="9"/>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derivative assets/liabilities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603614565"/>
        <w:rPr>
          <w:rFonts w:eastAsia="Times New Roman"/>
        </w:rPr>
      </w:pPr>
      <w:r>
        <w:rPr>
          <w:rFonts w:eastAsia="Times New Roman"/>
          <w:color w:val="000000"/>
          <w:sz w:val="20"/>
          <w:szCs w:val="20"/>
        </w:rPr>
        <w:t>__________</w:t>
      </w:r>
    </w:p>
    <w:p w:rsidR="00000000" w:rsidRDefault="00AF3814">
      <w:pPr>
        <w:ind w:hanging="360"/>
        <w:jc w:val="both"/>
        <w:divId w:val="147772265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Does not reflect $23 million and $31 million</w:t>
      </w:r>
      <w:r>
        <w:rPr>
          <w:rFonts w:eastAsia="Times New Roman"/>
          <w:color w:val="000000"/>
          <w:sz w:val="16"/>
          <w:szCs w:val="16"/>
          <w:shd w:val="clear" w:color="auto" w:fill="FFFFFF"/>
        </w:rPr>
        <w:t xml:space="preserve"> recognized as a net valuation allowance on derivative assets and liabilities for non-performance risk as of June 30, 2021 and </w:t>
      </w:r>
      <w:r>
        <w:rPr>
          <w:rFonts w:eastAsia="Times New Roman"/>
          <w:color w:val="000000"/>
          <w:sz w:val="16"/>
          <w:szCs w:val="16"/>
        </w:rPr>
        <w:t>December 31, 2020</w:t>
      </w:r>
      <w:r>
        <w:rPr>
          <w:rFonts w:eastAsia="Times New Roman"/>
          <w:color w:val="000000"/>
          <w:sz w:val="16"/>
          <w:szCs w:val="16"/>
          <w:shd w:val="clear" w:color="auto" w:fill="FFFFFF"/>
        </w:rPr>
        <w:t>, respectively. Non-pe</w:t>
      </w:r>
      <w:r>
        <w:rPr>
          <w:rFonts w:eastAsia="Times New Roman"/>
          <w:color w:val="000000"/>
          <w:sz w:val="16"/>
          <w:szCs w:val="16"/>
          <w:shd w:val="clear" w:color="auto" w:fill="FFFFFF"/>
        </w:rPr>
        <w:t>rformance risk is included in derivative assets and liabilities, which are part of other assets and other liabilities on the consolidated balance sheets, and is offset through non-interest income in the consolidated statements of income.</w:t>
      </w:r>
    </w:p>
    <w:p w:rsidR="00000000" w:rsidRDefault="00AF3814">
      <w:pPr>
        <w:ind w:hanging="360"/>
        <w:jc w:val="both"/>
        <w:divId w:val="46963922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Other interest </w:t>
      </w:r>
      <w:r>
        <w:rPr>
          <w:rFonts w:eastAsia="Times New Roman"/>
          <w:color w:val="000000"/>
          <w:sz w:val="16"/>
          <w:szCs w:val="16"/>
        </w:rPr>
        <w:t>rate exposures include commercial mortgage-related derivatives and interest rate swaps.</w:t>
      </w:r>
    </w:p>
    <w:p w:rsidR="00000000" w:rsidRDefault="00AF3814">
      <w:pPr>
        <w:ind w:hanging="360"/>
        <w:jc w:val="both"/>
        <w:divId w:val="211505070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balance sheet netting of derivative assets and liabilities, and related payables and receivables for cash collateral held or placed with the same counterp</w:t>
      </w:r>
      <w:r>
        <w:rPr>
          <w:rFonts w:eastAsia="Times New Roman"/>
          <w:color w:val="000000"/>
          <w:sz w:val="16"/>
          <w:szCs w:val="16"/>
        </w:rPr>
        <w:t>arty.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20079434"/>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82007943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82007943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27" style="width:0;height:1.5pt" o:hralign="center" o:hrstd="t" o:hr="t" fillcolor="#a0a0a0" stroked="f"/>
        </w:pict>
      </w:r>
    </w:p>
    <w:p w:rsidR="00000000" w:rsidRDefault="00AF3814">
      <w:pPr>
        <w:jc w:val="both"/>
        <w:divId w:val="30909484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309094849"/>
        <w:rPr>
          <w:rFonts w:eastAsia="Times New Roman"/>
        </w:rPr>
      </w:pPr>
    </w:p>
    <w:p w:rsidR="00000000" w:rsidRDefault="00AF3814">
      <w:pPr>
        <w:jc w:val="both"/>
        <w:divId w:val="726419238"/>
        <w:rPr>
          <w:rFonts w:eastAsia="Times New Roman"/>
        </w:rPr>
      </w:pPr>
      <w:r>
        <w:rPr>
          <w:rFonts w:eastAsia="Times New Roman"/>
          <w:color w:val="000000"/>
          <w:sz w:val="20"/>
          <w:szCs w:val="20"/>
        </w:rPr>
        <w:t>The following table summarizes the carrying value of our hedged assets and liabilities in fair value hedges and the associated cumulative bas</w:t>
      </w:r>
      <w:r>
        <w:rPr>
          <w:rFonts w:eastAsia="Times New Roman"/>
          <w:color w:val="000000"/>
          <w:sz w:val="20"/>
          <w:szCs w:val="20"/>
        </w:rPr>
        <w:t>is adjustments included in those carrying values, excluding basis adjustments related to foreign currency risk, as of June 30, 2021 and December 31, 2020.</w:t>
      </w:r>
    </w:p>
    <w:p w:rsidR="00000000" w:rsidRDefault="00AF3814">
      <w:pPr>
        <w:divId w:val="427391009"/>
        <w:rPr>
          <w:rFonts w:eastAsia="Times New Roman"/>
        </w:rPr>
      </w:pPr>
      <w:r>
        <w:rPr>
          <w:rFonts w:eastAsia="Times New Roman"/>
          <w:b/>
          <w:bCs/>
          <w:color w:val="000000"/>
          <w:sz w:val="18"/>
          <w:szCs w:val="18"/>
        </w:rPr>
        <w:t>Table 8.2: Hedged Items in Fair Value Hedging Relationships</w:t>
      </w:r>
    </w:p>
    <w:tbl>
      <w:tblPr>
        <w:tblW w:w="4985" w:type="pct"/>
        <w:tblCellMar>
          <w:top w:w="15" w:type="dxa"/>
          <w:left w:w="15" w:type="dxa"/>
          <w:bottom w:w="15" w:type="dxa"/>
          <w:right w:w="15" w:type="dxa"/>
        </w:tblCellMar>
        <w:tblLook w:val="04A0" w:firstRow="1" w:lastRow="0" w:firstColumn="1" w:lastColumn="0" w:noHBand="0" w:noVBand="1"/>
      </w:tblPr>
      <w:tblGrid>
        <w:gridCol w:w="38"/>
        <w:gridCol w:w="967"/>
        <w:gridCol w:w="37"/>
        <w:gridCol w:w="36"/>
        <w:gridCol w:w="36"/>
        <w:gridCol w:w="36"/>
        <w:gridCol w:w="124"/>
        <w:gridCol w:w="1167"/>
        <w:gridCol w:w="36"/>
        <w:gridCol w:w="36"/>
        <w:gridCol w:w="36"/>
        <w:gridCol w:w="36"/>
        <w:gridCol w:w="124"/>
        <w:gridCol w:w="1168"/>
        <w:gridCol w:w="37"/>
        <w:gridCol w:w="36"/>
        <w:gridCol w:w="36"/>
        <w:gridCol w:w="36"/>
        <w:gridCol w:w="111"/>
        <w:gridCol w:w="889"/>
        <w:gridCol w:w="37"/>
        <w:gridCol w:w="36"/>
        <w:gridCol w:w="36"/>
        <w:gridCol w:w="36"/>
        <w:gridCol w:w="124"/>
        <w:gridCol w:w="1167"/>
        <w:gridCol w:w="36"/>
        <w:gridCol w:w="36"/>
        <w:gridCol w:w="36"/>
        <w:gridCol w:w="36"/>
        <w:gridCol w:w="124"/>
        <w:gridCol w:w="1168"/>
        <w:gridCol w:w="37"/>
        <w:gridCol w:w="36"/>
        <w:gridCol w:w="36"/>
        <w:gridCol w:w="36"/>
        <w:gridCol w:w="111"/>
        <w:gridCol w:w="889"/>
        <w:gridCol w:w="37"/>
      </w:tblGrid>
      <w:tr w:rsidR="00000000">
        <w:trPr>
          <w:divId w:val="1903441804"/>
        </w:trPr>
        <w:tc>
          <w:tcPr>
            <w:tcW w:w="50" w:type="pct"/>
            <w:vAlign w:val="center"/>
            <w:hideMark/>
          </w:tcPr>
          <w:p w:rsidR="00000000" w:rsidRDefault="00AF3814">
            <w:pPr>
              <w:rPr>
                <w:rFonts w:eastAsia="Times New Roman"/>
              </w:rPr>
            </w:pPr>
          </w:p>
        </w:tc>
        <w:tc>
          <w:tcPr>
            <w:tcW w:w="155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03441804"/>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903441804"/>
          <w:trHeight w:val="54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Cumulative Amount of Basis Adjustments Included in the Carrying Amount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Cumulative Amount of Basis Adjustments Included in the Carrying Amount</w:t>
            </w:r>
          </w:p>
        </w:tc>
      </w:tr>
      <w:tr w:rsidR="00000000">
        <w:trPr>
          <w:divId w:val="1903441804"/>
          <w:trHeight w:val="54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Discontinued-Hedging Relationships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Discontinued-Hedging Relationships</w:t>
            </w:r>
          </w:p>
        </w:tc>
      </w:tr>
      <w:tr w:rsidR="00000000">
        <w:trPr>
          <w:divId w:val="19034418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Line item on our consolidated balance sheets in which the hedged item is included: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034418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756949843"/>
              <w:rPr>
                <w:rFonts w:eastAsia="Times New Roman"/>
              </w:rPr>
            </w:pPr>
            <w:r>
              <w:rPr>
                <w:rFonts w:eastAsia="Times New Roman"/>
                <w:color w:val="000000"/>
                <w:sz w:val="18"/>
                <w:szCs w:val="18"/>
              </w:rPr>
              <w:t>Investment securities available for sal</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9,936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9,797 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590 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034418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(9,882)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(11,312)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0344180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(6,926)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(7,609)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0344180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(20,267)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(879)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(597)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(21,927)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(1,282)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196629952"/>
        <w:rPr>
          <w:rFonts w:eastAsia="Times New Roman"/>
        </w:rPr>
      </w:pPr>
      <w:r>
        <w:rPr>
          <w:rFonts w:eastAsia="Times New Roman"/>
          <w:color w:val="000000"/>
          <w:sz w:val="20"/>
          <w:szCs w:val="20"/>
        </w:rPr>
        <w:t>__________</w:t>
      </w:r>
    </w:p>
    <w:p w:rsidR="00000000" w:rsidRDefault="00AF3814">
      <w:pPr>
        <w:ind w:hanging="360"/>
        <w:jc w:val="both"/>
        <w:divId w:val="102192889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These amounts include the amortized cost basis of our investment securities des</w:t>
      </w:r>
      <w:r>
        <w:rPr>
          <w:rFonts w:eastAsia="Times New Roman"/>
          <w:color w:val="000000"/>
          <w:sz w:val="16"/>
          <w:szCs w:val="16"/>
        </w:rPr>
        <w:t>ignated in hedging relationships for which the hedged item is the last layer expected to be remaining at the end of the hedging relationship. The amortized cost basis of this portfolio was $249 million, the amount of the designated hedged items was $225 mi</w:t>
      </w:r>
      <w:r>
        <w:rPr>
          <w:rFonts w:eastAsia="Times New Roman"/>
          <w:color w:val="000000"/>
          <w:sz w:val="16"/>
          <w:szCs w:val="16"/>
        </w:rPr>
        <w:t>llion, and the cumulative basis adjustments associated with these hedges was $1 million as of June 30, 2021. We had no such hedging relationships as of December 31, 2020.</w:t>
      </w:r>
    </w:p>
    <w:p w:rsidR="00000000" w:rsidRDefault="00AF3814">
      <w:pPr>
        <w:ind w:hanging="360"/>
        <w:jc w:val="both"/>
        <w:divId w:val="72125014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Carrying value represents amortized cost.</w:t>
      </w:r>
    </w:p>
    <w:p w:rsidR="00000000" w:rsidRDefault="00AF3814">
      <w:pPr>
        <w:divId w:val="1775634269"/>
        <w:rPr>
          <w:rFonts w:eastAsia="Times New Roman"/>
        </w:rPr>
      </w:pPr>
      <w:r>
        <w:rPr>
          <w:rFonts w:eastAsia="Times New Roman"/>
          <w:b/>
          <w:bCs/>
          <w:color w:val="000000"/>
          <w:sz w:val="20"/>
          <w:szCs w:val="20"/>
        </w:rPr>
        <w:t>Balance Sheet Offsetting of Financial As</w:t>
      </w:r>
      <w:r>
        <w:rPr>
          <w:rFonts w:eastAsia="Times New Roman"/>
          <w:b/>
          <w:bCs/>
          <w:color w:val="000000"/>
          <w:sz w:val="20"/>
          <w:szCs w:val="20"/>
        </w:rPr>
        <w:t>sets and Liabilities</w:t>
      </w:r>
    </w:p>
    <w:p w:rsidR="00000000" w:rsidRDefault="00AF3814">
      <w:pPr>
        <w:jc w:val="both"/>
        <w:divId w:val="340815756"/>
        <w:rPr>
          <w:rFonts w:eastAsia="Times New Roman"/>
        </w:rPr>
      </w:pPr>
      <w:r>
        <w:rPr>
          <w:rFonts w:eastAsia="Times New Roman"/>
          <w:color w:val="000000"/>
          <w:sz w:val="20"/>
          <w:szCs w:val="20"/>
        </w:rPr>
        <w:t>Derivative contracts and repurchase agreements that we execute bilaterally in the OTC market are generally governed by enforceable master netting arrangements where we generally have the right to offset exposure with the same counterpa</w:t>
      </w:r>
      <w:r>
        <w:rPr>
          <w:rFonts w:eastAsia="Times New Roman"/>
          <w:color w:val="000000"/>
          <w:sz w:val="20"/>
          <w:szCs w:val="20"/>
        </w:rPr>
        <w:t>rty. Either counterparty can generally request to net settle all contracts through a single payment upon default on, or termination of, any one contract. We elect to offset the derivative assets and liabilities under master netting arrangements for balance</w:t>
      </w:r>
      <w:r>
        <w:rPr>
          <w:rFonts w:eastAsia="Times New Roman"/>
          <w:color w:val="000000"/>
          <w:sz w:val="20"/>
          <w:szCs w:val="20"/>
        </w:rPr>
        <w:t xml:space="preserve"> sheet presentation where a right of setoff exists. For derivative contracts entered into under master netting arrangements for which we have not been able to confirm the enforceability of the setoff rights, or those not subject to master netting arrangeme</w:t>
      </w:r>
      <w:r>
        <w:rPr>
          <w:rFonts w:eastAsia="Times New Roman"/>
          <w:color w:val="000000"/>
          <w:sz w:val="20"/>
          <w:szCs w:val="20"/>
        </w:rPr>
        <w:t>nts, we do not offset our derivative positions for balance sheet presentation.</w:t>
      </w:r>
    </w:p>
    <w:p w:rsidR="00000000" w:rsidRDefault="00AF3814">
      <w:pPr>
        <w:jc w:val="both"/>
        <w:divId w:val="1841580696"/>
        <w:rPr>
          <w:rFonts w:eastAsia="Times New Roman"/>
        </w:rPr>
      </w:pPr>
      <w:r>
        <w:rPr>
          <w:rFonts w:eastAsia="Times New Roman"/>
          <w:color w:val="000000"/>
          <w:sz w:val="20"/>
          <w:szCs w:val="20"/>
        </w:rPr>
        <w:t xml:space="preserve">The following table presents the gross and net fair values of our derivative assets, derivative liabilities, resale and repurchase agreements and the related offsetting amounts </w:t>
      </w:r>
      <w:r>
        <w:rPr>
          <w:rFonts w:eastAsia="Times New Roman"/>
          <w:color w:val="000000"/>
          <w:sz w:val="20"/>
          <w:szCs w:val="20"/>
        </w:rPr>
        <w:t>permitted under U.S. GAAP as of June 30, 2021 and December 31, 2020. The table also includes cash and non-cash collateral received or pledged in accordance with such arrangements. The amount of collateral presented, however, is limited to the amount of the</w:t>
      </w:r>
      <w:r>
        <w:rPr>
          <w:rFonts w:eastAsia="Times New Roman"/>
          <w:color w:val="000000"/>
          <w:sz w:val="20"/>
          <w:szCs w:val="20"/>
        </w:rPr>
        <w:t xml:space="preserve"> related net derivative fair values or outstanding balances; therefore, instances of over-collateralization are excluded.</w:t>
      </w:r>
    </w:p>
    <w:p w:rsidR="00000000" w:rsidRDefault="00AF3814">
      <w:pPr>
        <w:jc w:val="both"/>
        <w:divId w:val="95946152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6399931"/>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3639993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3639993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28" style="width:0;height:1.5pt" o:hralign="center" o:hrstd="t" o:hr="t" fillcolor="#a0a0a0" stroked="f"/>
        </w:pict>
      </w:r>
    </w:p>
    <w:p w:rsidR="00000000" w:rsidRDefault="00AF3814">
      <w:pPr>
        <w:jc w:val="both"/>
        <w:divId w:val="80854712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808547129"/>
        <w:rPr>
          <w:rFonts w:eastAsia="Times New Roman"/>
        </w:rPr>
      </w:pPr>
    </w:p>
    <w:p w:rsidR="00000000" w:rsidRDefault="00AF3814">
      <w:pPr>
        <w:divId w:val="203569118"/>
        <w:rPr>
          <w:rFonts w:eastAsia="Times New Roman"/>
        </w:rPr>
      </w:pPr>
      <w:r>
        <w:rPr>
          <w:rFonts w:eastAsia="Times New Roman"/>
          <w:b/>
          <w:bCs/>
          <w:color w:val="000000"/>
          <w:sz w:val="18"/>
          <w:szCs w:val="18"/>
        </w:rPr>
        <w:t>Table 8.3: Offsetting of Financial Assets and Financial Liabilities</w:t>
      </w:r>
    </w:p>
    <w:tbl>
      <w:tblPr>
        <w:tblW w:w="4970" w:type="pct"/>
        <w:tblCellMar>
          <w:top w:w="15" w:type="dxa"/>
          <w:left w:w="15" w:type="dxa"/>
          <w:bottom w:w="15" w:type="dxa"/>
          <w:right w:w="15" w:type="dxa"/>
        </w:tblCellMar>
        <w:tblLook w:val="04A0" w:firstRow="1" w:lastRow="0" w:firstColumn="1" w:lastColumn="0" w:noHBand="0" w:noVBand="1"/>
      </w:tblPr>
      <w:tblGrid>
        <w:gridCol w:w="38"/>
        <w:gridCol w:w="2438"/>
        <w:gridCol w:w="37"/>
        <w:gridCol w:w="36"/>
        <w:gridCol w:w="36"/>
        <w:gridCol w:w="36"/>
        <w:gridCol w:w="111"/>
        <w:gridCol w:w="576"/>
        <w:gridCol w:w="36"/>
        <w:gridCol w:w="36"/>
        <w:gridCol w:w="36"/>
        <w:gridCol w:w="36"/>
        <w:gridCol w:w="111"/>
        <w:gridCol w:w="775"/>
        <w:gridCol w:w="37"/>
        <w:gridCol w:w="36"/>
        <w:gridCol w:w="36"/>
        <w:gridCol w:w="36"/>
        <w:gridCol w:w="111"/>
        <w:gridCol w:w="658"/>
        <w:gridCol w:w="37"/>
        <w:gridCol w:w="36"/>
        <w:gridCol w:w="36"/>
        <w:gridCol w:w="36"/>
        <w:gridCol w:w="111"/>
        <w:gridCol w:w="739"/>
        <w:gridCol w:w="36"/>
        <w:gridCol w:w="36"/>
        <w:gridCol w:w="36"/>
        <w:gridCol w:w="36"/>
        <w:gridCol w:w="111"/>
        <w:gridCol w:w="858"/>
        <w:gridCol w:w="36"/>
        <w:gridCol w:w="36"/>
        <w:gridCol w:w="36"/>
        <w:gridCol w:w="36"/>
        <w:gridCol w:w="111"/>
        <w:gridCol w:w="605"/>
        <w:gridCol w:w="36"/>
      </w:tblGrid>
      <w:tr w:rsidR="00000000">
        <w:trPr>
          <w:divId w:val="1174340450"/>
        </w:trPr>
        <w:tc>
          <w:tcPr>
            <w:tcW w:w="50" w:type="pct"/>
            <w:vAlign w:val="center"/>
            <w:hideMark/>
          </w:tcPr>
          <w:p w:rsidR="00000000" w:rsidRDefault="00AF3814">
            <w:pPr>
              <w:rPr>
                <w:rFonts w:eastAsia="Times New Roman"/>
              </w:rPr>
            </w:pPr>
          </w:p>
        </w:tc>
        <w:tc>
          <w:tcPr>
            <w:tcW w:w="154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3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8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5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74340450"/>
          <w:trHeight w:val="42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Securities Collateral Held Under Master Netting Agreements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Exposure</w:t>
            </w:r>
          </w:p>
        </w:tc>
      </w:tr>
      <w:tr w:rsidR="00000000">
        <w:trPr>
          <w:divId w:val="1174340450"/>
          <w:trHeight w:val="42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Cash Collateral Received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ign w:val="center"/>
            <w:hideMark/>
          </w:tcPr>
          <w:p w:rsidR="00000000" w:rsidRDefault="00AF3814">
            <w:pPr>
              <w:spacing w:after="100"/>
              <w:rPr>
                <w:rFonts w:eastAsia="Times New Roman"/>
              </w:rPr>
            </w:pPr>
          </w:p>
        </w:tc>
      </w:tr>
      <w:tr w:rsidR="00000000">
        <w:trPr>
          <w:divId w:val="11743404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7434045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343706911"/>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(523)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7434045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7434045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817986921"/>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2,267 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2,267 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2542"/>
        <w:gridCol w:w="144"/>
        <w:gridCol w:w="144"/>
        <w:gridCol w:w="144"/>
        <w:gridCol w:w="144"/>
        <w:gridCol w:w="144"/>
        <w:gridCol w:w="601"/>
        <w:gridCol w:w="144"/>
        <w:gridCol w:w="144"/>
        <w:gridCol w:w="144"/>
        <w:gridCol w:w="144"/>
        <w:gridCol w:w="144"/>
        <w:gridCol w:w="696"/>
        <w:gridCol w:w="144"/>
        <w:gridCol w:w="144"/>
        <w:gridCol w:w="144"/>
        <w:gridCol w:w="144"/>
        <w:gridCol w:w="144"/>
        <w:gridCol w:w="880"/>
        <w:gridCol w:w="144"/>
        <w:gridCol w:w="144"/>
        <w:gridCol w:w="144"/>
        <w:gridCol w:w="144"/>
        <w:gridCol w:w="144"/>
        <w:gridCol w:w="794"/>
        <w:gridCol w:w="144"/>
        <w:gridCol w:w="144"/>
        <w:gridCol w:w="144"/>
        <w:gridCol w:w="144"/>
        <w:gridCol w:w="144"/>
        <w:gridCol w:w="1086"/>
        <w:gridCol w:w="144"/>
        <w:gridCol w:w="144"/>
        <w:gridCol w:w="144"/>
        <w:gridCol w:w="144"/>
        <w:gridCol w:w="144"/>
        <w:gridCol w:w="648"/>
        <w:gridCol w:w="144"/>
      </w:tblGrid>
      <w:tr w:rsidR="00000000">
        <w:tc>
          <w:tcPr>
            <w:tcW w:w="50" w:type="pct"/>
            <w:vAlign w:val="center"/>
            <w:hideMark/>
          </w:tcPr>
          <w:p w:rsidR="00000000" w:rsidRDefault="00AF3814">
            <w:pPr>
              <w:rPr>
                <w:rFonts w:eastAsia="Times New Roman"/>
              </w:rPr>
            </w:pPr>
          </w:p>
        </w:tc>
        <w:tc>
          <w:tcPr>
            <w:tcW w:w="154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3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8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5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42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Securities Collateral Pledged Under Master Netting Agreements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Exposure</w:t>
            </w:r>
          </w:p>
        </w:tc>
      </w:tr>
      <w:tr w:rsidR="00000000">
        <w:trPr>
          <w:trHeight w:val="42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Cash Collateral Pledged</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ign w:val="center"/>
            <w:hideMark/>
          </w:tcPr>
          <w:p w:rsidR="00000000" w:rsidRDefault="00AF3814">
            <w:pPr>
              <w:spacing w:after="100"/>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385986274"/>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(409)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846988634"/>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(845)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274092679"/>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1,518 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779 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779 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77601051"/>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w:t>
            </w:r>
            <w:r>
              <w:rPr>
                <w:rFonts w:eastAsia="Times New Roman"/>
                <w:color w:val="000000"/>
                <w:sz w:val="18"/>
                <w:szCs w:val="18"/>
              </w:rPr>
              <w:t>668)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1022973986"/>
        <w:rPr>
          <w:rFonts w:eastAsia="Times New Roman"/>
        </w:rPr>
      </w:pPr>
      <w:r>
        <w:rPr>
          <w:rFonts w:eastAsia="Times New Roman"/>
          <w:color w:val="000000"/>
          <w:sz w:val="20"/>
          <w:szCs w:val="20"/>
        </w:rPr>
        <w:t>__________</w:t>
      </w:r>
    </w:p>
    <w:p w:rsidR="00000000" w:rsidRDefault="00AF3814">
      <w:pPr>
        <w:ind w:hanging="360"/>
        <w:jc w:val="both"/>
        <w:divId w:val="107184858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received cash collateral from derivative counterparties totaling $574 million and $862 million as of June 30, 2021 and December 31, 2020, respectively. We also received</w:t>
      </w:r>
      <w:r>
        <w:rPr>
          <w:rFonts w:eastAsia="Times New Roman"/>
          <w:color w:val="000000"/>
          <w:sz w:val="16"/>
          <w:szCs w:val="16"/>
        </w:rPr>
        <w:t xml:space="preserve"> securities from derivative counterparties with a fair value of approximately $1 million as of both June 30, 2021 and December 31, 2020, respectively, which we have the ability to re-pledge. We posted $2.1 billion and $1.5 billion of cash collateral as of </w:t>
      </w:r>
      <w:r>
        <w:rPr>
          <w:rFonts w:eastAsia="Times New Roman"/>
          <w:color w:val="000000"/>
          <w:sz w:val="16"/>
          <w:szCs w:val="16"/>
        </w:rPr>
        <w:t>June 30, 2021 and December 31, 2020, respectively.</w:t>
      </w:r>
    </w:p>
    <w:p w:rsidR="00000000" w:rsidRDefault="00AF3814">
      <w:pPr>
        <w:ind w:hanging="360"/>
        <w:jc w:val="both"/>
        <w:divId w:val="161050565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Under our customer repurchase agreements, which mature the next business day, we pledged collateral with a fair value of $862 million and $682 million as of June 30, 2021 and December 31, 2020, respecti</w:t>
      </w:r>
      <w:r>
        <w:rPr>
          <w:rFonts w:eastAsia="Times New Roman"/>
          <w:color w:val="000000"/>
          <w:sz w:val="16"/>
          <w:szCs w:val="16"/>
        </w:rPr>
        <w:t>vely, primarily consisting of agency RMBS securities.</w:t>
      </w:r>
    </w:p>
    <w:p w:rsidR="00000000" w:rsidRDefault="00AF3814">
      <w:pPr>
        <w:divId w:val="127405089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4464834"/>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7446483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7446483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29" style="width:0;height:1.5pt" o:hralign="center" o:hrstd="t" o:hr="t" fillcolor="#a0a0a0" stroked="f"/>
        </w:pict>
      </w:r>
    </w:p>
    <w:p w:rsidR="00000000" w:rsidRDefault="00AF3814">
      <w:pPr>
        <w:jc w:val="both"/>
        <w:divId w:val="160776381"/>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60776381"/>
        <w:rPr>
          <w:rFonts w:eastAsia="Times New Roman"/>
        </w:rPr>
      </w:pPr>
    </w:p>
    <w:p w:rsidR="00000000" w:rsidRDefault="00AF3814">
      <w:pPr>
        <w:divId w:val="695546602"/>
        <w:rPr>
          <w:rFonts w:eastAsia="Times New Roman"/>
        </w:rPr>
      </w:pPr>
      <w:r>
        <w:rPr>
          <w:rFonts w:eastAsia="Times New Roman"/>
          <w:b/>
          <w:bCs/>
          <w:color w:val="000000"/>
          <w:sz w:val="20"/>
          <w:szCs w:val="20"/>
        </w:rPr>
        <w:t>Income Statement and AOCI Presentation</w:t>
      </w:r>
    </w:p>
    <w:p w:rsidR="00000000" w:rsidRDefault="00AF3814">
      <w:pPr>
        <w:divId w:val="1325358066"/>
        <w:rPr>
          <w:rFonts w:eastAsia="Times New Roman"/>
        </w:rPr>
      </w:pPr>
      <w:r>
        <w:rPr>
          <w:rFonts w:eastAsia="Times New Roman"/>
          <w:b/>
          <w:bCs/>
          <w:i/>
          <w:iCs/>
          <w:color w:val="000000"/>
          <w:sz w:val="20"/>
          <w:szCs w:val="20"/>
        </w:rPr>
        <w:t>Fair Value and Cash Flow Hedges</w:t>
      </w:r>
    </w:p>
    <w:p w:rsidR="00000000" w:rsidRDefault="00AF3814">
      <w:pPr>
        <w:jc w:val="both"/>
        <w:divId w:val="1916469295"/>
        <w:rPr>
          <w:rFonts w:eastAsia="Times New Roman"/>
        </w:rPr>
      </w:pPr>
      <w:r>
        <w:rPr>
          <w:rFonts w:eastAsia="Times New Roman"/>
          <w:color w:val="000000"/>
          <w:sz w:val="20"/>
          <w:szCs w:val="20"/>
        </w:rPr>
        <w:t>The net gains (losses) recognized in our consolidated statements of in</w:t>
      </w:r>
      <w:r>
        <w:rPr>
          <w:rFonts w:eastAsia="Times New Roman"/>
          <w:color w:val="000000"/>
          <w:sz w:val="20"/>
          <w:szCs w:val="20"/>
        </w:rPr>
        <w:t xml:space="preserve">come related to derivatives in fair value and cash flow hedging relationships are presented below for the three and six months ended June 30, 2021 and 2020. </w:t>
      </w:r>
    </w:p>
    <w:p w:rsidR="00000000" w:rsidRDefault="00AF3814">
      <w:pPr>
        <w:divId w:val="137577204"/>
        <w:rPr>
          <w:rFonts w:eastAsia="Times New Roman"/>
        </w:rPr>
      </w:pPr>
      <w:r>
        <w:rPr>
          <w:rFonts w:eastAsia="Times New Roman"/>
          <w:b/>
          <w:bCs/>
          <w:color w:val="000000"/>
          <w:sz w:val="18"/>
          <w:szCs w:val="18"/>
        </w:rPr>
        <w:t>Table 8.4: Effects of Fair Value and Cash Flow Hedge Accounting</w:t>
      </w:r>
    </w:p>
    <w:tbl>
      <w:tblPr>
        <w:tblW w:w="5000" w:type="pct"/>
        <w:tblCellMar>
          <w:top w:w="15" w:type="dxa"/>
          <w:left w:w="15" w:type="dxa"/>
          <w:bottom w:w="15" w:type="dxa"/>
          <w:right w:w="15" w:type="dxa"/>
        </w:tblCellMar>
        <w:tblLook w:val="04A0" w:firstRow="1" w:lastRow="0" w:firstColumn="1" w:lastColumn="0" w:noHBand="0" w:noVBand="1"/>
      </w:tblPr>
      <w:tblGrid>
        <w:gridCol w:w="54"/>
        <w:gridCol w:w="1698"/>
        <w:gridCol w:w="39"/>
        <w:gridCol w:w="36"/>
        <w:gridCol w:w="36"/>
        <w:gridCol w:w="36"/>
        <w:gridCol w:w="111"/>
        <w:gridCol w:w="720"/>
        <w:gridCol w:w="36"/>
        <w:gridCol w:w="36"/>
        <w:gridCol w:w="36"/>
        <w:gridCol w:w="36"/>
        <w:gridCol w:w="111"/>
        <w:gridCol w:w="625"/>
        <w:gridCol w:w="36"/>
        <w:gridCol w:w="36"/>
        <w:gridCol w:w="36"/>
        <w:gridCol w:w="36"/>
        <w:gridCol w:w="111"/>
        <w:gridCol w:w="615"/>
        <w:gridCol w:w="36"/>
        <w:gridCol w:w="36"/>
        <w:gridCol w:w="36"/>
        <w:gridCol w:w="36"/>
        <w:gridCol w:w="111"/>
        <w:gridCol w:w="646"/>
        <w:gridCol w:w="36"/>
        <w:gridCol w:w="36"/>
        <w:gridCol w:w="36"/>
        <w:gridCol w:w="36"/>
        <w:gridCol w:w="111"/>
        <w:gridCol w:w="743"/>
        <w:gridCol w:w="36"/>
        <w:gridCol w:w="36"/>
        <w:gridCol w:w="36"/>
        <w:gridCol w:w="36"/>
        <w:gridCol w:w="111"/>
        <w:gridCol w:w="871"/>
        <w:gridCol w:w="36"/>
        <w:gridCol w:w="36"/>
        <w:gridCol w:w="36"/>
        <w:gridCol w:w="36"/>
        <w:gridCol w:w="111"/>
        <w:gridCol w:w="510"/>
        <w:gridCol w:w="36"/>
      </w:tblGrid>
      <w:tr w:rsidR="00000000">
        <w:trPr>
          <w:divId w:val="1518301497"/>
        </w:trPr>
        <w:tc>
          <w:tcPr>
            <w:tcW w:w="50" w:type="pct"/>
            <w:vAlign w:val="center"/>
            <w:hideMark/>
          </w:tcPr>
          <w:p w:rsidR="00000000" w:rsidRDefault="00AF3814">
            <w:pPr>
              <w:rPr>
                <w:rFonts w:eastAsia="Times New Roman"/>
              </w:rPr>
            </w:pPr>
          </w:p>
        </w:tc>
        <w:tc>
          <w:tcPr>
            <w:tcW w:w="108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518301497"/>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2021</w:t>
            </w:r>
          </w:p>
        </w:tc>
      </w:tr>
      <w:tr w:rsidR="00000000">
        <w:trPr>
          <w:divId w:val="1518301497"/>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Non-Interest Income</w:t>
            </w:r>
          </w:p>
        </w:tc>
      </w:tr>
      <w:tr w:rsidR="00000000">
        <w:trPr>
          <w:divId w:val="151830149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r>
      <w:tr w:rsidR="00AF3814">
        <w:trPr>
          <w:divId w:val="15183014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459494022"/>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5,753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51830149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943340668"/>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51830149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518301497"/>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(25)</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518301497"/>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(31)</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(17)</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51830149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449201727"/>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51830149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614441910"/>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51830149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51830149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75323227"/>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51830149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518301497"/>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Realized gains (losses)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51830149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51830149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786730450"/>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51830149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bl>
    <w:p w:rsidR="00000000" w:rsidRDefault="00AF3814">
      <w:pPr>
        <w:jc w:val="both"/>
        <w:divId w:val="1365790304"/>
        <w:rPr>
          <w:rFonts w:eastAsia="Times New Roman"/>
        </w:rPr>
      </w:pPr>
    </w:p>
    <w:p w:rsidR="00000000" w:rsidRDefault="00AF3814">
      <w:pPr>
        <w:jc w:val="both"/>
        <w:divId w:val="1662344587"/>
        <w:rPr>
          <w:rFonts w:eastAsia="Times New Roman"/>
        </w:rPr>
      </w:pPr>
    </w:p>
    <w:tbl>
      <w:tblPr>
        <w:tblW w:w="4956" w:type="pct"/>
        <w:tblCellMar>
          <w:top w:w="15" w:type="dxa"/>
          <w:left w:w="15" w:type="dxa"/>
          <w:bottom w:w="15" w:type="dxa"/>
          <w:right w:w="15" w:type="dxa"/>
        </w:tblCellMar>
        <w:tblLook w:val="04A0" w:firstRow="1" w:lastRow="0" w:firstColumn="1" w:lastColumn="0" w:noHBand="0" w:noVBand="1"/>
      </w:tblPr>
      <w:tblGrid>
        <w:gridCol w:w="55"/>
        <w:gridCol w:w="1779"/>
        <w:gridCol w:w="36"/>
        <w:gridCol w:w="36"/>
        <w:gridCol w:w="36"/>
        <w:gridCol w:w="36"/>
        <w:gridCol w:w="36"/>
        <w:gridCol w:w="720"/>
        <w:gridCol w:w="36"/>
        <w:gridCol w:w="36"/>
        <w:gridCol w:w="36"/>
        <w:gridCol w:w="36"/>
        <w:gridCol w:w="36"/>
        <w:gridCol w:w="744"/>
        <w:gridCol w:w="36"/>
        <w:gridCol w:w="36"/>
        <w:gridCol w:w="36"/>
        <w:gridCol w:w="36"/>
        <w:gridCol w:w="36"/>
        <w:gridCol w:w="722"/>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699"/>
        <w:gridCol w:w="36"/>
      </w:tblGrid>
      <w:tr w:rsidR="00000000">
        <w:trPr>
          <w:divId w:val="879173710"/>
        </w:trPr>
        <w:tc>
          <w:tcPr>
            <w:tcW w:w="50" w:type="pct"/>
            <w:vAlign w:val="center"/>
            <w:hideMark/>
          </w:tcPr>
          <w:p w:rsidR="00000000" w:rsidRDefault="00AF3814">
            <w:pPr>
              <w:jc w:val="both"/>
              <w:rPr>
                <w:rFonts w:eastAsia="Times New Roman"/>
              </w:rPr>
            </w:pPr>
          </w:p>
        </w:tc>
        <w:tc>
          <w:tcPr>
            <w:tcW w:w="10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879173710"/>
          <w:trHeight w:val="6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879173710"/>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30" style="width:0;height:1.5pt" o:hralign="center" o:hrstd="t" o:hr="t" fillcolor="#a0a0a0" stroked="f"/>
        </w:pict>
      </w:r>
    </w:p>
    <w:p w:rsidR="00000000" w:rsidRDefault="00AF3814">
      <w:pPr>
        <w:jc w:val="both"/>
        <w:divId w:val="54861455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54861455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4"/>
        <w:gridCol w:w="1698"/>
        <w:gridCol w:w="39"/>
        <w:gridCol w:w="36"/>
        <w:gridCol w:w="36"/>
        <w:gridCol w:w="36"/>
        <w:gridCol w:w="111"/>
        <w:gridCol w:w="720"/>
        <w:gridCol w:w="36"/>
        <w:gridCol w:w="36"/>
        <w:gridCol w:w="36"/>
        <w:gridCol w:w="36"/>
        <w:gridCol w:w="111"/>
        <w:gridCol w:w="625"/>
        <w:gridCol w:w="36"/>
        <w:gridCol w:w="36"/>
        <w:gridCol w:w="36"/>
        <w:gridCol w:w="36"/>
        <w:gridCol w:w="111"/>
        <w:gridCol w:w="615"/>
        <w:gridCol w:w="36"/>
        <w:gridCol w:w="36"/>
        <w:gridCol w:w="36"/>
        <w:gridCol w:w="36"/>
        <w:gridCol w:w="111"/>
        <w:gridCol w:w="646"/>
        <w:gridCol w:w="36"/>
        <w:gridCol w:w="36"/>
        <w:gridCol w:w="36"/>
        <w:gridCol w:w="36"/>
        <w:gridCol w:w="111"/>
        <w:gridCol w:w="743"/>
        <w:gridCol w:w="36"/>
        <w:gridCol w:w="36"/>
        <w:gridCol w:w="36"/>
        <w:gridCol w:w="36"/>
        <w:gridCol w:w="111"/>
        <w:gridCol w:w="871"/>
        <w:gridCol w:w="36"/>
        <w:gridCol w:w="36"/>
        <w:gridCol w:w="36"/>
        <w:gridCol w:w="36"/>
        <w:gridCol w:w="111"/>
        <w:gridCol w:w="510"/>
        <w:gridCol w:w="36"/>
      </w:tblGrid>
      <w:tr w:rsidR="00000000">
        <w:trPr>
          <w:divId w:val="1987969178"/>
        </w:trPr>
        <w:tc>
          <w:tcPr>
            <w:tcW w:w="50" w:type="pct"/>
            <w:vAlign w:val="center"/>
            <w:hideMark/>
          </w:tcPr>
          <w:p w:rsidR="00000000" w:rsidRDefault="00AF3814">
            <w:pPr>
              <w:jc w:val="center"/>
              <w:rPr>
                <w:rFonts w:eastAsia="Times New Roman"/>
              </w:rPr>
            </w:pPr>
          </w:p>
        </w:tc>
        <w:tc>
          <w:tcPr>
            <w:tcW w:w="108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87969178"/>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2021</w:t>
            </w:r>
          </w:p>
        </w:tc>
      </w:tr>
      <w:tr w:rsidR="00000000">
        <w:trPr>
          <w:divId w:val="1987969178"/>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Non-Interest Income</w:t>
            </w:r>
          </w:p>
        </w:tc>
      </w:tr>
      <w:tr w:rsidR="00000000">
        <w:trPr>
          <w:divId w:val="1987969178"/>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r>
      <w:tr w:rsidR="00AF3814">
        <w:trPr>
          <w:divId w:val="198796917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1836728740"/>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11,607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9879691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095981112"/>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879691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987969178"/>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(50)</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987969178"/>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(89)</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(97)</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(336)</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(45)</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9879691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99031383"/>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(123)</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9879691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015379129"/>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9879691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9879691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61605955"/>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879691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987969178"/>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Realized gains (losses)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9879691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8796917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2080781571"/>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98796917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bl>
    <w:p w:rsidR="00000000" w:rsidRDefault="00AF3814">
      <w:pPr>
        <w:jc w:val="both"/>
        <w:rPr>
          <w:rFonts w:eastAsia="Times New Roman"/>
        </w:rPr>
      </w:pPr>
    </w:p>
    <w:p w:rsidR="00000000" w:rsidRDefault="00AF3814">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29607881"/>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2960788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2960788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31" style="width:0;height:1.5pt" o:hralign="center" o:hrstd="t" o:hr="t" fillcolor="#a0a0a0" stroked="f"/>
        </w:pict>
      </w:r>
    </w:p>
    <w:p w:rsidR="00000000" w:rsidRDefault="00AF3814">
      <w:pPr>
        <w:jc w:val="both"/>
        <w:divId w:val="1745452413"/>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745452413"/>
        <w:rPr>
          <w:rFonts w:eastAsia="Times New Roman"/>
        </w:rPr>
      </w:pPr>
    </w:p>
    <w:tbl>
      <w:tblPr>
        <w:tblW w:w="562" w:type="pct"/>
        <w:tblCellMar>
          <w:top w:w="15" w:type="dxa"/>
          <w:left w:w="15" w:type="dxa"/>
          <w:bottom w:w="15" w:type="dxa"/>
          <w:right w:w="15" w:type="dxa"/>
        </w:tblCellMar>
        <w:tblLook w:val="04A0" w:firstRow="1" w:lastRow="0" w:firstColumn="1" w:lastColumn="0" w:noHBand="0" w:noVBand="1"/>
      </w:tblPr>
      <w:tblGrid>
        <w:gridCol w:w="36"/>
        <w:gridCol w:w="862"/>
        <w:gridCol w:w="36"/>
      </w:tblGrid>
      <w:tr w:rsidR="00000000">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p w:rsidR="00000000" w:rsidRDefault="00AF3814">
      <w:pPr>
        <w:jc w:val="both"/>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673"/>
        <w:gridCol w:w="39"/>
        <w:gridCol w:w="36"/>
        <w:gridCol w:w="36"/>
        <w:gridCol w:w="36"/>
        <w:gridCol w:w="111"/>
        <w:gridCol w:w="718"/>
        <w:gridCol w:w="36"/>
        <w:gridCol w:w="36"/>
        <w:gridCol w:w="36"/>
        <w:gridCol w:w="36"/>
        <w:gridCol w:w="111"/>
        <w:gridCol w:w="625"/>
        <w:gridCol w:w="36"/>
        <w:gridCol w:w="36"/>
        <w:gridCol w:w="36"/>
        <w:gridCol w:w="36"/>
        <w:gridCol w:w="111"/>
        <w:gridCol w:w="568"/>
        <w:gridCol w:w="36"/>
        <w:gridCol w:w="36"/>
        <w:gridCol w:w="36"/>
        <w:gridCol w:w="36"/>
        <w:gridCol w:w="111"/>
        <w:gridCol w:w="633"/>
        <w:gridCol w:w="36"/>
        <w:gridCol w:w="36"/>
        <w:gridCol w:w="36"/>
        <w:gridCol w:w="36"/>
        <w:gridCol w:w="111"/>
        <w:gridCol w:w="743"/>
        <w:gridCol w:w="36"/>
        <w:gridCol w:w="36"/>
        <w:gridCol w:w="36"/>
        <w:gridCol w:w="36"/>
        <w:gridCol w:w="111"/>
        <w:gridCol w:w="871"/>
        <w:gridCol w:w="36"/>
        <w:gridCol w:w="36"/>
        <w:gridCol w:w="36"/>
        <w:gridCol w:w="36"/>
        <w:gridCol w:w="111"/>
        <w:gridCol w:w="595"/>
        <w:gridCol w:w="36"/>
      </w:tblGrid>
      <w:tr w:rsidR="00000000">
        <w:tc>
          <w:tcPr>
            <w:tcW w:w="50" w:type="pct"/>
            <w:vAlign w:val="center"/>
            <w:hideMark/>
          </w:tcPr>
          <w:p w:rsidR="00000000" w:rsidRDefault="00AF3814">
            <w:pPr>
              <w:jc w:val="both"/>
              <w:rPr>
                <w:rFonts w:eastAsia="Times New Roman"/>
              </w:rPr>
            </w:pPr>
          </w:p>
        </w:tc>
        <w:tc>
          <w:tcPr>
            <w:tcW w:w="106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0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Non-Interest Income</w:t>
            </w: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r>
      <w:tr w:rsidR="00AF3814">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75441717"/>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699501978"/>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476332442"/>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(68)</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452987222"/>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949093129"/>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Realized gains (losses)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135 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763260743"/>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bl>
    <w:p w:rsidR="00000000" w:rsidRDefault="00AF3814">
      <w:pPr>
        <w:divId w:val="984238289"/>
        <w:rPr>
          <w:rFonts w:eastAsia="Times New Roman"/>
          <w:vanish/>
        </w:rPr>
      </w:pPr>
    </w:p>
    <w:tbl>
      <w:tblPr>
        <w:tblW w:w="4956" w:type="pct"/>
        <w:tblCellMar>
          <w:top w:w="15" w:type="dxa"/>
          <w:left w:w="15" w:type="dxa"/>
          <w:bottom w:w="15" w:type="dxa"/>
          <w:right w:w="15" w:type="dxa"/>
        </w:tblCellMar>
        <w:tblLook w:val="04A0" w:firstRow="1" w:lastRow="0" w:firstColumn="1" w:lastColumn="0" w:noHBand="0" w:noVBand="1"/>
      </w:tblPr>
      <w:tblGrid>
        <w:gridCol w:w="55"/>
        <w:gridCol w:w="1743"/>
        <w:gridCol w:w="36"/>
        <w:gridCol w:w="36"/>
        <w:gridCol w:w="36"/>
        <w:gridCol w:w="36"/>
        <w:gridCol w:w="36"/>
        <w:gridCol w:w="720"/>
        <w:gridCol w:w="36"/>
        <w:gridCol w:w="36"/>
        <w:gridCol w:w="36"/>
        <w:gridCol w:w="36"/>
        <w:gridCol w:w="36"/>
        <w:gridCol w:w="744"/>
        <w:gridCol w:w="36"/>
        <w:gridCol w:w="36"/>
        <w:gridCol w:w="36"/>
        <w:gridCol w:w="36"/>
        <w:gridCol w:w="36"/>
        <w:gridCol w:w="709"/>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748"/>
        <w:gridCol w:w="36"/>
      </w:tblGrid>
      <w:tr w:rsidR="00000000">
        <w:trPr>
          <w:divId w:val="984238289"/>
        </w:trPr>
        <w:tc>
          <w:tcPr>
            <w:tcW w:w="50" w:type="pct"/>
            <w:vAlign w:val="center"/>
            <w:hideMark/>
          </w:tcPr>
          <w:p w:rsidR="00000000" w:rsidRDefault="00AF3814">
            <w:pPr>
              <w:jc w:val="both"/>
              <w:rPr>
                <w:rFonts w:eastAsia="Times New Roman"/>
              </w:rPr>
            </w:pPr>
          </w:p>
        </w:tc>
        <w:tc>
          <w:tcPr>
            <w:tcW w:w="107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84238289"/>
          <w:trHeight w:val="6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984238289"/>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32" style="width:0;height:1.5pt" o:hralign="center" o:hrstd="t" o:hr="t" fillcolor="#a0a0a0" stroked="f"/>
        </w:pict>
      </w:r>
    </w:p>
    <w:p w:rsidR="00000000" w:rsidRDefault="00AF3814">
      <w:pPr>
        <w:jc w:val="both"/>
        <w:divId w:val="17422498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7422498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673"/>
        <w:gridCol w:w="39"/>
        <w:gridCol w:w="36"/>
        <w:gridCol w:w="36"/>
        <w:gridCol w:w="36"/>
        <w:gridCol w:w="111"/>
        <w:gridCol w:w="718"/>
        <w:gridCol w:w="36"/>
        <w:gridCol w:w="36"/>
        <w:gridCol w:w="36"/>
        <w:gridCol w:w="36"/>
        <w:gridCol w:w="111"/>
        <w:gridCol w:w="625"/>
        <w:gridCol w:w="36"/>
        <w:gridCol w:w="36"/>
        <w:gridCol w:w="36"/>
        <w:gridCol w:w="36"/>
        <w:gridCol w:w="111"/>
        <w:gridCol w:w="569"/>
        <w:gridCol w:w="36"/>
        <w:gridCol w:w="36"/>
        <w:gridCol w:w="36"/>
        <w:gridCol w:w="36"/>
        <w:gridCol w:w="110"/>
        <w:gridCol w:w="633"/>
        <w:gridCol w:w="36"/>
        <w:gridCol w:w="36"/>
        <w:gridCol w:w="36"/>
        <w:gridCol w:w="36"/>
        <w:gridCol w:w="111"/>
        <w:gridCol w:w="743"/>
        <w:gridCol w:w="36"/>
        <w:gridCol w:w="36"/>
        <w:gridCol w:w="36"/>
        <w:gridCol w:w="36"/>
        <w:gridCol w:w="111"/>
        <w:gridCol w:w="871"/>
        <w:gridCol w:w="36"/>
        <w:gridCol w:w="36"/>
        <w:gridCol w:w="36"/>
        <w:gridCol w:w="36"/>
        <w:gridCol w:w="111"/>
        <w:gridCol w:w="595"/>
        <w:gridCol w:w="36"/>
      </w:tblGrid>
      <w:tr w:rsidR="00000000">
        <w:trPr>
          <w:divId w:val="1249189612"/>
        </w:trPr>
        <w:tc>
          <w:tcPr>
            <w:tcW w:w="50" w:type="pct"/>
            <w:vAlign w:val="center"/>
            <w:hideMark/>
          </w:tcPr>
          <w:p w:rsidR="00000000" w:rsidRDefault="00AF3814">
            <w:pPr>
              <w:jc w:val="center"/>
              <w:rPr>
                <w:rFonts w:eastAsia="Times New Roman"/>
              </w:rPr>
            </w:pPr>
          </w:p>
        </w:tc>
        <w:tc>
          <w:tcPr>
            <w:tcW w:w="106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0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24918961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249189612"/>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249189612"/>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Non-Interest Income</w:t>
            </w:r>
          </w:p>
        </w:tc>
      </w:tr>
      <w:tr w:rsidR="00000000">
        <w:trPr>
          <w:divId w:val="124918961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r>
      <w:tr w:rsidR="00AF3814">
        <w:trPr>
          <w:divId w:val="124918961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917328585"/>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12,362 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(1,342)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2491896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93215668"/>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2491896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24918961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24918961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(364)</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296 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269 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1,129 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2491896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347294802"/>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360 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(296)</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(292)</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(1,159)</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2491896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229468449"/>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2491896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2491896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876351381"/>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2491896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24918961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2491896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24918961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251744043"/>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AF3814">
        <w:trPr>
          <w:divId w:val="124918961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bl>
    <w:p w:rsidR="00000000" w:rsidRDefault="00AF3814">
      <w:pPr>
        <w:divId w:val="1511093381"/>
        <w:rPr>
          <w:rFonts w:eastAsia="Times New Roman"/>
        </w:rPr>
      </w:pPr>
      <w:r>
        <w:rPr>
          <w:rFonts w:eastAsia="Times New Roman"/>
          <w:color w:val="000000"/>
          <w:sz w:val="20"/>
          <w:szCs w:val="20"/>
        </w:rPr>
        <w:t>_________</w:t>
      </w:r>
    </w:p>
    <w:p w:rsidR="00000000" w:rsidRDefault="00AF3814">
      <w:pPr>
        <w:ind w:hanging="360"/>
        <w:jc w:val="both"/>
        <w:divId w:val="109074092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amortization benefit of $22 million</w:t>
      </w:r>
      <w:r>
        <w:rPr>
          <w:rFonts w:eastAsia="Times New Roman"/>
          <w:color w:val="000000"/>
          <w:sz w:val="16"/>
          <w:szCs w:val="16"/>
          <w:shd w:val="clear" w:color="auto" w:fill="FFFFFF"/>
        </w:rPr>
        <w:t xml:space="preserve"> </w:t>
      </w:r>
      <w:r>
        <w:rPr>
          <w:rFonts w:eastAsia="Times New Roman"/>
          <w:color w:val="000000"/>
          <w:sz w:val="16"/>
          <w:szCs w:val="16"/>
        </w:rPr>
        <w:t>and $44 million for the three and six months ended June 30, 2021, respectively, and amorti</w:t>
      </w:r>
      <w:r>
        <w:rPr>
          <w:rFonts w:eastAsia="Times New Roman"/>
          <w:color w:val="000000"/>
          <w:sz w:val="16"/>
          <w:szCs w:val="16"/>
        </w:rPr>
        <w:t>zation expense of $17 million and $53 million, respectively, for the three and six months ended June 30, 2020, respectively, related to basis adjustments on discontinued hedges.</w:t>
      </w:r>
    </w:p>
    <w:p w:rsidR="00000000" w:rsidRDefault="00AF3814">
      <w:pPr>
        <w:ind w:hanging="360"/>
        <w:jc w:val="both"/>
        <w:divId w:val="203156502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Changes in fair values of cross-currency swaps attributable to changes in cross-currency basis spreads are excluded from the assessment of hedge effectiveness and recorded in other comprehensive income. The initial value of the excluded component is recogn</w:t>
      </w:r>
      <w:r>
        <w:rPr>
          <w:rFonts w:eastAsia="Times New Roman"/>
          <w:color w:val="000000"/>
          <w:sz w:val="16"/>
          <w:szCs w:val="16"/>
        </w:rPr>
        <w:t>ized in earnings over the life of the swap under the amortization approach.</w:t>
      </w:r>
    </w:p>
    <w:p w:rsidR="00000000" w:rsidRDefault="00AF3814">
      <w:pPr>
        <w:ind w:hanging="360"/>
        <w:jc w:val="both"/>
        <w:divId w:val="99838509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See “Note 9—Stockholders’ Equity” for the effects of cash flow and net investment hedges on AOCI and amounts reclassified to net income, net of tax.</w:t>
      </w:r>
    </w:p>
    <w:p w:rsidR="00000000" w:rsidRDefault="00AF3814">
      <w:pPr>
        <w:ind w:hanging="360"/>
        <w:jc w:val="both"/>
        <w:divId w:val="546114402"/>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We recognized a gain of $</w:t>
      </w:r>
      <w:r>
        <w:rPr>
          <w:rFonts w:eastAsia="Times New Roman"/>
          <w:color w:val="000000"/>
          <w:sz w:val="16"/>
          <w:szCs w:val="16"/>
        </w:rPr>
        <w:t>77 million and $162 million for the three and six months ended June 30, 2021, respectively, and a loss of $299 million and a gain of $93 million for the three and six months ended June 30, 2020, respectively, on foreign exchange contracts reclassified from</w:t>
      </w:r>
      <w:r>
        <w:rPr>
          <w:rFonts w:eastAsia="Times New Roman"/>
          <w:color w:val="000000"/>
          <w:sz w:val="16"/>
          <w:szCs w:val="16"/>
        </w:rPr>
        <w:t xml:space="preserve"> AOCI. These amounts were largely offset by the foreign currency transaction gains (losses) on our foreign currency denominated intercompany funding included in other non-interest income on our consolidated statements of income.</w:t>
      </w:r>
    </w:p>
    <w:p w:rsidR="00000000" w:rsidRDefault="00AF3814">
      <w:pPr>
        <w:jc w:val="both"/>
        <w:divId w:val="977422275"/>
        <w:rPr>
          <w:rFonts w:eastAsia="Times New Roman"/>
        </w:rPr>
      </w:pPr>
      <w:r>
        <w:rPr>
          <w:rFonts w:eastAsia="Times New Roman"/>
          <w:color w:val="000000"/>
          <w:sz w:val="20"/>
          <w:szCs w:val="20"/>
        </w:rPr>
        <w:t>In the next 12 months, we e</w:t>
      </w:r>
      <w:r>
        <w:rPr>
          <w:rFonts w:eastAsia="Times New Roman"/>
          <w:color w:val="000000"/>
          <w:sz w:val="20"/>
          <w:szCs w:val="20"/>
        </w:rPr>
        <w:t>xpect to reclassify into earnings net after-tax gains of $507 million recorded in AOCI as of June 30, 2021. These amounts will offset the cash flows associated with the hedged forecasted transactions. The maximum length of time over which forecasted transa</w:t>
      </w:r>
      <w:r>
        <w:rPr>
          <w:rFonts w:eastAsia="Times New Roman"/>
          <w:color w:val="000000"/>
          <w:sz w:val="20"/>
          <w:szCs w:val="20"/>
        </w:rPr>
        <w:t>ctions were hedged was approximately 6.7 years as of June 30, 2021. The amount we expect to reclassify into earnings may change as a result of changes in market conditions and ongoing actions taken as part of our overall risk management strategy.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94036564"/>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69403656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69403656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33" style="width:0;height:1.5pt" o:hralign="center" o:hrstd="t" o:hr="t" fillcolor="#a0a0a0" stroked="f"/>
        </w:pict>
      </w:r>
    </w:p>
    <w:p w:rsidR="00000000" w:rsidRDefault="00AF3814">
      <w:pPr>
        <w:jc w:val="both"/>
        <w:divId w:val="37185456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371854560"/>
        <w:rPr>
          <w:rFonts w:eastAsia="Times New Roman"/>
        </w:rPr>
      </w:pPr>
    </w:p>
    <w:p w:rsidR="00000000" w:rsidRDefault="00AF3814">
      <w:pPr>
        <w:divId w:val="2043479128"/>
        <w:rPr>
          <w:rFonts w:eastAsia="Times New Roman"/>
        </w:rPr>
      </w:pPr>
      <w:r>
        <w:rPr>
          <w:rFonts w:eastAsia="Times New Roman"/>
          <w:b/>
          <w:bCs/>
          <w:i/>
          <w:iCs/>
          <w:color w:val="000000"/>
          <w:sz w:val="20"/>
          <w:szCs w:val="20"/>
        </w:rPr>
        <w:t>Free-Standing Derivatives</w:t>
      </w:r>
    </w:p>
    <w:p w:rsidR="00000000" w:rsidRDefault="00AF3814">
      <w:pPr>
        <w:jc w:val="both"/>
        <w:divId w:val="685912020"/>
        <w:rPr>
          <w:rFonts w:eastAsia="Times New Roman"/>
        </w:rPr>
      </w:pPr>
      <w:r>
        <w:rPr>
          <w:rFonts w:eastAsia="Times New Roman"/>
          <w:color w:val="000000"/>
          <w:sz w:val="20"/>
          <w:szCs w:val="20"/>
        </w:rPr>
        <w:t>The net impacts to our consolidated statements of income related to free-standing derivatives are presented below for the three and six months ended June 30, 2021 and 2020. These gains or losses are recognized in other non-interest income on our consolidat</w:t>
      </w:r>
      <w:r>
        <w:rPr>
          <w:rFonts w:eastAsia="Times New Roman"/>
          <w:color w:val="000000"/>
          <w:sz w:val="20"/>
          <w:szCs w:val="20"/>
        </w:rPr>
        <w:t>ed statements of income.</w:t>
      </w:r>
    </w:p>
    <w:p w:rsidR="00000000" w:rsidRDefault="00AF3814">
      <w:pPr>
        <w:divId w:val="1755593535"/>
        <w:rPr>
          <w:rFonts w:eastAsia="Times New Roman"/>
        </w:rPr>
      </w:pPr>
      <w:r>
        <w:rPr>
          <w:rFonts w:eastAsia="Times New Roman"/>
          <w:b/>
          <w:bCs/>
          <w:color w:val="000000"/>
          <w:sz w:val="18"/>
          <w:szCs w:val="18"/>
        </w:rPr>
        <w:t>Table 8.5: Gains (Losses) on Free-Standing Derivatives</w:t>
      </w:r>
    </w:p>
    <w:tbl>
      <w:tblPr>
        <w:tblW w:w="5000" w:type="pct"/>
        <w:tblCellMar>
          <w:top w:w="15" w:type="dxa"/>
          <w:left w:w="15" w:type="dxa"/>
          <w:bottom w:w="15" w:type="dxa"/>
          <w:right w:w="15" w:type="dxa"/>
        </w:tblCellMar>
        <w:tblLook w:val="04A0" w:firstRow="1" w:lastRow="0" w:firstColumn="1" w:lastColumn="0" w:noHBand="0" w:noVBand="1"/>
      </w:tblPr>
      <w:tblGrid>
        <w:gridCol w:w="39"/>
        <w:gridCol w:w="3593"/>
        <w:gridCol w:w="38"/>
        <w:gridCol w:w="36"/>
        <w:gridCol w:w="36"/>
        <w:gridCol w:w="36"/>
        <w:gridCol w:w="110"/>
        <w:gridCol w:w="856"/>
        <w:gridCol w:w="36"/>
        <w:gridCol w:w="36"/>
        <w:gridCol w:w="36"/>
        <w:gridCol w:w="36"/>
        <w:gridCol w:w="110"/>
        <w:gridCol w:w="856"/>
        <w:gridCol w:w="36"/>
        <w:gridCol w:w="36"/>
        <w:gridCol w:w="36"/>
        <w:gridCol w:w="36"/>
        <w:gridCol w:w="110"/>
        <w:gridCol w:w="918"/>
        <w:gridCol w:w="36"/>
        <w:gridCol w:w="36"/>
        <w:gridCol w:w="36"/>
        <w:gridCol w:w="36"/>
        <w:gridCol w:w="110"/>
        <w:gridCol w:w="918"/>
        <w:gridCol w:w="36"/>
        <w:gridCol w:w="36"/>
        <w:gridCol w:w="36"/>
      </w:tblGrid>
      <w:tr w:rsidR="00000000">
        <w:trPr>
          <w:divId w:val="1439566935"/>
        </w:trPr>
        <w:tc>
          <w:tcPr>
            <w:tcW w:w="50" w:type="pct"/>
            <w:vAlign w:val="center"/>
            <w:hideMark/>
          </w:tcPr>
          <w:p w:rsidR="00000000" w:rsidRDefault="00AF3814">
            <w:pPr>
              <w:rPr>
                <w:rFonts w:eastAsia="Times New Roman"/>
              </w:rPr>
            </w:pPr>
          </w:p>
        </w:tc>
        <w:tc>
          <w:tcPr>
            <w:tcW w:w="221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7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7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1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1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Gains (losses) recognized in other 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Customer accommodation:</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Foreign exchange and other contracts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customer accommodation</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interest rate exposures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3956693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1802"/>
        <w:gridCol w:w="144"/>
        <w:gridCol w:w="144"/>
        <w:gridCol w:w="144"/>
        <w:gridCol w:w="144"/>
        <w:gridCol w:w="144"/>
        <w:gridCol w:w="745"/>
        <w:gridCol w:w="144"/>
        <w:gridCol w:w="144"/>
        <w:gridCol w:w="144"/>
        <w:gridCol w:w="144"/>
        <w:gridCol w:w="144"/>
        <w:gridCol w:w="770"/>
        <w:gridCol w:w="144"/>
        <w:gridCol w:w="144"/>
        <w:gridCol w:w="144"/>
        <w:gridCol w:w="144"/>
        <w:gridCol w:w="144"/>
        <w:gridCol w:w="745"/>
        <w:gridCol w:w="144"/>
        <w:gridCol w:w="144"/>
        <w:gridCol w:w="144"/>
        <w:gridCol w:w="144"/>
        <w:gridCol w:w="144"/>
        <w:gridCol w:w="745"/>
        <w:gridCol w:w="144"/>
        <w:gridCol w:w="144"/>
        <w:gridCol w:w="144"/>
        <w:gridCol w:w="144"/>
        <w:gridCol w:w="144"/>
        <w:gridCol w:w="770"/>
        <w:gridCol w:w="144"/>
        <w:gridCol w:w="144"/>
        <w:gridCol w:w="144"/>
        <w:gridCol w:w="144"/>
        <w:gridCol w:w="144"/>
        <w:gridCol w:w="770"/>
        <w:gridCol w:w="144"/>
        <w:gridCol w:w="144"/>
        <w:gridCol w:w="144"/>
        <w:gridCol w:w="144"/>
        <w:gridCol w:w="144"/>
        <w:gridCol w:w="722"/>
        <w:gridCol w:w="144"/>
      </w:tblGrid>
      <w:tr w:rsidR="00000000">
        <w:trPr>
          <w:jc w:val="center"/>
        </w:trPr>
        <w:tc>
          <w:tcPr>
            <w:tcW w:w="50" w:type="pct"/>
            <w:vAlign w:val="center"/>
            <w:hideMark/>
          </w:tcPr>
          <w:p w:rsidR="00000000" w:rsidRDefault="00AF3814">
            <w:pPr>
              <w:rPr>
                <w:rFonts w:eastAsia="Times New Roman"/>
              </w:rPr>
            </w:pPr>
          </w:p>
        </w:tc>
        <w:tc>
          <w:tcPr>
            <w:tcW w:w="10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center"/>
        <w:divId w:val="483591876"/>
        <w:rPr>
          <w:rFonts w:eastAsia="Times New Roman"/>
          <w:vanish/>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55"/>
        <w:gridCol w:w="1779"/>
        <w:gridCol w:w="36"/>
        <w:gridCol w:w="36"/>
        <w:gridCol w:w="36"/>
        <w:gridCol w:w="36"/>
        <w:gridCol w:w="36"/>
        <w:gridCol w:w="720"/>
        <w:gridCol w:w="36"/>
        <w:gridCol w:w="36"/>
        <w:gridCol w:w="36"/>
        <w:gridCol w:w="36"/>
        <w:gridCol w:w="36"/>
        <w:gridCol w:w="744"/>
        <w:gridCol w:w="36"/>
        <w:gridCol w:w="36"/>
        <w:gridCol w:w="36"/>
        <w:gridCol w:w="36"/>
        <w:gridCol w:w="36"/>
        <w:gridCol w:w="722"/>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699"/>
        <w:gridCol w:w="36"/>
      </w:tblGrid>
      <w:tr w:rsidR="00000000">
        <w:trPr>
          <w:divId w:val="483591876"/>
          <w:jc w:val="center"/>
        </w:trPr>
        <w:tc>
          <w:tcPr>
            <w:tcW w:w="50" w:type="pct"/>
            <w:vAlign w:val="center"/>
            <w:hideMark/>
          </w:tcPr>
          <w:p w:rsidR="00000000" w:rsidRDefault="00AF3814">
            <w:pPr>
              <w:jc w:val="center"/>
              <w:rPr>
                <w:rFonts w:eastAsia="Times New Roman"/>
              </w:rPr>
            </w:pPr>
          </w:p>
        </w:tc>
        <w:tc>
          <w:tcPr>
            <w:tcW w:w="10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5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83591876"/>
          <w:trHeight w:val="6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83591876"/>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36" w:type="pct"/>
        <w:jc w:val="center"/>
        <w:tblCellMar>
          <w:top w:w="15" w:type="dxa"/>
          <w:left w:w="15" w:type="dxa"/>
          <w:bottom w:w="15" w:type="dxa"/>
          <w:right w:w="15" w:type="dxa"/>
        </w:tblCellMar>
        <w:tblLook w:val="04A0" w:firstRow="1" w:lastRow="0" w:firstColumn="1" w:lastColumn="0" w:noHBand="0" w:noVBand="1"/>
      </w:tblPr>
      <w:tblGrid>
        <w:gridCol w:w="144"/>
        <w:gridCol w:w="144"/>
        <w:gridCol w:w="144"/>
      </w:tblGrid>
      <w:tr w:rsidR="00000000">
        <w:trPr>
          <w:jc w:val="center"/>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p w:rsidR="00000000" w:rsidRDefault="00AF3814">
      <w:pPr>
        <w:jc w:val="center"/>
        <w:divId w:val="69156806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22451902"/>
          <w:jc w:val="center"/>
        </w:trPr>
        <w:tc>
          <w:tcPr>
            <w:tcW w:w="50" w:type="pct"/>
            <w:vAlign w:val="center"/>
            <w:hideMark/>
          </w:tcPr>
          <w:p w:rsidR="00000000" w:rsidRDefault="00AF3814">
            <w:pPr>
              <w:jc w:val="cente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22451902"/>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922451902"/>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109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34" style="width:0;height:1.5pt" o:hralign="center" o:hrstd="t" o:hr="t" fillcolor="#a0a0a0" stroked="f"/>
        </w:pict>
      </w:r>
    </w:p>
    <w:p w:rsidR="00000000" w:rsidRDefault="00AF3814">
      <w:pPr>
        <w:jc w:val="both"/>
        <w:divId w:val="1295909231"/>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29590923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04859618"/>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80485961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9—STOCKHOLDERS’ EQUITY</w:t>
            </w:r>
          </w:p>
        </w:tc>
      </w:tr>
    </w:tbl>
    <w:p w:rsidR="00000000" w:rsidRDefault="00AF3814">
      <w:pPr>
        <w:divId w:val="646327972"/>
        <w:rPr>
          <w:rFonts w:eastAsia="Times New Roman"/>
        </w:rPr>
      </w:pPr>
      <w:r>
        <w:rPr>
          <w:rFonts w:eastAsia="Times New Roman"/>
          <w:b/>
          <w:bCs/>
          <w:color w:val="000000"/>
          <w:sz w:val="20"/>
          <w:szCs w:val="20"/>
        </w:rPr>
        <w:t>Preferred Stock</w:t>
      </w:r>
    </w:p>
    <w:p w:rsidR="00000000" w:rsidRDefault="00AF3814">
      <w:pPr>
        <w:jc w:val="both"/>
        <w:divId w:val="1534422905"/>
        <w:rPr>
          <w:rFonts w:eastAsia="Times New Roman"/>
        </w:rPr>
      </w:pPr>
      <w:r>
        <w:rPr>
          <w:rFonts w:eastAsia="Times New Roman"/>
          <w:color w:val="000000"/>
          <w:sz w:val="20"/>
          <w:szCs w:val="20"/>
        </w:rPr>
        <w:t>The following table summarizes our preferred stock outstanding as of June 30, 2021 and December 31, 2020.</w:t>
      </w:r>
    </w:p>
    <w:p w:rsidR="00000000" w:rsidRDefault="00AF3814">
      <w:pPr>
        <w:divId w:val="194002513"/>
        <w:rPr>
          <w:rFonts w:eastAsia="Times New Roman"/>
        </w:rPr>
      </w:pPr>
      <w:r>
        <w:rPr>
          <w:rFonts w:eastAsia="Times New Roman"/>
          <w:b/>
          <w:bCs/>
          <w:color w:val="000000"/>
          <w:sz w:val="18"/>
          <w:szCs w:val="18"/>
        </w:rPr>
        <w:t>Table 9.1: Preferred Stock Outstandin</w:t>
      </w:r>
      <w:r>
        <w:rPr>
          <w:rFonts w:eastAsia="Times New Roman"/>
          <w:b/>
          <w:bCs/>
          <w:color w:val="000000"/>
          <w:sz w:val="18"/>
          <w:szCs w:val="18"/>
        </w:rPr>
        <w:t>g</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66"/>
        <w:gridCol w:w="403"/>
        <w:gridCol w:w="36"/>
        <w:gridCol w:w="36"/>
        <w:gridCol w:w="36"/>
        <w:gridCol w:w="36"/>
        <w:gridCol w:w="81"/>
        <w:gridCol w:w="698"/>
        <w:gridCol w:w="36"/>
        <w:gridCol w:w="36"/>
        <w:gridCol w:w="36"/>
        <w:gridCol w:w="36"/>
        <w:gridCol w:w="78"/>
        <w:gridCol w:w="631"/>
        <w:gridCol w:w="37"/>
        <w:gridCol w:w="36"/>
        <w:gridCol w:w="36"/>
        <w:gridCol w:w="36"/>
        <w:gridCol w:w="77"/>
        <w:gridCol w:w="687"/>
        <w:gridCol w:w="36"/>
        <w:gridCol w:w="36"/>
        <w:gridCol w:w="36"/>
        <w:gridCol w:w="36"/>
        <w:gridCol w:w="62"/>
        <w:gridCol w:w="720"/>
        <w:gridCol w:w="38"/>
        <w:gridCol w:w="36"/>
        <w:gridCol w:w="36"/>
        <w:gridCol w:w="36"/>
        <w:gridCol w:w="86"/>
        <w:gridCol w:w="641"/>
        <w:gridCol w:w="37"/>
        <w:gridCol w:w="36"/>
        <w:gridCol w:w="36"/>
        <w:gridCol w:w="36"/>
        <w:gridCol w:w="101"/>
        <w:gridCol w:w="654"/>
        <w:gridCol w:w="36"/>
        <w:gridCol w:w="36"/>
        <w:gridCol w:w="36"/>
        <w:gridCol w:w="36"/>
        <w:gridCol w:w="86"/>
        <w:gridCol w:w="693"/>
        <w:gridCol w:w="36"/>
        <w:gridCol w:w="36"/>
        <w:gridCol w:w="36"/>
        <w:gridCol w:w="36"/>
        <w:gridCol w:w="100"/>
        <w:gridCol w:w="412"/>
        <w:gridCol w:w="36"/>
        <w:gridCol w:w="36"/>
        <w:gridCol w:w="36"/>
        <w:gridCol w:w="36"/>
        <w:gridCol w:w="101"/>
        <w:gridCol w:w="593"/>
        <w:gridCol w:w="36"/>
      </w:tblGrid>
      <w:tr w:rsidR="00000000">
        <w:trPr>
          <w:divId w:val="1702364573"/>
        </w:trPr>
        <w:tc>
          <w:tcPr>
            <w:tcW w:w="50" w:type="pct"/>
            <w:vAlign w:val="center"/>
            <w:hideMark/>
          </w:tcPr>
          <w:p w:rsidR="00000000" w:rsidRDefault="00AF3814">
            <w:pPr>
              <w:rPr>
                <w:rFonts w:eastAsia="Times New Roman"/>
              </w:rPr>
            </w:pPr>
          </w:p>
        </w:tc>
        <w:tc>
          <w:tcPr>
            <w:tcW w:w="28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8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1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9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702364573"/>
          <w:trHeight w:val="36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Redeemable by Issuer Beginning</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Per Annum Dividend Rate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Dividend Frequency</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Liquidation Preference per Share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Total Shares Outstanding</w:t>
            </w:r>
            <w:r>
              <w:rPr>
                <w:rFonts w:eastAsia="Times New Roman"/>
                <w:b/>
                <w:bCs/>
                <w:color w:val="000000"/>
                <w:sz w:val="14"/>
                <w:szCs w:val="14"/>
              </w:rPr>
              <w:br/>
              <w:t xml:space="preserve">as of </w:t>
            </w:r>
            <w:r>
              <w:rPr>
                <w:rFonts w:eastAsia="Times New Roman"/>
                <w:b/>
                <w:bCs/>
                <w:color w:val="000000"/>
                <w:sz w:val="14"/>
                <w:szCs w:val="14"/>
              </w:rPr>
              <w:br/>
              <w:t>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 xml:space="preserve">Carrying Value </w:t>
            </w:r>
            <w:r>
              <w:rPr>
                <w:rFonts w:eastAsia="Times New Roman"/>
                <w:b/>
                <w:bCs/>
                <w:color w:val="000000"/>
                <w:sz w:val="14"/>
                <w:szCs w:val="14"/>
              </w:rPr>
              <w:br/>
              <w:t>(in millions)</w:t>
            </w:r>
          </w:p>
        </w:tc>
      </w:tr>
      <w:tr w:rsidR="00000000">
        <w:trPr>
          <w:divId w:val="1702364573"/>
          <w:trHeight w:val="400"/>
        </w:trPr>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Series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Description</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Issuance Date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June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December 31, 2020</w:t>
            </w:r>
          </w:p>
        </w:tc>
      </w:tr>
      <w:tr w:rsidR="00AF3814">
        <w:trPr>
          <w:divId w:val="170236457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Series 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Fixed-to-Floating Rate</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May 14, 2015</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June 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 xml:space="preserve">5.550% through 5/31/2020; </w:t>
            </w:r>
          </w:p>
          <w:p w:rsidR="00000000" w:rsidRDefault="00AF3814">
            <w:pPr>
              <w:spacing w:after="100"/>
              <w:jc w:val="center"/>
              <w:rPr>
                <w:rFonts w:eastAsia="Times New Roman"/>
              </w:rPr>
            </w:pPr>
            <w:r>
              <w:rPr>
                <w:rFonts w:eastAsia="Times New Roman"/>
                <w:color w:val="000000"/>
                <w:sz w:val="16"/>
                <w:szCs w:val="16"/>
              </w:rPr>
              <w:t>3-mo. LIBOR + 380 bps thereafter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Semi-Annually through 5/31/2020;</w:t>
            </w:r>
            <w:r>
              <w:rPr>
                <w:rFonts w:eastAsia="Times New Roman"/>
                <w:color w:val="000000"/>
                <w:sz w:val="16"/>
                <w:szCs w:val="16"/>
              </w:rPr>
              <w:br/>
              <w:t>Quarterly thereafter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36457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Series 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5.200%</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July 29, 2016</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December 1,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5.200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583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583 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364573"/>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Series H</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 xml:space="preserve">6.000%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November 29, 2016</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December 1,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6.000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500,000 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483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483 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36457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Series I</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 xml:space="preserve">5.000% </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September 11, 2019</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December 1, 2024</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5.000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1,500,000 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1,462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1,462 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364573"/>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Series J</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 xml:space="preserve">4.800%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January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June 1, 2025</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4.800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1,250,000 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1,209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1,209 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36457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Series 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4.625%</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September 17,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December 1, 2025</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4.625</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125,000 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122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122 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364573"/>
        </w:trPr>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Series 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4.375%</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May 4,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4.375</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675,000 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653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364573"/>
        </w:trPr>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16"/>
                <w:szCs w:val="16"/>
              </w:rPr>
              <w:t>Series M</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3.950% Fixed Rate Reset</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June 10, 2021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3.950</w:t>
            </w:r>
            <w:r>
              <w:rPr>
                <w:rFonts w:eastAsia="Times New Roman"/>
                <w:color w:val="000000"/>
                <w:sz w:val="16"/>
                <w:szCs w:val="16"/>
              </w:rPr>
              <w:t>% through 8/31/2026; resets 9/1/2026 and every subsequent 5 year anniversary at 5-Year Treasury +3.157%</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1,000,000 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702364573"/>
        </w:trPr>
        <w:tc>
          <w:tcPr>
            <w:tcW w:w="0" w:type="auto"/>
            <w:gridSpan w:val="45"/>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6"/>
                <w:szCs w:val="16"/>
              </w:rPr>
              <w:t>6,488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6"/>
                <w:szCs w:val="16"/>
              </w:rPr>
              <w:t>4,847 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1619138608"/>
        <w:rPr>
          <w:rFonts w:eastAsia="Times New Roman"/>
        </w:rPr>
      </w:pPr>
      <w:r>
        <w:rPr>
          <w:rFonts w:eastAsia="Times New Roman"/>
          <w:color w:val="000000"/>
          <w:sz w:val="20"/>
          <w:szCs w:val="20"/>
        </w:rPr>
        <w:t>__________</w:t>
      </w:r>
    </w:p>
    <w:p w:rsidR="00000000" w:rsidRDefault="00AF3814">
      <w:pPr>
        <w:ind w:hanging="360"/>
        <w:jc w:val="both"/>
        <w:divId w:val="201098086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Except for Series E and Series</w:t>
      </w:r>
      <w:r>
        <w:rPr>
          <w:rFonts w:eastAsia="Times New Roman"/>
          <w:color w:val="000000"/>
          <w:sz w:val="16"/>
          <w:szCs w:val="16"/>
          <w:shd w:val="clear" w:color="auto" w:fill="FFFFFF"/>
        </w:rPr>
        <w:t xml:space="preserve"> M</w:t>
      </w:r>
      <w:r>
        <w:rPr>
          <w:rFonts w:eastAsia="Times New Roman"/>
          <w:color w:val="000000"/>
          <w:sz w:val="16"/>
          <w:szCs w:val="16"/>
        </w:rPr>
        <w:t>, ownership is held in the form of depositary shares, each representing a 1/40th interest in a share of fixed-rate non-cumulative perpetual preferred stock.</w:t>
      </w:r>
    </w:p>
    <w:p w:rsidR="00000000" w:rsidRDefault="00AF3814">
      <w:pPr>
        <w:divId w:val="122122617"/>
        <w:rPr>
          <w:rFonts w:eastAsia="Times New Roman"/>
        </w:rPr>
      </w:pPr>
      <w:r>
        <w:rPr>
          <w:rFonts w:eastAsia="Times New Roman"/>
          <w:b/>
          <w:bCs/>
          <w:color w:val="000000"/>
          <w:sz w:val="20"/>
          <w:szCs w:val="20"/>
        </w:rPr>
        <w:t>Accumulated Other Comprehensive Income</w:t>
      </w:r>
    </w:p>
    <w:p w:rsidR="00000000" w:rsidRDefault="00AF3814">
      <w:pPr>
        <w:jc w:val="both"/>
        <w:divId w:val="1457679933"/>
        <w:rPr>
          <w:rFonts w:eastAsia="Times New Roman"/>
        </w:rPr>
      </w:pPr>
      <w:r>
        <w:rPr>
          <w:rFonts w:eastAsia="Times New Roman"/>
          <w:color w:val="000000"/>
          <w:sz w:val="20"/>
          <w:szCs w:val="20"/>
        </w:rPr>
        <w:t xml:space="preserve">AOCI primarily consists of accumulated net unrealized gains </w:t>
      </w:r>
      <w:r>
        <w:rPr>
          <w:rFonts w:eastAsia="Times New Roman"/>
          <w:color w:val="000000"/>
          <w:sz w:val="20"/>
          <w:szCs w:val="20"/>
        </w:rPr>
        <w:t>or losses associated with securities available for sale, changes in fair value of derivatives in hedging relationships, and foreign currency translation adjustments.</w:t>
      </w:r>
    </w:p>
    <w:p w:rsidR="00000000" w:rsidRDefault="00AF3814">
      <w:pPr>
        <w:jc w:val="both"/>
        <w:divId w:val="895433196"/>
        <w:rPr>
          <w:rFonts w:eastAsia="Times New Roman"/>
        </w:rPr>
      </w:pPr>
      <w:r>
        <w:rPr>
          <w:rFonts w:eastAsia="Times New Roman"/>
          <w:color w:val="000000"/>
          <w:sz w:val="20"/>
          <w:szCs w:val="20"/>
        </w:rPr>
        <w:t>The following table includes the AOCI impacts from the adoption of the CECL standard and t</w:t>
      </w:r>
      <w:r>
        <w:rPr>
          <w:rFonts w:eastAsia="Times New Roman"/>
          <w:color w:val="000000"/>
          <w:sz w:val="20"/>
          <w:szCs w:val="20"/>
        </w:rPr>
        <w:t xml:space="preserve">he changes in AOCI by component for the three and six months ended June 30, 2021 and 2020. </w:t>
      </w:r>
    </w:p>
    <w:p w:rsidR="00000000" w:rsidRDefault="00AF3814">
      <w:pPr>
        <w:jc w:val="both"/>
        <w:divId w:val="910432508"/>
        <w:rPr>
          <w:rFonts w:eastAsia="Times New Roman"/>
        </w:rPr>
      </w:pPr>
    </w:p>
    <w:p w:rsidR="00000000" w:rsidRDefault="00AF3814">
      <w:pPr>
        <w:jc w:val="both"/>
        <w:divId w:val="364404216"/>
        <w:rPr>
          <w:rFonts w:eastAsia="Times New Roman"/>
        </w:rPr>
      </w:pPr>
    </w:p>
    <w:p w:rsidR="00000000" w:rsidRDefault="00AF3814">
      <w:pPr>
        <w:jc w:val="both"/>
        <w:divId w:val="661154216"/>
        <w:rPr>
          <w:rFonts w:eastAsia="Times New Roman"/>
        </w:rPr>
      </w:pPr>
    </w:p>
    <w:p w:rsidR="00000000" w:rsidRDefault="00AF3814">
      <w:pPr>
        <w:jc w:val="both"/>
        <w:divId w:val="189708444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46555453"/>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846555453"/>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846555453"/>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35" style="width:0;height:1.5pt" o:hralign="center" o:hrstd="t" o:hr="t" fillcolor="#a0a0a0" stroked="f"/>
        </w:pict>
      </w:r>
    </w:p>
    <w:p w:rsidR="00000000" w:rsidRDefault="00AF3814">
      <w:pPr>
        <w:jc w:val="both"/>
        <w:divId w:val="1608780438"/>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608780438"/>
        <w:rPr>
          <w:rFonts w:eastAsia="Times New Roman"/>
        </w:rPr>
      </w:pPr>
    </w:p>
    <w:p w:rsidR="00000000" w:rsidRDefault="00AF3814">
      <w:pPr>
        <w:jc w:val="both"/>
        <w:divId w:val="473528347"/>
        <w:rPr>
          <w:rFonts w:eastAsia="Times New Roman"/>
        </w:rPr>
      </w:pPr>
    </w:p>
    <w:p w:rsidR="00000000" w:rsidRDefault="00AF3814">
      <w:pPr>
        <w:divId w:val="1536426497"/>
        <w:rPr>
          <w:rFonts w:eastAsia="Times New Roman"/>
        </w:rPr>
      </w:pPr>
      <w:r>
        <w:rPr>
          <w:rFonts w:eastAsia="Times New Roman"/>
          <w:b/>
          <w:bCs/>
          <w:color w:val="000000"/>
          <w:sz w:val="18"/>
          <w:szCs w:val="18"/>
        </w:rPr>
        <w:t>Table 9.2: AOCI</w:t>
      </w:r>
    </w:p>
    <w:tbl>
      <w:tblPr>
        <w:tblW w:w="4985" w:type="pct"/>
        <w:tblCellMar>
          <w:top w:w="15" w:type="dxa"/>
          <w:left w:w="15" w:type="dxa"/>
          <w:bottom w:w="15" w:type="dxa"/>
          <w:right w:w="15" w:type="dxa"/>
        </w:tblCellMar>
        <w:tblLook w:val="04A0" w:firstRow="1" w:lastRow="0" w:firstColumn="1" w:lastColumn="0" w:noHBand="0" w:noVBand="1"/>
      </w:tblPr>
      <w:tblGrid>
        <w:gridCol w:w="38"/>
        <w:gridCol w:w="3652"/>
        <w:gridCol w:w="37"/>
        <w:gridCol w:w="36"/>
        <w:gridCol w:w="36"/>
        <w:gridCol w:w="36"/>
        <w:gridCol w:w="111"/>
        <w:gridCol w:w="624"/>
        <w:gridCol w:w="36"/>
        <w:gridCol w:w="36"/>
        <w:gridCol w:w="36"/>
        <w:gridCol w:w="36"/>
        <w:gridCol w:w="111"/>
        <w:gridCol w:w="980"/>
        <w:gridCol w:w="36"/>
        <w:gridCol w:w="36"/>
        <w:gridCol w:w="36"/>
        <w:gridCol w:w="36"/>
        <w:gridCol w:w="111"/>
        <w:gridCol w:w="927"/>
        <w:gridCol w:w="36"/>
        <w:gridCol w:w="36"/>
        <w:gridCol w:w="36"/>
        <w:gridCol w:w="36"/>
        <w:gridCol w:w="110"/>
        <w:gridCol w:w="300"/>
        <w:gridCol w:w="36"/>
        <w:gridCol w:w="36"/>
        <w:gridCol w:w="36"/>
        <w:gridCol w:w="36"/>
        <w:gridCol w:w="110"/>
        <w:gridCol w:w="450"/>
        <w:gridCol w:w="36"/>
      </w:tblGrid>
      <w:tr w:rsidR="00000000">
        <w:trPr>
          <w:divId w:val="587152164"/>
        </w:trPr>
        <w:tc>
          <w:tcPr>
            <w:tcW w:w="50" w:type="pct"/>
            <w:vAlign w:val="center"/>
            <w:hideMark/>
          </w:tcPr>
          <w:p w:rsidR="00000000" w:rsidRDefault="00AF3814">
            <w:pPr>
              <w:rPr>
                <w:rFonts w:eastAsia="Times New Roman"/>
              </w:rPr>
            </w:pPr>
          </w:p>
        </w:tc>
        <w:tc>
          <w:tcPr>
            <w:tcW w:w="23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3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0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587152164"/>
        </w:trPr>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587152164"/>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2021</w:t>
            </w:r>
          </w:p>
        </w:tc>
      </w:tr>
      <w:tr w:rsidR="00000000">
        <w:trPr>
          <w:divId w:val="587152164"/>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58715216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AOCI as of March 31,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58715216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58715216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58715216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58715216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AOCI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867"/>
        <w:gridCol w:w="144"/>
        <w:gridCol w:w="144"/>
        <w:gridCol w:w="144"/>
        <w:gridCol w:w="144"/>
        <w:gridCol w:w="144"/>
        <w:gridCol w:w="684"/>
        <w:gridCol w:w="144"/>
        <w:gridCol w:w="144"/>
        <w:gridCol w:w="144"/>
        <w:gridCol w:w="144"/>
        <w:gridCol w:w="144"/>
        <w:gridCol w:w="878"/>
        <w:gridCol w:w="144"/>
        <w:gridCol w:w="144"/>
        <w:gridCol w:w="144"/>
        <w:gridCol w:w="144"/>
        <w:gridCol w:w="144"/>
        <w:gridCol w:w="842"/>
        <w:gridCol w:w="144"/>
        <w:gridCol w:w="144"/>
        <w:gridCol w:w="144"/>
        <w:gridCol w:w="144"/>
        <w:gridCol w:w="144"/>
        <w:gridCol w:w="588"/>
        <w:gridCol w:w="144"/>
        <w:gridCol w:w="144"/>
        <w:gridCol w:w="144"/>
        <w:gridCol w:w="144"/>
        <w:gridCol w:w="144"/>
        <w:gridCol w:w="588"/>
        <w:gridCol w:w="144"/>
      </w:tblGrid>
      <w:tr w:rsidR="00000000">
        <w:tc>
          <w:tcPr>
            <w:tcW w:w="50" w:type="pct"/>
            <w:vAlign w:val="center"/>
            <w:hideMark/>
          </w:tcPr>
          <w:p w:rsidR="00000000" w:rsidRDefault="00AF3814">
            <w:pPr>
              <w:jc w:val="both"/>
              <w:rPr>
                <w:rFonts w:eastAsia="Times New Roman"/>
              </w:rPr>
            </w:pPr>
          </w:p>
        </w:tc>
        <w:tc>
          <w:tcPr>
            <w:tcW w:w="232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0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2021</w:t>
            </w: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AOCI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(1,094)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(1,211)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(487)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(1,097)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(632)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(1,702)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AOCI as of June 30, 2021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both"/>
        <w:divId w:val="640228009"/>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3652"/>
        <w:gridCol w:w="37"/>
        <w:gridCol w:w="36"/>
        <w:gridCol w:w="36"/>
        <w:gridCol w:w="36"/>
        <w:gridCol w:w="111"/>
        <w:gridCol w:w="624"/>
        <w:gridCol w:w="36"/>
        <w:gridCol w:w="36"/>
        <w:gridCol w:w="36"/>
        <w:gridCol w:w="36"/>
        <w:gridCol w:w="111"/>
        <w:gridCol w:w="980"/>
        <w:gridCol w:w="36"/>
        <w:gridCol w:w="36"/>
        <w:gridCol w:w="36"/>
        <w:gridCol w:w="36"/>
        <w:gridCol w:w="111"/>
        <w:gridCol w:w="927"/>
        <w:gridCol w:w="36"/>
        <w:gridCol w:w="36"/>
        <w:gridCol w:w="36"/>
        <w:gridCol w:w="36"/>
        <w:gridCol w:w="110"/>
        <w:gridCol w:w="300"/>
        <w:gridCol w:w="36"/>
        <w:gridCol w:w="36"/>
        <w:gridCol w:w="36"/>
        <w:gridCol w:w="36"/>
        <w:gridCol w:w="110"/>
        <w:gridCol w:w="450"/>
        <w:gridCol w:w="36"/>
      </w:tblGrid>
      <w:tr w:rsidR="00000000">
        <w:trPr>
          <w:divId w:val="640228009"/>
        </w:trPr>
        <w:tc>
          <w:tcPr>
            <w:tcW w:w="50" w:type="pct"/>
            <w:vAlign w:val="center"/>
            <w:hideMark/>
          </w:tcPr>
          <w:p w:rsidR="00000000" w:rsidRDefault="00AF3814">
            <w:pPr>
              <w:jc w:val="both"/>
              <w:rPr>
                <w:rFonts w:eastAsia="Times New Roman"/>
              </w:rPr>
            </w:pPr>
          </w:p>
        </w:tc>
        <w:tc>
          <w:tcPr>
            <w:tcW w:w="23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3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0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640228009"/>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2020</w:t>
            </w:r>
          </w:p>
        </w:tc>
      </w:tr>
      <w:tr w:rsidR="00000000">
        <w:trPr>
          <w:divId w:val="640228009"/>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6402280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AOCI as of March 31,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4022800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4022800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4022800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comprehensive income,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4022800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AOCI as of June 30, 2020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3842"/>
        <w:gridCol w:w="144"/>
        <w:gridCol w:w="144"/>
        <w:gridCol w:w="144"/>
        <w:gridCol w:w="144"/>
        <w:gridCol w:w="144"/>
        <w:gridCol w:w="685"/>
        <w:gridCol w:w="144"/>
        <w:gridCol w:w="144"/>
        <w:gridCol w:w="144"/>
        <w:gridCol w:w="144"/>
        <w:gridCol w:w="144"/>
        <w:gridCol w:w="879"/>
        <w:gridCol w:w="144"/>
        <w:gridCol w:w="144"/>
        <w:gridCol w:w="144"/>
        <w:gridCol w:w="144"/>
        <w:gridCol w:w="144"/>
        <w:gridCol w:w="843"/>
        <w:gridCol w:w="144"/>
        <w:gridCol w:w="144"/>
        <w:gridCol w:w="144"/>
        <w:gridCol w:w="144"/>
        <w:gridCol w:w="144"/>
        <w:gridCol w:w="587"/>
        <w:gridCol w:w="144"/>
        <w:gridCol w:w="144"/>
        <w:gridCol w:w="144"/>
        <w:gridCol w:w="144"/>
        <w:gridCol w:w="144"/>
        <w:gridCol w:w="587"/>
        <w:gridCol w:w="144"/>
      </w:tblGrid>
      <w:tr w:rsidR="00000000">
        <w:tc>
          <w:tcPr>
            <w:tcW w:w="50" w:type="pct"/>
            <w:vAlign w:val="center"/>
            <w:hideMark/>
          </w:tcPr>
          <w:p w:rsidR="00000000" w:rsidRDefault="00AF3814">
            <w:pPr>
              <w:jc w:val="both"/>
              <w:rPr>
                <w:rFonts w:eastAsia="Times New Roman"/>
              </w:rPr>
            </w:pPr>
          </w:p>
        </w:tc>
        <w:tc>
          <w:tcPr>
            <w:tcW w:w="232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3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0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2020</w:t>
            </w: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AOCI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Cumulative effects from the adoption of the CECL standard</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1,446 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1,635 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AOCI as of June 30, 2020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294216047"/>
        <w:rPr>
          <w:rFonts w:eastAsia="Times New Roman"/>
        </w:rPr>
      </w:pPr>
      <w:r>
        <w:rPr>
          <w:rFonts w:eastAsia="Times New Roman"/>
          <w:color w:val="000000"/>
          <w:sz w:val="20"/>
          <w:szCs w:val="20"/>
        </w:rPr>
        <w:t>__________</w:t>
      </w:r>
    </w:p>
    <w:p w:rsidR="00000000" w:rsidRDefault="00AF3814">
      <w:pPr>
        <w:ind w:hanging="360"/>
        <w:jc w:val="both"/>
        <w:divId w:val="30640300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amounts related to cash flow hedges as well as the excluded component of cross-currency swaps designated as fair value hedges.</w:t>
      </w:r>
    </w:p>
    <w:p w:rsidR="00000000" w:rsidRDefault="00AF3814">
      <w:pPr>
        <w:ind w:hanging="360"/>
        <w:jc w:val="both"/>
        <w:divId w:val="181471073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other comprehensive loss of $13 million and $34 million for the three and six months ended June 30, 2021,</w:t>
      </w:r>
      <w:r>
        <w:rPr>
          <w:rFonts w:eastAsia="Times New Roman"/>
          <w:color w:val="000000"/>
          <w:sz w:val="16"/>
          <w:szCs w:val="16"/>
        </w:rPr>
        <w:t xml:space="preserve"> respectively, and other comprehensive loss of $8 million and gain of $134 million for the three and six months ended June 30, 2020, respectively, from hedging instruments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20303045"/>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2030304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2030304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36" style="width:0;height:1.5pt" o:hralign="center" o:hrstd="t" o:hr="t" fillcolor="#a0a0a0" stroked="f"/>
        </w:pict>
      </w:r>
    </w:p>
    <w:p w:rsidR="00000000" w:rsidRDefault="00AF3814">
      <w:pPr>
        <w:jc w:val="both"/>
        <w:divId w:val="120876313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208763139"/>
        <w:rPr>
          <w:rFonts w:eastAsia="Times New Roman"/>
        </w:rPr>
      </w:pPr>
    </w:p>
    <w:p w:rsidR="00000000" w:rsidRDefault="00AF3814">
      <w:pPr>
        <w:jc w:val="both"/>
        <w:divId w:val="1691494826"/>
        <w:rPr>
          <w:rFonts w:eastAsia="Times New Roman"/>
        </w:rPr>
      </w:pPr>
      <w:r>
        <w:rPr>
          <w:rFonts w:eastAsia="Times New Roman"/>
          <w:color w:val="000000"/>
          <w:sz w:val="20"/>
          <w:szCs w:val="20"/>
        </w:rPr>
        <w:t xml:space="preserve">The following table presents amounts reclassified from each component of AOCI to our consolidated statements of income for the three and six </w:t>
      </w:r>
      <w:r>
        <w:rPr>
          <w:rFonts w:eastAsia="Times New Roman"/>
          <w:color w:val="000000"/>
          <w:sz w:val="20"/>
          <w:szCs w:val="20"/>
        </w:rPr>
        <w:t>months ended June 30, 2021 and 2020.</w:t>
      </w:r>
    </w:p>
    <w:p w:rsidR="00000000" w:rsidRDefault="00AF3814">
      <w:pPr>
        <w:divId w:val="79838263"/>
        <w:rPr>
          <w:rFonts w:eastAsia="Times New Roman"/>
        </w:rPr>
      </w:pPr>
      <w:r>
        <w:rPr>
          <w:rFonts w:eastAsia="Times New Roman"/>
          <w:b/>
          <w:bCs/>
          <w:color w:val="000000"/>
          <w:sz w:val="18"/>
          <w:szCs w:val="18"/>
        </w:rPr>
        <w:t>Table 9.3: Reclassifications from AOCI</w:t>
      </w:r>
    </w:p>
    <w:tbl>
      <w:tblPr>
        <w:tblW w:w="4978" w:type="pct"/>
        <w:tblCellMar>
          <w:top w:w="15" w:type="dxa"/>
          <w:left w:w="15" w:type="dxa"/>
          <w:bottom w:w="15" w:type="dxa"/>
          <w:right w:w="15" w:type="dxa"/>
        </w:tblCellMar>
        <w:tblLook w:val="04A0" w:firstRow="1" w:lastRow="0" w:firstColumn="1" w:lastColumn="0" w:noHBand="0" w:noVBand="1"/>
      </w:tblPr>
      <w:tblGrid>
        <w:gridCol w:w="45"/>
        <w:gridCol w:w="1816"/>
        <w:gridCol w:w="38"/>
        <w:gridCol w:w="36"/>
        <w:gridCol w:w="36"/>
        <w:gridCol w:w="36"/>
        <w:gridCol w:w="91"/>
        <w:gridCol w:w="2509"/>
        <w:gridCol w:w="36"/>
        <w:gridCol w:w="36"/>
        <w:gridCol w:w="36"/>
        <w:gridCol w:w="36"/>
        <w:gridCol w:w="110"/>
        <w:gridCol w:w="585"/>
        <w:gridCol w:w="36"/>
        <w:gridCol w:w="36"/>
        <w:gridCol w:w="36"/>
        <w:gridCol w:w="36"/>
        <w:gridCol w:w="110"/>
        <w:gridCol w:w="650"/>
        <w:gridCol w:w="36"/>
        <w:gridCol w:w="36"/>
        <w:gridCol w:w="36"/>
        <w:gridCol w:w="36"/>
        <w:gridCol w:w="110"/>
        <w:gridCol w:w="650"/>
        <w:gridCol w:w="36"/>
        <w:gridCol w:w="36"/>
        <w:gridCol w:w="36"/>
        <w:gridCol w:w="36"/>
        <w:gridCol w:w="110"/>
        <w:gridCol w:w="653"/>
        <w:gridCol w:w="36"/>
        <w:gridCol w:w="36"/>
        <w:gridCol w:w="36"/>
      </w:tblGrid>
      <w:tr w:rsidR="00000000">
        <w:trPr>
          <w:divId w:val="368143697"/>
        </w:trPr>
        <w:tc>
          <w:tcPr>
            <w:tcW w:w="50" w:type="pct"/>
            <w:vAlign w:val="center"/>
            <w:hideMark/>
          </w:tcPr>
          <w:p w:rsidR="00000000" w:rsidRDefault="00AF3814">
            <w:pPr>
              <w:rPr>
                <w:rFonts w:eastAsia="Times New Roman"/>
              </w:rPr>
            </w:pPr>
          </w:p>
        </w:tc>
        <w:tc>
          <w:tcPr>
            <w:tcW w:w="117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39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8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8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8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8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AOCI Components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Affected Income Statement Line Item</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Hedging relationships: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168 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64 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 and non-interest expense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 xml:space="preserve">Net income </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68143697"/>
        </w:trPr>
        <w:tc>
          <w:tcPr>
            <w:tcW w:w="0" w:type="auto"/>
            <w:gridSpan w:val="9"/>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reclassifications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ind w:hanging="360"/>
        <w:jc w:val="both"/>
        <w:divId w:val="187815858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41243383"/>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041243383"/>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041243383"/>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37" style="width:0;height:1.5pt" o:hralign="center" o:hrstd="t" o:hr="t" fillcolor="#a0a0a0" stroked="f"/>
        </w:pict>
      </w:r>
    </w:p>
    <w:p w:rsidR="00000000" w:rsidRDefault="00AF3814">
      <w:pPr>
        <w:jc w:val="both"/>
        <w:divId w:val="1492481122"/>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both"/>
        <w:divId w:val="1138303225"/>
        <w:rPr>
          <w:rFonts w:eastAsia="Times New Roman"/>
        </w:rPr>
      </w:pPr>
      <w:r>
        <w:rPr>
          <w:rFonts w:eastAsia="Times New Roman"/>
          <w:color w:val="000000"/>
          <w:sz w:val="20"/>
          <w:szCs w:val="20"/>
        </w:rPr>
        <w:t>The table below summarizes other comprehensive income (loss) activity and the related tax impact for the three and six months ended June 30, 20</w:t>
      </w:r>
      <w:r>
        <w:rPr>
          <w:rFonts w:eastAsia="Times New Roman"/>
          <w:color w:val="000000"/>
          <w:sz w:val="20"/>
          <w:szCs w:val="20"/>
        </w:rPr>
        <w:t>21 and 2020.</w:t>
      </w:r>
    </w:p>
    <w:p w:rsidR="00000000" w:rsidRDefault="00AF3814">
      <w:pPr>
        <w:divId w:val="358625273"/>
        <w:rPr>
          <w:rFonts w:eastAsia="Times New Roman"/>
        </w:rPr>
      </w:pPr>
      <w:r>
        <w:rPr>
          <w:rFonts w:eastAsia="Times New Roman"/>
          <w:b/>
          <w:bCs/>
          <w:color w:val="000000"/>
          <w:sz w:val="18"/>
          <w:szCs w:val="18"/>
        </w:rPr>
        <w:t>Table 9.4: Other Comprehensive Income (Loss)</w:t>
      </w:r>
    </w:p>
    <w:tbl>
      <w:tblPr>
        <w:tblW w:w="4992" w:type="pct"/>
        <w:tblCellMar>
          <w:top w:w="15" w:type="dxa"/>
          <w:left w:w="15" w:type="dxa"/>
          <w:bottom w:w="15" w:type="dxa"/>
          <w:right w:w="15" w:type="dxa"/>
        </w:tblCellMar>
        <w:tblLook w:val="04A0" w:firstRow="1" w:lastRow="0" w:firstColumn="1" w:lastColumn="0" w:noHBand="0" w:noVBand="1"/>
      </w:tblPr>
      <w:tblGrid>
        <w:gridCol w:w="38"/>
        <w:gridCol w:w="3377"/>
        <w:gridCol w:w="37"/>
        <w:gridCol w:w="36"/>
        <w:gridCol w:w="36"/>
        <w:gridCol w:w="36"/>
        <w:gridCol w:w="111"/>
        <w:gridCol w:w="415"/>
        <w:gridCol w:w="36"/>
        <w:gridCol w:w="36"/>
        <w:gridCol w:w="36"/>
        <w:gridCol w:w="36"/>
        <w:gridCol w:w="111"/>
        <w:gridCol w:w="589"/>
        <w:gridCol w:w="36"/>
        <w:gridCol w:w="36"/>
        <w:gridCol w:w="36"/>
        <w:gridCol w:w="36"/>
        <w:gridCol w:w="111"/>
        <w:gridCol w:w="341"/>
        <w:gridCol w:w="36"/>
        <w:gridCol w:w="36"/>
        <w:gridCol w:w="36"/>
        <w:gridCol w:w="36"/>
        <w:gridCol w:w="111"/>
        <w:gridCol w:w="415"/>
        <w:gridCol w:w="36"/>
        <w:gridCol w:w="36"/>
        <w:gridCol w:w="36"/>
        <w:gridCol w:w="36"/>
        <w:gridCol w:w="111"/>
        <w:gridCol w:w="589"/>
        <w:gridCol w:w="36"/>
        <w:gridCol w:w="36"/>
        <w:gridCol w:w="36"/>
        <w:gridCol w:w="36"/>
        <w:gridCol w:w="110"/>
        <w:gridCol w:w="315"/>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375080167"/>
        </w:trPr>
        <w:tc>
          <w:tcPr>
            <w:tcW w:w="50" w:type="pct"/>
            <w:vAlign w:val="center"/>
            <w:hideMark/>
          </w:tcPr>
          <w:p w:rsidR="00000000" w:rsidRDefault="00AF3814">
            <w:pPr>
              <w:rPr>
                <w:rFonts w:eastAsia="Times New Roman"/>
              </w:rPr>
            </w:pPr>
          </w:p>
        </w:tc>
        <w:tc>
          <w:tcPr>
            <w:tcW w:w="258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2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2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75080167"/>
        </w:trPr>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7508016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7508016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37508016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vAlign w:val="center"/>
            <w:hideMark/>
          </w:tcPr>
          <w:p w:rsidR="00000000" w:rsidRDefault="00AF3814">
            <w:pPr>
              <w:spacing w:after="100"/>
              <w:jc w:val="center"/>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7508016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750801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unrealized gains on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750801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unrealized gains (losses) on hedging relationships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750801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110655038"/>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7508016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7508016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073"/>
        <w:gridCol w:w="37"/>
        <w:gridCol w:w="36"/>
        <w:gridCol w:w="36"/>
        <w:gridCol w:w="36"/>
        <w:gridCol w:w="110"/>
        <w:gridCol w:w="525"/>
        <w:gridCol w:w="36"/>
        <w:gridCol w:w="36"/>
        <w:gridCol w:w="36"/>
        <w:gridCol w:w="36"/>
        <w:gridCol w:w="111"/>
        <w:gridCol w:w="589"/>
        <w:gridCol w:w="36"/>
        <w:gridCol w:w="36"/>
        <w:gridCol w:w="36"/>
        <w:gridCol w:w="36"/>
        <w:gridCol w:w="110"/>
        <w:gridCol w:w="525"/>
        <w:gridCol w:w="36"/>
        <w:gridCol w:w="36"/>
        <w:gridCol w:w="36"/>
        <w:gridCol w:w="36"/>
        <w:gridCol w:w="110"/>
        <w:gridCol w:w="450"/>
        <w:gridCol w:w="36"/>
        <w:gridCol w:w="36"/>
        <w:gridCol w:w="36"/>
        <w:gridCol w:w="36"/>
        <w:gridCol w:w="111"/>
        <w:gridCol w:w="589"/>
        <w:gridCol w:w="36"/>
        <w:gridCol w:w="36"/>
        <w:gridCol w:w="36"/>
        <w:gridCol w:w="36"/>
        <w:gridCol w:w="110"/>
        <w:gridCol w:w="450"/>
        <w:gridCol w:w="36"/>
        <w:gridCol w:w="36"/>
        <w:gridCol w:w="36"/>
        <w:gridCol w:w="36"/>
        <w:gridCol w:w="36"/>
        <w:gridCol w:w="36"/>
        <w:gridCol w:w="36"/>
        <w:gridCol w:w="36"/>
        <w:gridCol w:w="36"/>
        <w:gridCol w:w="36"/>
        <w:gridCol w:w="36"/>
        <w:gridCol w:w="36"/>
        <w:gridCol w:w="36"/>
        <w:gridCol w:w="36"/>
        <w:gridCol w:w="36"/>
      </w:tblGrid>
      <w:tr w:rsidR="00000000">
        <w:tc>
          <w:tcPr>
            <w:tcW w:w="50" w:type="pct"/>
            <w:vAlign w:val="center"/>
            <w:hideMark/>
          </w:tcPr>
          <w:p w:rsidR="00000000" w:rsidRDefault="00AF3814">
            <w:pPr>
              <w:jc w:val="both"/>
              <w:rPr>
                <w:rFonts w:eastAsia="Times New Roman"/>
              </w:rPr>
            </w:pPr>
          </w:p>
        </w:tc>
        <w:tc>
          <w:tcPr>
            <w:tcW w:w="259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2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2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8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unrealized gains (losses) on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(1,446)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(1,097)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1,902 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456 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1,446 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unrealized gains (losses) on hedging relationships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(834)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(632)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1,884 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453 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1,431 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549759550"/>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(44)</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(562)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3,785 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952 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2,833 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both"/>
        <w:rPr>
          <w:rFonts w:eastAsia="Times New Roman"/>
        </w:rPr>
      </w:pPr>
      <w:r>
        <w:rPr>
          <w:rFonts w:eastAsia="Times New Roman"/>
          <w:color w:val="000000"/>
          <w:sz w:val="20"/>
          <w:szCs w:val="20"/>
        </w:rPr>
        <w:t>__________</w:t>
      </w:r>
    </w:p>
    <w:p w:rsidR="00000000" w:rsidRDefault="00AF3814">
      <w:pPr>
        <w:ind w:hanging="360"/>
        <w:jc w:val="both"/>
        <w:divId w:val="19111508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the impact of hedging instruments designated as net investment </w:t>
      </w:r>
      <w:r>
        <w:rPr>
          <w:rFonts w:eastAsia="Times New Roman"/>
          <w:color w:val="000000"/>
          <w:sz w:val="16"/>
          <w:szCs w:val="16"/>
        </w:rPr>
        <w:t>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52469440"/>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52469440"/>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5246944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38" style="width:0;height:1.5pt" o:hralign="center" o:hrstd="t" o:hr="t" fillcolor="#a0a0a0" stroked="f"/>
        </w:pict>
      </w:r>
    </w:p>
    <w:p w:rsidR="00000000" w:rsidRDefault="00AF3814">
      <w:pPr>
        <w:jc w:val="both"/>
        <w:divId w:val="335763906"/>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33576390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17012136"/>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1701213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10—EARNINGS PER COMMON SHARE</w:t>
            </w:r>
          </w:p>
        </w:tc>
      </w:tr>
    </w:tbl>
    <w:p w:rsidR="00000000" w:rsidRDefault="00AF3814">
      <w:pPr>
        <w:jc w:val="both"/>
        <w:divId w:val="1805467229"/>
        <w:rPr>
          <w:rFonts w:eastAsia="Times New Roman"/>
        </w:rPr>
      </w:pPr>
      <w:r>
        <w:rPr>
          <w:rFonts w:eastAsia="Times New Roman"/>
          <w:color w:val="000000"/>
          <w:sz w:val="20"/>
          <w:szCs w:val="20"/>
        </w:rPr>
        <w:t>The following table sets forth the computation of basic and diluted earnings per common share.</w:t>
      </w:r>
    </w:p>
    <w:p w:rsidR="00000000" w:rsidRDefault="00AF3814">
      <w:pPr>
        <w:divId w:val="536357243"/>
        <w:rPr>
          <w:rFonts w:eastAsia="Times New Roman"/>
        </w:rPr>
      </w:pPr>
      <w:r>
        <w:rPr>
          <w:rFonts w:eastAsia="Times New Roman"/>
          <w:b/>
          <w:bCs/>
          <w:color w:val="000000"/>
          <w:sz w:val="18"/>
          <w:szCs w:val="18"/>
        </w:rPr>
        <w:t>Table 10.1: Computation of Basic and Diluted Earnings per Common Share</w:t>
      </w:r>
    </w:p>
    <w:tbl>
      <w:tblPr>
        <w:tblW w:w="4992" w:type="pct"/>
        <w:tblCellMar>
          <w:top w:w="15" w:type="dxa"/>
          <w:left w:w="15" w:type="dxa"/>
          <w:bottom w:w="15" w:type="dxa"/>
          <w:right w:w="15" w:type="dxa"/>
        </w:tblCellMar>
        <w:tblLook w:val="04A0" w:firstRow="1" w:lastRow="0" w:firstColumn="1" w:lastColumn="0" w:noHBand="0" w:noVBand="1"/>
      </w:tblPr>
      <w:tblGrid>
        <w:gridCol w:w="40"/>
        <w:gridCol w:w="4236"/>
        <w:gridCol w:w="39"/>
        <w:gridCol w:w="36"/>
        <w:gridCol w:w="36"/>
        <w:gridCol w:w="36"/>
        <w:gridCol w:w="110"/>
        <w:gridCol w:w="692"/>
        <w:gridCol w:w="36"/>
        <w:gridCol w:w="36"/>
        <w:gridCol w:w="36"/>
        <w:gridCol w:w="36"/>
        <w:gridCol w:w="110"/>
        <w:gridCol w:w="692"/>
        <w:gridCol w:w="36"/>
        <w:gridCol w:w="36"/>
        <w:gridCol w:w="36"/>
        <w:gridCol w:w="36"/>
        <w:gridCol w:w="110"/>
        <w:gridCol w:w="717"/>
        <w:gridCol w:w="36"/>
        <w:gridCol w:w="36"/>
        <w:gridCol w:w="36"/>
        <w:gridCol w:w="36"/>
        <w:gridCol w:w="110"/>
        <w:gridCol w:w="717"/>
        <w:gridCol w:w="36"/>
        <w:gridCol w:w="36"/>
        <w:gridCol w:w="36"/>
        <w:gridCol w:w="36"/>
        <w:gridCol w:w="36"/>
      </w:tblGrid>
      <w:tr w:rsidR="00000000">
        <w:trPr>
          <w:divId w:val="1549343896"/>
        </w:trPr>
        <w:tc>
          <w:tcPr>
            <w:tcW w:w="50" w:type="pct"/>
            <w:vAlign w:val="center"/>
            <w:hideMark/>
          </w:tcPr>
          <w:p w:rsidR="00000000" w:rsidRDefault="00AF3814">
            <w:pPr>
              <w:rPr>
                <w:rFonts w:eastAsia="Times New Roman"/>
              </w:rPr>
            </w:pPr>
          </w:p>
        </w:tc>
        <w:tc>
          <w:tcPr>
            <w:tcW w:w="263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and shares in millions, except per share data)</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AF3814">
            <w:pPr>
              <w:spacing w:after="100"/>
              <w:jc w:val="center"/>
              <w:rPr>
                <w:rFonts w:eastAsia="Times New Roman"/>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3,537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6,864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(2,257)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w:t>
            </w:r>
            <w:r>
              <w:rPr>
                <w:rFonts w:eastAsia="Times New Roman"/>
                <w:color w:val="000000"/>
                <w:sz w:val="18"/>
                <w:szCs w:val="18"/>
              </w:rPr>
              <w:t>918)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6,861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(2,258)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Issuance cost for redeemed preferred stock</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 available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6,682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Height w:val="240"/>
        </w:trPr>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weighted-average basic common shares outstanding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456.7 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457.1 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926760035"/>
              <w:rPr>
                <w:rFonts w:eastAsia="Times New Roman"/>
              </w:rPr>
            </w:pPr>
            <w:r>
              <w:rPr>
                <w:rFonts w:eastAsia="Times New Roman"/>
                <w:color w:val="000000"/>
                <w:sz w:val="18"/>
                <w:szCs w:val="18"/>
              </w:rPr>
              <w:t>Effect of dilutive securities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Stock options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contingently issuable shares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weighted-average diluted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456.2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Basic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 per basic common share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28855640"/>
              <w:rPr>
                <w:rFonts w:eastAsia="Times New Roman"/>
              </w:rPr>
            </w:pPr>
            <w:r>
              <w:rPr>
                <w:rFonts w:eastAsia="Times New Roman"/>
                <w:b/>
                <w:bCs/>
                <w:color w:val="000000"/>
                <w:sz w:val="18"/>
                <w:szCs w:val="18"/>
              </w:rPr>
              <w:t>Diluted earnings per common share</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54934389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income (loss) per diluted common share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7.62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vAlign w:val="center"/>
            <w:hideMark/>
          </w:tcPr>
          <w:p w:rsidR="00000000" w:rsidRDefault="00AF3814">
            <w:pPr>
              <w:spacing w:after="100"/>
              <w:jc w:val="right"/>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bl>
    <w:p w:rsidR="00000000" w:rsidRDefault="00AF3814">
      <w:pPr>
        <w:divId w:val="354237597"/>
        <w:rPr>
          <w:rFonts w:eastAsia="Times New Roman"/>
        </w:rPr>
      </w:pPr>
      <w:r>
        <w:rPr>
          <w:rFonts w:eastAsia="Times New Roman"/>
          <w:color w:val="000000"/>
          <w:sz w:val="20"/>
          <w:szCs w:val="20"/>
        </w:rPr>
        <w:t>__________</w:t>
      </w:r>
      <w:r>
        <w:rPr>
          <w:rFonts w:eastAsia="Times New Roman"/>
          <w:color w:val="000000"/>
          <w:sz w:val="16"/>
          <w:szCs w:val="16"/>
        </w:rPr>
        <w:t xml:space="preserve"> </w:t>
      </w:r>
    </w:p>
    <w:p w:rsidR="00000000" w:rsidRDefault="00AF3814">
      <w:pPr>
        <w:ind w:hanging="360"/>
        <w:jc w:val="both"/>
        <w:divId w:val="192298014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shd w:val="clear" w:color="auto" w:fill="FFFFFF"/>
        </w:rPr>
        <w:t>For the three months ended June 30, 2021, no shares were excluded fr</w:t>
      </w:r>
      <w:r>
        <w:rPr>
          <w:rFonts w:eastAsia="Times New Roman"/>
          <w:color w:val="000000"/>
          <w:sz w:val="16"/>
          <w:szCs w:val="16"/>
          <w:shd w:val="clear" w:color="auto" w:fill="FFFFFF"/>
        </w:rPr>
        <w:t>om the computation of diluted earnings per share. F</w:t>
      </w:r>
      <w:r>
        <w:rPr>
          <w:rFonts w:eastAsia="Times New Roman"/>
          <w:color w:val="000000"/>
          <w:sz w:val="16"/>
          <w:szCs w:val="16"/>
        </w:rPr>
        <w:t xml:space="preserve">or the six months ended June 30, 2021, </w:t>
      </w:r>
      <w:r>
        <w:rPr>
          <w:rFonts w:eastAsia="Times New Roman"/>
          <w:color w:val="000000"/>
          <w:sz w:val="16"/>
          <w:szCs w:val="16"/>
          <w:shd w:val="clear" w:color="auto" w:fill="FFFFFF"/>
        </w:rPr>
        <w:t>awards</w:t>
      </w:r>
      <w:r>
        <w:rPr>
          <w:rFonts w:eastAsia="Times New Roman"/>
          <w:color w:val="000000"/>
          <w:sz w:val="16"/>
          <w:szCs w:val="16"/>
        </w:rPr>
        <w:t xml:space="preserve"> of </w:t>
      </w:r>
      <w:r>
        <w:rPr>
          <w:rFonts w:eastAsia="Times New Roman"/>
          <w:color w:val="000000"/>
          <w:sz w:val="16"/>
          <w:szCs w:val="16"/>
          <w:shd w:val="clear" w:color="auto" w:fill="FFFFFF"/>
        </w:rPr>
        <w:t>51 thousand</w:t>
      </w:r>
      <w:r>
        <w:rPr>
          <w:rFonts w:eastAsia="Times New Roman"/>
          <w:color w:val="000000"/>
          <w:sz w:val="16"/>
          <w:szCs w:val="16"/>
        </w:rPr>
        <w:t xml:space="preserve"> shares were </w:t>
      </w:r>
      <w:r>
        <w:rPr>
          <w:rFonts w:eastAsia="Times New Roman"/>
          <w:color w:val="000000"/>
          <w:sz w:val="16"/>
          <w:szCs w:val="16"/>
          <w:shd w:val="clear" w:color="auto" w:fill="FFFFFF"/>
        </w:rPr>
        <w:t>excluded from the computation of diluted earnings per share</w:t>
      </w:r>
      <w:r>
        <w:rPr>
          <w:rFonts w:eastAsia="Times New Roman"/>
          <w:color w:val="000000"/>
          <w:sz w:val="16"/>
          <w:szCs w:val="16"/>
        </w:rPr>
        <w:t xml:space="preserve"> </w:t>
      </w:r>
      <w:r>
        <w:rPr>
          <w:rFonts w:eastAsia="Times New Roman"/>
          <w:color w:val="000000"/>
          <w:sz w:val="16"/>
          <w:szCs w:val="16"/>
        </w:rPr>
        <w:t>because their inclusion would be anti-dil</w:t>
      </w:r>
      <w:r>
        <w:rPr>
          <w:rFonts w:eastAsia="Times New Roman"/>
          <w:color w:val="000000"/>
          <w:sz w:val="16"/>
          <w:szCs w:val="16"/>
          <w:shd w:val="clear" w:color="auto" w:fill="FFFFFF"/>
        </w:rPr>
        <w:t>utive. In periods of net loss available to common stockholders, dilutive securities are excluded as their inclusion would have an anti-dilutive effect. Accordingly, for</w:t>
      </w:r>
      <w:r>
        <w:rPr>
          <w:rFonts w:eastAsia="Times New Roman"/>
          <w:color w:val="000000"/>
          <w:sz w:val="16"/>
          <w:szCs w:val="16"/>
        </w:rPr>
        <w:t xml:space="preserve"> the three and six months ended June 30, 2020, </w:t>
      </w:r>
      <w:r>
        <w:rPr>
          <w:rFonts w:eastAsia="Times New Roman"/>
          <w:color w:val="000000"/>
          <w:sz w:val="16"/>
          <w:szCs w:val="16"/>
          <w:shd w:val="clear" w:color="auto" w:fill="FFFFFF"/>
        </w:rPr>
        <w:t xml:space="preserve">awards of 362 thousand shares and options of 2.6 million shares with an exercise price ranging from </w:t>
      </w:r>
      <w:r>
        <w:rPr>
          <w:rFonts w:eastAsia="Times New Roman"/>
          <w:color w:val="000000"/>
          <w:sz w:val="16"/>
          <w:szCs w:val="16"/>
        </w:rPr>
        <w:t>$45.75</w:t>
      </w:r>
      <w:r>
        <w:rPr>
          <w:rFonts w:eastAsia="Times New Roman"/>
          <w:color w:val="000000"/>
          <w:sz w:val="16"/>
          <w:szCs w:val="16"/>
          <w:shd w:val="clear" w:color="auto" w:fill="FFFFFF"/>
        </w:rPr>
        <w:t xml:space="preserve"> to </w:t>
      </w:r>
      <w:r>
        <w:rPr>
          <w:rFonts w:eastAsia="Times New Roman"/>
          <w:color w:val="000000"/>
          <w:sz w:val="16"/>
          <w:szCs w:val="16"/>
        </w:rPr>
        <w:t>$86.34</w:t>
      </w:r>
      <w:r>
        <w:rPr>
          <w:rFonts w:eastAsia="Times New Roman"/>
          <w:color w:val="000000"/>
          <w:sz w:val="16"/>
          <w:szCs w:val="16"/>
          <w:shd w:val="clear" w:color="auto" w:fill="FFFFFF"/>
        </w:rPr>
        <w:t xml:space="preserve"> and awards of 956 thousand shares and options of 2.7 million shares with an exercise price ranging from $36.55 to $86.34 were excluded from</w:t>
      </w:r>
      <w:r>
        <w:rPr>
          <w:rFonts w:eastAsia="Times New Roman"/>
          <w:color w:val="000000"/>
          <w:sz w:val="16"/>
          <w:szCs w:val="16"/>
          <w:shd w:val="clear" w:color="auto" w:fill="FFFFFF"/>
        </w:rPr>
        <w:t xml:space="preserve"> the computation of diluted earnings per share</w:t>
      </w:r>
      <w:r>
        <w:rPr>
          <w:rFonts w:eastAsia="Times New Roman"/>
          <w:color w:val="000000"/>
          <w:sz w:val="16"/>
          <w:szCs w:val="16"/>
        </w:rPr>
        <w:t>,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60929673"/>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60929673"/>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60929673"/>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39" style="width:0;height:1.5pt" o:hralign="center" o:hrstd="t" o:hr="t" fillcolor="#a0a0a0" stroked="f"/>
        </w:pict>
      </w:r>
    </w:p>
    <w:p w:rsidR="00000000" w:rsidRDefault="00AF3814">
      <w:pPr>
        <w:jc w:val="both"/>
        <w:divId w:val="210758013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210758013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43951727"/>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4395172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11—FAIR VALUE MEASUREMENT</w:t>
            </w:r>
          </w:p>
        </w:tc>
      </w:tr>
    </w:tbl>
    <w:p w:rsidR="00000000" w:rsidRDefault="00AF3814">
      <w:pPr>
        <w:jc w:val="both"/>
        <w:divId w:val="1335455089"/>
        <w:rPr>
          <w:rFonts w:eastAsia="Times New Roman"/>
        </w:rPr>
      </w:pPr>
      <w:r>
        <w:rPr>
          <w:rFonts w:eastAsia="Times New Roman"/>
          <w:color w:val="000000"/>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eastAsia="Times New Roman"/>
          <w:color w:val="000000"/>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eastAsia="Times New Roman"/>
          <w:color w:val="000000"/>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eastAsia="Times New Roman"/>
          <w:color w:val="000000"/>
          <w:sz w:val="20"/>
          <w:szCs w:val="20"/>
        </w:rPr>
        <w:t>bed below:</w:t>
      </w:r>
    </w:p>
    <w:tbl>
      <w:tblPr>
        <w:tblW w:w="5000" w:type="pct"/>
        <w:tblCellMar>
          <w:top w:w="15" w:type="dxa"/>
          <w:left w:w="15" w:type="dxa"/>
          <w:bottom w:w="15" w:type="dxa"/>
          <w:right w:w="15" w:type="dxa"/>
        </w:tblCellMar>
        <w:tblLook w:val="04A0" w:firstRow="1" w:lastRow="0" w:firstColumn="1" w:lastColumn="0" w:noHBand="0" w:noVBand="1"/>
      </w:tblPr>
      <w:tblGrid>
        <w:gridCol w:w="86"/>
        <w:gridCol w:w="607"/>
        <w:gridCol w:w="36"/>
        <w:gridCol w:w="36"/>
        <w:gridCol w:w="36"/>
        <w:gridCol w:w="36"/>
        <w:gridCol w:w="38"/>
        <w:gridCol w:w="7394"/>
        <w:gridCol w:w="37"/>
      </w:tblGrid>
      <w:tr w:rsidR="00000000">
        <w:trPr>
          <w:divId w:val="1335455089"/>
        </w:trPr>
        <w:tc>
          <w:tcPr>
            <w:tcW w:w="50" w:type="pct"/>
            <w:vAlign w:val="center"/>
            <w:hideMark/>
          </w:tcPr>
          <w:p w:rsidR="00000000" w:rsidRDefault="00AF3814">
            <w:pPr>
              <w:jc w:val="both"/>
              <w:rPr>
                <w:rFonts w:eastAsia="Times New Roman"/>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9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35455089"/>
        </w:trPr>
        <w:tc>
          <w:tcPr>
            <w:tcW w:w="0" w:type="auto"/>
            <w:gridSpan w:val="3"/>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r>
              <w:rPr>
                <w:rFonts w:eastAsia="Times New Roman"/>
                <w:color w:val="000000"/>
                <w:sz w:val="20"/>
                <w:szCs w:val="20"/>
              </w:rPr>
              <w:t>Valuation is based on quoted prices (unadjusted) in active markets for identical assets or liabilities.</w:t>
            </w:r>
          </w:p>
        </w:tc>
      </w:tr>
      <w:tr w:rsidR="00000000">
        <w:trPr>
          <w:divId w:val="1335455089"/>
        </w:trPr>
        <w:tc>
          <w:tcPr>
            <w:tcW w:w="0" w:type="auto"/>
            <w:gridSpan w:val="3"/>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r>
              <w:rPr>
                <w:rFonts w:eastAsia="Times New Roman"/>
                <w:color w:val="000000"/>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eastAsia="Times New Roman"/>
                <w:color w:val="000000"/>
                <w:sz w:val="20"/>
                <w:szCs w:val="20"/>
              </w:rPr>
              <w:t>market data for substantially the full term of the assets or liabilities.</w:t>
            </w:r>
          </w:p>
        </w:tc>
      </w:tr>
      <w:tr w:rsidR="00000000">
        <w:trPr>
          <w:divId w:val="1335455089"/>
        </w:trPr>
        <w:tc>
          <w:tcPr>
            <w:tcW w:w="0" w:type="auto"/>
            <w:gridSpan w:val="3"/>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20"/>
                <w:szCs w:val="20"/>
              </w:rPr>
              <w:t>Level 3:</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r>
              <w:rPr>
                <w:rFonts w:eastAsia="Times New Roman"/>
                <w:color w:val="000000"/>
                <w:sz w:val="20"/>
                <w:szCs w:val="20"/>
              </w:rPr>
              <w:t>Valuation is generated from techniques that use significant assumptions not observable in the market. Valuation techniques include pricing models, discounted cash fl</w:t>
            </w:r>
            <w:r>
              <w:rPr>
                <w:rFonts w:eastAsia="Times New Roman"/>
                <w:color w:val="000000"/>
                <w:sz w:val="20"/>
                <w:szCs w:val="20"/>
              </w:rPr>
              <w:t>ow methodologies or similar techniques.</w:t>
            </w:r>
          </w:p>
        </w:tc>
      </w:tr>
    </w:tbl>
    <w:p w:rsidR="00000000" w:rsidRDefault="00AF3814">
      <w:pPr>
        <w:jc w:val="both"/>
        <w:divId w:val="1335455089"/>
        <w:rPr>
          <w:rFonts w:eastAsia="Times New Roman"/>
        </w:rPr>
      </w:pPr>
      <w:r>
        <w:rPr>
          <w:rFonts w:eastAsia="Times New Roman"/>
          <w:color w:val="000000"/>
          <w:sz w:val="20"/>
          <w:szCs w:val="20"/>
        </w:rPr>
        <w:t>The accounting guidance for fair value measurements requires that we maximize the use of observable inputs and minimize the use of unobservable inputs in determining fair value. The accounting guidance provides for the irrevocable option to elect, on a con</w:t>
      </w:r>
      <w:r>
        <w:rPr>
          <w:rFonts w:eastAsia="Times New Roman"/>
          <w:color w:val="000000"/>
          <w:sz w:val="20"/>
          <w:szCs w:val="20"/>
        </w:rPr>
        <w:t>tract-by-contract basis, to measure certain financial assets and liabilities at fair value at inception of the contract and record any subsequent changes in fair value in earnings.</w:t>
      </w:r>
    </w:p>
    <w:p w:rsidR="00000000" w:rsidRDefault="00AF3814">
      <w:pPr>
        <w:jc w:val="both"/>
        <w:divId w:val="742526857"/>
        <w:rPr>
          <w:rFonts w:eastAsia="Times New Roman"/>
        </w:rPr>
      </w:pPr>
      <w:r>
        <w:rPr>
          <w:rFonts w:eastAsia="Times New Roman"/>
          <w:color w:val="000000"/>
          <w:sz w:val="20"/>
          <w:szCs w:val="20"/>
        </w:rPr>
        <w:t>The determination and classification of financial instruments in the fair value hierarchy is performed at the end of each reporting period. We consider all available information, including observable market data, indications of market liquidity and orderli</w:t>
      </w:r>
      <w:r>
        <w:rPr>
          <w:rFonts w:eastAsia="Times New Roman"/>
          <w:color w:val="000000"/>
          <w:sz w:val="20"/>
          <w:szCs w:val="20"/>
        </w:rPr>
        <w:t>ness, and our understanding of the valuation techniques and significant inputs. For additional information on the valuation techniques used in estimating the fair value of our financial assets and liabilities on a recurring basis, see “Note 16—Fair Value M</w:t>
      </w:r>
      <w:r>
        <w:rPr>
          <w:rFonts w:eastAsia="Times New Roman"/>
          <w:color w:val="000000"/>
          <w:sz w:val="20"/>
          <w:szCs w:val="20"/>
        </w:rPr>
        <w:t>easurement” in our 2020 Form 10-K.</w:t>
      </w:r>
    </w:p>
    <w:p w:rsidR="00000000" w:rsidRDefault="00AF3814">
      <w:pPr>
        <w:divId w:val="419301755"/>
        <w:rPr>
          <w:rFonts w:eastAsia="Times New Roman"/>
        </w:rPr>
      </w:pPr>
      <w:r>
        <w:rPr>
          <w:rFonts w:eastAsia="Times New Roman"/>
          <w:b/>
          <w:bCs/>
          <w:color w:val="000000"/>
          <w:sz w:val="20"/>
          <w:szCs w:val="20"/>
        </w:rPr>
        <w:t>Assets and Liabilities Measured at Fair Value on a Recurring Basis</w:t>
      </w:r>
    </w:p>
    <w:p w:rsidR="00000000" w:rsidRDefault="00AF3814">
      <w:pPr>
        <w:divId w:val="1329284319"/>
        <w:rPr>
          <w:rFonts w:eastAsia="Times New Roman"/>
        </w:rPr>
      </w:pPr>
      <w:r>
        <w:rPr>
          <w:rFonts w:eastAsia="Times New Roman"/>
          <w:color w:val="000000"/>
          <w:sz w:val="20"/>
          <w:szCs w:val="20"/>
        </w:rPr>
        <w:t>The following table displays our assets and liabilities measured on our consolidated balance sheets at fair value on a recurring basis as of June 30, 2021</w:t>
      </w:r>
      <w:r>
        <w:rPr>
          <w:rFonts w:eastAsia="Times New Roman"/>
          <w:color w:val="000000"/>
          <w:sz w:val="20"/>
          <w:szCs w:val="20"/>
        </w:rPr>
        <w:t xml:space="preserve"> and December 31, 2020.</w:t>
      </w:r>
    </w:p>
    <w:p w:rsidR="00000000" w:rsidRDefault="00AF3814">
      <w:pPr>
        <w:divId w:val="1215002088"/>
        <w:rPr>
          <w:rFonts w:eastAsia="Times New Roman"/>
        </w:rPr>
      </w:pPr>
      <w:r>
        <w:rPr>
          <w:rFonts w:eastAsia="Times New Roman"/>
          <w:b/>
          <w:bCs/>
          <w:color w:val="000000"/>
          <w:sz w:val="18"/>
          <w:szCs w:val="18"/>
        </w:rPr>
        <w:t>Table 11.1: Assets and Liabilities Measured at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353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630"/>
        <w:gridCol w:w="36"/>
      </w:tblGrid>
      <w:tr w:rsidR="00000000">
        <w:trPr>
          <w:divId w:val="25522031"/>
        </w:trPr>
        <w:tc>
          <w:tcPr>
            <w:tcW w:w="50" w:type="pct"/>
            <w:vAlign w:val="center"/>
            <w:hideMark/>
          </w:tcPr>
          <w:p w:rsidR="00000000" w:rsidRDefault="00AF3814">
            <w:pPr>
              <w:rPr>
                <w:rFonts w:eastAsia="Times New Roman"/>
              </w:rPr>
            </w:pPr>
          </w:p>
        </w:tc>
        <w:tc>
          <w:tcPr>
            <w:tcW w:w="256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5522031"/>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r>
      <w:tr w:rsidR="00000000">
        <w:trPr>
          <w:divId w:val="25522031"/>
          <w:trHeight w:val="24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5522031"/>
          <w:trHeight w:val="24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2552203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552203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552203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552203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78,033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78,322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552203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11,078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11,087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552203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552203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9,402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92,066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101,766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552203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552203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552203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141338826"/>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(964)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552203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470709417"/>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552203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10,500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95,424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473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(964)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105,433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552203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552203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552203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494688808"/>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(850)</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552203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1,156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40" style="width:0;height:1.5pt" o:hralign="center" o:hrstd="t" o:hr="t" fillcolor="#a0a0a0" stroked="f"/>
        </w:pict>
      </w:r>
    </w:p>
    <w:p w:rsidR="00000000" w:rsidRDefault="00AF3814">
      <w:pPr>
        <w:jc w:val="both"/>
        <w:divId w:val="141658852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41658852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53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630"/>
        <w:gridCol w:w="36"/>
      </w:tblGrid>
      <w:tr w:rsidR="00000000">
        <w:trPr>
          <w:divId w:val="1968705266"/>
        </w:trPr>
        <w:tc>
          <w:tcPr>
            <w:tcW w:w="50" w:type="pct"/>
            <w:vAlign w:val="center"/>
            <w:hideMark/>
          </w:tcPr>
          <w:p w:rsidR="00000000" w:rsidRDefault="00AF3814">
            <w:pPr>
              <w:jc w:val="center"/>
              <w:rPr>
                <w:rFonts w:eastAsia="Times New Roman"/>
              </w:rPr>
            </w:pPr>
          </w:p>
        </w:tc>
        <w:tc>
          <w:tcPr>
            <w:tcW w:w="256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68705266"/>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968705266"/>
          <w:trHeight w:val="24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68705266"/>
          <w:trHeight w:val="24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19687052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6870526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6870526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9,318 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9,318 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6870526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76,375 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76,703 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68705266"/>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11,624 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11,735 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68705266"/>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2,547 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2,689 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6870526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9,460 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90,546 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100,445 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6870526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596 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596 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6870526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6870526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867987154"/>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3,006 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(1,148)</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2,267 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6870526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541547290"/>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6870526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10,158 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94,700 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104,345 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6870526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6870526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6870526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951625903"/>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(739)</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779 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96870526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1968705266"/>
        <w:rPr>
          <w:rFonts w:eastAsia="Times New Roman"/>
        </w:rPr>
      </w:pPr>
      <w:r>
        <w:rPr>
          <w:rFonts w:eastAsia="Times New Roman"/>
          <w:color w:val="000000"/>
          <w:sz w:val="20"/>
          <w:szCs w:val="20"/>
        </w:rPr>
        <w:t>__________</w:t>
      </w:r>
    </w:p>
    <w:p w:rsidR="00000000" w:rsidRDefault="00AF3814">
      <w:pPr>
        <w:ind w:hanging="360"/>
        <w:jc w:val="both"/>
        <w:divId w:val="164103952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balance sheet netting of derivative asse</w:t>
      </w:r>
      <w:r>
        <w:rPr>
          <w:rFonts w:eastAsia="Times New Roman"/>
          <w:color w:val="000000"/>
          <w:sz w:val="16"/>
          <w:szCs w:val="16"/>
        </w:rPr>
        <w:t>ts and liabilities, and related payables and receivables for cash collateral held or placed with the same counterparty. See “Note 8—Derivative Instruments and Hedging Activities” for additional information.</w:t>
      </w:r>
    </w:p>
    <w:p w:rsidR="00000000" w:rsidRDefault="00AF3814">
      <w:pPr>
        <w:ind w:hanging="360"/>
        <w:jc w:val="both"/>
        <w:divId w:val="312637709"/>
        <w:rPr>
          <w:rFonts w:eastAsia="Times New Roman"/>
        </w:rPr>
      </w:pPr>
      <w:r>
        <w:rPr>
          <w:rFonts w:eastAsia="Times New Roman"/>
          <w:color w:val="000000"/>
          <w:sz w:val="10"/>
          <w:szCs w:val="10"/>
          <w:shd w:val="clear" w:color="auto" w:fill="FFFFFF"/>
        </w:rPr>
        <w:t>(2</w:t>
      </w:r>
      <w:r>
        <w:rPr>
          <w:rFonts w:eastAsia="Times New Roman"/>
          <w:color w:val="000000"/>
          <w:sz w:val="10"/>
          <w:szCs w:val="10"/>
          <w:shd w:val="clear" w:color="auto" w:fill="FFFFFF"/>
        </w:rPr>
        <w:t>)</w:t>
      </w:r>
      <w:r>
        <w:rPr>
          <w:rFonts w:eastAsia="Times New Roman"/>
          <w:color w:val="000000"/>
          <w:sz w:val="16"/>
          <w:szCs w:val="16"/>
        </w:rPr>
        <w:t>Does not reflect $23 million and $31 million r</w:t>
      </w:r>
      <w:r>
        <w:rPr>
          <w:rFonts w:eastAsia="Times New Roman"/>
          <w:color w:val="000000"/>
          <w:sz w:val="16"/>
          <w:szCs w:val="16"/>
        </w:rPr>
        <w:t>ecognized as a net valuation allowance on derivative assets and liabilities for non-performance risk as of June 30, 2021 and December 31, 2020</w:t>
      </w:r>
      <w:r>
        <w:rPr>
          <w:rFonts w:eastAsia="Times New Roman"/>
          <w:color w:val="000000"/>
          <w:sz w:val="16"/>
          <w:szCs w:val="16"/>
          <w:shd w:val="clear" w:color="auto" w:fill="FFFFFF"/>
        </w:rPr>
        <w:t>, respectively. Non-performance risk is included in derivative assets and liabilities, which are part of other ass</w:t>
      </w:r>
      <w:r>
        <w:rPr>
          <w:rFonts w:eastAsia="Times New Roman"/>
          <w:color w:val="000000"/>
          <w:sz w:val="16"/>
          <w:szCs w:val="16"/>
          <w:shd w:val="clear" w:color="auto" w:fill="FFFFFF"/>
        </w:rPr>
        <w:t>ets and other liabilities on the consolidated balance sheets, and is offset through non-interest income in the consolidated statements of income.</w:t>
      </w:r>
    </w:p>
    <w:p w:rsidR="00000000" w:rsidRDefault="00AF3814">
      <w:pPr>
        <w:ind w:hanging="360"/>
        <w:jc w:val="both"/>
        <w:divId w:val="212431965"/>
        <w:rPr>
          <w:rFonts w:eastAsia="Times New Roman"/>
        </w:rPr>
      </w:pPr>
      <w:r>
        <w:rPr>
          <w:rFonts w:eastAsia="Times New Roman"/>
          <w:color w:val="000000"/>
          <w:sz w:val="10"/>
          <w:szCs w:val="10"/>
          <w:shd w:val="clear" w:color="auto" w:fill="FFFFFF"/>
        </w:rPr>
        <w:t>(3</w:t>
      </w:r>
      <w:r>
        <w:rPr>
          <w:rFonts w:eastAsia="Times New Roman"/>
          <w:color w:val="000000"/>
          <w:sz w:val="10"/>
          <w:szCs w:val="10"/>
          <w:shd w:val="clear" w:color="auto" w:fill="FFFFFF"/>
        </w:rPr>
        <w:t>)</w:t>
      </w:r>
      <w:r>
        <w:rPr>
          <w:rFonts w:eastAsia="Times New Roman"/>
          <w:color w:val="000000"/>
          <w:sz w:val="16"/>
          <w:szCs w:val="16"/>
        </w:rPr>
        <w:t>As of June 30, 2021 and December 31, 2020, other includes retained interests in securitizations of $46 mill</w:t>
      </w:r>
      <w:r>
        <w:rPr>
          <w:rFonts w:eastAsia="Times New Roman"/>
          <w:color w:val="000000"/>
          <w:sz w:val="16"/>
          <w:szCs w:val="16"/>
        </w:rPr>
        <w:t>ion and $55 million, deferred compensation plan assets of $472 million and $414 million, and equity securities of $26 million and $568 million including unrealized gains of $24 million and $535 million, respectively.</w:t>
      </w:r>
    </w:p>
    <w:p w:rsidR="00000000" w:rsidRDefault="00AF3814">
      <w:pPr>
        <w:divId w:val="774835086"/>
        <w:rPr>
          <w:rFonts w:eastAsia="Times New Roman"/>
        </w:rPr>
      </w:pPr>
      <w:r>
        <w:rPr>
          <w:rFonts w:eastAsia="Times New Roman"/>
          <w:b/>
          <w:bCs/>
          <w:color w:val="000000"/>
          <w:sz w:val="20"/>
          <w:szCs w:val="20"/>
          <w:shd w:val="clear" w:color="auto" w:fill="FFFFFF"/>
        </w:rPr>
        <w:t>Level 3 Recurring Fair Val</w:t>
      </w:r>
      <w:r>
        <w:rPr>
          <w:rFonts w:eastAsia="Times New Roman"/>
          <w:b/>
          <w:bCs/>
          <w:color w:val="000000"/>
          <w:sz w:val="20"/>
          <w:szCs w:val="20"/>
        </w:rPr>
        <w:t>ue Rollforwar</w:t>
      </w:r>
      <w:r>
        <w:rPr>
          <w:rFonts w:eastAsia="Times New Roman"/>
          <w:b/>
          <w:bCs/>
          <w:color w:val="000000"/>
          <w:sz w:val="20"/>
          <w:szCs w:val="20"/>
        </w:rPr>
        <w:t>d</w:t>
      </w:r>
    </w:p>
    <w:p w:rsidR="00000000" w:rsidRDefault="00AF3814">
      <w:pPr>
        <w:jc w:val="both"/>
        <w:divId w:val="1377509843"/>
        <w:rPr>
          <w:rFonts w:eastAsia="Times New Roman"/>
        </w:rPr>
      </w:pPr>
      <w:r>
        <w:rPr>
          <w:rFonts w:eastAsia="Times New Roman"/>
          <w:color w:val="000000"/>
          <w:sz w:val="20"/>
          <w:szCs w:val="20"/>
        </w:rPr>
        <w:t>The table below presents a reconciliation for all assets and liabilities measured and recognized at fair value on a recurring basis using significant unobservable inputs (Level 3) for the three and six months ended June 30, 2021 and 2020. Generally, tran</w:t>
      </w:r>
      <w:r>
        <w:rPr>
          <w:rFonts w:eastAsia="Times New Roman"/>
          <w:color w:val="000000"/>
          <w:sz w:val="20"/>
          <w:szCs w:val="20"/>
        </w:rPr>
        <w:t>sfers into Level 3 were primarily driven by the usage of unobservable assumptions in the pricing of these financial instruments as evidenced by wider pricing variations among pricing vendors and transfers out of Level 3 were primarily driven by the usage o</w:t>
      </w:r>
      <w:r>
        <w:rPr>
          <w:rFonts w:eastAsia="Times New Roman"/>
          <w:color w:val="000000"/>
          <w:sz w:val="20"/>
          <w:szCs w:val="20"/>
        </w:rPr>
        <w:t>f assumptions corroborated by market observable information as evidenced by tighter pricing among multiple pricing sources.</w:t>
      </w:r>
    </w:p>
    <w:p w:rsidR="00000000" w:rsidRDefault="00AF3814">
      <w:pPr>
        <w:divId w:val="655378253"/>
        <w:rPr>
          <w:rFonts w:eastAsia="Times New Roman"/>
        </w:rPr>
      </w:pPr>
      <w:r>
        <w:rPr>
          <w:rFonts w:eastAsia="Times New Roman"/>
          <w:b/>
          <w:bCs/>
          <w:color w:val="000000"/>
          <w:sz w:val="18"/>
          <w:szCs w:val="18"/>
        </w:rPr>
        <w:t>Table 11.2: Level 3 Recurring Fair Value Rollforward</w:t>
      </w:r>
    </w:p>
    <w:tbl>
      <w:tblPr>
        <w:tblW w:w="5000" w:type="pct"/>
        <w:tblCellMar>
          <w:top w:w="15" w:type="dxa"/>
          <w:left w:w="15" w:type="dxa"/>
          <w:bottom w:w="15" w:type="dxa"/>
          <w:right w:w="15" w:type="dxa"/>
        </w:tblCellMar>
        <w:tblLook w:val="04A0" w:firstRow="1" w:lastRow="0" w:firstColumn="1" w:lastColumn="0" w:noHBand="0" w:noVBand="1"/>
      </w:tblPr>
      <w:tblGrid>
        <w:gridCol w:w="87"/>
        <w:gridCol w:w="57"/>
        <w:gridCol w:w="1153"/>
        <w:gridCol w:w="38"/>
        <w:gridCol w:w="36"/>
        <w:gridCol w:w="36"/>
        <w:gridCol w:w="36"/>
        <w:gridCol w:w="111"/>
        <w:gridCol w:w="397"/>
        <w:gridCol w:w="36"/>
        <w:gridCol w:w="36"/>
        <w:gridCol w:w="36"/>
        <w:gridCol w:w="36"/>
        <w:gridCol w:w="111"/>
        <w:gridCol w:w="444"/>
        <w:gridCol w:w="37"/>
        <w:gridCol w:w="37"/>
        <w:gridCol w:w="47"/>
        <w:gridCol w:w="36"/>
        <w:gridCol w:w="110"/>
        <w:gridCol w:w="34"/>
        <w:gridCol w:w="144"/>
        <w:gridCol w:w="265"/>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263"/>
        <w:gridCol w:w="144"/>
        <w:gridCol w:w="127"/>
        <w:gridCol w:w="17"/>
        <w:gridCol w:w="19"/>
        <w:gridCol w:w="36"/>
        <w:gridCol w:w="36"/>
        <w:gridCol w:w="36"/>
        <w:gridCol w:w="111"/>
        <w:gridCol w:w="447"/>
        <w:gridCol w:w="36"/>
        <w:gridCol w:w="36"/>
        <w:gridCol w:w="36"/>
        <w:gridCol w:w="36"/>
        <w:gridCol w:w="111"/>
        <w:gridCol w:w="440"/>
        <w:gridCol w:w="36"/>
        <w:gridCol w:w="36"/>
        <w:gridCol w:w="36"/>
        <w:gridCol w:w="36"/>
        <w:gridCol w:w="111"/>
        <w:gridCol w:w="417"/>
        <w:gridCol w:w="624"/>
        <w:gridCol w:w="144"/>
        <w:gridCol w:w="23"/>
      </w:tblGrid>
      <w:tr w:rsidR="00000000">
        <w:trPr>
          <w:divId w:val="402528331"/>
        </w:trPr>
        <w:tc>
          <w:tcPr>
            <w:tcW w:w="50" w:type="pct"/>
            <w:vAlign w:val="center"/>
            <w:hideMark/>
          </w:tcPr>
          <w:p w:rsidR="00000000" w:rsidRDefault="00AF3814">
            <w:pPr>
              <w:rPr>
                <w:rFonts w:eastAsia="Times New Roman"/>
              </w:rPr>
            </w:pPr>
          </w:p>
        </w:tc>
        <w:tc>
          <w:tcPr>
            <w:tcW w:w="697"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7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0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gridSpan w:val="3"/>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gridSpan w:val="3"/>
            <w:vAlign w:val="center"/>
            <w:hideMark/>
          </w:tcPr>
          <w:p w:rsidR="00000000" w:rsidRDefault="00AF3814">
            <w:pPr>
              <w:spacing w:after="100"/>
              <w:rPr>
                <w:rFonts w:eastAsia="Times New Roman"/>
                <w:sz w:val="20"/>
                <w:szCs w:val="20"/>
              </w:rPr>
            </w:pPr>
          </w:p>
        </w:tc>
      </w:tr>
      <w:tr w:rsidR="00000000">
        <w:trPr>
          <w:divId w:val="402528331"/>
        </w:trPr>
        <w:tc>
          <w:tcPr>
            <w:tcW w:w="0" w:type="auto"/>
            <w:gridSpan w:val="4"/>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3"/>
            <w:vAlign w:val="center"/>
            <w:hideMark/>
          </w:tcPr>
          <w:p w:rsidR="00000000" w:rsidRDefault="00AF3814">
            <w:pPr>
              <w:spacing w:after="100"/>
              <w:rPr>
                <w:rFonts w:eastAsia="Times New Roman"/>
                <w:sz w:val="20"/>
                <w:szCs w:val="20"/>
              </w:rPr>
            </w:pPr>
          </w:p>
        </w:tc>
      </w:tr>
      <w:tr w:rsidR="00000000">
        <w:trPr>
          <w:divId w:val="402528331"/>
        </w:trPr>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1"/>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Three Months Ended June 30, 2021</w:t>
            </w:r>
          </w:p>
        </w:tc>
        <w:tc>
          <w:tcPr>
            <w:tcW w:w="0" w:type="auto"/>
            <w:gridSpan w:val="3"/>
            <w:vAlign w:val="center"/>
            <w:hideMark/>
          </w:tcPr>
          <w:p w:rsidR="00000000" w:rsidRDefault="00AF3814">
            <w:pPr>
              <w:spacing w:after="100"/>
              <w:rPr>
                <w:rFonts w:eastAsia="Times New Roman"/>
                <w:sz w:val="20"/>
                <w:szCs w:val="20"/>
              </w:rPr>
            </w:pPr>
          </w:p>
        </w:tc>
      </w:tr>
      <w:tr w:rsidR="00000000">
        <w:trPr>
          <w:divId w:val="402528331"/>
          <w:trHeight w:val="300"/>
        </w:trPr>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1"/>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June 30,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rsidR="00000000" w:rsidRDefault="00AF3814">
            <w:pPr>
              <w:spacing w:after="100"/>
              <w:jc w:val="center"/>
              <w:rPr>
                <w:rFonts w:eastAsia="Times New Roman"/>
              </w:rPr>
            </w:pPr>
          </w:p>
        </w:tc>
      </w:tr>
      <w:tr w:rsidR="00000000">
        <w:trPr>
          <w:divId w:val="402528331"/>
          <w:trHeight w:val="460"/>
        </w:trPr>
        <w:tc>
          <w:tcPr>
            <w:tcW w:w="0" w:type="auto"/>
            <w:gridSpan w:val="4"/>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Balance, April 1,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Included</w:t>
            </w:r>
          </w:p>
          <w:p w:rsidR="00000000" w:rsidRDefault="00AF3814">
            <w:pPr>
              <w:spacing w:after="100"/>
              <w:jc w:val="center"/>
              <w:rPr>
                <w:rFonts w:eastAsia="Times New Roman"/>
              </w:rPr>
            </w:pPr>
            <w:r>
              <w:rPr>
                <w:rFonts w:eastAsia="Times New Roman"/>
                <w:b/>
                <w:bCs/>
                <w:color w:val="000000"/>
                <w:sz w:val="12"/>
                <w:szCs w:val="12"/>
              </w:rPr>
              <w:t>in Net</w:t>
            </w:r>
          </w:p>
          <w:p w:rsidR="00000000" w:rsidRDefault="00AF3814">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Balance, June 30,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r>
      <w:tr w:rsidR="00000000">
        <w:trPr>
          <w:divId w:val="402528331"/>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1646857614"/>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402528331"/>
        </w:trPr>
        <w:tc>
          <w:tcPr>
            <w:tcW w:w="0" w:type="auto"/>
            <w:gridSpan w:val="4"/>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326 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(25)</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(63)</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289</w:t>
            </w:r>
            <w:r>
              <w:rPr>
                <w:rFonts w:eastAsia="Times New Roman"/>
                <w:color w:val="000000"/>
                <w:sz w:val="18"/>
                <w:szCs w:val="18"/>
              </w:rPr>
              <w:t> </w:t>
            </w:r>
          </w:p>
        </w:tc>
        <w:tc>
          <w:tcPr>
            <w:tcW w:w="0" w:type="auto"/>
            <w:gridSpan w:val="3"/>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r>
      <w:tr w:rsidR="00AF3814">
        <w:trPr>
          <w:divId w:val="402528331"/>
        </w:trPr>
        <w:tc>
          <w:tcPr>
            <w:tcW w:w="0" w:type="auto"/>
            <w:gridSpan w:val="4"/>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gridSpan w:val="3"/>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r>
      <w:tr w:rsidR="00000000">
        <w:trPr>
          <w:divId w:val="402528331"/>
        </w:trPr>
        <w:tc>
          <w:tcPr>
            <w:tcW w:w="0" w:type="auto"/>
            <w:gridSpan w:val="4"/>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AF3814">
        <w:trPr>
          <w:divId w:val="402528331"/>
        </w:trPr>
        <w:tc>
          <w:tcPr>
            <w:tcW w:w="0" w:type="auto"/>
            <w:gridSpan w:val="4"/>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(25)</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298</w:t>
            </w:r>
            <w:r>
              <w:rPr>
                <w:rFonts w:eastAsia="Times New Roman"/>
                <w:color w:val="000000"/>
                <w:sz w:val="18"/>
                <w:szCs w:val="18"/>
              </w:rPr>
              <w:t> </w:t>
            </w:r>
          </w:p>
        </w:tc>
        <w:tc>
          <w:tcPr>
            <w:tcW w:w="0" w:type="auto"/>
            <w:gridSpan w:val="3"/>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r>
      <w:tr w:rsidR="00000000">
        <w:trPr>
          <w:divId w:val="402528331"/>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02528331"/>
        </w:trPr>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AF3814">
        <w:trPr>
          <w:divId w:val="402528331"/>
        </w:trPr>
        <w:tc>
          <w:tcPr>
            <w:tcW w:w="0" w:type="auto"/>
            <w:gridSpan w:val="4"/>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gridSpan w:val="3"/>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p>
        </w:tc>
      </w:tr>
      <w:tr w:rsidR="00AF3814">
        <w:trPr>
          <w:divId w:val="402528331"/>
        </w:trPr>
        <w:tc>
          <w:tcPr>
            <w:tcW w:w="0" w:type="auto"/>
            <w:gridSpan w:val="4"/>
            <w:shd w:val="clear" w:color="auto" w:fill="CCEEFF"/>
            <w:tcMar>
              <w:top w:w="30" w:type="dxa"/>
              <w:left w:w="20" w:type="dxa"/>
              <w:bottom w:w="30" w:type="dxa"/>
              <w:right w:w="20" w:type="dxa"/>
            </w:tcMar>
            <w:vAlign w:val="center"/>
            <w:hideMark/>
          </w:tcPr>
          <w:p w:rsidR="00000000" w:rsidRDefault="00AF3814">
            <w:pPr>
              <w:spacing w:after="100"/>
              <w:divId w:val="446436952"/>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(15)</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gridSpan w:val="3"/>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r>
      <w:tr w:rsidR="00000000">
        <w:tblPrEx>
          <w:tblW w:w="4992" w:type="pct"/>
          <w:jc w:val="center"/>
        </w:tblPrEx>
        <w:trPr>
          <w:gridAfter w:val="1"/>
          <w:jc w:val="center"/>
        </w:trPr>
        <w:tc>
          <w:tcPr>
            <w:tcW w:w="50" w:type="pct"/>
            <w:gridSpan w:val="2"/>
            <w:vAlign w:val="center"/>
            <w:hideMark/>
          </w:tcPr>
          <w:p w:rsidR="00000000" w:rsidRDefault="00AF3814">
            <w:pPr>
              <w:jc w:val="both"/>
              <w:rPr>
                <w:rFonts w:eastAsia="Times New Roman"/>
              </w:rPr>
            </w:pPr>
          </w:p>
        </w:tc>
        <w:tc>
          <w:tcPr>
            <w:tcW w:w="1606" w:type="pct"/>
            <w:gridSpan w:val="17"/>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gridSpan w:val="25"/>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1614" w:type="pct"/>
            <w:gridSpan w:val="19"/>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blPrEx>
          <w:tblW w:w="4992" w:type="pct"/>
          <w:jc w:val="center"/>
        </w:tblPrEx>
        <w:trPr>
          <w:gridAfter w:val="1"/>
          <w:trHeight w:val="300"/>
          <w:jc w:val="center"/>
        </w:trPr>
        <w:tc>
          <w:tcPr>
            <w:tcW w:w="0" w:type="auto"/>
            <w:gridSpan w:val="70"/>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blPrEx>
          <w:tblW w:w="4992" w:type="pct"/>
          <w:jc w:val="center"/>
        </w:tblPrEx>
        <w:trPr>
          <w:gridAfter w:val="1"/>
          <w:jc w:val="center"/>
        </w:trPr>
        <w:tc>
          <w:tcPr>
            <w:tcW w:w="0" w:type="auto"/>
            <w:gridSpan w:val="21"/>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116</w:t>
            </w:r>
          </w:p>
        </w:tc>
        <w:tc>
          <w:tcPr>
            <w:tcW w:w="0" w:type="auto"/>
            <w:gridSpan w:val="22"/>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41" style="width:0;height:1.5pt" o:hralign="center" o:hrstd="t" o:hr="t" fillcolor="#a0a0a0" stroked="f"/>
        </w:pict>
      </w:r>
    </w:p>
    <w:p w:rsidR="00000000" w:rsidRDefault="00AF3814">
      <w:pPr>
        <w:jc w:val="both"/>
        <w:divId w:val="402262198"/>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40226219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7"/>
        <w:gridCol w:w="57"/>
        <w:gridCol w:w="1153"/>
        <w:gridCol w:w="4"/>
        <w:gridCol w:w="34"/>
        <w:gridCol w:w="36"/>
        <w:gridCol w:w="36"/>
        <w:gridCol w:w="36"/>
        <w:gridCol w:w="2"/>
        <w:gridCol w:w="109"/>
        <w:gridCol w:w="35"/>
        <w:gridCol w:w="144"/>
        <w:gridCol w:w="144"/>
        <w:gridCol w:w="144"/>
        <w:gridCol w:w="22"/>
        <w:gridCol w:w="36"/>
        <w:gridCol w:w="36"/>
        <w:gridCol w:w="36"/>
        <w:gridCol w:w="36"/>
        <w:gridCol w:w="111"/>
        <w:gridCol w:w="176"/>
        <w:gridCol w:w="144"/>
        <w:gridCol w:w="124"/>
        <w:gridCol w:w="20"/>
        <w:gridCol w:w="17"/>
        <w:gridCol w:w="37"/>
        <w:gridCol w:w="47"/>
        <w:gridCol w:w="36"/>
        <w:gridCol w:w="7"/>
        <w:gridCol w:w="103"/>
        <w:gridCol w:w="41"/>
        <w:gridCol w:w="144"/>
        <w:gridCol w:w="258"/>
        <w:gridCol w:w="36"/>
        <w:gridCol w:w="36"/>
        <w:gridCol w:w="36"/>
        <w:gridCol w:w="36"/>
        <w:gridCol w:w="3"/>
        <w:gridCol w:w="108"/>
        <w:gridCol w:w="36"/>
        <w:gridCol w:w="144"/>
        <w:gridCol w:w="144"/>
        <w:gridCol w:w="138"/>
        <w:gridCol w:w="6"/>
        <w:gridCol w:w="30"/>
        <w:gridCol w:w="36"/>
        <w:gridCol w:w="36"/>
        <w:gridCol w:w="36"/>
        <w:gridCol w:w="6"/>
        <w:gridCol w:w="105"/>
        <w:gridCol w:w="236"/>
        <w:gridCol w:w="36"/>
        <w:gridCol w:w="28"/>
        <w:gridCol w:w="8"/>
        <w:gridCol w:w="36"/>
        <w:gridCol w:w="36"/>
        <w:gridCol w:w="64"/>
        <w:gridCol w:w="47"/>
        <w:gridCol w:w="97"/>
        <w:gridCol w:w="144"/>
        <w:gridCol w:w="144"/>
        <w:gridCol w:w="45"/>
        <w:gridCol w:w="36"/>
        <w:gridCol w:w="36"/>
        <w:gridCol w:w="27"/>
        <w:gridCol w:w="9"/>
        <w:gridCol w:w="36"/>
        <w:gridCol w:w="111"/>
        <w:gridCol w:w="274"/>
        <w:gridCol w:w="144"/>
        <w:gridCol w:w="116"/>
        <w:gridCol w:w="28"/>
        <w:gridCol w:w="8"/>
        <w:gridCol w:w="36"/>
        <w:gridCol w:w="36"/>
        <w:gridCol w:w="36"/>
        <w:gridCol w:w="28"/>
        <w:gridCol w:w="83"/>
        <w:gridCol w:w="61"/>
        <w:gridCol w:w="144"/>
        <w:gridCol w:w="242"/>
        <w:gridCol w:w="36"/>
        <w:gridCol w:w="36"/>
        <w:gridCol w:w="18"/>
        <w:gridCol w:w="18"/>
        <w:gridCol w:w="36"/>
        <w:gridCol w:w="90"/>
        <w:gridCol w:w="21"/>
        <w:gridCol w:w="123"/>
        <w:gridCol w:w="144"/>
        <w:gridCol w:w="144"/>
        <w:gridCol w:w="29"/>
        <w:gridCol w:w="36"/>
        <w:gridCol w:w="36"/>
        <w:gridCol w:w="36"/>
        <w:gridCol w:w="7"/>
        <w:gridCol w:w="29"/>
        <w:gridCol w:w="111"/>
        <w:gridCol w:w="265"/>
        <w:gridCol w:w="144"/>
        <w:gridCol w:w="8"/>
        <w:gridCol w:w="136"/>
        <w:gridCol w:w="144"/>
        <w:gridCol w:w="144"/>
        <w:gridCol w:w="144"/>
        <w:gridCol w:w="223"/>
        <w:gridCol w:w="267"/>
        <w:gridCol w:w="144"/>
        <w:gridCol w:w="144"/>
        <w:gridCol w:w="144"/>
        <w:gridCol w:w="144"/>
        <w:gridCol w:w="144"/>
        <w:gridCol w:w="441"/>
        <w:gridCol w:w="144"/>
        <w:gridCol w:w="144"/>
        <w:gridCol w:w="144"/>
        <w:gridCol w:w="144"/>
        <w:gridCol w:w="144"/>
        <w:gridCol w:w="405"/>
        <w:gridCol w:w="144"/>
        <w:gridCol w:w="144"/>
        <w:gridCol w:w="144"/>
        <w:gridCol w:w="144"/>
        <w:gridCol w:w="144"/>
        <w:gridCol w:w="588"/>
        <w:gridCol w:w="144"/>
      </w:tblGrid>
      <w:tr w:rsidR="00000000">
        <w:trPr>
          <w:gridAfter w:val="20"/>
          <w:divId w:val="106894579"/>
        </w:trPr>
        <w:tc>
          <w:tcPr>
            <w:tcW w:w="50" w:type="pct"/>
            <w:vAlign w:val="center"/>
            <w:hideMark/>
          </w:tcPr>
          <w:p w:rsidR="00000000" w:rsidRDefault="00AF3814">
            <w:pPr>
              <w:jc w:val="center"/>
              <w:rPr>
                <w:rFonts w:eastAsia="Times New Roman"/>
              </w:rPr>
            </w:pPr>
          </w:p>
        </w:tc>
        <w:tc>
          <w:tcPr>
            <w:tcW w:w="697" w:type="pct"/>
            <w:gridSpan w:val="2"/>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73" w:type="pct"/>
            <w:gridSpan w:val="5"/>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gridSpan w:val="3"/>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44"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59" w:type="pct"/>
            <w:gridSpan w:val="4"/>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0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44" w:type="pct"/>
            <w:gridSpan w:val="4"/>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gridSpan w:val="3"/>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66"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2"/>
            <w:vAlign w:val="center"/>
            <w:hideMark/>
          </w:tcPr>
          <w:p w:rsidR="00000000" w:rsidRDefault="00AF3814">
            <w:pPr>
              <w:spacing w:after="100"/>
              <w:rPr>
                <w:rFonts w:eastAsia="Times New Roman"/>
                <w:sz w:val="20"/>
                <w:szCs w:val="20"/>
              </w:rPr>
            </w:pPr>
          </w:p>
        </w:tc>
        <w:tc>
          <w:tcPr>
            <w:tcW w:w="244" w:type="pct"/>
            <w:gridSpan w:val="4"/>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gridSpan w:val="3"/>
            <w:vAlign w:val="center"/>
            <w:hideMark/>
          </w:tcPr>
          <w:p w:rsidR="00000000" w:rsidRDefault="00AF3814">
            <w:pPr>
              <w:spacing w:after="100"/>
              <w:rPr>
                <w:rFonts w:eastAsia="Times New Roman"/>
                <w:sz w:val="20"/>
                <w:szCs w:val="20"/>
              </w:rPr>
            </w:pPr>
          </w:p>
        </w:tc>
        <w:tc>
          <w:tcPr>
            <w:tcW w:w="5" w:type="pct"/>
            <w:gridSpan w:val="5"/>
            <w:vAlign w:val="center"/>
            <w:hideMark/>
          </w:tcPr>
          <w:p w:rsidR="00000000" w:rsidRDefault="00AF3814">
            <w:pPr>
              <w:spacing w:after="100"/>
              <w:rPr>
                <w:rFonts w:eastAsia="Times New Roman"/>
                <w:sz w:val="20"/>
                <w:szCs w:val="20"/>
              </w:rPr>
            </w:pPr>
          </w:p>
        </w:tc>
      </w:tr>
      <w:tr w:rsidR="00000000">
        <w:trPr>
          <w:gridAfter w:val="20"/>
          <w:divId w:val="106894579"/>
        </w:trPr>
        <w:tc>
          <w:tcPr>
            <w:tcW w:w="0" w:type="auto"/>
            <w:gridSpan w:val="5"/>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5"/>
            <w:vAlign w:val="center"/>
            <w:hideMark/>
          </w:tcPr>
          <w:p w:rsidR="00000000" w:rsidRDefault="00AF3814">
            <w:pPr>
              <w:spacing w:after="100"/>
              <w:rPr>
                <w:rFonts w:eastAsia="Times New Roman"/>
                <w:sz w:val="20"/>
                <w:szCs w:val="20"/>
              </w:rPr>
            </w:pPr>
          </w:p>
        </w:tc>
      </w:tr>
      <w:tr w:rsidR="00000000">
        <w:trPr>
          <w:gridAfter w:val="20"/>
          <w:divId w:val="106894579"/>
        </w:trPr>
        <w:tc>
          <w:tcPr>
            <w:tcW w:w="0" w:type="auto"/>
            <w:gridSpan w:val="5"/>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Six Months Ended June 30, 2021</w:t>
            </w:r>
          </w:p>
        </w:tc>
        <w:tc>
          <w:tcPr>
            <w:tcW w:w="0" w:type="auto"/>
            <w:gridSpan w:val="5"/>
            <w:vAlign w:val="center"/>
            <w:hideMark/>
          </w:tcPr>
          <w:p w:rsidR="00000000" w:rsidRDefault="00AF3814">
            <w:pPr>
              <w:spacing w:after="100"/>
              <w:rPr>
                <w:rFonts w:eastAsia="Times New Roman"/>
                <w:sz w:val="20"/>
                <w:szCs w:val="20"/>
              </w:rPr>
            </w:pPr>
          </w:p>
        </w:tc>
      </w:tr>
      <w:tr w:rsidR="00000000">
        <w:trPr>
          <w:gridAfter w:val="20"/>
          <w:divId w:val="106894579"/>
          <w:trHeight w:val="300"/>
        </w:trPr>
        <w:tc>
          <w:tcPr>
            <w:tcW w:w="0" w:type="auto"/>
            <w:gridSpan w:val="5"/>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June 30,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rsidR="00000000" w:rsidRDefault="00AF3814">
            <w:pPr>
              <w:spacing w:after="100"/>
              <w:jc w:val="center"/>
              <w:rPr>
                <w:rFonts w:eastAsia="Times New Roman"/>
              </w:rPr>
            </w:pPr>
          </w:p>
        </w:tc>
      </w:tr>
      <w:tr w:rsidR="00000000">
        <w:trPr>
          <w:gridAfter w:val="20"/>
          <w:divId w:val="106894579"/>
          <w:trHeight w:val="460"/>
        </w:trPr>
        <w:tc>
          <w:tcPr>
            <w:tcW w:w="0" w:type="auto"/>
            <w:gridSpan w:val="5"/>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8"/>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Balance, January 1, 2021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Included</w:t>
            </w:r>
          </w:p>
          <w:p w:rsidR="00000000" w:rsidRDefault="00AF3814">
            <w:pPr>
              <w:spacing w:after="100"/>
              <w:jc w:val="center"/>
              <w:rPr>
                <w:rFonts w:eastAsia="Times New Roman"/>
              </w:rPr>
            </w:pPr>
            <w:r>
              <w:rPr>
                <w:rFonts w:eastAsia="Times New Roman"/>
                <w:b/>
                <w:bCs/>
                <w:color w:val="000000"/>
                <w:sz w:val="12"/>
                <w:szCs w:val="12"/>
              </w:rPr>
              <w:t>in Net</w:t>
            </w:r>
          </w:p>
          <w:p w:rsidR="00000000" w:rsidRDefault="00AF3814">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Sales</w:t>
            </w:r>
          </w:p>
        </w:tc>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Issuances</w:t>
            </w:r>
          </w:p>
        </w:tc>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Balance, June 30, 2021</w:t>
            </w:r>
          </w:p>
        </w:tc>
        <w:tc>
          <w:tcPr>
            <w:tcW w:w="0" w:type="auto"/>
            <w:gridSpan w:val="5"/>
            <w:tcMar>
              <w:top w:w="0" w:type="dxa"/>
              <w:left w:w="20" w:type="dxa"/>
              <w:bottom w:w="0" w:type="dxa"/>
              <w:right w:w="20" w:type="dxa"/>
            </w:tcMar>
            <w:vAlign w:val="center"/>
            <w:hideMark/>
          </w:tcPr>
          <w:p w:rsidR="00000000" w:rsidRDefault="00AF3814">
            <w:pPr>
              <w:spacing w:after="100"/>
              <w:jc w:val="center"/>
              <w:rPr>
                <w:rFonts w:eastAsia="Times New Roman"/>
              </w:rPr>
            </w:pPr>
          </w:p>
        </w:tc>
      </w:tr>
      <w:tr w:rsidR="00000000">
        <w:trPr>
          <w:gridAfter w:val="20"/>
          <w:divId w:val="106894579"/>
        </w:trPr>
        <w:tc>
          <w:tcPr>
            <w:tcW w:w="0" w:type="auto"/>
            <w:gridSpan w:val="5"/>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799689955"/>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gridAfter w:val="20"/>
          <w:divId w:val="106894579"/>
        </w:trPr>
        <w:tc>
          <w:tcPr>
            <w:tcW w:w="0" w:type="auto"/>
            <w:gridSpan w:val="5"/>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8"/>
                <w:szCs w:val="18"/>
              </w:rPr>
              <w:t>$</w:t>
            </w:r>
          </w:p>
        </w:tc>
        <w:tc>
          <w:tcPr>
            <w:tcW w:w="0" w:type="auto"/>
            <w:gridSpan w:val="5"/>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(51)</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(87)</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289</w:t>
            </w:r>
            <w:r>
              <w:rPr>
                <w:rFonts w:eastAsia="Times New Roman"/>
                <w:color w:val="000000"/>
                <w:sz w:val="18"/>
                <w:szCs w:val="18"/>
              </w:rPr>
              <w:t> </w:t>
            </w:r>
          </w:p>
        </w:tc>
        <w:tc>
          <w:tcPr>
            <w:tcW w:w="0" w:type="auto"/>
            <w:gridSpan w:val="5"/>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r>
      <w:tr w:rsidR="00AF3814">
        <w:trPr>
          <w:gridAfter w:val="20"/>
          <w:divId w:val="106894579"/>
        </w:trPr>
        <w:tc>
          <w:tcPr>
            <w:tcW w:w="0" w:type="auto"/>
            <w:gridSpan w:val="5"/>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(94)</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gridSpan w:val="5"/>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r>
      <w:tr w:rsidR="00000000">
        <w:trPr>
          <w:gridAfter w:val="20"/>
          <w:divId w:val="106894579"/>
        </w:trPr>
        <w:tc>
          <w:tcPr>
            <w:tcW w:w="0" w:type="auto"/>
            <w:gridSpan w:val="5"/>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8"/>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8"/>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7"/>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7"/>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AF3814">
        <w:trPr>
          <w:gridAfter w:val="20"/>
          <w:divId w:val="106894579"/>
        </w:trPr>
        <w:tc>
          <w:tcPr>
            <w:tcW w:w="0" w:type="auto"/>
            <w:gridSpan w:val="5"/>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(57)</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298</w:t>
            </w:r>
            <w:r>
              <w:rPr>
                <w:rFonts w:eastAsia="Times New Roman"/>
                <w:color w:val="000000"/>
                <w:sz w:val="18"/>
                <w:szCs w:val="18"/>
              </w:rPr>
              <w:t> </w:t>
            </w:r>
          </w:p>
        </w:tc>
        <w:tc>
          <w:tcPr>
            <w:tcW w:w="0" w:type="auto"/>
            <w:gridSpan w:val="5"/>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r>
      <w:tr w:rsidR="00000000">
        <w:trPr>
          <w:gridAfter w:val="20"/>
          <w:divId w:val="106894579"/>
        </w:trPr>
        <w:tc>
          <w:tcPr>
            <w:tcW w:w="0" w:type="auto"/>
            <w:gridSpan w:val="5"/>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gridAfter w:val="20"/>
          <w:divId w:val="106894579"/>
        </w:trPr>
        <w:tc>
          <w:tcPr>
            <w:tcW w:w="0" w:type="auto"/>
            <w:gridSpan w:val="5"/>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8"/>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8"/>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7"/>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6"/>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7"/>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5"/>
            <w:vAlign w:val="center"/>
            <w:hideMark/>
          </w:tcPr>
          <w:p w:rsidR="00000000" w:rsidRDefault="00AF3814">
            <w:pPr>
              <w:spacing w:after="100"/>
              <w:rPr>
                <w:rFonts w:eastAsia="Times New Roman"/>
                <w:sz w:val="20"/>
                <w:szCs w:val="20"/>
              </w:rPr>
            </w:pPr>
          </w:p>
        </w:tc>
      </w:tr>
      <w:tr w:rsidR="00AF3814">
        <w:trPr>
          <w:gridAfter w:val="20"/>
          <w:divId w:val="106894579"/>
        </w:trPr>
        <w:tc>
          <w:tcPr>
            <w:tcW w:w="0" w:type="auto"/>
            <w:gridSpan w:val="5"/>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(9)</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gridSpan w:val="5"/>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(9)</w:t>
            </w:r>
          </w:p>
        </w:tc>
      </w:tr>
      <w:tr w:rsidR="00AF3814">
        <w:trPr>
          <w:gridAfter w:val="20"/>
          <w:divId w:val="106894579"/>
        </w:trPr>
        <w:tc>
          <w:tcPr>
            <w:tcW w:w="0" w:type="auto"/>
            <w:gridSpan w:val="5"/>
            <w:shd w:val="clear" w:color="auto" w:fill="CCEEFF"/>
            <w:tcMar>
              <w:top w:w="30" w:type="dxa"/>
              <w:left w:w="20" w:type="dxa"/>
              <w:bottom w:w="30" w:type="dxa"/>
              <w:right w:w="20" w:type="dxa"/>
            </w:tcMar>
            <w:vAlign w:val="center"/>
            <w:hideMark/>
          </w:tcPr>
          <w:p w:rsidR="00000000" w:rsidRDefault="00AF3814">
            <w:pPr>
              <w:spacing w:after="100"/>
              <w:divId w:val="1299721642"/>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(10)</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(29)</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gridSpan w:val="5"/>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r>
      <w:tr w:rsidR="00000000">
        <w:tc>
          <w:tcPr>
            <w:tcW w:w="50" w:type="pct"/>
            <w:gridSpan w:val="2"/>
            <w:vAlign w:val="center"/>
            <w:hideMark/>
          </w:tcPr>
          <w:p w:rsidR="00000000" w:rsidRDefault="00AF3814">
            <w:pPr>
              <w:jc w:val="both"/>
              <w:rPr>
                <w:rFonts w:eastAsia="Times New Roman"/>
              </w:rPr>
            </w:pPr>
          </w:p>
        </w:tc>
        <w:tc>
          <w:tcPr>
            <w:tcW w:w="697" w:type="pct"/>
            <w:gridSpan w:val="2"/>
            <w:vAlign w:val="center"/>
            <w:hideMark/>
          </w:tcPr>
          <w:p w:rsidR="00000000" w:rsidRDefault="00AF3814">
            <w:pPr>
              <w:spacing w:after="100"/>
              <w:rPr>
                <w:rFonts w:eastAsia="Times New Roman"/>
                <w:sz w:val="20"/>
                <w:szCs w:val="20"/>
              </w:rPr>
            </w:pPr>
          </w:p>
        </w:tc>
        <w:tc>
          <w:tcPr>
            <w:tcW w:w="5" w:type="pct"/>
            <w:gridSpan w:val="5"/>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73" w:type="pct"/>
            <w:gridSpan w:val="7"/>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26" w:type="pct"/>
            <w:gridSpan w:val="5"/>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gridSpan w:val="6"/>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gridSpan w:val="5"/>
            <w:vAlign w:val="center"/>
            <w:hideMark/>
          </w:tcPr>
          <w:p w:rsidR="00000000" w:rsidRDefault="00AF3814">
            <w:pPr>
              <w:spacing w:after="100"/>
              <w:rPr>
                <w:rFonts w:eastAsia="Times New Roman"/>
                <w:sz w:val="20"/>
                <w:szCs w:val="20"/>
              </w:rPr>
            </w:pPr>
          </w:p>
        </w:tc>
        <w:tc>
          <w:tcPr>
            <w:tcW w:w="244" w:type="pct"/>
            <w:gridSpan w:val="4"/>
            <w:vAlign w:val="center"/>
            <w:hideMark/>
          </w:tcPr>
          <w:p w:rsidR="00000000" w:rsidRDefault="00AF3814">
            <w:pPr>
              <w:spacing w:after="100"/>
              <w:rPr>
                <w:rFonts w:eastAsia="Times New Roman"/>
                <w:sz w:val="20"/>
                <w:szCs w:val="20"/>
              </w:rPr>
            </w:pPr>
          </w:p>
        </w:tc>
        <w:tc>
          <w:tcPr>
            <w:tcW w:w="5" w:type="pct"/>
            <w:gridSpan w:val="4"/>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4"/>
            <w:vAlign w:val="center"/>
            <w:hideMark/>
          </w:tcPr>
          <w:p w:rsidR="00000000" w:rsidRDefault="00AF3814">
            <w:pPr>
              <w:spacing w:after="100"/>
              <w:rPr>
                <w:rFonts w:eastAsia="Times New Roman"/>
                <w:sz w:val="20"/>
                <w:szCs w:val="20"/>
              </w:rPr>
            </w:pPr>
          </w:p>
        </w:tc>
        <w:tc>
          <w:tcPr>
            <w:tcW w:w="259" w:type="pct"/>
            <w:gridSpan w:val="4"/>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26" w:type="pct"/>
            <w:gridSpan w:val="5"/>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00" w:type="pct"/>
            <w:gridSpan w:val="4"/>
            <w:vAlign w:val="center"/>
            <w:hideMark/>
          </w:tcPr>
          <w:p w:rsidR="00000000" w:rsidRDefault="00AF3814">
            <w:pPr>
              <w:spacing w:after="100"/>
              <w:rPr>
                <w:rFonts w:eastAsia="Times New Roman"/>
                <w:sz w:val="20"/>
                <w:szCs w:val="20"/>
              </w:rPr>
            </w:pPr>
          </w:p>
        </w:tc>
        <w:tc>
          <w:tcPr>
            <w:tcW w:w="5" w:type="pct"/>
            <w:gridSpan w:val="3"/>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gridSpan w:val="5"/>
            <w:vAlign w:val="center"/>
            <w:hideMark/>
          </w:tcPr>
          <w:p w:rsidR="00000000" w:rsidRDefault="00AF3814">
            <w:pPr>
              <w:spacing w:after="100"/>
              <w:rPr>
                <w:rFonts w:eastAsia="Times New Roman"/>
                <w:sz w:val="20"/>
                <w:szCs w:val="20"/>
              </w:rPr>
            </w:pPr>
          </w:p>
        </w:tc>
        <w:tc>
          <w:tcPr>
            <w:tcW w:w="244" w:type="pct"/>
            <w:gridSpan w:val="3"/>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gridSpan w:val="2"/>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gridSpan w:val="2"/>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12"/>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9"/>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4"/>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12"/>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Three Months Ended June 30, 2020</w:t>
            </w:r>
          </w:p>
        </w:tc>
        <w:tc>
          <w:tcPr>
            <w:tcW w:w="0" w:type="auto"/>
            <w:vAlign w:val="center"/>
            <w:hideMark/>
          </w:tcPr>
          <w:p w:rsidR="00000000" w:rsidRDefault="00AF3814">
            <w:pPr>
              <w:spacing w:after="100"/>
              <w:rPr>
                <w:rFonts w:eastAsia="Times New Roman"/>
                <w:sz w:val="20"/>
                <w:szCs w:val="20"/>
              </w:rPr>
            </w:pPr>
          </w:p>
        </w:tc>
      </w:tr>
      <w:tr w:rsidR="00000000">
        <w:trPr>
          <w:trHeight w:val="300"/>
        </w:trPr>
        <w:tc>
          <w:tcPr>
            <w:tcW w:w="0" w:type="auto"/>
            <w:gridSpan w:val="9"/>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4"/>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6"/>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r>
              <w:rPr>
                <w:rFonts w:eastAsia="Times New Roman"/>
                <w:b/>
                <w:bCs/>
                <w:color w:val="000000"/>
                <w:sz w:val="12"/>
                <w:szCs w:val="12"/>
              </w:rPr>
              <w:t xml:space="preserve">Net Unrealized Gains (Losses) Included in Net Income Related to Assets and Liabilities Still Held as of </w:t>
            </w:r>
          </w:p>
          <w:p w:rsidR="00000000" w:rsidRDefault="00AF3814">
            <w:pPr>
              <w:spacing w:after="100"/>
              <w:jc w:val="center"/>
              <w:rPr>
                <w:rFonts w:eastAsia="Times New Roman"/>
              </w:rPr>
            </w:pPr>
            <w:r>
              <w:rPr>
                <w:rFonts w:eastAsia="Times New Roman"/>
                <w:b/>
                <w:bCs/>
                <w:color w:val="000000"/>
                <w:sz w:val="12"/>
                <w:szCs w:val="12"/>
              </w:rPr>
              <w:t>June 30, 202</w:t>
            </w:r>
            <w:r>
              <w:rPr>
                <w:rFonts w:eastAsia="Times New Roman"/>
                <w:b/>
                <w:bCs/>
                <w:color w:val="000000"/>
                <w:sz w:val="12"/>
                <w:szCs w:val="12"/>
              </w:rPr>
              <w:t>0</w:t>
            </w:r>
            <w:r>
              <w:rPr>
                <w:rFonts w:eastAsia="Times New Roman"/>
                <w:b/>
                <w:bCs/>
                <w:color w:val="000000"/>
                <w:sz w:val="8"/>
                <w:szCs w:val="8"/>
              </w:rPr>
              <w:t>(1</w:t>
            </w:r>
            <w:r>
              <w:rPr>
                <w:rFonts w:eastAsia="Times New Roman"/>
                <w:b/>
                <w:bCs/>
                <w:color w:val="000000"/>
                <w:sz w:val="8"/>
                <w:szCs w:val="8"/>
              </w:rPr>
              <w:t>)</w:t>
            </w:r>
          </w:p>
          <w:p w:rsidR="00000000" w:rsidRDefault="00AF3814">
            <w:pPr>
              <w:spacing w:after="100"/>
              <w:jc w:val="center"/>
              <w:rPr>
                <w:rFonts w:eastAsia="Times New Roman"/>
              </w:rPr>
            </w:pPr>
          </w:p>
        </w:tc>
      </w:tr>
      <w:tr w:rsidR="00000000">
        <w:trPr>
          <w:trHeight w:val="460"/>
        </w:trPr>
        <w:tc>
          <w:tcPr>
            <w:tcW w:w="0" w:type="auto"/>
            <w:gridSpan w:val="9"/>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2"/>
                <w:szCs w:val="12"/>
              </w:rPr>
              <w:t>(Dollars in millions)</w:t>
            </w:r>
          </w:p>
        </w:tc>
        <w:tc>
          <w:tcPr>
            <w:tcW w:w="0" w:type="auto"/>
            <w:gridSpan w:val="4"/>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Balance, April 1, 2020</w:t>
            </w:r>
          </w:p>
        </w:tc>
        <w:tc>
          <w:tcPr>
            <w:tcW w:w="0" w:type="auto"/>
            <w:gridSpan w:val="9"/>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Included</w:t>
            </w:r>
          </w:p>
          <w:p w:rsidR="00000000" w:rsidRDefault="00AF3814">
            <w:pPr>
              <w:spacing w:after="100"/>
              <w:jc w:val="center"/>
              <w:rPr>
                <w:rFonts w:eastAsia="Times New Roman"/>
              </w:rPr>
            </w:pPr>
            <w:r>
              <w:rPr>
                <w:rFonts w:eastAsia="Times New Roman"/>
                <w:b/>
                <w:bCs/>
                <w:color w:val="000000"/>
                <w:sz w:val="12"/>
                <w:szCs w:val="12"/>
              </w:rPr>
              <w:t>in Net</w:t>
            </w:r>
          </w:p>
          <w:p w:rsidR="00000000" w:rsidRDefault="00AF3814">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Included in OCI</w:t>
            </w:r>
          </w:p>
        </w:tc>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Purchases</w:t>
            </w:r>
          </w:p>
        </w:tc>
        <w:tc>
          <w:tcPr>
            <w:tcW w:w="0" w:type="auto"/>
            <w:gridSpan w:val="9"/>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8"/>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Sales</w:t>
            </w:r>
          </w:p>
        </w:tc>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Issuances</w:t>
            </w:r>
          </w:p>
        </w:tc>
        <w:tc>
          <w:tcPr>
            <w:tcW w:w="0" w:type="auto"/>
            <w:gridSpan w:val="4"/>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Balance, June 30, 2020</w:t>
            </w:r>
          </w:p>
        </w:tc>
        <w:tc>
          <w:tcPr>
            <w:tcW w:w="0" w:type="auto"/>
            <w:tcMar>
              <w:top w:w="0" w:type="dxa"/>
              <w:left w:w="20" w:type="dxa"/>
              <w:bottom w:w="0" w:type="dxa"/>
              <w:right w:w="20" w:type="dxa"/>
            </w:tcMar>
            <w:vAlign w:val="center"/>
            <w:hideMark/>
          </w:tcPr>
          <w:p w:rsidR="00000000" w:rsidRDefault="00AF3814">
            <w:pPr>
              <w:spacing w:after="100"/>
              <w:jc w:val="center"/>
              <w:rPr>
                <w:rFonts w:eastAsia="Times New Roman"/>
              </w:rPr>
            </w:pPr>
          </w:p>
        </w:tc>
      </w:tr>
      <w:tr w:rsidR="00000000">
        <w:tc>
          <w:tcPr>
            <w:tcW w:w="0" w:type="auto"/>
            <w:gridSpan w:val="9"/>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906918352"/>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c>
          <w:tcPr>
            <w:tcW w:w="0" w:type="auto"/>
            <w:gridSpan w:val="9"/>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RMBS</w:t>
            </w: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gridSpan w:val="7"/>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373 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gridSpan w:val="6"/>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6 </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29 </w:t>
            </w:r>
          </w:p>
        </w:tc>
        <w:tc>
          <w:tcPr>
            <w:tcW w:w="0" w:type="auto"/>
            <w:gridSpan w:val="4"/>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gridSpan w:val="4"/>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gridSpan w:val="3"/>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(16)</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131 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(49)</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474 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$7 </w:t>
            </w:r>
          </w:p>
        </w:tc>
      </w:tr>
      <w:tr w:rsidR="00000000">
        <w:tc>
          <w:tcPr>
            <w:tcW w:w="0" w:type="auto"/>
            <w:gridSpan w:val="9"/>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CMBS</w:t>
            </w: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w:t>
            </w:r>
          </w:p>
        </w:tc>
        <w:tc>
          <w:tcPr>
            <w:tcW w:w="0" w:type="auto"/>
            <w:gridSpan w:val="4"/>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gridSpan w:val="3"/>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250 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(3)</w:t>
            </w:r>
          </w:p>
        </w:tc>
      </w:tr>
      <w:tr w:rsidR="00000000">
        <w:tc>
          <w:tcPr>
            <w:tcW w:w="0" w:type="auto"/>
            <w:gridSpan w:val="9"/>
            <w:vAlign w:val="center"/>
            <w:hideMark/>
          </w:tcPr>
          <w:p w:rsidR="00000000" w:rsidRDefault="00AF3814">
            <w:pPr>
              <w:spacing w:after="100"/>
              <w:jc w:val="right"/>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1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8"/>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9"/>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Total securities available for sale</w:t>
            </w: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28 </w:t>
            </w:r>
          </w:p>
        </w:tc>
        <w:tc>
          <w:tcPr>
            <w:tcW w:w="0" w:type="auto"/>
            <w:gridSpan w:val="4"/>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gridSpan w:val="3"/>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756 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4 </w:t>
            </w:r>
          </w:p>
        </w:tc>
      </w:tr>
      <w:tr w:rsidR="00000000">
        <w:tc>
          <w:tcPr>
            <w:tcW w:w="0" w:type="auto"/>
            <w:gridSpan w:val="9"/>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 assets:</w:t>
            </w: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9"/>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13"/>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8"/>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9"/>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4"/>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c>
          <w:tcPr>
            <w:tcW w:w="0" w:type="auto"/>
            <w:gridSpan w:val="9"/>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Retained interests in securitizations</w:t>
            </w: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59 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w:t>
            </w:r>
          </w:p>
        </w:tc>
        <w:tc>
          <w:tcPr>
            <w:tcW w:w="0" w:type="auto"/>
            <w:gridSpan w:val="2"/>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9"/>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gridSpan w:val="4"/>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gridSpan w:val="3"/>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(3)</w:t>
            </w:r>
          </w:p>
        </w:tc>
      </w:tr>
      <w:tr w:rsidR="00000000">
        <w:tc>
          <w:tcPr>
            <w:tcW w:w="0" w:type="auto"/>
            <w:gridSpan w:val="9"/>
            <w:shd w:val="clear" w:color="auto" w:fill="CCEEFF"/>
            <w:tcMar>
              <w:top w:w="30" w:type="dxa"/>
              <w:left w:w="20" w:type="dxa"/>
              <w:bottom w:w="30" w:type="dxa"/>
              <w:right w:w="20" w:type="dxa"/>
            </w:tcMar>
            <w:vAlign w:val="center"/>
            <w:hideMark/>
          </w:tcPr>
          <w:p w:rsidR="00000000" w:rsidRDefault="00AF3814">
            <w:pPr>
              <w:spacing w:after="100"/>
              <w:divId w:val="1491559721"/>
              <w:rPr>
                <w:rFonts w:eastAsia="Times New Roman"/>
              </w:rPr>
            </w:pPr>
            <w:r>
              <w:rPr>
                <w:rFonts w:eastAsia="Times New Roman"/>
                <w:color w:val="000000"/>
                <w:sz w:val="16"/>
                <w:szCs w:val="16"/>
              </w:rPr>
              <w:t>Net derivative assets (liabilities</w:t>
            </w:r>
            <w:r>
              <w:rPr>
                <w:rFonts w:eastAsia="Times New Roman"/>
                <w:color w:val="000000"/>
                <w:sz w:val="16"/>
                <w:szCs w:val="16"/>
              </w:rPr>
              <w:t>)</w:t>
            </w:r>
            <w:r>
              <w:rPr>
                <w:rFonts w:eastAsia="Times New Roman"/>
                <w:color w:val="000000"/>
                <w:sz w:val="10"/>
                <w:szCs w:val="10"/>
              </w:rPr>
              <w:t>(4</w:t>
            </w:r>
            <w:r>
              <w:rPr>
                <w:rFonts w:eastAsia="Times New Roman"/>
                <w:color w:val="000000"/>
                <w:sz w:val="10"/>
                <w:szCs w:val="10"/>
              </w:rPr>
              <w:t>)</w:t>
            </w: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(8)</w:t>
            </w:r>
          </w:p>
        </w:tc>
        <w:tc>
          <w:tcPr>
            <w:tcW w:w="0" w:type="auto"/>
            <w:gridSpan w:val="2"/>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gridSpan w:val="4"/>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gridSpan w:val="3"/>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(26)</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r>
    </w:tbl>
    <w:p w:rsidR="00000000" w:rsidRDefault="00AF3814">
      <w:pPr>
        <w:jc w:val="both"/>
        <w:divId w:val="1804687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80"/>
        <w:gridCol w:w="1103"/>
        <w:gridCol w:w="38"/>
        <w:gridCol w:w="36"/>
        <w:gridCol w:w="36"/>
        <w:gridCol w:w="36"/>
        <w:gridCol w:w="101"/>
        <w:gridCol w:w="489"/>
        <w:gridCol w:w="36"/>
        <w:gridCol w:w="36"/>
        <w:gridCol w:w="36"/>
        <w:gridCol w:w="36"/>
        <w:gridCol w:w="101"/>
        <w:gridCol w:w="444"/>
        <w:gridCol w:w="37"/>
        <w:gridCol w:w="37"/>
        <w:gridCol w:w="47"/>
        <w:gridCol w:w="36"/>
        <w:gridCol w:w="100"/>
        <w:gridCol w:w="443"/>
        <w:gridCol w:w="36"/>
        <w:gridCol w:w="36"/>
        <w:gridCol w:w="36"/>
        <w:gridCol w:w="36"/>
        <w:gridCol w:w="101"/>
        <w:gridCol w:w="462"/>
        <w:gridCol w:w="36"/>
        <w:gridCol w:w="36"/>
        <w:gridCol w:w="36"/>
        <w:gridCol w:w="36"/>
        <w:gridCol w:w="101"/>
        <w:gridCol w:w="236"/>
        <w:gridCol w:w="36"/>
        <w:gridCol w:w="36"/>
        <w:gridCol w:w="36"/>
        <w:gridCol w:w="36"/>
        <w:gridCol w:w="101"/>
        <w:gridCol w:w="430"/>
        <w:gridCol w:w="36"/>
        <w:gridCol w:w="36"/>
        <w:gridCol w:w="36"/>
        <w:gridCol w:w="36"/>
        <w:gridCol w:w="101"/>
        <w:gridCol w:w="534"/>
        <w:gridCol w:w="36"/>
        <w:gridCol w:w="36"/>
        <w:gridCol w:w="36"/>
        <w:gridCol w:w="36"/>
        <w:gridCol w:w="101"/>
        <w:gridCol w:w="447"/>
        <w:gridCol w:w="36"/>
        <w:gridCol w:w="36"/>
        <w:gridCol w:w="36"/>
        <w:gridCol w:w="36"/>
        <w:gridCol w:w="101"/>
        <w:gridCol w:w="440"/>
        <w:gridCol w:w="36"/>
        <w:gridCol w:w="36"/>
        <w:gridCol w:w="36"/>
        <w:gridCol w:w="36"/>
        <w:gridCol w:w="101"/>
        <w:gridCol w:w="417"/>
        <w:gridCol w:w="791"/>
      </w:tblGrid>
      <w:tr w:rsidR="00000000">
        <w:trPr>
          <w:divId w:val="1804687832"/>
        </w:trPr>
        <w:tc>
          <w:tcPr>
            <w:tcW w:w="50" w:type="pct"/>
            <w:vAlign w:val="center"/>
            <w:hideMark/>
          </w:tcPr>
          <w:p w:rsidR="00000000" w:rsidRDefault="00AF3814">
            <w:pPr>
              <w:jc w:val="both"/>
              <w:rPr>
                <w:rFonts w:eastAsia="Times New Roman"/>
              </w:rPr>
            </w:pPr>
          </w:p>
        </w:tc>
        <w:tc>
          <w:tcPr>
            <w:tcW w:w="69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7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5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0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9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6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4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5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04687832"/>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AF3814">
            <w:pPr>
              <w:spacing w:after="100"/>
              <w:rPr>
                <w:rFonts w:eastAsia="Times New Roman"/>
                <w:sz w:val="20"/>
                <w:szCs w:val="20"/>
              </w:rPr>
            </w:pPr>
          </w:p>
        </w:tc>
      </w:tr>
      <w:tr w:rsidR="00000000">
        <w:trPr>
          <w:divId w:val="1804687832"/>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4"/>
                <w:szCs w:val="14"/>
              </w:rPr>
              <w:t>Six Months Ended June 30, 2020</w:t>
            </w:r>
          </w:p>
        </w:tc>
        <w:tc>
          <w:tcPr>
            <w:tcW w:w="0" w:type="auto"/>
            <w:vAlign w:val="center"/>
            <w:hideMark/>
          </w:tcPr>
          <w:p w:rsidR="00000000" w:rsidRDefault="00AF3814">
            <w:pPr>
              <w:spacing w:after="100"/>
              <w:rPr>
                <w:rFonts w:eastAsia="Times New Roman"/>
                <w:sz w:val="20"/>
                <w:szCs w:val="20"/>
              </w:rPr>
            </w:pPr>
          </w:p>
        </w:tc>
      </w:tr>
      <w:tr w:rsidR="00000000">
        <w:trPr>
          <w:divId w:val="1804687832"/>
          <w:trHeight w:val="30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r>
              <w:rPr>
                <w:rFonts w:eastAsia="Times New Roman"/>
                <w:b/>
                <w:bCs/>
                <w:color w:val="000000"/>
                <w:sz w:val="12"/>
                <w:szCs w:val="12"/>
              </w:rPr>
              <w:t xml:space="preserve">Net Unrealized Gains (Losses) Included in Net Income Related to Assets and Liabilities Still Held as of </w:t>
            </w:r>
          </w:p>
          <w:p w:rsidR="00000000" w:rsidRDefault="00AF3814">
            <w:pPr>
              <w:spacing w:after="100"/>
              <w:jc w:val="center"/>
              <w:rPr>
                <w:rFonts w:eastAsia="Times New Roman"/>
              </w:rPr>
            </w:pPr>
            <w:r>
              <w:rPr>
                <w:rFonts w:eastAsia="Times New Roman"/>
                <w:b/>
                <w:bCs/>
                <w:color w:val="000000"/>
                <w:sz w:val="12"/>
                <w:szCs w:val="12"/>
              </w:rPr>
              <w:t>June 30, 202</w:t>
            </w:r>
            <w:r>
              <w:rPr>
                <w:rFonts w:eastAsia="Times New Roman"/>
                <w:b/>
                <w:bCs/>
                <w:color w:val="000000"/>
                <w:sz w:val="12"/>
                <w:szCs w:val="12"/>
              </w:rPr>
              <w:t>0</w:t>
            </w:r>
            <w:r>
              <w:rPr>
                <w:rFonts w:eastAsia="Times New Roman"/>
                <w:b/>
                <w:bCs/>
                <w:color w:val="000000"/>
                <w:sz w:val="8"/>
                <w:szCs w:val="8"/>
              </w:rPr>
              <w:t>(1</w:t>
            </w:r>
            <w:r>
              <w:rPr>
                <w:rFonts w:eastAsia="Times New Roman"/>
                <w:b/>
                <w:bCs/>
                <w:color w:val="000000"/>
                <w:sz w:val="8"/>
                <w:szCs w:val="8"/>
              </w:rPr>
              <w:t>)</w:t>
            </w:r>
          </w:p>
          <w:p w:rsidR="00000000" w:rsidRDefault="00AF3814">
            <w:pPr>
              <w:spacing w:after="100"/>
              <w:jc w:val="center"/>
              <w:rPr>
                <w:rFonts w:eastAsia="Times New Roman"/>
              </w:rPr>
            </w:pPr>
          </w:p>
        </w:tc>
      </w:tr>
      <w:tr w:rsidR="00000000">
        <w:trPr>
          <w:divId w:val="1804687832"/>
          <w:trHeight w:val="46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2"/>
                <w:szCs w:val="12"/>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Balance, January 1, 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Included</w:t>
            </w:r>
          </w:p>
          <w:p w:rsidR="00000000" w:rsidRDefault="00AF3814">
            <w:pPr>
              <w:spacing w:after="100"/>
              <w:jc w:val="center"/>
              <w:rPr>
                <w:rFonts w:eastAsia="Times New Roman"/>
              </w:rPr>
            </w:pPr>
            <w:r>
              <w:rPr>
                <w:rFonts w:eastAsia="Times New Roman"/>
                <w:b/>
                <w:bCs/>
                <w:color w:val="000000"/>
                <w:sz w:val="12"/>
                <w:szCs w:val="12"/>
              </w:rPr>
              <w:t>in Net</w:t>
            </w:r>
          </w:p>
          <w:p w:rsidR="00000000" w:rsidRDefault="00AF3814">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2"/>
                <w:szCs w:val="12"/>
              </w:rPr>
              <w:t>Balance, June 30, 2020</w:t>
            </w:r>
          </w:p>
        </w:tc>
        <w:tc>
          <w:tcPr>
            <w:tcW w:w="0" w:type="auto"/>
            <w:tcMar>
              <w:top w:w="0" w:type="dxa"/>
              <w:left w:w="20" w:type="dxa"/>
              <w:bottom w:w="0" w:type="dxa"/>
              <w:right w:w="20" w:type="dxa"/>
            </w:tcMar>
            <w:vAlign w:val="center"/>
            <w:hideMark/>
          </w:tcPr>
          <w:p w:rsidR="00000000" w:rsidRDefault="00AF3814">
            <w:pPr>
              <w:spacing w:after="100"/>
              <w:jc w:val="center"/>
              <w:rPr>
                <w:rFonts w:eastAsia="Times New Roman"/>
              </w:rPr>
            </w:pPr>
          </w:p>
        </w:tc>
      </w:tr>
      <w:tr w:rsidR="00000000">
        <w:trPr>
          <w:divId w:val="18046878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divId w:val="752044680"/>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AF3814">
        <w:trPr>
          <w:divId w:val="180468783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433 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(33)</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140 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(51)</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474 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$10 </w:t>
            </w:r>
          </w:p>
        </w:tc>
      </w:tr>
      <w:tr w:rsidR="00AF3814">
        <w:trPr>
          <w:divId w:val="180468783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CMBS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273 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(3)</w:t>
            </w:r>
          </w:p>
        </w:tc>
      </w:tr>
      <w:tr w:rsidR="00000000">
        <w:trPr>
          <w:divId w:val="1804687832"/>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divId w:val="180468783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756 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7 </w:t>
            </w:r>
          </w:p>
        </w:tc>
      </w:tr>
      <w:tr w:rsidR="00000000">
        <w:trPr>
          <w:divId w:val="180468783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Other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0468783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2"/>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AF3814">
        <w:trPr>
          <w:divId w:val="180468783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6"/>
                <w:szCs w:val="16"/>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66 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(10)</w:t>
            </w:r>
          </w:p>
        </w:tc>
      </w:tr>
      <w:tr w:rsidR="00AF3814">
        <w:trPr>
          <w:divId w:val="180468783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337615123"/>
              <w:rPr>
                <w:rFonts w:eastAsia="Times New Roman"/>
              </w:rPr>
            </w:pPr>
            <w:r>
              <w:rPr>
                <w:rFonts w:eastAsia="Times New Roman"/>
                <w:color w:val="000000"/>
                <w:sz w:val="16"/>
                <w:szCs w:val="16"/>
              </w:rPr>
              <w:t>Net derivative assets (liabilities</w:t>
            </w:r>
            <w:r>
              <w:rPr>
                <w:rFonts w:eastAsia="Times New Roman"/>
                <w:color w:val="000000"/>
                <w:sz w:val="16"/>
                <w:szCs w:val="16"/>
              </w:rPr>
              <w:t>)</w:t>
            </w:r>
            <w:r>
              <w:rPr>
                <w:rFonts w:eastAsia="Times New Roman"/>
                <w:color w:val="000000"/>
                <w:sz w:val="10"/>
                <w:szCs w:val="10"/>
              </w:rPr>
              <w:t>(4</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(28)</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18 </w:t>
            </w:r>
          </w:p>
        </w:tc>
      </w:tr>
    </w:tbl>
    <w:p w:rsidR="00000000" w:rsidRDefault="00AF3814">
      <w:pPr>
        <w:jc w:val="both"/>
        <w:divId w:val="1804687832"/>
        <w:rPr>
          <w:rFonts w:eastAsia="Times New Roman"/>
        </w:rPr>
      </w:pPr>
      <w:r>
        <w:rPr>
          <w:rFonts w:eastAsia="Times New Roman"/>
          <w:color w:val="000000"/>
          <w:sz w:val="20"/>
          <w:szCs w:val="20"/>
        </w:rPr>
        <w:t>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59580460"/>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659580460"/>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65958046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42" style="width:0;height:1.5pt" o:hralign="center" o:hrstd="t" o:hr="t" fillcolor="#a0a0a0" stroked="f"/>
        </w:pict>
      </w:r>
    </w:p>
    <w:p w:rsidR="00000000" w:rsidRDefault="00AF3814">
      <w:pPr>
        <w:jc w:val="both"/>
        <w:divId w:val="51565856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515658567"/>
        <w:rPr>
          <w:rFonts w:eastAsia="Times New Roman"/>
        </w:rPr>
      </w:pPr>
    </w:p>
    <w:p w:rsidR="00000000" w:rsidRDefault="00AF3814">
      <w:pPr>
        <w:ind w:hanging="360"/>
        <w:jc w:val="both"/>
        <w:divId w:val="198045721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Realized gains (losses) on securities available for sale are included in net securities gains (losses) and retained interests in securitiz</w:t>
      </w:r>
      <w:r>
        <w:rPr>
          <w:rFonts w:eastAsia="Times New Roman"/>
          <w:color w:val="000000"/>
          <w:sz w:val="16"/>
          <w:szCs w:val="16"/>
        </w:rPr>
        <w:t>ations are reported as a component of non-interest income in our consolidated statements of income. Gains (losses) on derivatives are included as a component of net interest income or non-interest income in our consolidated statements of income.</w:t>
      </w:r>
    </w:p>
    <w:p w:rsidR="00000000" w:rsidRDefault="00AF3814">
      <w:pPr>
        <w:ind w:hanging="360"/>
        <w:jc w:val="both"/>
        <w:divId w:val="200358264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For the</w:t>
      </w:r>
      <w:r>
        <w:rPr>
          <w:rFonts w:eastAsia="Times New Roman"/>
          <w:color w:val="000000"/>
          <w:sz w:val="16"/>
          <w:szCs w:val="16"/>
        </w:rPr>
        <w:t xml:space="preserve"> three and six months ended June 30, 2021, included in OCI related to Level 3 securities available for sale still held as of June 30, 2021 were net unrealized losses of $1 million and net unrealized gains of $2 million, respectively. For the three and six </w:t>
      </w:r>
      <w:r>
        <w:rPr>
          <w:rFonts w:eastAsia="Times New Roman"/>
          <w:color w:val="000000"/>
          <w:sz w:val="16"/>
          <w:szCs w:val="16"/>
        </w:rPr>
        <w:t xml:space="preserve">months ended June 30, 2020, included in OCI related to Level 3 securities available for sale still held as of June 30, 2020 were net unrealized gains of $36 million and net unrealized losses of $23 million, respectively. </w:t>
      </w:r>
    </w:p>
    <w:p w:rsidR="00000000" w:rsidRDefault="00AF3814">
      <w:pPr>
        <w:ind w:hanging="360"/>
        <w:jc w:val="both"/>
        <w:divId w:val="198692699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The fair value of RMBS as of January 1, 2020 includes a cumulative adjustment of $4 million from the adoption of the CECL standard.</w:t>
      </w:r>
    </w:p>
    <w:p w:rsidR="00000000" w:rsidRDefault="00AF3814">
      <w:pPr>
        <w:ind w:hanging="360"/>
        <w:jc w:val="both"/>
        <w:divId w:val="661084016"/>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Includes derivative assets and liabilities of $129 million and $110 million, respectively, as of June 30, 2021 and $151 m</w:t>
      </w:r>
      <w:r>
        <w:rPr>
          <w:rFonts w:eastAsia="Times New Roman"/>
          <w:color w:val="000000"/>
          <w:sz w:val="16"/>
          <w:szCs w:val="16"/>
        </w:rPr>
        <w:t>illion and $117 million, respectively, as of June 30, 2020.</w:t>
      </w:r>
    </w:p>
    <w:p w:rsidR="00000000" w:rsidRDefault="00AF3814">
      <w:pPr>
        <w:jc w:val="both"/>
        <w:divId w:val="162093431"/>
        <w:rPr>
          <w:rFonts w:eastAsia="Times New Roman"/>
        </w:rPr>
      </w:pPr>
      <w:r>
        <w:rPr>
          <w:rFonts w:eastAsia="Times New Roman"/>
          <w:b/>
          <w:bCs/>
          <w:color w:val="000000"/>
          <w:sz w:val="20"/>
          <w:szCs w:val="20"/>
        </w:rPr>
        <w:t>Significant Level 3 Fair Value Asset and Liability Inputs</w:t>
      </w:r>
    </w:p>
    <w:p w:rsidR="00000000" w:rsidRDefault="00AF3814">
      <w:pPr>
        <w:jc w:val="both"/>
        <w:divId w:val="1335719939"/>
        <w:rPr>
          <w:rFonts w:eastAsia="Times New Roman"/>
        </w:rPr>
      </w:pPr>
      <w:r>
        <w:rPr>
          <w:rFonts w:eastAsia="Times New Roman"/>
          <w:color w:val="000000"/>
          <w:sz w:val="20"/>
          <w:szCs w:val="20"/>
        </w:rPr>
        <w:t>Generally, uncertainties in fair value measurements of financial instruments, such as changes in unobservable inputs, may have a significant impact on fair value. Certain of these unobservable inputs will, in isolation, have a directionally consistent impa</w:t>
      </w:r>
      <w:r>
        <w:rPr>
          <w:rFonts w:eastAsia="Times New Roman"/>
          <w:color w:val="000000"/>
          <w:sz w:val="20"/>
          <w:szCs w:val="20"/>
        </w:rPr>
        <w:t>ct on the fair value of the instrument for a given change in that input. Alternatively, the fair value of the instrument may move in an opposite direction for a given change in another input. In general, an increase in the discount rate, default rates, los</w:t>
      </w:r>
      <w:r>
        <w:rPr>
          <w:rFonts w:eastAsia="Times New Roman"/>
          <w:color w:val="000000"/>
          <w:sz w:val="20"/>
          <w:szCs w:val="20"/>
        </w:rPr>
        <w:t>s severity and credit spreads, in isolation, would result in a decrease in the fair value measurement. In addition, an increase in default rates would generally be accompanied by a decrease in recovery rates, slower prepayment rates and an increase in liqu</w:t>
      </w:r>
      <w:r>
        <w:rPr>
          <w:rFonts w:eastAsia="Times New Roman"/>
          <w:color w:val="000000"/>
          <w:sz w:val="20"/>
          <w:szCs w:val="20"/>
        </w:rPr>
        <w:t>idity spreads.</w:t>
      </w:r>
    </w:p>
    <w:p w:rsidR="00000000" w:rsidRDefault="00AF3814">
      <w:pPr>
        <w:jc w:val="both"/>
        <w:divId w:val="1144348031"/>
        <w:rPr>
          <w:rFonts w:eastAsia="Times New Roman"/>
        </w:rPr>
      </w:pPr>
      <w:r>
        <w:rPr>
          <w:rFonts w:eastAsia="Times New Roman"/>
          <w:b/>
          <w:bCs/>
          <w:color w:val="000000"/>
          <w:sz w:val="20"/>
          <w:szCs w:val="20"/>
        </w:rPr>
        <w:t>Techniques and Inputs for Level 3 Fair Value Measurements</w:t>
      </w:r>
    </w:p>
    <w:p w:rsidR="00000000" w:rsidRDefault="00AF3814">
      <w:pPr>
        <w:jc w:val="both"/>
        <w:divId w:val="1856113975"/>
        <w:rPr>
          <w:rFonts w:eastAsia="Times New Roman"/>
        </w:rPr>
      </w:pPr>
      <w:r>
        <w:rPr>
          <w:rFonts w:eastAsia="Times New Roman"/>
          <w:color w:val="000000"/>
          <w:sz w:val="20"/>
          <w:szCs w:val="20"/>
        </w:rPr>
        <w:t>The following table presents the significant unobservable inputs used to determine the fair values of our Level 3 financial instruments on a recurring basis. We utilize multiple vendo</w:t>
      </w:r>
      <w:r>
        <w:rPr>
          <w:rFonts w:eastAsia="Times New Roman"/>
          <w:color w:val="000000"/>
          <w:sz w:val="20"/>
          <w:szCs w:val="20"/>
        </w:rPr>
        <w:t>r pricing services to obtain fair value for our securities. Several of our vendor pricing services are only able to provide unobservable input information for a limited number of securities due to software licensing restrictions. Other vendor pricing servi</w:t>
      </w:r>
      <w:r>
        <w:rPr>
          <w:rFonts w:eastAsia="Times New Roman"/>
          <w:color w:val="000000"/>
          <w:sz w:val="20"/>
          <w:szCs w:val="20"/>
        </w:rPr>
        <w:t>ces are able to provide unobservable input information for all securities for which they provide a valuation. As a result, the unobservable input information for the securities available for sale presented below represents a composite summary of all inform</w:t>
      </w:r>
      <w:r>
        <w:rPr>
          <w:rFonts w:eastAsia="Times New Roman"/>
          <w:color w:val="000000"/>
          <w:sz w:val="20"/>
          <w:szCs w:val="20"/>
        </w:rPr>
        <w:t>ation we are able to obtain. The unobservable input information for all other Level 3 financial instruments is based on the assumptions used in our internal valuation models.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61380061"/>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6138006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6138006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43" style="width:0;height:1.5pt" o:hralign="center" o:hrstd="t" o:hr="t" fillcolor="#a0a0a0" stroked="f"/>
        </w:pict>
      </w:r>
    </w:p>
    <w:p w:rsidR="00000000" w:rsidRDefault="00AF3814">
      <w:pPr>
        <w:jc w:val="both"/>
        <w:divId w:val="1840580379"/>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840580379"/>
        <w:rPr>
          <w:rFonts w:eastAsia="Times New Roman"/>
        </w:rPr>
      </w:pPr>
    </w:p>
    <w:p w:rsidR="00000000" w:rsidRDefault="00AF3814">
      <w:pPr>
        <w:divId w:val="266470632"/>
        <w:rPr>
          <w:rFonts w:eastAsia="Times New Roman"/>
        </w:rPr>
      </w:pPr>
      <w:r>
        <w:rPr>
          <w:rFonts w:eastAsia="Times New Roman"/>
          <w:b/>
          <w:bCs/>
          <w:color w:val="000000"/>
          <w:sz w:val="18"/>
          <w:szCs w:val="18"/>
        </w:rPr>
        <w:t>Table 11.3: Quantitative Information about Level 3 Fair Value Measurements</w:t>
      </w:r>
    </w:p>
    <w:tbl>
      <w:tblPr>
        <w:tblW w:w="4992" w:type="pct"/>
        <w:tblCellMar>
          <w:top w:w="15" w:type="dxa"/>
          <w:left w:w="15" w:type="dxa"/>
          <w:bottom w:w="15" w:type="dxa"/>
          <w:right w:w="15" w:type="dxa"/>
        </w:tblCellMar>
        <w:tblLook w:val="04A0" w:firstRow="1" w:lastRow="0" w:firstColumn="1" w:lastColumn="0" w:noHBand="0" w:noVBand="1"/>
      </w:tblPr>
      <w:tblGrid>
        <w:gridCol w:w="53"/>
        <w:gridCol w:w="1742"/>
        <w:gridCol w:w="38"/>
        <w:gridCol w:w="36"/>
        <w:gridCol w:w="36"/>
        <w:gridCol w:w="36"/>
        <w:gridCol w:w="110"/>
        <w:gridCol w:w="714"/>
        <w:gridCol w:w="36"/>
        <w:gridCol w:w="36"/>
        <w:gridCol w:w="36"/>
        <w:gridCol w:w="36"/>
        <w:gridCol w:w="70"/>
        <w:gridCol w:w="1215"/>
        <w:gridCol w:w="36"/>
        <w:gridCol w:w="36"/>
        <w:gridCol w:w="36"/>
        <w:gridCol w:w="36"/>
        <w:gridCol w:w="92"/>
        <w:gridCol w:w="1984"/>
        <w:gridCol w:w="36"/>
        <w:gridCol w:w="36"/>
        <w:gridCol w:w="36"/>
        <w:gridCol w:w="36"/>
        <w:gridCol w:w="37"/>
        <w:gridCol w:w="800"/>
        <w:gridCol w:w="36"/>
        <w:gridCol w:w="36"/>
        <w:gridCol w:w="36"/>
        <w:gridCol w:w="36"/>
        <w:gridCol w:w="85"/>
        <w:gridCol w:w="633"/>
        <w:gridCol w:w="36"/>
      </w:tblGrid>
      <w:tr w:rsidR="00000000">
        <w:trPr>
          <w:divId w:val="196283883"/>
        </w:trPr>
        <w:tc>
          <w:tcPr>
            <w:tcW w:w="50" w:type="pct"/>
            <w:vAlign w:val="center"/>
            <w:hideMark/>
          </w:tcPr>
          <w:p w:rsidR="00000000" w:rsidRDefault="00AF3814">
            <w:pPr>
              <w:rPr>
                <w:rFonts w:eastAsia="Times New Roman"/>
              </w:rPr>
            </w:pPr>
          </w:p>
        </w:tc>
        <w:tc>
          <w:tcPr>
            <w:tcW w:w="110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0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83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07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8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6283883"/>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trPr>
          <w:divId w:val="196283883"/>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June 30, </w:t>
            </w:r>
            <w:r>
              <w:rPr>
                <w:rFonts w:eastAsia="Times New Roman"/>
                <w:b/>
                <w:bCs/>
                <w:color w:val="000000"/>
                <w:sz w:val="16"/>
                <w:szCs w:val="16"/>
              </w:rPr>
              <w:b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t>Techniques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Weighted</w:t>
            </w:r>
          </w:p>
          <w:p w:rsidR="00000000" w:rsidRDefault="00AF3814">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9628388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6283883"/>
        </w:trPr>
        <w:tc>
          <w:tcPr>
            <w:tcW w:w="0" w:type="auto"/>
            <w:gridSpan w:val="3"/>
            <w:shd w:val="clear" w:color="auto" w:fill="FFFFFF"/>
            <w:tcMar>
              <w:top w:w="30" w:type="dxa"/>
              <w:left w:w="155" w:type="dxa"/>
              <w:bottom w:w="30" w:type="dxa"/>
              <w:right w:w="20" w:type="dxa"/>
            </w:tcMa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hideMark/>
          </w:tcPr>
          <w:p w:rsidR="00000000" w:rsidRDefault="00AF3814">
            <w:pPr>
              <w:spacing w:after="100"/>
              <w:jc w:val="right"/>
              <w:rPr>
                <w:rFonts w:eastAsia="Times New Roman"/>
              </w:rPr>
            </w:pPr>
            <w:r>
              <w:rPr>
                <w:rFonts w:eastAsia="Times New Roman"/>
                <w:b/>
                <w:bCs/>
                <w:color w:val="000000"/>
                <w:sz w:val="18"/>
                <w:szCs w:val="18"/>
              </w:rPr>
              <w:t>289</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Yield</w:t>
            </w:r>
            <w:r>
              <w:rPr>
                <w:rFonts w:eastAsia="Times New Roman"/>
                <w:color w:val="000000"/>
                <w:sz w:val="18"/>
                <w:szCs w:val="18"/>
              </w:rPr>
              <w:br/>
              <w:t>Voluntary 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divId w:val="1209142547"/>
              <w:rPr>
                <w:rFonts w:eastAsia="Times New Roman"/>
              </w:rPr>
            </w:pPr>
            <w:r>
              <w:rPr>
                <w:rFonts w:eastAsia="Times New Roman"/>
                <w:b/>
                <w:bCs/>
                <w:color w:val="000000"/>
                <w:sz w:val="18"/>
                <w:szCs w:val="18"/>
              </w:rPr>
              <w:t>1-19%</w:t>
            </w:r>
          </w:p>
          <w:p w:rsidR="00000000" w:rsidRDefault="00AF3814">
            <w:pPr>
              <w:spacing w:after="100"/>
              <w:divId w:val="658120664"/>
              <w:rPr>
                <w:rFonts w:eastAsia="Times New Roman"/>
              </w:rPr>
            </w:pPr>
            <w:r>
              <w:rPr>
                <w:rFonts w:eastAsia="Times New Roman"/>
                <w:b/>
                <w:bCs/>
                <w:color w:val="000000"/>
                <w:sz w:val="18"/>
                <w:szCs w:val="18"/>
              </w:rPr>
              <w:t>5-20%</w:t>
            </w:r>
          </w:p>
          <w:p w:rsidR="00000000" w:rsidRDefault="00AF3814">
            <w:pPr>
              <w:spacing w:after="100"/>
              <w:divId w:val="1073158168"/>
              <w:rPr>
                <w:rFonts w:eastAsia="Times New Roman"/>
              </w:rPr>
            </w:pPr>
            <w:r>
              <w:rPr>
                <w:rFonts w:eastAsia="Times New Roman"/>
                <w:b/>
                <w:bCs/>
                <w:color w:val="000000"/>
                <w:sz w:val="18"/>
                <w:szCs w:val="18"/>
              </w:rPr>
              <w:t>1-11%</w:t>
            </w:r>
          </w:p>
          <w:p w:rsidR="00000000" w:rsidRDefault="00AF3814">
            <w:pPr>
              <w:spacing w:after="100"/>
              <w:divId w:val="1828084904"/>
              <w:rPr>
                <w:rFonts w:eastAsia="Times New Roman"/>
              </w:rPr>
            </w:pPr>
            <w:r>
              <w:rPr>
                <w:rFonts w:eastAsia="Times New Roman"/>
                <w:b/>
                <w:bCs/>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divId w:val="792670537"/>
              <w:rPr>
                <w:rFonts w:eastAsia="Times New Roman"/>
              </w:rPr>
            </w:pPr>
            <w:r>
              <w:rPr>
                <w:rFonts w:eastAsia="Times New Roman"/>
                <w:b/>
                <w:bCs/>
                <w:color w:val="000000"/>
                <w:sz w:val="18"/>
                <w:szCs w:val="18"/>
              </w:rPr>
              <w:t>3%</w:t>
            </w:r>
          </w:p>
          <w:p w:rsidR="00000000" w:rsidRDefault="00AF3814">
            <w:pPr>
              <w:spacing w:after="100"/>
              <w:divId w:val="1208952863"/>
              <w:rPr>
                <w:rFonts w:eastAsia="Times New Roman"/>
              </w:rPr>
            </w:pPr>
            <w:r>
              <w:rPr>
                <w:rFonts w:eastAsia="Times New Roman"/>
                <w:b/>
                <w:bCs/>
                <w:color w:val="000000"/>
                <w:sz w:val="18"/>
                <w:szCs w:val="18"/>
              </w:rPr>
              <w:t>11%</w:t>
            </w:r>
          </w:p>
          <w:p w:rsidR="00000000" w:rsidRDefault="00AF3814">
            <w:pPr>
              <w:spacing w:after="100"/>
              <w:divId w:val="860822067"/>
              <w:rPr>
                <w:rFonts w:eastAsia="Times New Roman"/>
              </w:rPr>
            </w:pPr>
            <w:r>
              <w:rPr>
                <w:rFonts w:eastAsia="Times New Roman"/>
                <w:b/>
                <w:bCs/>
                <w:color w:val="000000"/>
                <w:sz w:val="18"/>
                <w:szCs w:val="18"/>
              </w:rPr>
              <w:t>2%</w:t>
            </w:r>
          </w:p>
          <w:p w:rsidR="00000000" w:rsidRDefault="00AF3814">
            <w:pPr>
              <w:spacing w:after="100"/>
              <w:divId w:val="371535619"/>
              <w:rPr>
                <w:rFonts w:eastAsia="Times New Roman"/>
              </w:rPr>
            </w:pPr>
            <w:r>
              <w:rPr>
                <w:rFonts w:eastAsia="Times New Roman"/>
                <w:b/>
                <w:bCs/>
                <w:color w:val="000000"/>
                <w:sz w:val="18"/>
                <w:szCs w:val="18"/>
              </w:rPr>
              <w:t>68%</w:t>
            </w:r>
          </w:p>
        </w:tc>
      </w:tr>
      <w:tr w:rsidR="00000000">
        <w:trPr>
          <w:divId w:val="196283883"/>
        </w:trPr>
        <w:tc>
          <w:tcPr>
            <w:tcW w:w="0" w:type="auto"/>
            <w:gridSpan w:val="3"/>
            <w:shd w:val="clear" w:color="auto" w:fill="CCEEFF"/>
            <w:tcMar>
              <w:top w:w="30" w:type="dxa"/>
              <w:left w:w="155" w:type="dxa"/>
              <w:bottom w:w="30" w:type="dxa"/>
              <w:right w:w="20" w:type="dxa"/>
            </w:tcMar>
            <w:hideMark/>
          </w:tcPr>
          <w:p w:rsidR="00000000" w:rsidRDefault="00AF3814">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F3814">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divId w:val="591200580"/>
              <w:rPr>
                <w:rFonts w:eastAsia="Times New Roman"/>
              </w:rPr>
            </w:pPr>
            <w:r>
              <w:rPr>
                <w:rFonts w:eastAsia="Times New Roman"/>
                <w:b/>
                <w:bCs/>
                <w:color w:val="000000"/>
                <w:sz w:val="18"/>
                <w:szCs w:val="18"/>
              </w:rPr>
              <w:t>0-2%</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divId w:val="204954027"/>
              <w:rPr>
                <w:rFonts w:eastAsia="Times New Roman"/>
              </w:rPr>
            </w:pPr>
            <w:r>
              <w:rPr>
                <w:rFonts w:eastAsia="Times New Roman"/>
                <w:b/>
                <w:bCs/>
                <w:color w:val="000000"/>
                <w:sz w:val="18"/>
                <w:szCs w:val="18"/>
              </w:rPr>
              <w:t>1%</w:t>
            </w:r>
          </w:p>
        </w:tc>
      </w:tr>
      <w:tr w:rsidR="00000000">
        <w:trPr>
          <w:divId w:val="196283883"/>
        </w:trPr>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6283883"/>
        </w:trPr>
        <w:tc>
          <w:tcPr>
            <w:tcW w:w="0" w:type="auto"/>
            <w:gridSpan w:val="3"/>
            <w:shd w:val="clear" w:color="auto" w:fill="CCEEFF"/>
            <w:tcMar>
              <w:top w:w="30" w:type="dxa"/>
              <w:left w:w="20" w:type="dxa"/>
              <w:bottom w:w="30" w:type="dxa"/>
              <w:right w:w="20" w:type="dxa"/>
            </w:tcMar>
            <w:hideMark/>
          </w:tcPr>
          <w:p w:rsidR="00000000" w:rsidRDefault="00AF3814">
            <w:pPr>
              <w:spacing w:after="100"/>
              <w:divId w:val="166017309"/>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F3814">
            <w:pPr>
              <w:spacing w:after="100"/>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Life of receivables (months)</w:t>
            </w:r>
            <w:r>
              <w:rPr>
                <w:rFonts w:eastAsia="Times New Roman"/>
                <w:color w:val="000000"/>
                <w:sz w:val="18"/>
                <w:szCs w:val="18"/>
              </w:rPr>
              <w:br/>
            </w:r>
            <w:r>
              <w:rPr>
                <w:rFonts w:eastAsia="Times New Roman"/>
                <w:color w:val="000000"/>
                <w:sz w:val="18"/>
                <w:szCs w:val="18"/>
              </w:rP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divId w:val="517353811"/>
              <w:rPr>
                <w:rFonts w:eastAsia="Times New Roman"/>
              </w:rPr>
            </w:pPr>
            <w:r>
              <w:rPr>
                <w:rFonts w:eastAsia="Times New Roman"/>
                <w:b/>
                <w:bCs/>
                <w:color w:val="000000"/>
                <w:sz w:val="18"/>
                <w:szCs w:val="18"/>
              </w:rPr>
              <w:t>33-40</w:t>
            </w:r>
          </w:p>
          <w:p w:rsidR="00000000" w:rsidRDefault="00AF3814">
            <w:pPr>
              <w:spacing w:after="100"/>
              <w:divId w:val="1527063220"/>
              <w:rPr>
                <w:rFonts w:eastAsia="Times New Roman"/>
              </w:rPr>
            </w:pPr>
            <w:r>
              <w:rPr>
                <w:rFonts w:eastAsia="Times New Roman"/>
                <w:b/>
                <w:bCs/>
                <w:color w:val="000000"/>
                <w:sz w:val="18"/>
                <w:szCs w:val="18"/>
              </w:rPr>
              <w:t>9-15%</w:t>
            </w:r>
          </w:p>
          <w:p w:rsidR="00000000" w:rsidRDefault="00AF3814">
            <w:pPr>
              <w:spacing w:after="100"/>
              <w:divId w:val="1925646753"/>
              <w:rPr>
                <w:rFonts w:eastAsia="Times New Roman"/>
              </w:rPr>
            </w:pPr>
            <w:r>
              <w:rPr>
                <w:rFonts w:eastAsia="Times New Roman"/>
                <w:b/>
                <w:bCs/>
                <w:color w:val="000000"/>
                <w:sz w:val="18"/>
                <w:szCs w:val="18"/>
              </w:rPr>
              <w:t>2-11%</w:t>
            </w:r>
          </w:p>
          <w:p w:rsidR="00000000" w:rsidRDefault="00AF3814">
            <w:pPr>
              <w:spacing w:after="100"/>
              <w:divId w:val="1992826706"/>
              <w:rPr>
                <w:rFonts w:eastAsia="Times New Roman"/>
              </w:rPr>
            </w:pPr>
            <w:r>
              <w:rPr>
                <w:rFonts w:eastAsia="Times New Roman"/>
                <w:b/>
                <w:bCs/>
                <w:color w:val="000000"/>
                <w:sz w:val="18"/>
                <w:szCs w:val="18"/>
              </w:rPr>
              <w:t>2-4%</w:t>
            </w:r>
          </w:p>
          <w:p w:rsidR="00000000" w:rsidRDefault="00AF3814">
            <w:pPr>
              <w:spacing w:after="100"/>
              <w:divId w:val="730808302"/>
              <w:rPr>
                <w:rFonts w:eastAsia="Times New Roman"/>
              </w:rPr>
            </w:pPr>
            <w:r>
              <w:rPr>
                <w:rFonts w:eastAsia="Times New Roman"/>
                <w:b/>
                <w:bCs/>
                <w:color w:val="000000"/>
                <w:sz w:val="18"/>
                <w:szCs w:val="18"/>
              </w:rPr>
              <w:t>55-151%</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N/A</w:t>
            </w:r>
          </w:p>
        </w:tc>
      </w:tr>
      <w:tr w:rsidR="00000000">
        <w:trPr>
          <w:divId w:val="196283883"/>
        </w:trPr>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F3814">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divId w:val="608046103"/>
              <w:rPr>
                <w:rFonts w:eastAsia="Times New Roman"/>
              </w:rPr>
            </w:pPr>
            <w:r>
              <w:rPr>
                <w:rFonts w:eastAsia="Times New Roman"/>
                <w:b/>
                <w:bCs/>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b/>
                <w:bCs/>
                <w:color w:val="000000"/>
                <w:sz w:val="18"/>
                <w:szCs w:val="18"/>
              </w:rPr>
              <w:t>1%</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1837"/>
        <w:gridCol w:w="144"/>
        <w:gridCol w:w="144"/>
        <w:gridCol w:w="144"/>
        <w:gridCol w:w="144"/>
        <w:gridCol w:w="144"/>
        <w:gridCol w:w="830"/>
        <w:gridCol w:w="144"/>
        <w:gridCol w:w="144"/>
        <w:gridCol w:w="144"/>
        <w:gridCol w:w="144"/>
        <w:gridCol w:w="144"/>
        <w:gridCol w:w="1376"/>
        <w:gridCol w:w="144"/>
        <w:gridCol w:w="144"/>
        <w:gridCol w:w="144"/>
        <w:gridCol w:w="144"/>
        <w:gridCol w:w="144"/>
        <w:gridCol w:w="1789"/>
        <w:gridCol w:w="144"/>
        <w:gridCol w:w="144"/>
        <w:gridCol w:w="144"/>
        <w:gridCol w:w="144"/>
        <w:gridCol w:w="144"/>
        <w:gridCol w:w="976"/>
        <w:gridCol w:w="144"/>
        <w:gridCol w:w="144"/>
        <w:gridCol w:w="144"/>
        <w:gridCol w:w="144"/>
        <w:gridCol w:w="144"/>
        <w:gridCol w:w="625"/>
        <w:gridCol w:w="144"/>
      </w:tblGrid>
      <w:tr w:rsidR="00000000">
        <w:tc>
          <w:tcPr>
            <w:tcW w:w="50" w:type="pct"/>
            <w:vAlign w:val="center"/>
            <w:hideMark/>
          </w:tcPr>
          <w:p w:rsidR="00000000" w:rsidRDefault="00AF3814">
            <w:pPr>
              <w:rPr>
                <w:rFonts w:eastAsia="Times New Roman"/>
              </w:rPr>
            </w:pPr>
          </w:p>
        </w:tc>
        <w:tc>
          <w:tcPr>
            <w:tcW w:w="110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0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83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07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8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7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r>
            <w:r>
              <w:rPr>
                <w:rFonts w:eastAsia="Times New Roman"/>
                <w:b/>
                <w:bCs/>
                <w:color w:val="000000"/>
                <w:sz w:val="16"/>
                <w:szCs w:val="16"/>
              </w:rPr>
              <w:t>Techniques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Weighted</w:t>
            </w:r>
          </w:p>
          <w:p w:rsidR="00000000" w:rsidRDefault="00AF3814">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hideMark/>
          </w:tcPr>
          <w:p w:rsidR="00000000" w:rsidRDefault="00AF3814">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AF3814">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Yield</w:t>
            </w:r>
            <w:r>
              <w:rPr>
                <w:rFonts w:eastAsia="Times New Roman"/>
                <w:color w:val="000000"/>
                <w:sz w:val="18"/>
                <w:szCs w:val="18"/>
              </w:rPr>
              <w:br/>
              <w:t>Voluntary </w:t>
            </w:r>
            <w:r>
              <w:rPr>
                <w:rFonts w:eastAsia="Times New Roman"/>
                <w:color w:val="000000"/>
                <w:sz w:val="18"/>
                <w:szCs w:val="18"/>
              </w:rPr>
              <w:t>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divId w:val="1909804982"/>
              <w:rPr>
                <w:rFonts w:eastAsia="Times New Roman"/>
              </w:rPr>
            </w:pPr>
            <w:r>
              <w:rPr>
                <w:rFonts w:eastAsia="Times New Roman"/>
                <w:color w:val="000000"/>
                <w:sz w:val="18"/>
                <w:szCs w:val="18"/>
              </w:rPr>
              <w:t>2-12%</w:t>
            </w:r>
          </w:p>
          <w:p w:rsidR="00000000" w:rsidRDefault="00AF3814">
            <w:pPr>
              <w:spacing w:after="100"/>
              <w:divId w:val="191037753"/>
              <w:rPr>
                <w:rFonts w:eastAsia="Times New Roman"/>
              </w:rPr>
            </w:pPr>
            <w:r>
              <w:rPr>
                <w:rFonts w:eastAsia="Times New Roman"/>
                <w:color w:val="000000"/>
                <w:sz w:val="18"/>
                <w:szCs w:val="18"/>
              </w:rPr>
              <w:t>8-15%</w:t>
            </w:r>
          </w:p>
          <w:p w:rsidR="00000000" w:rsidRDefault="00AF3814">
            <w:pPr>
              <w:spacing w:after="100"/>
              <w:divId w:val="1792213235"/>
              <w:rPr>
                <w:rFonts w:eastAsia="Times New Roman"/>
              </w:rPr>
            </w:pPr>
            <w:r>
              <w:rPr>
                <w:rFonts w:eastAsia="Times New Roman"/>
                <w:color w:val="000000"/>
                <w:sz w:val="18"/>
                <w:szCs w:val="18"/>
              </w:rPr>
              <w:t>0-11%</w:t>
            </w:r>
          </w:p>
          <w:p w:rsidR="00000000" w:rsidRDefault="00AF3814">
            <w:pPr>
              <w:spacing w:after="100"/>
              <w:divId w:val="38365707"/>
              <w:rPr>
                <w:rFonts w:eastAsia="Times New Roman"/>
              </w:rPr>
            </w:pPr>
            <w:r>
              <w:rPr>
                <w:rFonts w:eastAsia="Times New Roman"/>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divId w:val="1300067251"/>
              <w:rPr>
                <w:rFonts w:eastAsia="Times New Roman"/>
              </w:rPr>
            </w:pPr>
            <w:r>
              <w:rPr>
                <w:rFonts w:eastAsia="Times New Roman"/>
                <w:color w:val="000000"/>
                <w:sz w:val="18"/>
                <w:szCs w:val="18"/>
              </w:rPr>
              <w:t>3%</w:t>
            </w:r>
          </w:p>
          <w:p w:rsidR="00000000" w:rsidRDefault="00AF3814">
            <w:pPr>
              <w:spacing w:after="100"/>
              <w:divId w:val="967517151"/>
              <w:rPr>
                <w:rFonts w:eastAsia="Times New Roman"/>
              </w:rPr>
            </w:pPr>
            <w:r>
              <w:rPr>
                <w:rFonts w:eastAsia="Times New Roman"/>
                <w:color w:val="000000"/>
                <w:sz w:val="18"/>
                <w:szCs w:val="18"/>
              </w:rPr>
              <w:t>10%</w:t>
            </w:r>
          </w:p>
          <w:p w:rsidR="00000000" w:rsidRDefault="00AF3814">
            <w:pPr>
              <w:spacing w:after="100"/>
              <w:divId w:val="939485977"/>
              <w:rPr>
                <w:rFonts w:eastAsia="Times New Roman"/>
              </w:rPr>
            </w:pPr>
            <w:r>
              <w:rPr>
                <w:rFonts w:eastAsia="Times New Roman"/>
                <w:color w:val="000000"/>
                <w:sz w:val="18"/>
                <w:szCs w:val="18"/>
              </w:rPr>
              <w:t>2%</w:t>
            </w:r>
          </w:p>
          <w:p w:rsidR="00000000" w:rsidRDefault="00AF3814">
            <w:pPr>
              <w:spacing w:after="100"/>
              <w:divId w:val="949241785"/>
              <w:rPr>
                <w:rFonts w:eastAsia="Times New Roman"/>
              </w:rPr>
            </w:pPr>
            <w:r>
              <w:rPr>
                <w:rFonts w:eastAsia="Times New Roman"/>
                <w:color w:val="000000"/>
                <w:sz w:val="18"/>
                <w:szCs w:val="18"/>
              </w:rPr>
              <w:t>73%</w:t>
            </w:r>
          </w:p>
        </w:tc>
      </w:tr>
      <w:tr w:rsidR="00000000">
        <w:tc>
          <w:tcPr>
            <w:tcW w:w="0" w:type="auto"/>
            <w:gridSpan w:val="3"/>
            <w:shd w:val="clear" w:color="auto" w:fill="CCEEFF"/>
            <w:tcMar>
              <w:top w:w="30" w:type="dxa"/>
              <w:left w:w="155" w:type="dxa"/>
              <w:bottom w:w="30" w:type="dxa"/>
              <w:right w:w="20" w:type="dxa"/>
            </w:tcMar>
            <w:hideMark/>
          </w:tcPr>
          <w:p w:rsidR="00000000" w:rsidRDefault="00AF3814">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F3814">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divId w:val="414210344"/>
              <w:rPr>
                <w:rFonts w:eastAsia="Times New Roman"/>
              </w:rPr>
            </w:pPr>
            <w:r>
              <w:rPr>
                <w:rFonts w:eastAsia="Times New Roman"/>
                <w:color w:val="000000"/>
                <w:sz w:val="18"/>
                <w:szCs w:val="18"/>
              </w:rPr>
              <w:t>1-3%</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2%</w:t>
            </w:r>
          </w:p>
        </w:tc>
      </w:tr>
      <w:tr w:rsidR="00000000">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AF3814">
            <w:pPr>
              <w:spacing w:after="100"/>
              <w:divId w:val="122697782"/>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AF3814">
            <w:pPr>
              <w:spacing w:after="100"/>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AF3814">
            <w:pPr>
              <w:spacing w:after="100"/>
              <w:divId w:val="26028410"/>
              <w:rPr>
                <w:rFonts w:eastAsia="Times New Roman"/>
              </w:rPr>
            </w:pPr>
            <w:r>
              <w:rPr>
                <w:rFonts w:eastAsia="Times New Roman"/>
                <w:color w:val="000000"/>
                <w:sz w:val="18"/>
                <w:szCs w:val="18"/>
              </w:rPr>
              <w:t>37-52</w:t>
            </w:r>
          </w:p>
          <w:p w:rsidR="00000000" w:rsidRDefault="00AF3814">
            <w:pPr>
              <w:spacing w:after="100"/>
              <w:divId w:val="880753189"/>
              <w:rPr>
                <w:rFonts w:eastAsia="Times New Roman"/>
              </w:rPr>
            </w:pPr>
            <w:r>
              <w:rPr>
                <w:rFonts w:eastAsia="Times New Roman"/>
                <w:color w:val="000000"/>
                <w:sz w:val="18"/>
                <w:szCs w:val="18"/>
              </w:rPr>
              <w:t>3-13%</w:t>
            </w:r>
          </w:p>
          <w:p w:rsidR="00000000" w:rsidRDefault="00AF3814">
            <w:pPr>
              <w:spacing w:after="100"/>
              <w:divId w:val="1014920299"/>
              <w:rPr>
                <w:rFonts w:eastAsia="Times New Roman"/>
              </w:rPr>
            </w:pPr>
            <w:r>
              <w:rPr>
                <w:rFonts w:eastAsia="Times New Roman"/>
                <w:color w:val="000000"/>
                <w:sz w:val="18"/>
                <w:szCs w:val="18"/>
              </w:rPr>
              <w:t>2-12%</w:t>
            </w:r>
          </w:p>
          <w:p w:rsidR="00000000" w:rsidRDefault="00AF3814">
            <w:pPr>
              <w:spacing w:after="100"/>
              <w:divId w:val="1154950310"/>
              <w:rPr>
                <w:rFonts w:eastAsia="Times New Roman"/>
              </w:rPr>
            </w:pPr>
            <w:r>
              <w:rPr>
                <w:rFonts w:eastAsia="Times New Roman"/>
                <w:color w:val="000000"/>
                <w:sz w:val="18"/>
                <w:szCs w:val="18"/>
              </w:rPr>
              <w:t>3-3%</w:t>
            </w:r>
          </w:p>
          <w:p w:rsidR="00000000" w:rsidRDefault="00AF3814">
            <w:pPr>
              <w:spacing w:after="100"/>
              <w:divId w:val="1984577270"/>
              <w:rPr>
                <w:rFonts w:eastAsia="Times New Roman"/>
              </w:rPr>
            </w:pPr>
            <w:r>
              <w:rPr>
                <w:rFonts w:eastAsia="Times New Roman"/>
                <w:color w:val="000000"/>
                <w:sz w:val="18"/>
                <w:szCs w:val="18"/>
              </w:rPr>
              <w:t>55-70%</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N/A</w:t>
            </w:r>
          </w:p>
        </w:tc>
      </w:tr>
      <w:tr w:rsidR="00000000">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AF3814">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1%</w:t>
            </w:r>
          </w:p>
        </w:tc>
      </w:tr>
    </w:tbl>
    <w:p w:rsidR="00000000" w:rsidRDefault="00AF3814">
      <w:pPr>
        <w:rPr>
          <w:rFonts w:eastAsia="Times New Roman"/>
        </w:rPr>
      </w:pPr>
      <w:r>
        <w:rPr>
          <w:rFonts w:eastAsia="Times New Roman"/>
          <w:color w:val="000000"/>
          <w:sz w:val="20"/>
          <w:szCs w:val="20"/>
        </w:rPr>
        <w:t>__________</w:t>
      </w:r>
    </w:p>
    <w:p w:rsidR="00000000" w:rsidRDefault="00AF3814">
      <w:pPr>
        <w:ind w:hanging="360"/>
        <w:jc w:val="both"/>
        <w:divId w:val="189191713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Weighted averages are calculated by using the product of the input multiplied by the relative fair value of the instruments.</w:t>
      </w:r>
    </w:p>
    <w:p w:rsidR="00000000" w:rsidRDefault="00AF3814">
      <w:pPr>
        <w:ind w:hanging="360"/>
        <w:jc w:val="both"/>
        <w:divId w:val="70965234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Due to the nature of the various mortgage securitization structures in which we have retained </w:t>
      </w:r>
      <w:r>
        <w:rPr>
          <w:rFonts w:eastAsia="Times New Roman"/>
          <w:color w:val="000000"/>
          <w:sz w:val="16"/>
          <w:szCs w:val="16"/>
        </w:rPr>
        <w:t>interests, it is not meaningful to present a consolidated weighted average for the significant unobservable inputs.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08957525"/>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90895752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90895752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119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44" style="width:0;height:1.5pt" o:hralign="center" o:hrstd="t" o:hr="t" fillcolor="#a0a0a0" stroked="f"/>
        </w:pict>
      </w:r>
    </w:p>
    <w:p w:rsidR="00000000" w:rsidRDefault="00AF3814">
      <w:pPr>
        <w:jc w:val="both"/>
        <w:divId w:val="1054812524"/>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054812524"/>
        <w:rPr>
          <w:rFonts w:eastAsia="Times New Roman"/>
        </w:rPr>
      </w:pPr>
    </w:p>
    <w:p w:rsidR="00000000" w:rsidRDefault="00AF3814">
      <w:pPr>
        <w:divId w:val="502862750"/>
        <w:rPr>
          <w:rFonts w:eastAsia="Times New Roman"/>
        </w:rPr>
      </w:pPr>
      <w:r>
        <w:rPr>
          <w:rFonts w:eastAsia="Times New Roman"/>
          <w:b/>
          <w:bCs/>
          <w:color w:val="000000"/>
          <w:sz w:val="20"/>
          <w:szCs w:val="20"/>
        </w:rPr>
        <w:t>Assets and Liabilities Measured at Fair Value on a Nonrecurring Basis</w:t>
      </w:r>
    </w:p>
    <w:p w:rsidR="00000000" w:rsidRDefault="00AF3814">
      <w:pPr>
        <w:jc w:val="both"/>
        <w:divId w:val="441801877"/>
        <w:rPr>
          <w:rFonts w:eastAsia="Times New Roman"/>
        </w:rPr>
      </w:pPr>
      <w:r>
        <w:rPr>
          <w:rFonts w:eastAsia="Times New Roman"/>
          <w:color w:val="000000"/>
          <w:sz w:val="20"/>
          <w:szCs w:val="20"/>
        </w:rPr>
        <w:t>We are required to measure and recognize certain assets at fair value on a nonrecurring basis on the consolidated balance sheets. These assets are not measured at fair value on an ongoing basis but are subject to fair value adjustments in certain circumsta</w:t>
      </w:r>
      <w:r>
        <w:rPr>
          <w:rFonts w:eastAsia="Times New Roman"/>
          <w:color w:val="000000"/>
          <w:sz w:val="20"/>
          <w:szCs w:val="20"/>
        </w:rPr>
        <w:t xml:space="preserve">nces (for example, from the application of lower of cost or fair value accounting or when we evaluate for impairment). </w:t>
      </w:r>
    </w:p>
    <w:p w:rsidR="00000000" w:rsidRDefault="00AF3814">
      <w:pPr>
        <w:jc w:val="both"/>
        <w:divId w:val="1452086496"/>
        <w:rPr>
          <w:rFonts w:eastAsia="Times New Roman"/>
        </w:rPr>
      </w:pPr>
      <w:r>
        <w:rPr>
          <w:rFonts w:eastAsia="Times New Roman"/>
          <w:color w:val="000000"/>
          <w:sz w:val="20"/>
          <w:szCs w:val="20"/>
        </w:rPr>
        <w:t>The following table presents the carrying value of the assets measured at fair value on a nonrecurring basis and still held as of June 3</w:t>
      </w:r>
      <w:r>
        <w:rPr>
          <w:rFonts w:eastAsia="Times New Roman"/>
          <w:color w:val="000000"/>
          <w:sz w:val="20"/>
          <w:szCs w:val="20"/>
        </w:rPr>
        <w:t>0, 2021 and December 31, 2020, and for which a nonrecurring fair value measurement was recorded during the six and twelve months then ended.</w:t>
      </w:r>
    </w:p>
    <w:p w:rsidR="00000000" w:rsidRDefault="00AF3814">
      <w:pPr>
        <w:divId w:val="1786728305"/>
        <w:rPr>
          <w:rFonts w:eastAsia="Times New Roman"/>
        </w:rPr>
      </w:pPr>
      <w:r>
        <w:rPr>
          <w:rFonts w:eastAsia="Times New Roman"/>
          <w:b/>
          <w:bCs/>
          <w:color w:val="000000"/>
          <w:sz w:val="18"/>
          <w:szCs w:val="18"/>
        </w:rPr>
        <w:t>Table 11.4: Nonrecurring Fair Value Measurements</w:t>
      </w:r>
    </w:p>
    <w:tbl>
      <w:tblPr>
        <w:tblW w:w="4985" w:type="pct"/>
        <w:tblCellMar>
          <w:top w:w="15" w:type="dxa"/>
          <w:left w:w="15" w:type="dxa"/>
          <w:bottom w:w="15" w:type="dxa"/>
          <w:right w:w="15" w:type="dxa"/>
        </w:tblCellMar>
        <w:tblLook w:val="04A0" w:firstRow="1" w:lastRow="0" w:firstColumn="1" w:lastColumn="0" w:noHBand="0" w:noVBand="1"/>
      </w:tblPr>
      <w:tblGrid>
        <w:gridCol w:w="38"/>
        <w:gridCol w:w="5871"/>
        <w:gridCol w:w="37"/>
        <w:gridCol w:w="36"/>
        <w:gridCol w:w="36"/>
        <w:gridCol w:w="36"/>
        <w:gridCol w:w="111"/>
        <w:gridCol w:w="622"/>
        <w:gridCol w:w="37"/>
        <w:gridCol w:w="37"/>
        <w:gridCol w:w="48"/>
        <w:gridCol w:w="36"/>
        <w:gridCol w:w="110"/>
        <w:gridCol w:w="621"/>
        <w:gridCol w:w="36"/>
        <w:gridCol w:w="36"/>
        <w:gridCol w:w="36"/>
        <w:gridCol w:w="36"/>
        <w:gridCol w:w="110"/>
        <w:gridCol w:w="315"/>
        <w:gridCol w:w="36"/>
      </w:tblGrid>
      <w:tr w:rsidR="00000000">
        <w:trPr>
          <w:divId w:val="385029848"/>
        </w:trPr>
        <w:tc>
          <w:tcPr>
            <w:tcW w:w="50" w:type="pct"/>
            <w:vAlign w:val="center"/>
            <w:hideMark/>
          </w:tcPr>
          <w:p w:rsidR="00000000" w:rsidRDefault="00AF3814">
            <w:pPr>
              <w:rPr>
                <w:rFonts w:eastAsia="Times New Roman"/>
              </w:rPr>
            </w:pPr>
          </w:p>
        </w:tc>
        <w:tc>
          <w:tcPr>
            <w:tcW w:w="366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385029848"/>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r>
      <w:tr w:rsidR="00000000">
        <w:trPr>
          <w:divId w:val="385029848"/>
          <w:trHeight w:val="36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divId w:val="385029848"/>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AF3814">
            <w:pPr>
              <w:spacing w:after="100"/>
              <w:rPr>
                <w:rFonts w:eastAsia="Times New Roman"/>
              </w:rPr>
            </w:pPr>
          </w:p>
        </w:tc>
      </w:tr>
      <w:tr w:rsidR="00000000">
        <w:trPr>
          <w:divId w:val="38502984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5029848"/>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385029848"/>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798381023"/>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385029848"/>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076"/>
        <w:gridCol w:w="144"/>
        <w:gridCol w:w="144"/>
        <w:gridCol w:w="144"/>
        <w:gridCol w:w="144"/>
        <w:gridCol w:w="144"/>
        <w:gridCol w:w="551"/>
        <w:gridCol w:w="144"/>
        <w:gridCol w:w="144"/>
        <w:gridCol w:w="144"/>
        <w:gridCol w:w="144"/>
        <w:gridCol w:w="144"/>
        <w:gridCol w:w="551"/>
        <w:gridCol w:w="144"/>
        <w:gridCol w:w="144"/>
        <w:gridCol w:w="144"/>
        <w:gridCol w:w="144"/>
        <w:gridCol w:w="144"/>
        <w:gridCol w:w="551"/>
        <w:gridCol w:w="144"/>
      </w:tblGrid>
      <w:tr w:rsidR="00000000">
        <w:tc>
          <w:tcPr>
            <w:tcW w:w="50" w:type="pct"/>
            <w:vAlign w:val="center"/>
            <w:hideMark/>
          </w:tcPr>
          <w:p w:rsidR="00000000" w:rsidRDefault="00AF3814">
            <w:pPr>
              <w:rPr>
                <w:rFonts w:eastAsia="Times New Roman"/>
              </w:rPr>
            </w:pPr>
          </w:p>
        </w:tc>
        <w:tc>
          <w:tcPr>
            <w:tcW w:w="366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trHeight w:val="36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w:t>
            </w:r>
          </w:p>
        </w:tc>
      </w:tr>
      <w:tr w:rsidR="00000000">
        <w:trPr>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AF3814">
            <w:pPr>
              <w:spacing w:after="100"/>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800415870"/>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divId w:val="857964464"/>
        <w:rPr>
          <w:rFonts w:eastAsia="Times New Roman"/>
        </w:rPr>
      </w:pPr>
      <w:r>
        <w:rPr>
          <w:rFonts w:eastAsia="Times New Roman"/>
          <w:color w:val="000000"/>
          <w:sz w:val="20"/>
          <w:szCs w:val="20"/>
        </w:rPr>
        <w:t>__________</w:t>
      </w:r>
    </w:p>
    <w:p w:rsidR="00000000" w:rsidRDefault="00AF3814">
      <w:pPr>
        <w:ind w:hanging="360"/>
        <w:jc w:val="both"/>
        <w:divId w:val="86351770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shd w:val="clear" w:color="auto" w:fill="FFFFFF"/>
        </w:rPr>
        <w:t>As of June 30, 2021, other assets included equity method investments subject to impairment of $56 million</w:t>
      </w:r>
      <w:r>
        <w:rPr>
          <w:rFonts w:eastAsia="Times New Roman"/>
          <w:color w:val="000000"/>
          <w:sz w:val="16"/>
          <w:szCs w:val="16"/>
        </w:rPr>
        <w:t xml:space="preserve">, </w:t>
      </w:r>
      <w:r>
        <w:rPr>
          <w:rFonts w:eastAsia="Times New Roman"/>
          <w:color w:val="000000"/>
          <w:sz w:val="16"/>
          <w:szCs w:val="16"/>
          <w:shd w:val="clear" w:color="auto" w:fill="FFFFFF"/>
        </w:rPr>
        <w:t>investments accounted for under measurement al</w:t>
      </w:r>
      <w:r>
        <w:rPr>
          <w:rFonts w:eastAsia="Times New Roman"/>
          <w:color w:val="000000"/>
          <w:sz w:val="16"/>
          <w:szCs w:val="16"/>
        </w:rPr>
        <w:t>ternative of $13 million, repossessed assets of $31 million and long-lived assets held for sale of $77 </w:t>
      </w:r>
      <w:r>
        <w:rPr>
          <w:rFonts w:eastAsia="Times New Roman"/>
          <w:color w:val="000000"/>
          <w:sz w:val="16"/>
          <w:szCs w:val="16"/>
        </w:rPr>
        <w:t>million. As of December 31, 2020, other assets included equity investments accounted for under the measurement alternative of $25 million, repossessed assets of $42 million and long-lived assets held for sale of $108 million.</w:t>
      </w:r>
    </w:p>
    <w:p w:rsidR="00000000" w:rsidRDefault="00AF3814">
      <w:pPr>
        <w:jc w:val="both"/>
        <w:divId w:val="378012592"/>
        <w:rPr>
          <w:rFonts w:eastAsia="Times New Roman"/>
        </w:rPr>
      </w:pPr>
      <w:r>
        <w:rPr>
          <w:rFonts w:eastAsia="Times New Roman"/>
          <w:color w:val="000000"/>
          <w:sz w:val="20"/>
          <w:szCs w:val="20"/>
        </w:rPr>
        <w:t>In the above table, loans held</w:t>
      </w:r>
      <w:r>
        <w:rPr>
          <w:rFonts w:eastAsia="Times New Roman"/>
          <w:color w:val="000000"/>
          <w:sz w:val="20"/>
          <w:szCs w:val="20"/>
        </w:rPr>
        <w:t xml:space="preserve"> for investment are generally valued based in part on the estimated fair value of the underlying collateral and the non-recoverable rate, which is considered to be a significant unobservable input. The non-recoverable rate ranged from 0% to 100%, with a we</w:t>
      </w:r>
      <w:r>
        <w:rPr>
          <w:rFonts w:eastAsia="Times New Roman"/>
          <w:color w:val="000000"/>
          <w:sz w:val="20"/>
          <w:szCs w:val="20"/>
        </w:rPr>
        <w:t>ighted average of 23%, and from 0% to 89%, with a weighted average of 14%, as of June 30, 2021 and December 31, 2020, respectively. The weighted average non-recoverable rate is calculated based on the estimated market value of the underlying collateral. Th</w:t>
      </w:r>
      <w:r>
        <w:rPr>
          <w:rFonts w:eastAsia="Times New Roman"/>
          <w:color w:val="000000"/>
          <w:sz w:val="20"/>
          <w:szCs w:val="20"/>
        </w:rPr>
        <w:t>e significant unobservable inputs and related quantitative information related to fair value of the other assets are not meaningful to disclose as they vary significantly across properties and collateral.</w:t>
      </w:r>
    </w:p>
    <w:p w:rsidR="00000000" w:rsidRDefault="00AF3814">
      <w:pPr>
        <w:jc w:val="both"/>
        <w:divId w:val="209077743"/>
        <w:rPr>
          <w:rFonts w:eastAsia="Times New Roman"/>
        </w:rPr>
      </w:pPr>
      <w:r>
        <w:rPr>
          <w:rFonts w:eastAsia="Times New Roman"/>
          <w:color w:val="000000"/>
          <w:sz w:val="20"/>
          <w:szCs w:val="20"/>
        </w:rPr>
        <w:t>The following table presents total nonrecurring fai</w:t>
      </w:r>
      <w:r>
        <w:rPr>
          <w:rFonts w:eastAsia="Times New Roman"/>
          <w:color w:val="000000"/>
          <w:sz w:val="20"/>
          <w:szCs w:val="20"/>
        </w:rPr>
        <w:t>r value measurements for the period, included in earnings, attributable to the change in fair value relating to assets that are still held at June 30, 2021 and December 31, 2020.</w:t>
      </w:r>
    </w:p>
    <w:p w:rsidR="00000000" w:rsidRDefault="00AF3814">
      <w:pPr>
        <w:divId w:val="1825273284"/>
        <w:rPr>
          <w:rFonts w:eastAsia="Times New Roman"/>
        </w:rPr>
      </w:pPr>
      <w:r>
        <w:rPr>
          <w:rFonts w:eastAsia="Times New Roman"/>
          <w:b/>
          <w:bCs/>
          <w:color w:val="000000"/>
          <w:sz w:val="18"/>
          <w:szCs w:val="18"/>
        </w:rPr>
        <w:t>Table 11.5: Nonrecurring Fair Value Measurements Included in Earnings</w:t>
      </w:r>
    </w:p>
    <w:tbl>
      <w:tblPr>
        <w:tblW w:w="5000" w:type="pct"/>
        <w:tblCellMar>
          <w:top w:w="15" w:type="dxa"/>
          <w:left w:w="15" w:type="dxa"/>
          <w:bottom w:w="15" w:type="dxa"/>
          <w:right w:w="15" w:type="dxa"/>
        </w:tblCellMar>
        <w:tblLook w:val="04A0" w:firstRow="1" w:lastRow="0" w:firstColumn="1" w:lastColumn="0" w:noHBand="0" w:noVBand="1"/>
      </w:tblPr>
      <w:tblGrid>
        <w:gridCol w:w="42"/>
        <w:gridCol w:w="5843"/>
        <w:gridCol w:w="37"/>
        <w:gridCol w:w="36"/>
        <w:gridCol w:w="36"/>
        <w:gridCol w:w="36"/>
        <w:gridCol w:w="110"/>
        <w:gridCol w:w="938"/>
        <w:gridCol w:w="36"/>
        <w:gridCol w:w="36"/>
        <w:gridCol w:w="36"/>
        <w:gridCol w:w="36"/>
        <w:gridCol w:w="110"/>
        <w:gridCol w:w="938"/>
        <w:gridCol w:w="36"/>
      </w:tblGrid>
      <w:tr w:rsidR="00000000">
        <w:trPr>
          <w:divId w:val="614823731"/>
        </w:trPr>
        <w:tc>
          <w:tcPr>
            <w:tcW w:w="50" w:type="pct"/>
            <w:vAlign w:val="center"/>
            <w:hideMark/>
          </w:tcPr>
          <w:p w:rsidR="00000000" w:rsidRDefault="00AF3814">
            <w:pPr>
              <w:rPr>
                <w:rFonts w:eastAsia="Times New Roman"/>
              </w:rPr>
            </w:pPr>
          </w:p>
        </w:tc>
        <w:tc>
          <w:tcPr>
            <w:tcW w:w="354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1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1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614823731"/>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Gains (Losses)</w:t>
            </w:r>
          </w:p>
        </w:tc>
      </w:tr>
      <w:tr w:rsidR="00000000">
        <w:trPr>
          <w:divId w:val="614823731"/>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w:t>
            </w:r>
          </w:p>
        </w:tc>
      </w:tr>
      <w:tr w:rsidR="00000000">
        <w:trPr>
          <w:divId w:val="614823731"/>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2020</w:t>
            </w:r>
          </w:p>
        </w:tc>
      </w:tr>
      <w:tr w:rsidR="00000000">
        <w:trPr>
          <w:divId w:val="61482373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14823731"/>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61482373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143381619"/>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61482373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158)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434251390"/>
        <w:rPr>
          <w:rFonts w:eastAsia="Times New Roman"/>
        </w:rPr>
      </w:pPr>
      <w:r>
        <w:rPr>
          <w:rFonts w:eastAsia="Times New Roman"/>
          <w:color w:val="000000"/>
          <w:sz w:val="20"/>
          <w:szCs w:val="20"/>
        </w:rPr>
        <w:t>__________</w:t>
      </w:r>
    </w:p>
    <w:p w:rsidR="00000000" w:rsidRDefault="00AF3814">
      <w:pPr>
        <w:ind w:hanging="360"/>
        <w:jc w:val="both"/>
        <w:divId w:val="86385871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Other assets include fair value adjustments related to repossessed assets, long-lived assets held for sale and equity investments accounted for under the </w:t>
      </w:r>
      <w:r>
        <w:rPr>
          <w:rFonts w:eastAsia="Times New Roman"/>
          <w:color w:val="000000"/>
          <w:sz w:val="16"/>
          <w:szCs w:val="16"/>
          <w:shd w:val="clear" w:color="auto" w:fill="FFFFFF"/>
        </w:rPr>
        <w:t>measurement alternative.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25714624"/>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32571462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32571462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45" style="width:0;height:1.5pt" o:hralign="center" o:hrstd="t" o:hr="t" fillcolor="#a0a0a0" stroked="f"/>
        </w:pict>
      </w:r>
    </w:p>
    <w:p w:rsidR="00000000" w:rsidRDefault="00AF3814">
      <w:pPr>
        <w:jc w:val="both"/>
        <w:divId w:val="204112166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2041121665"/>
        <w:rPr>
          <w:rFonts w:eastAsia="Times New Roman"/>
        </w:rPr>
      </w:pPr>
    </w:p>
    <w:p w:rsidR="00000000" w:rsidRDefault="00AF3814">
      <w:pPr>
        <w:divId w:val="1445227028"/>
        <w:rPr>
          <w:rFonts w:eastAsia="Times New Roman"/>
        </w:rPr>
      </w:pPr>
      <w:r>
        <w:rPr>
          <w:rFonts w:eastAsia="Times New Roman"/>
          <w:b/>
          <w:bCs/>
          <w:color w:val="000000"/>
          <w:sz w:val="20"/>
          <w:szCs w:val="20"/>
        </w:rPr>
        <w:t>Fair Value of Financial Instruments</w:t>
      </w:r>
    </w:p>
    <w:p w:rsidR="00000000" w:rsidRDefault="00AF3814">
      <w:pPr>
        <w:jc w:val="both"/>
        <w:divId w:val="409347416"/>
        <w:rPr>
          <w:rFonts w:eastAsia="Times New Roman"/>
        </w:rPr>
      </w:pPr>
      <w:r>
        <w:rPr>
          <w:rFonts w:eastAsia="Times New Roman"/>
          <w:color w:val="000000"/>
          <w:sz w:val="20"/>
          <w:szCs w:val="20"/>
        </w:rPr>
        <w:t xml:space="preserve">The following table presents the carrying value and estimated fair value, including the level within the </w:t>
      </w:r>
      <w:r>
        <w:rPr>
          <w:rFonts w:eastAsia="Times New Roman"/>
          <w:color w:val="000000"/>
          <w:sz w:val="20"/>
          <w:szCs w:val="20"/>
        </w:rPr>
        <w:t>fair value hierarchy, of our financial instruments that are not measured at fair value on a recurring basis on our consolidated balance sheets as of June 30, 2021 and December 31, 2020.</w:t>
      </w:r>
    </w:p>
    <w:p w:rsidR="00000000" w:rsidRDefault="00AF3814">
      <w:pPr>
        <w:divId w:val="1084493147"/>
        <w:rPr>
          <w:rFonts w:eastAsia="Times New Roman"/>
        </w:rPr>
      </w:pPr>
      <w:r>
        <w:rPr>
          <w:rFonts w:eastAsia="Times New Roman"/>
          <w:b/>
          <w:bCs/>
          <w:color w:val="000000"/>
          <w:sz w:val="18"/>
          <w:szCs w:val="18"/>
        </w:rPr>
        <w:t>Table 11.6: Fair Value of Financial Instruments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234"/>
        <w:gridCol w:w="39"/>
        <w:gridCol w:w="36"/>
        <w:gridCol w:w="36"/>
        <w:gridCol w:w="36"/>
        <w:gridCol w:w="110"/>
        <w:gridCol w:w="540"/>
        <w:gridCol w:w="36"/>
        <w:gridCol w:w="36"/>
        <w:gridCol w:w="36"/>
        <w:gridCol w:w="36"/>
        <w:gridCol w:w="111"/>
        <w:gridCol w:w="633"/>
        <w:gridCol w:w="36"/>
        <w:gridCol w:w="36"/>
        <w:gridCol w:w="36"/>
        <w:gridCol w:w="36"/>
        <w:gridCol w:w="110"/>
        <w:gridCol w:w="450"/>
        <w:gridCol w:w="36"/>
        <w:gridCol w:w="36"/>
        <w:gridCol w:w="36"/>
        <w:gridCol w:w="36"/>
        <w:gridCol w:w="110"/>
        <w:gridCol w:w="540"/>
        <w:gridCol w:w="36"/>
        <w:gridCol w:w="36"/>
        <w:gridCol w:w="36"/>
        <w:gridCol w:w="36"/>
        <w:gridCol w:w="112"/>
        <w:gridCol w:w="557"/>
        <w:gridCol w:w="36"/>
      </w:tblGrid>
      <w:tr w:rsidR="00000000">
        <w:trPr>
          <w:divId w:val="459497214"/>
        </w:trPr>
        <w:tc>
          <w:tcPr>
            <w:tcW w:w="50" w:type="pct"/>
            <w:vAlign w:val="center"/>
            <w:hideMark/>
          </w:tcPr>
          <w:p w:rsidR="00000000" w:rsidRDefault="00AF3814">
            <w:pPr>
              <w:rPr>
                <w:rFonts w:eastAsia="Times New Roman"/>
              </w:rPr>
            </w:pPr>
          </w:p>
        </w:tc>
        <w:tc>
          <w:tcPr>
            <w:tcW w:w="291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1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4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59497214"/>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r>
      <w:tr w:rsidR="00000000">
        <w:trPr>
          <w:divId w:val="459497214"/>
          <w:trHeight w:val="36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Estimated Fair Value Hierarchy</w:t>
            </w:r>
          </w:p>
        </w:tc>
      </w:tr>
      <w:tr w:rsidR="00000000">
        <w:trPr>
          <w:divId w:val="459497214"/>
          <w:trHeight w:val="24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3</w:t>
            </w:r>
          </w:p>
        </w:tc>
      </w:tr>
      <w:tr w:rsidR="00000000">
        <w:trPr>
          <w:divId w:val="4594972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5949721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34,846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34,846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5,312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29,534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5949721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59497214"/>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5949721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237,251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242,812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242,812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5949721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6,385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6,385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5949721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59497214"/>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919748952"/>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59497214"/>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5949721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22,225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5949721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10,561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10,717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10,717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5949721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24,878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25,724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25,724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459497214"/>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845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459497214"/>
        </w:trPr>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59497214"/>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5"/>
        <w:gridCol w:w="144"/>
        <w:gridCol w:w="144"/>
        <w:gridCol w:w="144"/>
        <w:gridCol w:w="144"/>
        <w:gridCol w:w="144"/>
        <w:gridCol w:w="551"/>
        <w:gridCol w:w="144"/>
        <w:gridCol w:w="144"/>
        <w:gridCol w:w="144"/>
        <w:gridCol w:w="144"/>
        <w:gridCol w:w="144"/>
        <w:gridCol w:w="56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tblGrid>
      <w:tr w:rsidR="00000000">
        <w:tc>
          <w:tcPr>
            <w:tcW w:w="50" w:type="pct"/>
            <w:vAlign w:val="center"/>
            <w:hideMark/>
          </w:tcPr>
          <w:p w:rsidR="00000000" w:rsidRDefault="00AF3814">
            <w:pPr>
              <w:rPr>
                <w:rFonts w:eastAsia="Times New Roman"/>
              </w:rPr>
            </w:pPr>
          </w:p>
        </w:tc>
        <w:tc>
          <w:tcPr>
            <w:tcW w:w="290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39"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30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trHeight w:val="360"/>
        </w:trPr>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Estimated Fair Value Hierarchy</w:t>
            </w:r>
          </w:p>
        </w:tc>
      </w:tr>
      <w:tr w:rsidR="00000000">
        <w:trPr>
          <w:trHeight w:val="24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Level 3</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40,509 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40,509 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4,708 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35,801 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236,060 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244,701 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244,701 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2,114 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2,214 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1,471 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301576671"/>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32,746 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33,111 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33,111 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12,414 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12,584 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12,584 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27,382 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28,282 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28,282 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AF3814">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c>
          <w:tcPr>
            <w:tcW w:w="0" w:type="auto"/>
            <w:gridSpan w:val="3"/>
            <w:vAlign w:val="center"/>
            <w:hideMark/>
          </w:tcPr>
          <w:p w:rsidR="00000000" w:rsidRDefault="00AF3814">
            <w:pPr>
              <w:spacing w:after="100"/>
              <w:jc w:val="right"/>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rPr>
          <w:rFonts w:eastAsia="Times New Roman"/>
        </w:rPr>
      </w:pPr>
      <w:r>
        <w:rPr>
          <w:rFonts w:eastAsia="Times New Roman"/>
          <w:color w:val="000000"/>
          <w:sz w:val="20"/>
          <w:szCs w:val="20"/>
        </w:rPr>
        <w:t>__________</w:t>
      </w:r>
    </w:p>
    <w:p w:rsidR="00000000" w:rsidRDefault="00AF3814">
      <w:pPr>
        <w:ind w:hanging="360"/>
        <w:jc w:val="both"/>
        <w:divId w:val="30003748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Other investments include FHLB and Federal Reserve stock. These investments are included in other assets on our consolidated balance sh</w:t>
      </w:r>
      <w:r>
        <w:rPr>
          <w:rFonts w:eastAsia="Times New Roman"/>
          <w:color w:val="000000"/>
          <w:sz w:val="16"/>
          <w:szCs w:val="16"/>
        </w:rPr>
        <w:t>eets.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71793720"/>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71793720"/>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7179372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46" style="width:0;height:1.5pt" o:hralign="center" o:hrstd="t" o:hr="t" fillcolor="#a0a0a0" stroked="f"/>
        </w:pict>
      </w:r>
    </w:p>
    <w:p w:rsidR="00000000" w:rsidRDefault="00AF3814">
      <w:pPr>
        <w:jc w:val="both"/>
        <w:divId w:val="25299620"/>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2529962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87684446"/>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8768444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12—BUSINESS SEGMENTS AND REVENUE FROM CONTRACTS WITH CUSTOMERS</w:t>
            </w:r>
          </w:p>
        </w:tc>
      </w:tr>
    </w:tbl>
    <w:p w:rsidR="00000000" w:rsidRDefault="00AF3814">
      <w:pPr>
        <w:jc w:val="both"/>
        <w:divId w:val="1482385952"/>
        <w:rPr>
          <w:rFonts w:eastAsia="Times New Roman"/>
        </w:rPr>
      </w:pPr>
      <w:r>
        <w:rPr>
          <w:rFonts w:eastAsia="Times New Roman"/>
          <w:color w:val="000000"/>
          <w:sz w:val="20"/>
          <w:szCs w:val="20"/>
        </w:rPr>
        <w:t>Our principal operations are organized into three major business segments, which are defined primarily based on the products and services provided or the types of customers served: Credit Card, Consumer Banking and Commercial Banking. The operations of acq</w:t>
      </w:r>
      <w:r>
        <w:rPr>
          <w:rFonts w:eastAsia="Times New Roman"/>
          <w:color w:val="000000"/>
          <w:sz w:val="20"/>
          <w:szCs w:val="20"/>
        </w:rPr>
        <w:t>uired businesses have been integrated into or managed as a part of our existing business segments. Certain activities that are not part of a segment, such as management of our corporate investment portfolio, asset/liability management by our centralized Co</w:t>
      </w:r>
      <w:r>
        <w:rPr>
          <w:rFonts w:eastAsia="Times New Roman"/>
          <w:color w:val="000000"/>
          <w:sz w:val="20"/>
          <w:szCs w:val="20"/>
        </w:rPr>
        <w:t>rporate Treasury group and residual tax expense or benefit to arrive at the consolidated effective tax rate that is not assessed to our primary business segments, are included in the Other category.</w:t>
      </w:r>
    </w:p>
    <w:p w:rsidR="00000000" w:rsidRDefault="00AF3814">
      <w:pPr>
        <w:divId w:val="7948553"/>
        <w:rPr>
          <w:rFonts w:eastAsia="Times New Roman"/>
        </w:rPr>
      </w:pPr>
      <w:r>
        <w:rPr>
          <w:rFonts w:eastAsia="Times New Roman"/>
          <w:b/>
          <w:bCs/>
          <w:color w:val="000000"/>
          <w:sz w:val="20"/>
          <w:szCs w:val="20"/>
        </w:rPr>
        <w:t>Basis of Presentation</w:t>
      </w:r>
    </w:p>
    <w:p w:rsidR="00000000" w:rsidRDefault="00AF3814">
      <w:pPr>
        <w:jc w:val="both"/>
        <w:divId w:val="247227504"/>
        <w:rPr>
          <w:rFonts w:eastAsia="Times New Roman"/>
        </w:rPr>
      </w:pPr>
      <w:r>
        <w:rPr>
          <w:rFonts w:eastAsia="Times New Roman"/>
          <w:color w:val="000000"/>
          <w:sz w:val="20"/>
          <w:szCs w:val="20"/>
        </w:rPr>
        <w:t>We report the results of each of ou</w:t>
      </w:r>
      <w:r>
        <w:rPr>
          <w:rFonts w:eastAsia="Times New Roman"/>
          <w:color w:val="000000"/>
          <w:sz w:val="20"/>
          <w:szCs w:val="20"/>
        </w:rPr>
        <w:t xml:space="preserve">r business segments on a continuing operations basis. The results of our individual businesses reflect the manner in which management evaluates performance and makes decisions about funding our operations and allocating resources. </w:t>
      </w:r>
    </w:p>
    <w:p w:rsidR="00000000" w:rsidRDefault="00AF3814">
      <w:pPr>
        <w:divId w:val="1213343521"/>
        <w:rPr>
          <w:rFonts w:eastAsia="Times New Roman"/>
        </w:rPr>
      </w:pPr>
      <w:r>
        <w:rPr>
          <w:rFonts w:eastAsia="Times New Roman"/>
          <w:b/>
          <w:bCs/>
          <w:color w:val="000000"/>
          <w:sz w:val="20"/>
          <w:szCs w:val="20"/>
        </w:rPr>
        <w:t>Business Segment Reporti</w:t>
      </w:r>
      <w:r>
        <w:rPr>
          <w:rFonts w:eastAsia="Times New Roman"/>
          <w:b/>
          <w:bCs/>
          <w:color w:val="000000"/>
          <w:sz w:val="20"/>
          <w:szCs w:val="20"/>
        </w:rPr>
        <w:t>ng Methodology</w:t>
      </w:r>
    </w:p>
    <w:p w:rsidR="00000000" w:rsidRDefault="00AF3814">
      <w:pPr>
        <w:jc w:val="both"/>
        <w:divId w:val="750346369"/>
        <w:rPr>
          <w:rFonts w:eastAsia="Times New Roman"/>
        </w:rPr>
      </w:pPr>
      <w:r>
        <w:rPr>
          <w:rFonts w:eastAsia="Times New Roman"/>
          <w:color w:val="000000"/>
          <w:sz w:val="20"/>
          <w:szCs w:val="20"/>
        </w:rPr>
        <w:t>The results of our business segments are intended to present each segment as if it were a stand-alone business. Our internal management and reporting process used to derive our segment results employs various allocation methodologies, includ</w:t>
      </w:r>
      <w:r>
        <w:rPr>
          <w:rFonts w:eastAsia="Times New Roman"/>
          <w:color w:val="000000"/>
          <w:sz w:val="20"/>
          <w:szCs w:val="20"/>
        </w:rPr>
        <w:t>ing funds transfer pricing, to assign certain balance sheet assets, deposits and other liabilities and their related revenue and expenses directly or indirectly attributable to each business segment. Our funds transfer pricing process provides a funds cred</w:t>
      </w:r>
      <w:r>
        <w:rPr>
          <w:rFonts w:eastAsia="Times New Roman"/>
          <w:color w:val="000000"/>
          <w:sz w:val="20"/>
          <w:szCs w:val="20"/>
        </w:rPr>
        <w:t>it for sources of funds, such as deposits generated by our Consumer Banking and Commercial Banking businesses, and a funds charge for the use of funds by each segment. Due to the integrated nature of our business segments, estimates and judgments have been</w:t>
      </w:r>
      <w:r>
        <w:rPr>
          <w:rFonts w:eastAsia="Times New Roman"/>
          <w:color w:val="000000"/>
          <w:sz w:val="20"/>
          <w:szCs w:val="20"/>
        </w:rPr>
        <w:t xml:space="preserve"> made in allocating certain revenue and expense items. Transactions between segments are based on specific criteria or approximate third-party rates. We regularly assess the assumptions, methodologies and reporting classifications used for segment reportin</w:t>
      </w:r>
      <w:r>
        <w:rPr>
          <w:rFonts w:eastAsia="Times New Roman"/>
          <w:color w:val="000000"/>
          <w:sz w:val="20"/>
          <w:szCs w:val="20"/>
        </w:rPr>
        <w:t>g, which may result in the implementation of refinements or changes in future periods. We provide additional information on the allocation methodologies used to derive our business segment results in “Note 17—Business Segments and Revenue from Contracts wi</w:t>
      </w:r>
      <w:r>
        <w:rPr>
          <w:rFonts w:eastAsia="Times New Roman"/>
          <w:color w:val="000000"/>
          <w:sz w:val="20"/>
          <w:szCs w:val="20"/>
        </w:rPr>
        <w:t>th Customers” in our 2020 Form 10-K.</w:t>
      </w:r>
    </w:p>
    <w:p w:rsidR="00000000" w:rsidRDefault="00AF3814">
      <w:pPr>
        <w:divId w:val="1318417777"/>
        <w:rPr>
          <w:rFonts w:eastAsia="Times New Roman"/>
        </w:rPr>
      </w:pPr>
      <w:r>
        <w:rPr>
          <w:rFonts w:eastAsia="Times New Roman"/>
          <w:b/>
          <w:bCs/>
          <w:color w:val="000000"/>
          <w:sz w:val="20"/>
          <w:szCs w:val="20"/>
        </w:rPr>
        <w:t>Segment Results and Reconciliation</w:t>
      </w:r>
    </w:p>
    <w:p w:rsidR="00000000" w:rsidRDefault="00AF3814">
      <w:pPr>
        <w:jc w:val="both"/>
        <w:divId w:val="592278301"/>
        <w:rPr>
          <w:rFonts w:eastAsia="Times New Roman"/>
        </w:rPr>
      </w:pPr>
      <w:r>
        <w:rPr>
          <w:rFonts w:eastAsia="Times New Roman"/>
          <w:color w:val="000000"/>
          <w:sz w:val="20"/>
          <w:szCs w:val="20"/>
        </w:rPr>
        <w:t>We may periodically change our business segments or reclassify business segment results based on modifications to our management reporting methodologies or changes in organizational alignment. The following table presents our business segment results for t</w:t>
      </w:r>
      <w:r>
        <w:rPr>
          <w:rFonts w:eastAsia="Times New Roman"/>
          <w:color w:val="000000"/>
          <w:sz w:val="20"/>
          <w:szCs w:val="20"/>
        </w:rPr>
        <w:t>he three and six months ended June 30, 2021 and 2020, selected balance sheet data as of June 30, 2021 and 2020, and a reconciliation of our total business segment results to our reported consolidated income from continuing operations, loans held for invest</w:t>
      </w:r>
      <w:r>
        <w:rPr>
          <w:rFonts w:eastAsia="Times New Roman"/>
          <w:color w:val="000000"/>
          <w:sz w:val="20"/>
          <w:szCs w:val="20"/>
        </w:rPr>
        <w:t>ment and deposits.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7259869"/>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7259869"/>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87259869"/>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47" style="width:0;height:1.5pt" o:hralign="center" o:hrstd="t" o:hr="t" fillcolor="#a0a0a0" stroked="f"/>
        </w:pict>
      </w:r>
    </w:p>
    <w:p w:rsidR="00000000" w:rsidRDefault="00AF3814">
      <w:pPr>
        <w:jc w:val="both"/>
        <w:divId w:val="826476782"/>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826476782"/>
        <w:rPr>
          <w:rFonts w:eastAsia="Times New Roman"/>
        </w:rPr>
      </w:pPr>
    </w:p>
    <w:p w:rsidR="00000000" w:rsidRDefault="00AF3814">
      <w:pPr>
        <w:divId w:val="445468365"/>
        <w:rPr>
          <w:rFonts w:eastAsia="Times New Roman"/>
        </w:rPr>
      </w:pPr>
      <w:r>
        <w:rPr>
          <w:rFonts w:eastAsia="Times New Roman"/>
          <w:b/>
          <w:bCs/>
          <w:color w:val="000000"/>
          <w:sz w:val="18"/>
          <w:szCs w:val="18"/>
        </w:rPr>
        <w:t>Table 12.1: Segment Results and Reconciliation</w:t>
      </w: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1512064255"/>
        </w:trPr>
        <w:tc>
          <w:tcPr>
            <w:tcW w:w="50" w:type="pct"/>
            <w:vAlign w:val="center"/>
            <w:hideMark/>
          </w:tcPr>
          <w:p w:rsidR="00000000" w:rsidRDefault="00AF3814">
            <w:pPr>
              <w:rPr>
                <w:rFonts w:eastAsia="Times New Roman"/>
              </w:rPr>
            </w:pPr>
          </w:p>
        </w:tc>
        <w:tc>
          <w:tcPr>
            <w:tcW w:w="228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51206425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2021</w:t>
            </w:r>
          </w:p>
        </w:tc>
      </w:tr>
      <w:tr w:rsidR="00000000">
        <w:trPr>
          <w:divId w:val="1512064255"/>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Consolidated Total</w:t>
            </w:r>
          </w:p>
        </w:tc>
      </w:tr>
      <w:tr w:rsidR="00000000">
        <w:trPr>
          <w:divId w:val="15120642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3,217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2,101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5,743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1206425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1206425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458961904"/>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1206425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(635)</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(219)</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(1,160)</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1206425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1206425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2,842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1206425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1206425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12064255"/>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101,017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74,759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73,821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249,597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512064255"/>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251,155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42,973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12,180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306,308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781"/>
        <w:gridCol w:w="144"/>
        <w:gridCol w:w="144"/>
        <w:gridCol w:w="144"/>
        <w:gridCol w:w="144"/>
        <w:gridCol w:w="144"/>
        <w:gridCol w:w="733"/>
        <w:gridCol w:w="144"/>
        <w:gridCol w:w="144"/>
        <w:gridCol w:w="144"/>
        <w:gridCol w:w="144"/>
        <w:gridCol w:w="144"/>
        <w:gridCol w:w="721"/>
        <w:gridCol w:w="144"/>
        <w:gridCol w:w="144"/>
        <w:gridCol w:w="144"/>
        <w:gridCol w:w="144"/>
        <w:gridCol w:w="144"/>
        <w:gridCol w:w="782"/>
        <w:gridCol w:w="144"/>
        <w:gridCol w:w="144"/>
        <w:gridCol w:w="144"/>
        <w:gridCol w:w="144"/>
        <w:gridCol w:w="144"/>
        <w:gridCol w:w="684"/>
        <w:gridCol w:w="144"/>
        <w:gridCol w:w="144"/>
        <w:gridCol w:w="144"/>
        <w:gridCol w:w="144"/>
        <w:gridCol w:w="144"/>
        <w:gridCol w:w="733"/>
        <w:gridCol w:w="144"/>
      </w:tblGrid>
      <w:tr w:rsidR="00000000">
        <w:tc>
          <w:tcPr>
            <w:tcW w:w="50" w:type="pct"/>
            <w:vAlign w:val="center"/>
            <w:hideMark/>
          </w:tcPr>
          <w:p w:rsidR="00000000" w:rsidRDefault="00AF3814">
            <w:pPr>
              <w:rPr>
                <w:rFonts w:eastAsia="Times New Roman"/>
              </w:rPr>
            </w:pPr>
          </w:p>
        </w:tc>
        <w:tc>
          <w:tcPr>
            <w:tcW w:w="228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2021</w:t>
            </w: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6,589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11,565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77749086"/>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8,871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4,416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14,487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(1,127)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(1,983)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4,398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7,706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5,600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2,608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(507)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8,764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(216)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6,864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101,017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74,759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73,821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249,597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251,155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42,973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12,180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306,308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both"/>
        <w:divId w:val="2098164877"/>
        <w:rPr>
          <w:rFonts w:eastAsia="Times New Roman"/>
          <w:vanish/>
        </w:rPr>
      </w:pPr>
    </w:p>
    <w:tbl>
      <w:tblPr>
        <w:tblW w:w="497" w:type="pct"/>
        <w:tblCellMar>
          <w:top w:w="15" w:type="dxa"/>
          <w:left w:w="15" w:type="dxa"/>
          <w:bottom w:w="15" w:type="dxa"/>
          <w:right w:w="15" w:type="dxa"/>
        </w:tblCellMar>
        <w:tblLook w:val="04A0" w:firstRow="1" w:lastRow="0" w:firstColumn="1" w:lastColumn="0" w:noHBand="0" w:noVBand="1"/>
      </w:tblPr>
      <w:tblGrid>
        <w:gridCol w:w="36"/>
        <w:gridCol w:w="754"/>
        <w:gridCol w:w="36"/>
      </w:tblGrid>
      <w:tr w:rsidR="00000000">
        <w:trPr>
          <w:divId w:val="2098164877"/>
        </w:trPr>
        <w:tc>
          <w:tcPr>
            <w:tcW w:w="50" w:type="pct"/>
            <w:vAlign w:val="center"/>
            <w:hideMark/>
          </w:tcPr>
          <w:p w:rsidR="00000000" w:rsidRDefault="00AF3814">
            <w:pPr>
              <w:jc w:val="both"/>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98164877"/>
          <w:trHeight w:val="6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p w:rsidR="00000000" w:rsidRDefault="00AF3814">
      <w:pPr>
        <w:jc w:val="both"/>
        <w:divId w:val="2098164877"/>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2098164877"/>
        </w:trPr>
        <w:tc>
          <w:tcPr>
            <w:tcW w:w="50" w:type="pct"/>
            <w:vAlign w:val="center"/>
            <w:hideMark/>
          </w:tcPr>
          <w:p w:rsidR="00000000" w:rsidRDefault="00AF3814">
            <w:pPr>
              <w:jc w:val="both"/>
              <w:rPr>
                <w:rFonts w:eastAsia="Times New Roman"/>
              </w:rPr>
            </w:pPr>
          </w:p>
        </w:tc>
        <w:tc>
          <w:tcPr>
            <w:tcW w:w="228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98164877"/>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2020</w:t>
            </w:r>
          </w:p>
        </w:tc>
      </w:tr>
      <w:tr w:rsidR="00000000">
        <w:trPr>
          <w:divId w:val="2098164877"/>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Consolidated Total</w:t>
            </w:r>
          </w:p>
        </w:tc>
      </w:tr>
      <w:tr w:rsidR="00000000">
        <w:trPr>
          <w:divId w:val="20981648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5,460 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9816487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1,096 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9816487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845439522"/>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6,556 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9816487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2,944 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876 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4,246 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9816487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1,969 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1,036 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425 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3,770 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9816487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(1,460)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9816487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(305)</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(543)</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9816487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(533)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(917)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98164877"/>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107,310 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66,712 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77,490 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251,512 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098164877"/>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246,804 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35,669 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21,765 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304,238 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123</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48" style="width:0;height:1.5pt" o:hralign="center" o:hrstd="t" o:hr="t" fillcolor="#a0a0a0" stroked="f"/>
        </w:pict>
      </w:r>
    </w:p>
    <w:p w:rsidR="00000000" w:rsidRDefault="00AF3814">
      <w:pPr>
        <w:jc w:val="both"/>
        <w:divId w:val="1239250318"/>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23925031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1482573216"/>
        </w:trPr>
        <w:tc>
          <w:tcPr>
            <w:tcW w:w="50" w:type="pct"/>
            <w:vAlign w:val="center"/>
            <w:hideMark/>
          </w:tcPr>
          <w:p w:rsidR="00000000" w:rsidRDefault="00AF3814">
            <w:pPr>
              <w:jc w:val="center"/>
              <w:rPr>
                <w:rFonts w:eastAsia="Times New Roman"/>
              </w:rPr>
            </w:pPr>
          </w:p>
        </w:tc>
        <w:tc>
          <w:tcPr>
            <w:tcW w:w="228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2020</w:t>
            </w:r>
          </w:p>
        </w:tc>
      </w:tr>
      <w:tr w:rsidR="00000000">
        <w:trPr>
          <w:divId w:val="1482573216"/>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Consolidated Total</w:t>
            </w:r>
          </w:p>
        </w:tc>
      </w:tr>
      <w:tr w:rsidR="00000000">
        <w:trPr>
          <w:divId w:val="148257321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7,071 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11,485 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8257321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1,756 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w:t>
            </w:r>
            <w:r>
              <w:rPr>
                <w:rFonts w:eastAsia="Times New Roman"/>
                <w:color w:val="000000"/>
                <w:sz w:val="18"/>
                <w:szCs w:val="18"/>
              </w:rPr>
              <w:t>77)</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2,320 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8257321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735591368"/>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8,827 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13,805 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8257321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6,646 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1,736 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1,283 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9,669 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8257321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4,177 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2,027 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837 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7,499 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8257321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(1,996)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(693)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(456)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(3,363)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8257321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(472)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(164)</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(418)</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(1,106)</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8257321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(1,524)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(529)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(2,257)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82573216"/>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107,310 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66,712 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77,490 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251,512 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482573216"/>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246,804 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35,669 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21,765 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304,238 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both"/>
        <w:divId w:val="1482573216"/>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56"/>
        <w:gridCol w:w="3760"/>
        <w:gridCol w:w="36"/>
        <w:gridCol w:w="36"/>
        <w:gridCol w:w="36"/>
        <w:gridCol w:w="36"/>
        <w:gridCol w:w="36"/>
        <w:gridCol w:w="709"/>
        <w:gridCol w:w="36"/>
        <w:gridCol w:w="36"/>
        <w:gridCol w:w="36"/>
        <w:gridCol w:w="36"/>
        <w:gridCol w:w="38"/>
        <w:gridCol w:w="697"/>
        <w:gridCol w:w="36"/>
        <w:gridCol w:w="36"/>
        <w:gridCol w:w="36"/>
        <w:gridCol w:w="36"/>
        <w:gridCol w:w="38"/>
        <w:gridCol w:w="759"/>
        <w:gridCol w:w="36"/>
        <w:gridCol w:w="36"/>
        <w:gridCol w:w="36"/>
        <w:gridCol w:w="36"/>
        <w:gridCol w:w="38"/>
        <w:gridCol w:w="659"/>
        <w:gridCol w:w="36"/>
        <w:gridCol w:w="36"/>
        <w:gridCol w:w="36"/>
        <w:gridCol w:w="36"/>
        <w:gridCol w:w="38"/>
        <w:gridCol w:w="709"/>
        <w:gridCol w:w="36"/>
      </w:tblGrid>
      <w:tr w:rsidR="00000000">
        <w:trPr>
          <w:divId w:val="1482573216"/>
        </w:trPr>
        <w:tc>
          <w:tcPr>
            <w:tcW w:w="50" w:type="pct"/>
            <w:vAlign w:val="center"/>
            <w:hideMark/>
          </w:tcPr>
          <w:p w:rsidR="00000000" w:rsidRDefault="00AF3814">
            <w:pPr>
              <w:jc w:val="both"/>
              <w:rPr>
                <w:rFonts w:eastAsia="Times New Roman"/>
              </w:rPr>
            </w:pPr>
          </w:p>
        </w:tc>
        <w:tc>
          <w:tcPr>
            <w:tcW w:w="2280"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1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482573216"/>
          <w:trHeight w:val="60"/>
        </w:trPr>
        <w:tc>
          <w:tcPr>
            <w:tcW w:w="0" w:type="auto"/>
            <w:gridSpan w:val="3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482573216"/>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both"/>
        <w:divId w:val="1482573216"/>
        <w:rPr>
          <w:rFonts w:eastAsia="Times New Roman"/>
        </w:rPr>
      </w:pPr>
      <w:r>
        <w:rPr>
          <w:rFonts w:eastAsia="Times New Roman"/>
          <w:color w:val="000000"/>
          <w:sz w:val="20"/>
          <w:szCs w:val="20"/>
        </w:rPr>
        <w:t>__________</w:t>
      </w:r>
    </w:p>
    <w:p w:rsidR="00000000" w:rsidRDefault="00AF3814">
      <w:pPr>
        <w:ind w:hanging="360"/>
        <w:jc w:val="both"/>
        <w:divId w:val="75158472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p w:rsidR="00000000" w:rsidRDefault="00AF3814">
      <w:pPr>
        <w:ind w:hanging="360"/>
        <w:jc w:val="both"/>
        <w:divId w:val="204046750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Total net revenue was reduced by $175 million and $355 </w:t>
      </w:r>
      <w:r>
        <w:rPr>
          <w:rFonts w:eastAsia="Times New Roman"/>
          <w:color w:val="000000"/>
          <w:sz w:val="16"/>
          <w:szCs w:val="16"/>
        </w:rPr>
        <w:t>million in the three and six months ended June 30, 2021, respectively, and $318 million and $707 million in the three and six months ended June 30, 2020, respectively, for credit card finance charges and fees charged off as uncollectible.</w:t>
      </w:r>
    </w:p>
    <w:p w:rsidR="00000000" w:rsidRDefault="00AF3814">
      <w:pPr>
        <w:divId w:val="245723527"/>
        <w:rPr>
          <w:rFonts w:eastAsia="Times New Roman"/>
        </w:rPr>
      </w:pPr>
      <w:r>
        <w:rPr>
          <w:rFonts w:eastAsia="Times New Roman"/>
          <w:b/>
          <w:bCs/>
          <w:color w:val="000000"/>
          <w:sz w:val="20"/>
          <w:szCs w:val="20"/>
        </w:rPr>
        <w:t>Revenue from Cont</w:t>
      </w:r>
      <w:r>
        <w:rPr>
          <w:rFonts w:eastAsia="Times New Roman"/>
          <w:b/>
          <w:bCs/>
          <w:color w:val="000000"/>
          <w:sz w:val="20"/>
          <w:szCs w:val="20"/>
        </w:rPr>
        <w:t>racts with Customers</w:t>
      </w:r>
    </w:p>
    <w:p w:rsidR="00000000" w:rsidRDefault="00AF3814">
      <w:pPr>
        <w:divId w:val="1875924491"/>
        <w:rPr>
          <w:rFonts w:eastAsia="Times New Roman"/>
        </w:rPr>
      </w:pPr>
      <w:r>
        <w:rPr>
          <w:rFonts w:eastAsia="Times New Roman"/>
          <w:color w:val="000000"/>
          <w:sz w:val="20"/>
          <w:szCs w:val="20"/>
        </w:rPr>
        <w:t>The majority of our revenue from contracts with customers consists of interchange fees, service charges and other customer-related fees, and other contract revenue. Interchange fees are primarily from our Credit Card business and are r</w:t>
      </w:r>
      <w:r>
        <w:rPr>
          <w:rFonts w:eastAsia="Times New Roman"/>
          <w:color w:val="000000"/>
          <w:sz w:val="20"/>
          <w:szCs w:val="20"/>
        </w:rPr>
        <w:t xml:space="preserve">ecognized upon settlement with the interchange networks, net of rewards earned by customers. Service charges and other customer-related fees within our Consumer Banking business are primarily related to fees earned on consumer deposit accounts for account </w:t>
      </w:r>
      <w:r>
        <w:rPr>
          <w:rFonts w:eastAsia="Times New Roman"/>
          <w:color w:val="000000"/>
          <w:sz w:val="20"/>
          <w:szCs w:val="20"/>
        </w:rPr>
        <w:t>maintenance and various transaction-based services such as overdrafts and Automated teller machine (“ATM”) usage. Service charges and other customer-related fees within our Commercial Banking business are mostly related to fees earned on treasury managemen</w:t>
      </w:r>
      <w:r>
        <w:rPr>
          <w:rFonts w:eastAsia="Times New Roman"/>
          <w:color w:val="000000"/>
          <w:sz w:val="20"/>
          <w:szCs w:val="20"/>
        </w:rPr>
        <w:t>t and capital markets services. Other contract revenue in our Credit Card business consists primarily of revenue from our partnership arrangements. Other contract revenue in our Consumer Banking business consists primarily of revenue earned on certain mark</w:t>
      </w:r>
      <w:r>
        <w:rPr>
          <w:rFonts w:eastAsia="Times New Roman"/>
          <w:color w:val="000000"/>
          <w:sz w:val="20"/>
          <w:szCs w:val="20"/>
        </w:rPr>
        <w:t>eting and promotional events from our auto dealers. Revenue from contracts with customers is included in non-interest income in our consolidated statements of income.</w:t>
      </w:r>
    </w:p>
    <w:p w:rsidR="00000000" w:rsidRDefault="00AF3814">
      <w:pPr>
        <w:jc w:val="both"/>
        <w:divId w:val="179396066"/>
        <w:rPr>
          <w:rFonts w:eastAsia="Times New Roman"/>
        </w:rPr>
      </w:pPr>
      <w:r>
        <w:rPr>
          <w:rFonts w:eastAsia="Times New Roman"/>
          <w:color w:val="000000"/>
          <w:sz w:val="20"/>
          <w:szCs w:val="20"/>
        </w:rPr>
        <w:t>The following table presents revenue from contracts with customers and a reconciliation t</w:t>
      </w:r>
      <w:r>
        <w:rPr>
          <w:rFonts w:eastAsia="Times New Roman"/>
          <w:color w:val="000000"/>
          <w:sz w:val="20"/>
          <w:szCs w:val="20"/>
        </w:rPr>
        <w:t>o non-interest income by business segment for the three and six months ended June 30, 2021 and 2020.</w:t>
      </w:r>
    </w:p>
    <w:p w:rsidR="00000000" w:rsidRDefault="00AF3814">
      <w:pPr>
        <w:divId w:val="277227301"/>
        <w:rPr>
          <w:rFonts w:eastAsia="Times New Roman"/>
        </w:rPr>
      </w:pPr>
      <w:r>
        <w:rPr>
          <w:rFonts w:eastAsia="Times New Roman"/>
          <w:b/>
          <w:bCs/>
          <w:color w:val="000000"/>
          <w:sz w:val="18"/>
          <w:szCs w:val="18"/>
        </w:rPr>
        <w:t>Table 12.2: Revenue from Contracts with Customers and Reconciliation to Segment Results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277227301"/>
        </w:trPr>
        <w:tc>
          <w:tcPr>
            <w:tcW w:w="50" w:type="pct"/>
            <w:vAlign w:val="center"/>
            <w:hideMark/>
          </w:tcPr>
          <w:p w:rsidR="00000000" w:rsidRDefault="00AF3814">
            <w:pPr>
              <w:rPr>
                <w:rFonts w:eastAsia="Times New Roman"/>
              </w:rPr>
            </w:pPr>
          </w:p>
        </w:tc>
        <w:tc>
          <w:tcPr>
            <w:tcW w:w="22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77227301"/>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2021</w:t>
            </w:r>
          </w:p>
        </w:tc>
      </w:tr>
      <w:tr w:rsidR="00000000">
        <w:trPr>
          <w:divId w:val="277227301"/>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Consolidated Total</w:t>
            </w:r>
          </w:p>
        </w:tc>
      </w:tr>
      <w:tr w:rsidR="00000000">
        <w:trPr>
          <w:divId w:val="27722730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7722730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416895541"/>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77227301"/>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77227301"/>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7722730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1,019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1,241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77227301"/>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277227301"/>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124</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49" style="width:0;height:1.5pt" o:hralign="center" o:hrstd="t" o:hr="t" fillcolor="#a0a0a0" stroked="f"/>
        </w:pict>
      </w:r>
    </w:p>
    <w:p w:rsidR="00000000" w:rsidRDefault="00AF3814">
      <w:pPr>
        <w:jc w:val="both"/>
        <w:divId w:val="1920824345"/>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920824345"/>
        <w:rPr>
          <w:rFonts w:eastAsia="Times New Roman"/>
        </w:rPr>
      </w:pPr>
    </w:p>
    <w:tbl>
      <w:tblPr>
        <w:tblW w:w="519" w:type="pct"/>
        <w:tblCellMar>
          <w:top w:w="15" w:type="dxa"/>
          <w:left w:w="15" w:type="dxa"/>
          <w:bottom w:w="15" w:type="dxa"/>
          <w:right w:w="15" w:type="dxa"/>
        </w:tblCellMar>
        <w:tblLook w:val="04A0" w:firstRow="1" w:lastRow="0" w:firstColumn="1" w:lastColumn="0" w:noHBand="0" w:noVBand="1"/>
      </w:tblPr>
      <w:tblGrid>
        <w:gridCol w:w="36"/>
        <w:gridCol w:w="790"/>
        <w:gridCol w:w="36"/>
      </w:tblGrid>
      <w:tr w:rsidR="00000000">
        <w:trPr>
          <w:divId w:val="1191183830"/>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91183830"/>
          <w:trHeight w:val="6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p w:rsidR="00000000" w:rsidRDefault="00AF3814">
      <w:pPr>
        <w:divId w:val="11911838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1191183830"/>
        </w:trPr>
        <w:tc>
          <w:tcPr>
            <w:tcW w:w="50" w:type="pct"/>
            <w:vAlign w:val="center"/>
            <w:hideMark/>
          </w:tcPr>
          <w:p w:rsidR="00000000" w:rsidRDefault="00AF3814">
            <w:pPr>
              <w:rPr>
                <w:rFonts w:eastAsia="Times New Roman"/>
              </w:rPr>
            </w:pPr>
          </w:p>
        </w:tc>
        <w:tc>
          <w:tcPr>
            <w:tcW w:w="22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9118383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2021</w:t>
            </w:r>
          </w:p>
        </w:tc>
      </w:tr>
      <w:tr w:rsidR="00000000">
        <w:trPr>
          <w:divId w:val="1191183830"/>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Consolidated Total</w:t>
            </w:r>
          </w:p>
        </w:tc>
      </w:tr>
      <w:tr w:rsidR="00000000">
        <w:trPr>
          <w:divId w:val="119118383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9118383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164513263"/>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91183830"/>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91183830"/>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9118383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1,832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251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91183830"/>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680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191183830"/>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2,282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497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2,922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794"/>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70"/>
        <w:gridCol w:w="144"/>
      </w:tblGrid>
      <w:tr w:rsidR="00000000">
        <w:tc>
          <w:tcPr>
            <w:tcW w:w="50" w:type="pct"/>
            <w:vAlign w:val="center"/>
            <w:hideMark/>
          </w:tcPr>
          <w:p w:rsidR="00000000" w:rsidRDefault="00AF3814">
            <w:pPr>
              <w:rPr>
                <w:rFonts w:eastAsia="Times New Roman"/>
              </w:rPr>
            </w:pPr>
          </w:p>
        </w:tc>
        <w:tc>
          <w:tcPr>
            <w:tcW w:w="22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Three Months Ended June 30, 2020</w:t>
            </w:r>
          </w:p>
        </w:tc>
      </w:tr>
      <w:tr w:rsidR="00000000">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2050106935"/>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612 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672 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669 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291 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both"/>
        <w:divId w:val="10270254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1027025402"/>
        </w:trPr>
        <w:tc>
          <w:tcPr>
            <w:tcW w:w="50" w:type="pct"/>
            <w:vAlign w:val="center"/>
            <w:hideMark/>
          </w:tcPr>
          <w:p w:rsidR="00000000" w:rsidRDefault="00AF3814">
            <w:pPr>
              <w:jc w:val="both"/>
              <w:rPr>
                <w:rFonts w:eastAsia="Times New Roman"/>
              </w:rPr>
            </w:pPr>
          </w:p>
        </w:tc>
        <w:tc>
          <w:tcPr>
            <w:tcW w:w="22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Six Months Ended June 30, 2020</w:t>
            </w:r>
          </w:p>
        </w:tc>
      </w:tr>
      <w:tr w:rsidR="00000000">
        <w:trPr>
          <w:divId w:val="1027025402"/>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Consolidated Total</w:t>
            </w:r>
          </w:p>
        </w:tc>
      </w:tr>
      <w:tr w:rsidR="00000000">
        <w:trPr>
          <w:divId w:val="102702540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383606600"/>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1,300 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1,424 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027025402"/>
        </w:trPr>
        <w:tc>
          <w:tcPr>
            <w:tcW w:w="0" w:type="auto"/>
            <w:gridSpan w:val="3"/>
            <w:shd w:val="clear" w:color="auto" w:fill="CCEE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95 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168 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027025402"/>
        </w:trPr>
        <w:tc>
          <w:tcPr>
            <w:tcW w:w="0" w:type="auto"/>
            <w:gridSpan w:val="3"/>
            <w:shd w:val="clear" w:color="auto" w:fill="FFFFFF"/>
            <w:tcMar>
              <w:top w:w="30" w:type="dxa"/>
              <w:left w:w="245"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127 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02702540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027025402"/>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329 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315 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(74)</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578 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027025402"/>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418 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(77)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2,320 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jc w:val="both"/>
        <w:divId w:val="10270254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3772"/>
        <w:gridCol w:w="36"/>
        <w:gridCol w:w="36"/>
        <w:gridCol w:w="36"/>
        <w:gridCol w:w="36"/>
        <w:gridCol w:w="36"/>
        <w:gridCol w:w="697"/>
        <w:gridCol w:w="36"/>
        <w:gridCol w:w="36"/>
        <w:gridCol w:w="36"/>
        <w:gridCol w:w="36"/>
        <w:gridCol w:w="38"/>
        <w:gridCol w:w="697"/>
        <w:gridCol w:w="36"/>
        <w:gridCol w:w="36"/>
        <w:gridCol w:w="36"/>
        <w:gridCol w:w="36"/>
        <w:gridCol w:w="38"/>
        <w:gridCol w:w="697"/>
        <w:gridCol w:w="36"/>
        <w:gridCol w:w="36"/>
        <w:gridCol w:w="36"/>
        <w:gridCol w:w="36"/>
        <w:gridCol w:w="38"/>
        <w:gridCol w:w="697"/>
        <w:gridCol w:w="36"/>
        <w:gridCol w:w="36"/>
        <w:gridCol w:w="36"/>
        <w:gridCol w:w="36"/>
        <w:gridCol w:w="38"/>
        <w:gridCol w:w="746"/>
        <w:gridCol w:w="36"/>
      </w:tblGrid>
      <w:tr w:rsidR="00000000">
        <w:trPr>
          <w:divId w:val="1027025402"/>
        </w:trPr>
        <w:tc>
          <w:tcPr>
            <w:tcW w:w="50" w:type="pct"/>
            <w:vAlign w:val="center"/>
            <w:hideMark/>
          </w:tcPr>
          <w:p w:rsidR="00000000" w:rsidRDefault="00AF3814">
            <w:pPr>
              <w:jc w:val="both"/>
              <w:rPr>
                <w:rFonts w:eastAsia="Times New Roman"/>
              </w:rPr>
            </w:pPr>
          </w:p>
        </w:tc>
        <w:tc>
          <w:tcPr>
            <w:tcW w:w="228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3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6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027025402"/>
          <w:trHeight w:val="60"/>
        </w:trPr>
        <w:tc>
          <w:tcPr>
            <w:tcW w:w="0" w:type="auto"/>
            <w:gridSpan w:val="3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c>
          <w:tcPr>
            <w:tcW w:w="0" w:type="auto"/>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1027025402"/>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both"/>
        <w:divId w:val="1027025402"/>
        <w:rPr>
          <w:rFonts w:eastAsia="Times New Roman"/>
        </w:rPr>
      </w:pPr>
      <w:r>
        <w:rPr>
          <w:rFonts w:eastAsia="Times New Roman"/>
          <w:color w:val="000000"/>
          <w:sz w:val="20"/>
          <w:szCs w:val="20"/>
        </w:rPr>
        <w:t>________</w:t>
      </w:r>
    </w:p>
    <w:p w:rsidR="00000000" w:rsidRDefault="00AF3814">
      <w:pPr>
        <w:ind w:hanging="360"/>
        <w:jc w:val="both"/>
        <w:divId w:val="201433221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p w:rsidR="00000000" w:rsidRDefault="00AF3814">
      <w:pPr>
        <w:ind w:hanging="360"/>
        <w:jc w:val="both"/>
        <w:divId w:val="109605270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Interchange fees are presented net of customer reward expenses.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77765647"/>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77765647"/>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77765647"/>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125</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50" style="width:0;height:1.5pt" o:hralign="center" o:hrstd="t" o:hr="t" fillcolor="#a0a0a0" stroked="f"/>
        </w:pict>
      </w:r>
    </w:p>
    <w:p w:rsidR="00000000" w:rsidRDefault="00AF3814">
      <w:pPr>
        <w:jc w:val="both"/>
        <w:divId w:val="346759007"/>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34675900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695115728"/>
        </w:trPr>
        <w:tc>
          <w:tcPr>
            <w:tcW w:w="50" w:type="pct"/>
            <w:vAlign w:val="center"/>
            <w:hideMark/>
          </w:tcPr>
          <w:p w:rsidR="00000000" w:rsidRDefault="00AF3814">
            <w:pPr>
              <w:jc w:val="center"/>
              <w:rPr>
                <w:rFonts w:eastAsia="Times New Roman"/>
              </w:rPr>
            </w:pPr>
          </w:p>
        </w:tc>
        <w:tc>
          <w:tcPr>
            <w:tcW w:w="494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69511572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NOTE 13—COMMITMENTS, CONTINGENCIES, GUARANTEES AND OTHERS</w:t>
            </w:r>
          </w:p>
        </w:tc>
      </w:tr>
    </w:tbl>
    <w:p w:rsidR="00000000" w:rsidRDefault="00AF3814">
      <w:pPr>
        <w:divId w:val="2099061631"/>
        <w:rPr>
          <w:rFonts w:eastAsia="Times New Roman"/>
        </w:rPr>
      </w:pPr>
      <w:r>
        <w:rPr>
          <w:rFonts w:eastAsia="Times New Roman"/>
          <w:b/>
          <w:bCs/>
          <w:color w:val="000000"/>
          <w:sz w:val="20"/>
          <w:szCs w:val="20"/>
        </w:rPr>
        <w:t>Commitments to Lend</w:t>
      </w:r>
    </w:p>
    <w:p w:rsidR="00000000" w:rsidRDefault="00AF3814">
      <w:pPr>
        <w:jc w:val="both"/>
        <w:divId w:val="1328678233"/>
        <w:rPr>
          <w:rFonts w:eastAsia="Times New Roman"/>
        </w:rPr>
      </w:pPr>
      <w:r>
        <w:rPr>
          <w:rFonts w:eastAsia="Times New Roman"/>
          <w:color w:val="000000"/>
          <w:sz w:val="20"/>
          <w:szCs w:val="20"/>
        </w:rPr>
        <w:t>Our unfunded lending commitments primarily consist of credit card lines, loan commitments to customers of both our Commercial Banking and Consumer Banking businesses, as well as standby and commercial letters of credit. These commitments, other than credit</w:t>
      </w:r>
      <w:r>
        <w:rPr>
          <w:rFonts w:eastAsia="Times New Roman"/>
          <w:color w:val="000000"/>
          <w:sz w:val="20"/>
          <w:szCs w:val="20"/>
        </w:rPr>
        <w:t xml:space="preserve"> card lines, are legally binding conditional agreements that have fixed expirations or termination dates and specified interest rates and purposes. The contractual amount of these commitments represents the maximum possible credit risk to us should the cou</w:t>
      </w:r>
      <w:r>
        <w:rPr>
          <w:rFonts w:eastAsia="Times New Roman"/>
          <w:color w:val="000000"/>
          <w:sz w:val="20"/>
          <w:szCs w:val="20"/>
        </w:rPr>
        <w:t>nterparty draw upon the commitment. We generally manage the potential risk of unfunded lending commitments by limiting the total amount of arrangements, monitoring the size and maturity structure of these portfolios and applying the same credit standards f</w:t>
      </w:r>
      <w:r>
        <w:rPr>
          <w:rFonts w:eastAsia="Times New Roman"/>
          <w:color w:val="000000"/>
          <w:sz w:val="20"/>
          <w:szCs w:val="20"/>
        </w:rPr>
        <w:t>or all of our credit activities.</w:t>
      </w:r>
    </w:p>
    <w:p w:rsidR="00000000" w:rsidRDefault="00AF3814">
      <w:pPr>
        <w:jc w:val="both"/>
        <w:divId w:val="787553491"/>
        <w:rPr>
          <w:rFonts w:eastAsia="Times New Roman"/>
        </w:rPr>
      </w:pPr>
      <w:r>
        <w:rPr>
          <w:rFonts w:eastAsia="Times New Roman"/>
          <w:color w:val="000000"/>
          <w:sz w:val="20"/>
          <w:szCs w:val="20"/>
        </w:rPr>
        <w:t>For unused credit card lines, we have not experienced and do not anticipate that all of our customers will access their entire available line at any given point in time. Commitments to extend credit other than credit card l</w:t>
      </w:r>
      <w:r>
        <w:rPr>
          <w:rFonts w:eastAsia="Times New Roman"/>
          <w:color w:val="000000"/>
          <w:sz w:val="20"/>
          <w:szCs w:val="20"/>
        </w:rPr>
        <w:t>ines generally require customers to maintain certain credit standards. Collateral requirements and loan-to-value (“LTV”) ratios are the same as those for funded transactions and are established based on management’s credit assessment of the customer. These</w:t>
      </w:r>
      <w:r>
        <w:rPr>
          <w:rFonts w:eastAsia="Times New Roman"/>
          <w:color w:val="000000"/>
          <w:sz w:val="20"/>
          <w:szCs w:val="20"/>
        </w:rPr>
        <w:t xml:space="preserve"> commitments may expire without being drawn upon; therefore, the total commitment amount does not necessarily represent future funding requirements.</w:t>
      </w:r>
    </w:p>
    <w:p w:rsidR="00000000" w:rsidRDefault="00AF3814">
      <w:pPr>
        <w:jc w:val="both"/>
        <w:divId w:val="1746107479"/>
        <w:rPr>
          <w:rFonts w:eastAsia="Times New Roman"/>
        </w:rPr>
      </w:pPr>
      <w:r>
        <w:rPr>
          <w:rFonts w:eastAsia="Times New Roman"/>
          <w:color w:val="000000"/>
          <w:sz w:val="20"/>
          <w:szCs w:val="20"/>
        </w:rPr>
        <w:t>We also issue letters of credit, such as financial standby, performance standby and commercial letters of c</w:t>
      </w:r>
      <w:r>
        <w:rPr>
          <w:rFonts w:eastAsia="Times New Roman"/>
          <w:color w:val="000000"/>
          <w:sz w:val="20"/>
          <w:szCs w:val="20"/>
        </w:rPr>
        <w:t>redit, to meet the financing needs of our customers. Standby letters of credit are conditional commitments issued by us to guarantee the performance of a customer to a third party in a borrowing arrangement. Commercial letters of credit are short-term comm</w:t>
      </w:r>
      <w:r>
        <w:rPr>
          <w:rFonts w:eastAsia="Times New Roman"/>
          <w:color w:val="000000"/>
          <w:sz w:val="20"/>
          <w:szCs w:val="20"/>
        </w:rPr>
        <w:t xml:space="preserve">itments issued primarily to facilitate trade finance activities for customers and are generally collateralized by the goods being shipped to the customer. These collateral requirements are similar to those for funded transactions and are established based </w:t>
      </w:r>
      <w:r>
        <w:rPr>
          <w:rFonts w:eastAsia="Times New Roman"/>
          <w:color w:val="000000"/>
          <w:sz w:val="20"/>
          <w:szCs w:val="20"/>
        </w:rPr>
        <w:t>on management’s credit assessment of the customer. Management conducts regular reviews of all outstanding letters of credit and the results of these reviews are considered in assessing the adequacy of reserves for unfunded lending commitments.</w:t>
      </w:r>
    </w:p>
    <w:p w:rsidR="00000000" w:rsidRDefault="00AF3814">
      <w:pPr>
        <w:jc w:val="both"/>
        <w:divId w:val="840044123"/>
        <w:rPr>
          <w:rFonts w:eastAsia="Times New Roman"/>
        </w:rPr>
      </w:pPr>
      <w:r>
        <w:rPr>
          <w:rFonts w:eastAsia="Times New Roman"/>
          <w:color w:val="000000"/>
          <w:sz w:val="20"/>
          <w:szCs w:val="20"/>
        </w:rPr>
        <w:t>The followin</w:t>
      </w:r>
      <w:r>
        <w:rPr>
          <w:rFonts w:eastAsia="Times New Roman"/>
          <w:color w:val="000000"/>
          <w:sz w:val="20"/>
          <w:szCs w:val="20"/>
        </w:rPr>
        <w:t>g table presents the contractual amount and carrying value of our unfunded lending commitments as of June 30, 2021 and December 31, 2020. The carrying value represents our reserve and deferred revenue on legally binding commitments.</w:t>
      </w:r>
    </w:p>
    <w:p w:rsidR="00000000" w:rsidRDefault="00AF3814">
      <w:pPr>
        <w:divId w:val="1107769261"/>
        <w:rPr>
          <w:rFonts w:eastAsia="Times New Roman"/>
        </w:rPr>
      </w:pPr>
      <w:r>
        <w:rPr>
          <w:rFonts w:eastAsia="Times New Roman"/>
          <w:b/>
          <w:bCs/>
          <w:color w:val="000000"/>
          <w:sz w:val="18"/>
          <w:szCs w:val="18"/>
        </w:rPr>
        <w:t>Table 13.1: Unfunded Le</w:t>
      </w:r>
      <w:r>
        <w:rPr>
          <w:rFonts w:eastAsia="Times New Roman"/>
          <w:b/>
          <w:bCs/>
          <w:color w:val="000000"/>
          <w:sz w:val="18"/>
          <w:szCs w:val="18"/>
        </w:rPr>
        <w:t>nding Commitments</w:t>
      </w:r>
    </w:p>
    <w:tbl>
      <w:tblPr>
        <w:tblW w:w="4992" w:type="pct"/>
        <w:tblCellMar>
          <w:top w:w="15" w:type="dxa"/>
          <w:left w:w="15" w:type="dxa"/>
          <w:bottom w:w="15" w:type="dxa"/>
          <w:right w:w="15" w:type="dxa"/>
        </w:tblCellMar>
        <w:tblLook w:val="04A0" w:firstRow="1" w:lastRow="0" w:firstColumn="1" w:lastColumn="0" w:noHBand="0" w:noVBand="1"/>
      </w:tblPr>
      <w:tblGrid>
        <w:gridCol w:w="38"/>
        <w:gridCol w:w="4270"/>
        <w:gridCol w:w="37"/>
        <w:gridCol w:w="36"/>
        <w:gridCol w:w="36"/>
        <w:gridCol w:w="36"/>
        <w:gridCol w:w="110"/>
        <w:gridCol w:w="732"/>
        <w:gridCol w:w="36"/>
        <w:gridCol w:w="36"/>
        <w:gridCol w:w="36"/>
        <w:gridCol w:w="36"/>
        <w:gridCol w:w="110"/>
        <w:gridCol w:w="732"/>
        <w:gridCol w:w="36"/>
        <w:gridCol w:w="36"/>
        <w:gridCol w:w="36"/>
        <w:gridCol w:w="36"/>
        <w:gridCol w:w="110"/>
        <w:gridCol w:w="733"/>
        <w:gridCol w:w="36"/>
        <w:gridCol w:w="36"/>
        <w:gridCol w:w="36"/>
        <w:gridCol w:w="36"/>
        <w:gridCol w:w="111"/>
        <w:gridCol w:w="734"/>
        <w:gridCol w:w="36"/>
      </w:tblGrid>
      <w:tr w:rsidR="00000000">
        <w:trPr>
          <w:divId w:val="1237007479"/>
        </w:trPr>
        <w:tc>
          <w:tcPr>
            <w:tcW w:w="50" w:type="pct"/>
            <w:vAlign w:val="center"/>
            <w:hideMark/>
          </w:tcPr>
          <w:p w:rsidR="00000000" w:rsidRDefault="00AF3814">
            <w:pPr>
              <w:rPr>
                <w:rFonts w:eastAsia="Times New Roman"/>
              </w:rPr>
            </w:pPr>
          </w:p>
        </w:tc>
        <w:tc>
          <w:tcPr>
            <w:tcW w:w="260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9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237007479"/>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Contractual Amount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6"/>
                <w:szCs w:val="16"/>
              </w:rPr>
              <w:t>Carrying Value</w:t>
            </w:r>
          </w:p>
        </w:tc>
      </w:tr>
      <w:tr w:rsidR="00000000">
        <w:trPr>
          <w:divId w:val="1237007479"/>
        </w:trPr>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June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December 31, 2020</w:t>
            </w:r>
          </w:p>
        </w:tc>
      </w:tr>
      <w:tr w:rsidR="00000000">
        <w:trPr>
          <w:divId w:val="123700747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Credit card lines</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354,098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349,594 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AF3814">
            <w:pPr>
              <w:spacing w:after="100"/>
              <w:jc w:val="right"/>
              <w:rPr>
                <w:rFonts w:eastAsia="Times New Roman"/>
              </w:rPr>
            </w:pPr>
            <w:r>
              <w:rPr>
                <w:rFonts w:eastAsia="Times New Roman"/>
                <w:color w:val="000000"/>
                <w:sz w:val="18"/>
                <w:szCs w:val="18"/>
              </w:rPr>
              <w:t>N/A</w:t>
            </w:r>
          </w:p>
        </w:tc>
      </w:tr>
      <w:tr w:rsidR="00000000">
        <w:trPr>
          <w:divId w:val="123700747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divId w:val="130172332"/>
              <w:rPr>
                <w:rFonts w:eastAsia="Times New Roman"/>
              </w:rPr>
            </w:pPr>
            <w:r>
              <w:rPr>
                <w:rFonts w:eastAsia="Times New Roman"/>
                <w:color w:val="000000"/>
                <w:sz w:val="18"/>
                <w:szCs w:val="18"/>
              </w:rPr>
              <w:t>Other loan commitment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38,922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35,836 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144 </w:t>
            </w:r>
          </w:p>
        </w:tc>
        <w:tc>
          <w:tcPr>
            <w:tcW w:w="0" w:type="auto"/>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37007479"/>
        </w:trPr>
        <w:tc>
          <w:tcPr>
            <w:tcW w:w="0" w:type="auto"/>
            <w:gridSpan w:val="3"/>
            <w:shd w:val="clear" w:color="auto" w:fill="CCEEFF"/>
            <w:tcMar>
              <w:top w:w="30" w:type="dxa"/>
              <w:left w:w="20" w:type="dxa"/>
              <w:bottom w:w="30" w:type="dxa"/>
              <w:right w:w="20" w:type="dxa"/>
            </w:tcMar>
            <w:vAlign w:val="center"/>
            <w:hideMark/>
          </w:tcPr>
          <w:p w:rsidR="00000000" w:rsidRDefault="00AF3814">
            <w:pPr>
              <w:spacing w:after="100"/>
              <w:divId w:val="101191572"/>
              <w:rPr>
                <w:rFonts w:eastAsia="Times New Roman"/>
              </w:rPr>
            </w:pPr>
            <w:r>
              <w:rPr>
                <w:rFonts w:eastAsia="Times New Roman"/>
                <w:color w:val="000000"/>
                <w:sz w:val="18"/>
                <w:szCs w:val="18"/>
              </w:rPr>
              <w:t>Standby letters of credit and commercial letters of credi</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1,290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1,302 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center"/>
            <w:hideMark/>
          </w:tcPr>
          <w:p w:rsidR="00000000" w:rsidRDefault="00AF3814">
            <w:pPr>
              <w:spacing w:after="100"/>
              <w:jc w:val="right"/>
              <w:rPr>
                <w:rFonts w:eastAsia="Times New Roman"/>
              </w:rPr>
            </w:pPr>
          </w:p>
        </w:tc>
      </w:tr>
      <w:tr w:rsidR="00000000">
        <w:trPr>
          <w:divId w:val="1237007479"/>
        </w:trPr>
        <w:tc>
          <w:tcPr>
            <w:tcW w:w="0" w:type="auto"/>
            <w:gridSpan w:val="3"/>
            <w:shd w:val="clear" w:color="auto" w:fill="FFFFFF"/>
            <w:tcMar>
              <w:top w:w="30" w:type="dxa"/>
              <w:left w:w="20" w:type="dxa"/>
              <w:bottom w:w="30" w:type="dxa"/>
              <w:right w:w="20" w:type="dxa"/>
            </w:tcMar>
            <w:vAlign w:val="center"/>
            <w:hideMark/>
          </w:tcPr>
          <w:p w:rsidR="00000000" w:rsidRDefault="00AF3814">
            <w:pPr>
              <w:spacing w:after="100"/>
              <w:rPr>
                <w:rFonts w:eastAsia="Times New Roman"/>
              </w:rPr>
            </w:pPr>
            <w:r>
              <w:rPr>
                <w:rFonts w:eastAsia="Times New Roman"/>
                <w:color w:val="000000"/>
                <w:sz w:val="18"/>
                <w:szCs w:val="18"/>
              </w:rPr>
              <w:t>Total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394,310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386,732 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b/>
                <w:bCs/>
                <w:color w:val="000000"/>
                <w:sz w:val="18"/>
                <w:szCs w:val="18"/>
              </w:rPr>
              <w:t>147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AF38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AF3814">
            <w:pPr>
              <w:spacing w:after="100"/>
              <w:jc w:val="right"/>
              <w:rPr>
                <w:rFonts w:eastAsia="Times New Roman"/>
              </w:rPr>
            </w:pPr>
            <w:r>
              <w:rPr>
                <w:rFonts w:eastAsia="Times New Roman"/>
                <w:color w:val="000000"/>
                <w:sz w:val="18"/>
                <w:szCs w:val="18"/>
              </w:rPr>
              <w:t>176 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AF3814">
            <w:pPr>
              <w:spacing w:after="100"/>
              <w:jc w:val="right"/>
              <w:rPr>
                <w:rFonts w:eastAsia="Times New Roman"/>
              </w:rPr>
            </w:pPr>
          </w:p>
        </w:tc>
      </w:tr>
    </w:tbl>
    <w:p w:rsidR="00000000" w:rsidRDefault="00AF3814">
      <w:pPr>
        <w:divId w:val="734670707"/>
        <w:rPr>
          <w:rFonts w:eastAsia="Times New Roman"/>
        </w:rPr>
      </w:pPr>
      <w:r>
        <w:rPr>
          <w:rFonts w:eastAsia="Times New Roman"/>
          <w:color w:val="000000"/>
          <w:sz w:val="20"/>
          <w:szCs w:val="20"/>
        </w:rPr>
        <w:t>__________</w:t>
      </w:r>
    </w:p>
    <w:p w:rsidR="00000000" w:rsidRDefault="00AF3814">
      <w:pPr>
        <w:ind w:hanging="360"/>
        <w:jc w:val="both"/>
        <w:divId w:val="192336696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$2.6 billion and $1.8 </w:t>
      </w:r>
      <w:r>
        <w:rPr>
          <w:rFonts w:eastAsia="Times New Roman"/>
          <w:color w:val="000000"/>
          <w:sz w:val="16"/>
          <w:szCs w:val="16"/>
        </w:rPr>
        <w:t>billion of advised lines of credit as of June 30, 2021 and December 31, 2020, respectively.</w:t>
      </w:r>
    </w:p>
    <w:p w:rsidR="00000000" w:rsidRDefault="00AF3814">
      <w:pPr>
        <w:ind w:hanging="360"/>
        <w:jc w:val="both"/>
        <w:divId w:val="899695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These financial guarantees have expiration dates that range from 2021 to 2023 as of June 30, 2021.</w:t>
      </w:r>
    </w:p>
    <w:p w:rsidR="00000000" w:rsidRDefault="00AF3814">
      <w:pPr>
        <w:divId w:val="621493817"/>
        <w:rPr>
          <w:rFonts w:eastAsia="Times New Roman"/>
        </w:rPr>
      </w:pPr>
      <w:r>
        <w:rPr>
          <w:rFonts w:eastAsia="Times New Roman"/>
          <w:b/>
          <w:bCs/>
          <w:color w:val="000000"/>
          <w:sz w:val="20"/>
          <w:szCs w:val="20"/>
        </w:rPr>
        <w:t>Loss Sharing Agreements</w:t>
      </w:r>
    </w:p>
    <w:p w:rsidR="00000000" w:rsidRDefault="00AF3814">
      <w:pPr>
        <w:jc w:val="both"/>
        <w:divId w:val="958880600"/>
        <w:rPr>
          <w:rFonts w:eastAsia="Times New Roman"/>
        </w:rPr>
      </w:pPr>
      <w:r>
        <w:rPr>
          <w:rFonts w:eastAsia="Times New Roman"/>
          <w:color w:val="000000"/>
          <w:sz w:val="20"/>
          <w:szCs w:val="20"/>
        </w:rPr>
        <w:t>Within our Commercial Banking business</w:t>
      </w:r>
      <w:r>
        <w:rPr>
          <w:rFonts w:eastAsia="Times New Roman"/>
          <w:color w:val="000000"/>
          <w:sz w:val="20"/>
          <w:szCs w:val="20"/>
        </w:rPr>
        <w:t>, we originate multifamily commercial real estate loans with the intent to sell them to the GSEs. We enter into loss sharing agreements with the GSEs upon the sale of the loans. Beginning January 1, 2020, we elected the fair value option on new loss sharin</w:t>
      </w:r>
      <w:r>
        <w:rPr>
          <w:rFonts w:eastAsia="Times New Roman"/>
          <w:color w:val="000000"/>
          <w:sz w:val="20"/>
          <w:szCs w:val="20"/>
        </w:rPr>
        <w:t>g agreements. Unrealized gains and losses are recorded in other non-interest income in our consolidated statements of income. For those loss sharing agreements entered into as of and prior to December 31, 2019, we amortize the liability recorded at incepti</w:t>
      </w:r>
      <w:r>
        <w:rPr>
          <w:rFonts w:eastAsia="Times New Roman"/>
          <w:color w:val="000000"/>
          <w:sz w:val="20"/>
          <w:szCs w:val="20"/>
        </w:rPr>
        <w:t>on into non-interest income as we are released from risk of payment under the loss sharing agreement and record our estimate of expected credit losses each period in provision for credit losses in our consolidated statements of income. The liability recogn</w:t>
      </w:r>
      <w:r>
        <w:rPr>
          <w:rFonts w:eastAsia="Times New Roman"/>
          <w:color w:val="000000"/>
          <w:sz w:val="20"/>
          <w:szCs w:val="20"/>
        </w:rPr>
        <w:t>ized on our consolidated balance sheets for these loss sharing agreements was $93 million and $97 million as of June 30, 2021 and December 31, 2020, respectively.</w:t>
      </w:r>
    </w:p>
    <w:p w:rsidR="00000000" w:rsidRDefault="00AF3814">
      <w:pPr>
        <w:jc w:val="both"/>
        <w:divId w:val="1349214885"/>
        <w:rPr>
          <w:rFonts w:eastAsia="Times New Roman"/>
        </w:rPr>
      </w:pPr>
      <w:r>
        <w:rPr>
          <w:rFonts w:eastAsia="Times New Roman"/>
          <w:color w:val="000000"/>
          <w:sz w:val="20"/>
          <w:szCs w:val="20"/>
        </w:rPr>
        <w:t>See “Note 4—Allowance for Credit Losses and Reserve for Unfunded Lending Commitments” for mor</w:t>
      </w:r>
      <w:r>
        <w:rPr>
          <w:rFonts w:eastAsia="Times New Roman"/>
          <w:color w:val="000000"/>
          <w:sz w:val="20"/>
          <w:szCs w:val="20"/>
        </w:rPr>
        <w:t>e information related to our credit card partnership loss sharing arrangements.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2468455"/>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93246845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93246845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126</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51" style="width:0;height:1.5pt" o:hralign="center" o:hrstd="t" o:hr="t" fillcolor="#a0a0a0" stroked="f"/>
        </w:pict>
      </w:r>
    </w:p>
    <w:p w:rsidR="00000000" w:rsidRDefault="00AF3814">
      <w:pPr>
        <w:jc w:val="both"/>
        <w:divId w:val="2048942821"/>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2048942821"/>
        <w:rPr>
          <w:rFonts w:eastAsia="Times New Roman"/>
        </w:rPr>
      </w:pPr>
    </w:p>
    <w:p w:rsidR="00000000" w:rsidRDefault="00AF3814">
      <w:pPr>
        <w:jc w:val="both"/>
        <w:divId w:val="527258173"/>
        <w:rPr>
          <w:rFonts w:eastAsia="Times New Roman"/>
        </w:rPr>
      </w:pPr>
      <w:r>
        <w:rPr>
          <w:rFonts w:eastAsia="Times New Roman"/>
          <w:b/>
          <w:bCs/>
          <w:color w:val="000000"/>
          <w:sz w:val="20"/>
          <w:szCs w:val="20"/>
        </w:rPr>
        <w:t>Litigation</w:t>
      </w:r>
    </w:p>
    <w:p w:rsidR="00000000" w:rsidRDefault="00AF3814">
      <w:pPr>
        <w:jc w:val="both"/>
        <w:divId w:val="2137750777"/>
        <w:rPr>
          <w:rFonts w:eastAsia="Times New Roman"/>
        </w:rPr>
      </w:pPr>
      <w:r>
        <w:rPr>
          <w:rFonts w:eastAsia="Times New Roman"/>
          <w:color w:val="000000"/>
          <w:sz w:val="20"/>
          <w:szCs w:val="20"/>
        </w:rPr>
        <w:t>In accordance with the current accounting standards for loss contingencies, we establish reserves for litigation-related matters t</w:t>
      </w:r>
      <w:r>
        <w:rPr>
          <w:rFonts w:eastAsia="Times New Roman"/>
          <w:color w:val="000000"/>
          <w:sz w:val="20"/>
          <w:szCs w:val="20"/>
        </w:rPr>
        <w:t>hat arise from the ordinary course of our business activities when it is probable that a loss associated with a claim or proceeding has been incurred and the amount of the loss can be reasonably estimated. None of the amounts we currently have recorded ind</w:t>
      </w:r>
      <w:r>
        <w:rPr>
          <w:rFonts w:eastAsia="Times New Roman"/>
          <w:color w:val="000000"/>
          <w:sz w:val="20"/>
          <w:szCs w:val="20"/>
        </w:rPr>
        <w:t>ividually or in the aggregate are considered to be material to our financial condition. Litigation claims and proceedings of all types are subject to many uncertain factors that generally cannot be predicted with assurance. Below we provide a description o</w:t>
      </w:r>
      <w:r>
        <w:rPr>
          <w:rFonts w:eastAsia="Times New Roman"/>
          <w:color w:val="000000"/>
          <w:sz w:val="20"/>
          <w:szCs w:val="20"/>
        </w:rPr>
        <w:t>f potentially material legal proceedings and claims.</w:t>
      </w:r>
    </w:p>
    <w:p w:rsidR="00000000" w:rsidRDefault="00AF3814">
      <w:pPr>
        <w:jc w:val="both"/>
        <w:divId w:val="2005816038"/>
        <w:rPr>
          <w:rFonts w:eastAsia="Times New Roman"/>
        </w:rPr>
      </w:pPr>
      <w:r>
        <w:rPr>
          <w:rFonts w:eastAsia="Times New Roman"/>
          <w:color w:val="000000"/>
          <w:sz w:val="20"/>
          <w:szCs w:val="20"/>
        </w:rPr>
        <w:t>For some of the matters disclosed below, we are able to estimate reasonably possible losses above existing reserves, and for other disclosed matters, such an estimate is not possible at this time. For th</w:t>
      </w:r>
      <w:r>
        <w:rPr>
          <w:rFonts w:eastAsia="Times New Roman"/>
          <w:color w:val="000000"/>
          <w:sz w:val="20"/>
          <w:szCs w:val="20"/>
        </w:rPr>
        <w:t>ose matters below where an estimate is possible, management currently estimates the reasonably possible future losses beyond our reserves as of June 30, 2021 are approximately $250 million. Our reserve and reasonably possible loss estimates involve conside</w:t>
      </w:r>
      <w:r>
        <w:rPr>
          <w:rFonts w:eastAsia="Times New Roman"/>
          <w:color w:val="000000"/>
          <w:sz w:val="20"/>
          <w:szCs w:val="20"/>
        </w:rPr>
        <w:t>rable judgment and reflect that there is still significant uncertainty regarding numerous factors that may impact the ultimate loss levels. Notwithstanding, our attempt to estimate a reasonably possible range of loss beyond our current accrual levels for s</w:t>
      </w:r>
      <w:r>
        <w:rPr>
          <w:rFonts w:eastAsia="Times New Roman"/>
          <w:color w:val="000000"/>
          <w:sz w:val="20"/>
          <w:szCs w:val="20"/>
        </w:rPr>
        <w:t>ome litigation matters based on current information, it is possible that actual future losses will exceed both the current accrual level and the range of reasonably possible losses disclosed here. Given the inherent uncertainties involved in these matters,</w:t>
      </w:r>
      <w:r>
        <w:rPr>
          <w:rFonts w:eastAsia="Times New Roman"/>
          <w:color w:val="000000"/>
          <w:sz w:val="20"/>
          <w:szCs w:val="20"/>
        </w:rPr>
        <w:t xml:space="preserve"> especially those involving governmental agencies, and the very large or indeterminate damages sought in some of these matters, there is significant uncertainty as to the ultimate liability we may incur from these litigation matters and an adverse outcome </w:t>
      </w:r>
      <w:r>
        <w:rPr>
          <w:rFonts w:eastAsia="Times New Roman"/>
          <w:color w:val="000000"/>
          <w:sz w:val="20"/>
          <w:szCs w:val="20"/>
        </w:rPr>
        <w:t>in one or more of these matters could be material to our results of operations or cash flows for any particular reporting period.</w:t>
      </w:r>
    </w:p>
    <w:p w:rsidR="00000000" w:rsidRDefault="00AF3814">
      <w:pPr>
        <w:divId w:val="1556745232"/>
        <w:rPr>
          <w:rFonts w:eastAsia="Times New Roman"/>
        </w:rPr>
      </w:pPr>
      <w:r>
        <w:rPr>
          <w:rFonts w:eastAsia="Times New Roman"/>
          <w:b/>
          <w:bCs/>
          <w:i/>
          <w:iCs/>
          <w:color w:val="000000"/>
          <w:sz w:val="20"/>
          <w:szCs w:val="20"/>
        </w:rPr>
        <w:t>Interchange</w:t>
      </w:r>
    </w:p>
    <w:p w:rsidR="00000000" w:rsidRDefault="00AF3814">
      <w:pPr>
        <w:jc w:val="both"/>
        <w:divId w:val="997071196"/>
        <w:rPr>
          <w:rFonts w:eastAsia="Times New Roman"/>
        </w:rPr>
      </w:pPr>
      <w:r>
        <w:rPr>
          <w:rFonts w:eastAsia="Times New Roman"/>
          <w:color w:val="000000"/>
          <w:sz w:val="20"/>
          <w:szCs w:val="20"/>
        </w:rPr>
        <w:t>In 2005, a putative class of retail merchants filed antitrust lawsuits against MasterCard and Visa and several iss</w:t>
      </w:r>
      <w:r>
        <w:rPr>
          <w:rFonts w:eastAsia="Times New Roman"/>
          <w:color w:val="000000"/>
          <w:sz w:val="20"/>
          <w:szCs w:val="20"/>
        </w:rPr>
        <w:t>uing banks, including Capital One, seeking both injunctive relief and monetary damages for an alleged conspiracy by defendants to fix the level of interchange fees. Other merchants have asserted similar claims in separate lawsuits, and while these separate</w:t>
      </w:r>
      <w:r>
        <w:rPr>
          <w:rFonts w:eastAsia="Times New Roman"/>
          <w:color w:val="000000"/>
          <w:sz w:val="20"/>
          <w:szCs w:val="20"/>
        </w:rPr>
        <w:t xml:space="preserve"> cases did not name any issuing banks, Visa, MasterCard and issuers, including Capital One, have entered settlement and judgment sharing agreements allocating the liabilities of any judgment or settlement arising from all interchange-related cases.</w:t>
      </w:r>
    </w:p>
    <w:p w:rsidR="00000000" w:rsidRDefault="00AF3814">
      <w:pPr>
        <w:jc w:val="both"/>
        <w:divId w:val="1900432362"/>
        <w:rPr>
          <w:rFonts w:eastAsia="Times New Roman"/>
        </w:rPr>
      </w:pPr>
      <w:r>
        <w:rPr>
          <w:rFonts w:eastAsia="Times New Roman"/>
          <w:color w:val="000000"/>
          <w:sz w:val="20"/>
          <w:szCs w:val="20"/>
        </w:rPr>
        <w:t>The law</w:t>
      </w:r>
      <w:r>
        <w:rPr>
          <w:rFonts w:eastAsia="Times New Roman"/>
          <w:color w:val="000000"/>
          <w:sz w:val="20"/>
          <w:szCs w:val="20"/>
        </w:rPr>
        <w:t>suits were consolidated before the U.S. District Court for the Eastern District of New York for certain purposes and were settled in 2012. The class settlement, however, was invalidated by the United States Court of Appeals for the Second Circuit in June 2</w:t>
      </w:r>
      <w:r>
        <w:rPr>
          <w:rFonts w:eastAsia="Times New Roman"/>
          <w:color w:val="000000"/>
          <w:sz w:val="20"/>
          <w:szCs w:val="20"/>
        </w:rPr>
        <w:t>016, and the suit was bifurcated into separate class actions seeking injunctive and monetary relief, respectively. In addition, numerous merchant groups opted out of the 2012 settlement and have pursued their own claims. The claims by the injunctive relief</w:t>
      </w:r>
      <w:r>
        <w:rPr>
          <w:rFonts w:eastAsia="Times New Roman"/>
          <w:color w:val="000000"/>
          <w:sz w:val="20"/>
          <w:szCs w:val="20"/>
        </w:rPr>
        <w:t xml:space="preserve"> class have not been resolved, but the settlement of $5.5 billion for the monetary damages class received final approval from the trial court, and has been appealed to the U.S. Court of Appeals for the Second Circuit. Visa and MasterCard have also settled </w:t>
      </w:r>
      <w:r>
        <w:rPr>
          <w:rFonts w:eastAsia="Times New Roman"/>
          <w:color w:val="000000"/>
          <w:sz w:val="20"/>
          <w:szCs w:val="20"/>
        </w:rPr>
        <w:t xml:space="preserve">a number of the opt-out cases, which required non-material payments from issuing banks, including Capital One. Visa created a litigation escrow account following its initial public offering of stock in 2008 that funds settlements for its member banks, and </w:t>
      </w:r>
      <w:r>
        <w:rPr>
          <w:rFonts w:eastAsia="Times New Roman"/>
          <w:color w:val="000000"/>
          <w:sz w:val="20"/>
          <w:szCs w:val="20"/>
        </w:rPr>
        <w:t>any settlements related to MasterCard-allocated losses have either already been paid or are reflected in our reserves.</w:t>
      </w:r>
    </w:p>
    <w:p w:rsidR="00000000" w:rsidRDefault="00AF3814">
      <w:pPr>
        <w:jc w:val="both"/>
        <w:divId w:val="1633830208"/>
        <w:rPr>
          <w:rFonts w:eastAsia="Times New Roman"/>
        </w:rPr>
      </w:pPr>
      <w:r>
        <w:rPr>
          <w:rFonts w:eastAsia="Times New Roman"/>
          <w:b/>
          <w:bCs/>
          <w:i/>
          <w:iCs/>
          <w:color w:val="000000"/>
          <w:sz w:val="20"/>
          <w:szCs w:val="20"/>
        </w:rPr>
        <w:t>Cybersecurity Incident</w:t>
      </w:r>
    </w:p>
    <w:p w:rsidR="00000000" w:rsidRDefault="00AF3814">
      <w:pPr>
        <w:jc w:val="both"/>
        <w:divId w:val="892235005"/>
        <w:rPr>
          <w:rFonts w:eastAsia="Times New Roman"/>
        </w:rPr>
      </w:pPr>
      <w:r>
        <w:rPr>
          <w:rFonts w:eastAsia="Times New Roman"/>
          <w:color w:val="000000"/>
          <w:sz w:val="20"/>
          <w:szCs w:val="20"/>
        </w:rPr>
        <w:t>On July 29, 2019, we announced that on March 22 and 23, 2019 an outside individual gained unauthorized access to o</w:t>
      </w:r>
      <w:r>
        <w:rPr>
          <w:rFonts w:eastAsia="Times New Roman"/>
          <w:color w:val="000000"/>
          <w:sz w:val="20"/>
          <w:szCs w:val="20"/>
        </w:rPr>
        <w:t>ur systems. This individual obtained certain types of personal information relating to people who had applied for our credit card products and to our credit card customers (the “Cybersecurity Incident”). As a result of the Cybersecurity Incident, we are su</w:t>
      </w:r>
      <w:r>
        <w:rPr>
          <w:rFonts w:eastAsia="Times New Roman"/>
          <w:color w:val="000000"/>
          <w:sz w:val="20"/>
          <w:szCs w:val="20"/>
        </w:rPr>
        <w:t xml:space="preserve">bject to numerous legal proceedings and other inquiries and could be the subject of additional proceedings and inquiries in the future. </w:t>
      </w:r>
    </w:p>
    <w:p w:rsidR="00000000" w:rsidRDefault="00AF3814">
      <w:pPr>
        <w:jc w:val="both"/>
        <w:divId w:val="1312562123"/>
        <w:rPr>
          <w:rFonts w:eastAsia="Times New Roman"/>
        </w:rPr>
      </w:pPr>
      <w:r>
        <w:rPr>
          <w:rFonts w:eastAsia="Times New Roman"/>
          <w:i/>
          <w:iCs/>
          <w:color w:val="000000"/>
          <w:sz w:val="20"/>
          <w:szCs w:val="20"/>
        </w:rPr>
        <w:t>Consumer class actions</w:t>
      </w:r>
      <w:r>
        <w:rPr>
          <w:rFonts w:eastAsia="Times New Roman"/>
          <w:color w:val="000000"/>
          <w:sz w:val="20"/>
          <w:szCs w:val="20"/>
        </w:rPr>
        <w:t xml:space="preserve">. We were named as a defendant in approximately 74 </w:t>
      </w:r>
      <w:r>
        <w:rPr>
          <w:rFonts w:eastAsia="Times New Roman"/>
          <w:color w:val="000000"/>
          <w:sz w:val="20"/>
          <w:szCs w:val="20"/>
        </w:rPr>
        <w:t>putative consumer class action cases (61 in U.S. federal courts and 13 in Canadian courts) alleging harm from the Cybersecurity Incident and seeking various remedies, including monetary and injunctive relief. The lawsuits allege breach of contract, neglige</w:t>
      </w:r>
      <w:r>
        <w:rPr>
          <w:rFonts w:eastAsia="Times New Roman"/>
          <w:color w:val="000000"/>
          <w:sz w:val="20"/>
          <w:szCs w:val="20"/>
        </w:rPr>
        <w:t>nce, violations of various privacy laws and a variety of other legal causes of action. The U.S. consumer class actions have been consolidated for pretrial proceedings before a multi-district litigation (“MDL”) panel in the U.S. District Court for the Easte</w:t>
      </w:r>
      <w:r>
        <w:rPr>
          <w:rFonts w:eastAsia="Times New Roman"/>
          <w:color w:val="000000"/>
          <w:sz w:val="20"/>
          <w:szCs w:val="20"/>
        </w:rPr>
        <w:t>rn District of Virginia, Alexandria Division, where the remaining 29 consumer class actions are currently pending. In the third quarter of 2020, the MDL court denied in part and granted in part Capital One’s motion to dismiss and permitted pretrial discove</w:t>
      </w:r>
      <w:r>
        <w:rPr>
          <w:rFonts w:eastAsia="Times New Roman"/>
          <w:color w:val="000000"/>
          <w:sz w:val="20"/>
          <w:szCs w:val="20"/>
        </w:rPr>
        <w:t xml:space="preserve">ry to continue.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97540824"/>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97540824"/>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97540824"/>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127</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52" style="width:0;height:1.5pt" o:hralign="center" o:hrstd="t" o:hr="t" fillcolor="#a0a0a0" stroked="f"/>
        </w:pict>
      </w:r>
    </w:p>
    <w:p w:rsidR="00000000" w:rsidRDefault="00AF3814">
      <w:pPr>
        <w:jc w:val="both"/>
        <w:divId w:val="1999115591"/>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999115591"/>
        <w:rPr>
          <w:rFonts w:eastAsia="Times New Roman"/>
        </w:rPr>
      </w:pPr>
    </w:p>
    <w:p w:rsidR="00000000" w:rsidRDefault="00AF3814">
      <w:pPr>
        <w:jc w:val="both"/>
        <w:divId w:val="1632202365"/>
        <w:rPr>
          <w:rFonts w:eastAsia="Times New Roman"/>
        </w:rPr>
      </w:pPr>
      <w:r>
        <w:rPr>
          <w:rFonts w:eastAsia="Times New Roman"/>
          <w:i/>
          <w:iCs/>
          <w:color w:val="000000"/>
          <w:sz w:val="20"/>
          <w:szCs w:val="20"/>
        </w:rPr>
        <w:t>Securities class action</w:t>
      </w:r>
      <w:r>
        <w:rPr>
          <w:rFonts w:eastAsia="Times New Roman"/>
          <w:color w:val="000000"/>
          <w:sz w:val="20"/>
          <w:szCs w:val="20"/>
        </w:rPr>
        <w:t>. The Company and certain officers have also been named as defendants in a putative class action pending in the MDL alleging violations of certain federal securities laws in connection with statements and alleged omissions in securities filings relating to</w:t>
      </w:r>
      <w:r>
        <w:rPr>
          <w:rFonts w:eastAsia="Times New Roman"/>
          <w:color w:val="000000"/>
          <w:sz w:val="20"/>
          <w:szCs w:val="20"/>
        </w:rPr>
        <w:t xml:space="preserve"> our information security standards and practices. The complaint seeks certification of a class of all persons who purchased or otherwise acquired Capital One securities from July 23, 2015 to July 29, 2019, as well as unspecified monetary damages, costs an</w:t>
      </w:r>
      <w:r>
        <w:rPr>
          <w:rFonts w:eastAsia="Times New Roman"/>
          <w:color w:val="000000"/>
          <w:sz w:val="20"/>
          <w:szCs w:val="20"/>
        </w:rPr>
        <w:t>d other relief.</w:t>
      </w:r>
    </w:p>
    <w:p w:rsidR="00000000" w:rsidRDefault="00AF3814">
      <w:pPr>
        <w:jc w:val="both"/>
        <w:divId w:val="1613903642"/>
        <w:rPr>
          <w:rFonts w:eastAsia="Times New Roman"/>
        </w:rPr>
      </w:pPr>
      <w:r>
        <w:rPr>
          <w:rFonts w:eastAsia="Times New Roman"/>
          <w:i/>
          <w:iCs/>
          <w:color w:val="000000"/>
          <w:sz w:val="20"/>
          <w:szCs w:val="20"/>
        </w:rPr>
        <w:t>Governmental inquiries</w:t>
      </w:r>
      <w:r>
        <w:rPr>
          <w:rFonts w:eastAsia="Times New Roman"/>
          <w:color w:val="000000"/>
          <w:sz w:val="20"/>
          <w:szCs w:val="20"/>
        </w:rPr>
        <w:t>. We have received inquiries and requests for information relating to the Cybersecurity Incident from Congress, federal regulators, relevant Canadian regulators, the Department of Justice, and the offices of approximat</w:t>
      </w:r>
      <w:r>
        <w:rPr>
          <w:rFonts w:eastAsia="Times New Roman"/>
          <w:color w:val="000000"/>
          <w:sz w:val="20"/>
          <w:szCs w:val="20"/>
        </w:rPr>
        <w:t xml:space="preserve">ely fourteen state Attorneys General. We are cooperating with these offices and responding to their inquiries. </w:t>
      </w:r>
    </w:p>
    <w:p w:rsidR="00000000" w:rsidRDefault="00AF3814">
      <w:pPr>
        <w:jc w:val="both"/>
        <w:rPr>
          <w:rFonts w:eastAsia="Times New Roman"/>
        </w:rPr>
      </w:pPr>
      <w:r>
        <w:rPr>
          <w:rFonts w:eastAsia="Times New Roman"/>
          <w:color w:val="000000"/>
          <w:sz w:val="20"/>
          <w:szCs w:val="20"/>
        </w:rPr>
        <w:t>In August 2020, we entered into consent orders with the Federal Reserve and the Office of the Comptroller of the Currency (“OCC”) resulting from</w:t>
      </w:r>
      <w:r>
        <w:rPr>
          <w:rFonts w:eastAsia="Times New Roman"/>
          <w:color w:val="000000"/>
          <w:sz w:val="20"/>
          <w:szCs w:val="20"/>
        </w:rPr>
        <w:t xml:space="preserve"> regulatory reviews of the Cybersecurity Incident and relating to ongoing enhancements of our cybersecurity and operational risk management processes. We paid an $80 million penalty to the U.S. Treasury as part of the OCC agreement. The Federal Reserve agr</w:t>
      </w:r>
      <w:r>
        <w:rPr>
          <w:rFonts w:eastAsia="Times New Roman"/>
          <w:color w:val="000000"/>
          <w:sz w:val="20"/>
          <w:szCs w:val="20"/>
        </w:rPr>
        <w:t xml:space="preserve">eement did not contain a monetary penalty. </w:t>
      </w:r>
    </w:p>
    <w:p w:rsidR="00000000" w:rsidRDefault="00AF3814">
      <w:pPr>
        <w:divId w:val="149952890"/>
        <w:rPr>
          <w:rFonts w:eastAsia="Times New Roman"/>
        </w:rPr>
      </w:pPr>
      <w:r>
        <w:rPr>
          <w:rFonts w:eastAsia="Times New Roman"/>
          <w:b/>
          <w:bCs/>
          <w:i/>
          <w:iCs/>
          <w:color w:val="000000"/>
          <w:sz w:val="20"/>
          <w:szCs w:val="20"/>
        </w:rPr>
        <w:t>Taxi Medallion Finance Investigations</w:t>
      </w:r>
    </w:p>
    <w:p w:rsidR="00000000" w:rsidRDefault="00AF3814">
      <w:pPr>
        <w:jc w:val="both"/>
        <w:divId w:val="1654291240"/>
        <w:rPr>
          <w:rFonts w:eastAsia="Times New Roman"/>
        </w:rPr>
      </w:pPr>
      <w:r>
        <w:rPr>
          <w:rFonts w:eastAsia="Times New Roman"/>
          <w:color w:val="000000"/>
          <w:sz w:val="20"/>
          <w:szCs w:val="20"/>
        </w:rPr>
        <w:t>Beginning in 2019, we have received subpoenas from the New York Attorney General’s office and from the U.S. Attorney’s Office for the Southern District of New York, Civil and</w:t>
      </w:r>
      <w:r>
        <w:rPr>
          <w:rFonts w:eastAsia="Times New Roman"/>
          <w:color w:val="000000"/>
          <w:sz w:val="20"/>
          <w:szCs w:val="20"/>
        </w:rPr>
        <w:t xml:space="preserve"> Criminal Divisions, relating to investigations of the taxi medallion finance industry we exited beginning in 2015. The subpoenas seek, among other things, information regarding our lending counterparties and practices. We are cooperating with these invest</w:t>
      </w:r>
      <w:r>
        <w:rPr>
          <w:rFonts w:eastAsia="Times New Roman"/>
          <w:color w:val="000000"/>
          <w:sz w:val="20"/>
          <w:szCs w:val="20"/>
        </w:rPr>
        <w:t>igations.</w:t>
      </w:r>
    </w:p>
    <w:p w:rsidR="00000000" w:rsidRDefault="00AF3814">
      <w:pPr>
        <w:divId w:val="1509178655"/>
        <w:rPr>
          <w:rFonts w:eastAsia="Times New Roman"/>
        </w:rPr>
      </w:pPr>
      <w:r>
        <w:rPr>
          <w:rFonts w:eastAsia="Times New Roman"/>
          <w:b/>
          <w:bCs/>
          <w:i/>
          <w:iCs/>
          <w:color w:val="000000"/>
          <w:sz w:val="20"/>
          <w:szCs w:val="20"/>
        </w:rPr>
        <w:t>U.K. PPI Litigation</w:t>
      </w:r>
    </w:p>
    <w:p w:rsidR="00000000" w:rsidRDefault="00AF3814">
      <w:pPr>
        <w:jc w:val="both"/>
        <w:divId w:val="1939211014"/>
        <w:rPr>
          <w:rFonts w:eastAsia="Times New Roman"/>
        </w:rPr>
      </w:pPr>
      <w:r>
        <w:rPr>
          <w:rFonts w:eastAsia="Times New Roman"/>
          <w:color w:val="000000"/>
          <w:sz w:val="20"/>
          <w:szCs w:val="20"/>
        </w:rPr>
        <w:t>In the U.K., we previously sold payment protection insurance (“PPI”). For several years leading up to the claims submission deadline of August 29, 2019 (as set by the U.K. Financial Conduct Authority), we received customer com</w:t>
      </w:r>
      <w:r>
        <w:rPr>
          <w:rFonts w:eastAsia="Times New Roman"/>
          <w:color w:val="000000"/>
          <w:sz w:val="20"/>
          <w:szCs w:val="20"/>
        </w:rPr>
        <w:t>plaints and regulatory claims relating to PPI. As of the first quarter of 2021, COEP has materially resolved the PPI complaints and regulatory claims received prior to the deadline. Some of the claimants in the U.K. PPI regulatory claims process have subse</w:t>
      </w:r>
      <w:r>
        <w:rPr>
          <w:rFonts w:eastAsia="Times New Roman"/>
          <w:color w:val="000000"/>
          <w:sz w:val="20"/>
          <w:szCs w:val="20"/>
        </w:rPr>
        <w:t>quently initiated legal proceedings, seeking additional redress. We are responding to these proceedings as we receive them.</w:t>
      </w:r>
    </w:p>
    <w:p w:rsidR="00000000" w:rsidRDefault="00AF3814">
      <w:pPr>
        <w:jc w:val="both"/>
        <w:divId w:val="1999840153"/>
        <w:rPr>
          <w:rFonts w:eastAsia="Times New Roman"/>
        </w:rPr>
      </w:pPr>
      <w:r>
        <w:rPr>
          <w:rFonts w:eastAsia="Times New Roman"/>
          <w:b/>
          <w:bCs/>
          <w:i/>
          <w:iCs/>
          <w:color w:val="000000"/>
          <w:sz w:val="20"/>
          <w:szCs w:val="20"/>
        </w:rPr>
        <w:t>Other Pending and Threatened Litigation</w:t>
      </w:r>
    </w:p>
    <w:p w:rsidR="00000000" w:rsidRDefault="00AF3814">
      <w:pPr>
        <w:jc w:val="both"/>
        <w:divId w:val="1089306492"/>
        <w:rPr>
          <w:rFonts w:eastAsia="Times New Roman"/>
        </w:rPr>
      </w:pPr>
      <w:r>
        <w:rPr>
          <w:rFonts w:eastAsia="Times New Roman"/>
          <w:color w:val="000000"/>
          <w:sz w:val="20"/>
          <w:szCs w:val="20"/>
        </w:rPr>
        <w:t>In addition, we are commonly subject to various pending and threatened legal actions relatin</w:t>
      </w:r>
      <w:r>
        <w:rPr>
          <w:rFonts w:eastAsia="Times New Roman"/>
          <w:color w:val="000000"/>
          <w:sz w:val="20"/>
          <w:szCs w:val="20"/>
        </w:rPr>
        <w:t>g to the conduct of our normal business activities. In the opinion of management, the ultimate aggregate liability, if any, arising out of all such other pending or threatened legal actions is not expected to be material to our consolidated financial posit</w:t>
      </w:r>
      <w:r>
        <w:rPr>
          <w:rFonts w:eastAsia="Times New Roman"/>
          <w:color w:val="000000"/>
          <w:sz w:val="20"/>
          <w:szCs w:val="20"/>
        </w:rPr>
        <w:t>ion or our results of operations.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20543075"/>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20543075"/>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2020543075"/>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128</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53" style="width:0;height:1.5pt" o:hralign="center" o:hrstd="t" o:hr="t" fillcolor="#a0a0a0" stroked="f"/>
        </w:pict>
      </w:r>
    </w:p>
    <w:p w:rsidR="00000000" w:rsidRDefault="00AF3814">
      <w:pPr>
        <w:jc w:val="both"/>
        <w:divId w:val="1651593612"/>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divId w:val="1595628876"/>
        <w:rPr>
          <w:rFonts w:eastAsia="Times New Roman"/>
        </w:rPr>
      </w:pPr>
      <w:r>
        <w:rPr>
          <w:rFonts w:eastAsia="Times New Roman"/>
          <w:b/>
          <w:bCs/>
          <w:color w:val="000000"/>
          <w:sz w:val="20"/>
          <w:szCs w:val="20"/>
        </w:rPr>
        <w:t xml:space="preserve">Item 3. Quantitative and Qualitative Disclosures about Market Risk </w:t>
      </w:r>
    </w:p>
    <w:p w:rsidR="00000000" w:rsidRDefault="00AF3814">
      <w:pPr>
        <w:jc w:val="both"/>
        <w:divId w:val="1035959416"/>
        <w:rPr>
          <w:rFonts w:eastAsia="Times New Roman"/>
        </w:rPr>
      </w:pPr>
      <w:r>
        <w:rPr>
          <w:rFonts w:eastAsia="Times New Roman"/>
          <w:color w:val="000000"/>
          <w:sz w:val="20"/>
          <w:szCs w:val="20"/>
        </w:rPr>
        <w:t>For a discussion of the quantitative and qualitative disclosures about market risk, see “MD&amp;A—Market Risk Profile.”</w:t>
      </w:r>
    </w:p>
    <w:p w:rsidR="00000000" w:rsidRDefault="00AF3814">
      <w:pPr>
        <w:divId w:val="702091961"/>
        <w:rPr>
          <w:rFonts w:eastAsia="Times New Roman"/>
        </w:rPr>
      </w:pPr>
      <w:r>
        <w:rPr>
          <w:rFonts w:eastAsia="Times New Roman"/>
          <w:b/>
          <w:bCs/>
          <w:color w:val="000000"/>
          <w:sz w:val="20"/>
          <w:szCs w:val="20"/>
        </w:rPr>
        <w:t>Item 4. Controls and Procedures</w:t>
      </w:r>
    </w:p>
    <w:p w:rsidR="00000000" w:rsidRDefault="00AF3814">
      <w:pPr>
        <w:divId w:val="1664892262"/>
        <w:rPr>
          <w:rFonts w:eastAsia="Times New Roman"/>
        </w:rPr>
      </w:pPr>
      <w:r>
        <w:rPr>
          <w:rFonts w:eastAsia="Times New Roman"/>
          <w:b/>
          <w:bCs/>
          <w:color w:val="000000"/>
          <w:sz w:val="20"/>
          <w:szCs w:val="20"/>
        </w:rPr>
        <w:t>Overview</w:t>
      </w:r>
    </w:p>
    <w:p w:rsidR="00000000" w:rsidRDefault="00AF3814">
      <w:pPr>
        <w:jc w:val="both"/>
        <w:divId w:val="393897783"/>
        <w:rPr>
          <w:rFonts w:eastAsia="Times New Roman"/>
        </w:rPr>
      </w:pPr>
      <w:r>
        <w:rPr>
          <w:rFonts w:eastAsia="Times New Roman"/>
          <w:color w:val="000000"/>
          <w:sz w:val="20"/>
          <w:szCs w:val="20"/>
        </w:rPr>
        <w:t>We are required under applicable laws and regulations to maintain controls and procedures, which in</w:t>
      </w:r>
      <w:r>
        <w:rPr>
          <w:rFonts w:eastAsia="Times New Roman"/>
          <w:color w:val="000000"/>
          <w:sz w:val="20"/>
          <w:szCs w:val="20"/>
        </w:rPr>
        <w:t>clude disclosure controls and procedures as well as internal control over financial reporting, as further described below. </w:t>
      </w:r>
    </w:p>
    <w:p w:rsidR="00000000" w:rsidRDefault="00AF3814">
      <w:pPr>
        <w:divId w:val="1548489103"/>
        <w:rPr>
          <w:rFonts w:eastAsia="Times New Roman"/>
        </w:rPr>
      </w:pPr>
      <w:r>
        <w:rPr>
          <w:rFonts w:eastAsia="Times New Roman"/>
          <w:b/>
          <w:bCs/>
          <w:color w:val="000000"/>
          <w:sz w:val="20"/>
          <w:szCs w:val="20"/>
        </w:rPr>
        <w:t>(a) Disclosure Controls and Procedures</w:t>
      </w:r>
    </w:p>
    <w:p w:rsidR="00000000" w:rsidRDefault="00AF3814">
      <w:pPr>
        <w:jc w:val="both"/>
        <w:divId w:val="973413297"/>
        <w:rPr>
          <w:rFonts w:eastAsia="Times New Roman"/>
        </w:rPr>
      </w:pPr>
      <w:r>
        <w:rPr>
          <w:rFonts w:eastAsia="Times New Roman"/>
          <w:color w:val="000000"/>
          <w:sz w:val="20"/>
          <w:szCs w:val="20"/>
        </w:rPr>
        <w:t>Disclosure controls and procedures refer to controls and other procedures designed to provide</w:t>
      </w:r>
      <w:r>
        <w:rPr>
          <w:rFonts w:eastAsia="Times New Roman"/>
          <w:color w:val="000000"/>
          <w:sz w:val="20"/>
          <w:szCs w:val="20"/>
        </w:rPr>
        <w:t xml:space="preserve"> reasonable assurance that information required to be disclosed in our financial reports is recorded, processed, summarized and reported within the time periods specified by the SEC rules and forms and that such information is accumulated and communicated </w:t>
      </w:r>
      <w:r>
        <w:rPr>
          <w:rFonts w:eastAsia="Times New Roman"/>
          <w:color w:val="000000"/>
          <w:sz w:val="20"/>
          <w:szCs w:val="20"/>
        </w:rPr>
        <w:t>to management, including our Chief Executive Officer and Chief Financial Officer, as appropriate, to allow timely decisions regarding our required disclosure. In designing and evaluating our disclosure controls and procedures, we recognize that any control</w:t>
      </w:r>
      <w:r>
        <w:rPr>
          <w:rFonts w:eastAsia="Times New Roman"/>
          <w:color w:val="000000"/>
          <w:sz w:val="20"/>
          <w:szCs w:val="20"/>
        </w:rPr>
        <w:t>s and procedures, no matter how well designed and operated, can provide only reasonable assurance of achieving the desired control objectives, and we must apply judgment in evaluating and implementing possible controls and procedures. </w:t>
      </w:r>
    </w:p>
    <w:p w:rsidR="00000000" w:rsidRDefault="00AF3814">
      <w:pPr>
        <w:divId w:val="1455057138"/>
        <w:rPr>
          <w:rFonts w:eastAsia="Times New Roman"/>
        </w:rPr>
      </w:pPr>
      <w:r>
        <w:rPr>
          <w:rFonts w:eastAsia="Times New Roman"/>
          <w:b/>
          <w:bCs/>
          <w:i/>
          <w:iCs/>
          <w:color w:val="000000"/>
          <w:sz w:val="20"/>
          <w:szCs w:val="20"/>
        </w:rPr>
        <w:t>Evaluation of Disclo</w:t>
      </w:r>
      <w:r>
        <w:rPr>
          <w:rFonts w:eastAsia="Times New Roman"/>
          <w:b/>
          <w:bCs/>
          <w:i/>
          <w:iCs/>
          <w:color w:val="000000"/>
          <w:sz w:val="20"/>
          <w:szCs w:val="20"/>
        </w:rPr>
        <w:t>sure Controls and Procedures</w:t>
      </w:r>
    </w:p>
    <w:p w:rsidR="00000000" w:rsidRDefault="00AF3814">
      <w:pPr>
        <w:jc w:val="both"/>
        <w:divId w:val="1035275301"/>
        <w:rPr>
          <w:rFonts w:eastAsia="Times New Roman"/>
        </w:rPr>
      </w:pPr>
      <w:r>
        <w:rPr>
          <w:rFonts w:eastAsia="Times New Roman"/>
          <w:color w:val="000000"/>
          <w:sz w:val="20"/>
          <w:szCs w:val="20"/>
        </w:rPr>
        <w:t>As required by Rule 13a-15 of the Securities Exchange Act of 1934 (“Exchange Act”), our management, including the Chief Executive Officer and Chief Financial Officer, conducted an evaluation of the effectiveness of our disclosu</w:t>
      </w:r>
      <w:r>
        <w:rPr>
          <w:rFonts w:eastAsia="Times New Roman"/>
          <w:color w:val="000000"/>
          <w:sz w:val="20"/>
          <w:szCs w:val="20"/>
        </w:rPr>
        <w:t>re controls and procedures (as that term is defined in Rules 13a-15(e) and 15d-15(e) of the Exchange Act) as of June 30, 2021, the end of the period covered by this Report on Form 10-Q. Based upon that evaluation, the Chief Executive Officer and Chief Fina</w:t>
      </w:r>
      <w:r>
        <w:rPr>
          <w:rFonts w:eastAsia="Times New Roman"/>
          <w:color w:val="000000"/>
          <w:sz w:val="20"/>
          <w:szCs w:val="20"/>
        </w:rPr>
        <w:t>ncial Officer concluded that our disclosure controls and procedures were effective as of June 30, 2021, at a reasonable level of assurance, in recording, processing, summarizing and reporting information required to be disclosed within the time periods spe</w:t>
      </w:r>
      <w:r>
        <w:rPr>
          <w:rFonts w:eastAsia="Times New Roman"/>
          <w:color w:val="000000"/>
          <w:sz w:val="20"/>
          <w:szCs w:val="20"/>
        </w:rPr>
        <w:t>cified by the SEC rules and forms.</w:t>
      </w:r>
    </w:p>
    <w:p w:rsidR="00000000" w:rsidRDefault="00AF3814">
      <w:pPr>
        <w:jc w:val="both"/>
        <w:divId w:val="1821270430"/>
        <w:rPr>
          <w:rFonts w:eastAsia="Times New Roman"/>
        </w:rPr>
      </w:pPr>
      <w:r>
        <w:rPr>
          <w:rFonts w:eastAsia="Times New Roman"/>
          <w:b/>
          <w:bCs/>
          <w:color w:val="000000"/>
          <w:sz w:val="20"/>
          <w:szCs w:val="20"/>
        </w:rPr>
        <w:t>(b) Changes in Internal Control Over Financial Reporting</w:t>
      </w:r>
    </w:p>
    <w:p w:rsidR="00000000" w:rsidRDefault="00AF3814">
      <w:pPr>
        <w:jc w:val="both"/>
        <w:divId w:val="36125544"/>
        <w:rPr>
          <w:rFonts w:eastAsia="Times New Roman"/>
        </w:rPr>
      </w:pPr>
      <w:r>
        <w:rPr>
          <w:rFonts w:eastAsia="Times New Roman"/>
          <w:color w:val="000000"/>
          <w:sz w:val="20"/>
          <w:szCs w:val="20"/>
        </w:rPr>
        <w:t>We regularly review our disclosure controls and procedures and make changes intended to ensure the quality of our financial reporting. There were no changes in inte</w:t>
      </w:r>
      <w:r>
        <w:rPr>
          <w:rFonts w:eastAsia="Times New Roman"/>
          <w:color w:val="000000"/>
          <w:sz w:val="20"/>
          <w:szCs w:val="20"/>
        </w:rPr>
        <w:t>rnal control over financial reporting that occurred in the second quarter of 2021 that materially affected, or are reasonably likely to materially affect, the Company’s internal control over financial reporting.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57262601"/>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157262601"/>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157262601"/>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129</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54" style="width:0;height:1.5pt" o:hralign="center" o:hrstd="t" o:hr="t" fillcolor="#a0a0a0" stroked="f"/>
        </w:pict>
      </w:r>
    </w:p>
    <w:p w:rsidR="00000000" w:rsidRDefault="00AF3814">
      <w:pPr>
        <w:jc w:val="both"/>
        <w:divId w:val="1042557564"/>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750614777"/>
        <w:rPr>
          <w:rFonts w:eastAsia="Times New Roman"/>
        </w:rPr>
      </w:pPr>
      <w:r>
        <w:rPr>
          <w:rFonts w:eastAsia="Times New Roman"/>
          <w:b/>
          <w:bCs/>
          <w:color w:val="000000"/>
          <w:sz w:val="20"/>
          <w:szCs w:val="20"/>
        </w:rPr>
        <w:t xml:space="preserve">PART II—OTHER INFORMATION </w:t>
      </w:r>
    </w:p>
    <w:p w:rsidR="00000000" w:rsidRDefault="00AF3814">
      <w:pPr>
        <w:divId w:val="81488077"/>
        <w:rPr>
          <w:rFonts w:eastAsia="Times New Roman"/>
        </w:rPr>
      </w:pPr>
      <w:r>
        <w:rPr>
          <w:rFonts w:eastAsia="Times New Roman"/>
          <w:b/>
          <w:bCs/>
          <w:color w:val="000000"/>
          <w:sz w:val="20"/>
          <w:szCs w:val="20"/>
        </w:rPr>
        <w:t xml:space="preserve">Item 1. Legal Proceedings </w:t>
      </w:r>
    </w:p>
    <w:p w:rsidR="00000000" w:rsidRDefault="00AF3814">
      <w:pPr>
        <w:jc w:val="both"/>
        <w:divId w:val="478618836"/>
        <w:rPr>
          <w:rFonts w:eastAsia="Times New Roman"/>
        </w:rPr>
      </w:pPr>
      <w:r>
        <w:rPr>
          <w:rFonts w:eastAsia="Times New Roman"/>
          <w:color w:val="000000"/>
          <w:sz w:val="20"/>
          <w:szCs w:val="20"/>
        </w:rPr>
        <w:t>The information required by Item 103 of Regulation S-K is included in “Note 13—Commitment</w:t>
      </w:r>
      <w:r>
        <w:rPr>
          <w:rFonts w:eastAsia="Times New Roman"/>
          <w:color w:val="000000"/>
          <w:sz w:val="20"/>
          <w:szCs w:val="20"/>
        </w:rPr>
        <w:t>s, Contingencies, Guarantees and Others.”</w:t>
      </w:r>
    </w:p>
    <w:p w:rsidR="00000000" w:rsidRDefault="00AF3814">
      <w:pPr>
        <w:divId w:val="1847019943"/>
        <w:rPr>
          <w:rFonts w:eastAsia="Times New Roman"/>
        </w:rPr>
      </w:pPr>
      <w:r>
        <w:rPr>
          <w:rFonts w:eastAsia="Times New Roman"/>
          <w:b/>
          <w:bCs/>
          <w:color w:val="000000"/>
          <w:sz w:val="20"/>
          <w:szCs w:val="20"/>
        </w:rPr>
        <w:t xml:space="preserve">Item 1A. Risk Factors </w:t>
      </w:r>
    </w:p>
    <w:p w:rsidR="00000000" w:rsidRDefault="00AF3814">
      <w:pPr>
        <w:jc w:val="both"/>
        <w:divId w:val="875000190"/>
        <w:rPr>
          <w:rFonts w:eastAsia="Times New Roman"/>
        </w:rPr>
      </w:pPr>
      <w:r>
        <w:rPr>
          <w:rFonts w:eastAsia="Times New Roman"/>
          <w:color w:val="000000"/>
          <w:sz w:val="20"/>
          <w:szCs w:val="20"/>
        </w:rPr>
        <w:t>We are not aware of any material changes from the risk factors set forth under “Part I—Item 1A. Risk Factors” in our 2020 Form 10-K.</w:t>
      </w:r>
    </w:p>
    <w:p w:rsidR="00000000" w:rsidRDefault="00AF3814">
      <w:pPr>
        <w:divId w:val="475537818"/>
        <w:rPr>
          <w:rFonts w:eastAsia="Times New Roman"/>
        </w:rPr>
      </w:pPr>
      <w:r>
        <w:rPr>
          <w:rFonts w:eastAsia="Times New Roman"/>
          <w:b/>
          <w:bCs/>
          <w:color w:val="000000"/>
          <w:sz w:val="20"/>
          <w:szCs w:val="20"/>
        </w:rPr>
        <w:t>Item 2. Unregistered Sales of Equity Securities and Use of</w:t>
      </w:r>
      <w:r>
        <w:rPr>
          <w:rFonts w:eastAsia="Times New Roman"/>
          <w:b/>
          <w:bCs/>
          <w:color w:val="000000"/>
          <w:sz w:val="20"/>
          <w:szCs w:val="20"/>
        </w:rPr>
        <w:t xml:space="preserve"> Proceeds </w:t>
      </w:r>
    </w:p>
    <w:p w:rsidR="00000000" w:rsidRDefault="00AF3814">
      <w:pPr>
        <w:jc w:val="both"/>
        <w:divId w:val="901257500"/>
        <w:rPr>
          <w:rFonts w:eastAsia="Times New Roman"/>
        </w:rPr>
      </w:pPr>
      <w:r>
        <w:rPr>
          <w:rFonts w:eastAsia="Times New Roman"/>
          <w:color w:val="000000"/>
          <w:sz w:val="20"/>
          <w:szCs w:val="20"/>
        </w:rPr>
        <w:t>The following table presents information related to the withholdings of our common stock for each calendar month in the second quarter of 2021. Commission costs are excluded from the amounts presented below.</w:t>
      </w:r>
    </w:p>
    <w:tbl>
      <w:tblPr>
        <w:tblW w:w="5000" w:type="pct"/>
        <w:tblCellMar>
          <w:top w:w="15" w:type="dxa"/>
          <w:left w:w="15" w:type="dxa"/>
          <w:bottom w:w="15" w:type="dxa"/>
          <w:right w:w="15" w:type="dxa"/>
        </w:tblCellMar>
        <w:tblLook w:val="04A0" w:firstRow="1" w:lastRow="0" w:firstColumn="1" w:lastColumn="0" w:noHBand="0" w:noVBand="1"/>
      </w:tblPr>
      <w:tblGrid>
        <w:gridCol w:w="37"/>
        <w:gridCol w:w="2757"/>
        <w:gridCol w:w="36"/>
        <w:gridCol w:w="36"/>
        <w:gridCol w:w="36"/>
        <w:gridCol w:w="36"/>
        <w:gridCol w:w="58"/>
        <w:gridCol w:w="953"/>
        <w:gridCol w:w="36"/>
        <w:gridCol w:w="36"/>
        <w:gridCol w:w="36"/>
        <w:gridCol w:w="36"/>
        <w:gridCol w:w="111"/>
        <w:gridCol w:w="1008"/>
        <w:gridCol w:w="36"/>
        <w:gridCol w:w="36"/>
        <w:gridCol w:w="36"/>
        <w:gridCol w:w="36"/>
        <w:gridCol w:w="98"/>
        <w:gridCol w:w="1338"/>
        <w:gridCol w:w="36"/>
        <w:gridCol w:w="36"/>
        <w:gridCol w:w="36"/>
        <w:gridCol w:w="36"/>
        <w:gridCol w:w="111"/>
        <w:gridCol w:w="1223"/>
        <w:gridCol w:w="36"/>
      </w:tblGrid>
      <w:tr w:rsidR="00000000">
        <w:trPr>
          <w:divId w:val="1802966011"/>
        </w:trPr>
        <w:tc>
          <w:tcPr>
            <w:tcW w:w="50" w:type="pct"/>
            <w:vAlign w:val="center"/>
            <w:hideMark/>
          </w:tcPr>
          <w:p w:rsidR="00000000" w:rsidRDefault="00AF3814">
            <w:pPr>
              <w:jc w:val="both"/>
              <w:rPr>
                <w:rFonts w:eastAsia="Times New Roman"/>
              </w:rPr>
            </w:pPr>
          </w:p>
        </w:tc>
        <w:tc>
          <w:tcPr>
            <w:tcW w:w="175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72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72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8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68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802966011"/>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 xml:space="preserve">Total Number </w:t>
            </w:r>
          </w:p>
          <w:p w:rsidR="00000000" w:rsidRDefault="00AF3814">
            <w:pPr>
              <w:spacing w:after="100"/>
              <w:jc w:val="center"/>
              <w:rPr>
                <w:rFonts w:eastAsia="Times New Roman"/>
              </w:rPr>
            </w:pPr>
            <w:r>
              <w:rPr>
                <w:rFonts w:eastAsia="Times New Roman"/>
                <w:b/>
                <w:bCs/>
                <w:color w:val="000000"/>
                <w:sz w:val="16"/>
                <w:szCs w:val="16"/>
              </w:rPr>
              <w:t>of Shares</w:t>
            </w:r>
          </w:p>
          <w:p w:rsidR="00000000" w:rsidRDefault="00AF3814">
            <w:pPr>
              <w:spacing w:after="100"/>
              <w:jc w:val="center"/>
              <w:rPr>
                <w:rFonts w:eastAsia="Times New Roman"/>
              </w:rPr>
            </w:pPr>
            <w:r>
              <w:rPr>
                <w:rFonts w:eastAsia="Times New Roman"/>
                <w:b/>
                <w:bCs/>
                <w:color w:val="000000"/>
                <w:sz w:val="16"/>
                <w:szCs w:val="16"/>
              </w:rPr>
              <w:t>Purchase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 </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 as</w:t>
            </w:r>
            <w:r>
              <w:rPr>
                <w:rFonts w:eastAsia="Times New Roman"/>
                <w:b/>
                <w:bCs/>
                <w:color w:val="000000"/>
                <w:sz w:val="16"/>
                <w:szCs w:val="16"/>
              </w:rPr>
              <w:br/>
              <w:t>Part of Publicly</w:t>
            </w:r>
            <w:r>
              <w:rPr>
                <w:rFonts w:eastAsia="Times New Roman"/>
                <w:b/>
                <w:bCs/>
                <w:color w:val="000000"/>
                <w:sz w:val="16"/>
                <w:szCs w:val="16"/>
              </w:rPr>
              <w:br/>
              <w:t>Announced Plans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b/>
                <w:bCs/>
                <w:color w:val="000000"/>
                <w:sz w:val="16"/>
                <w:szCs w:val="16"/>
              </w:rPr>
              <w:t>Maximum</w:t>
            </w:r>
          </w:p>
          <w:p w:rsidR="00000000" w:rsidRDefault="00AF3814">
            <w:pPr>
              <w:spacing w:after="100"/>
              <w:jc w:val="center"/>
              <w:rPr>
                <w:rFonts w:eastAsia="Times New Roman"/>
              </w:rPr>
            </w:pPr>
            <w:r>
              <w:rPr>
                <w:rFonts w:eastAsia="Times New Roman"/>
                <w:b/>
                <w:bCs/>
                <w:color w:val="000000"/>
                <w:sz w:val="16"/>
                <w:szCs w:val="16"/>
              </w:rPr>
              <w:t>Amount That May</w:t>
            </w:r>
          </w:p>
          <w:p w:rsidR="00000000" w:rsidRDefault="00AF3814">
            <w:pPr>
              <w:spacing w:after="100"/>
              <w:jc w:val="center"/>
              <w:rPr>
                <w:rFonts w:eastAsia="Times New Roman"/>
              </w:rPr>
            </w:pPr>
            <w:r>
              <w:rPr>
                <w:rFonts w:eastAsia="Times New Roman"/>
                <w:b/>
                <w:bCs/>
                <w:color w:val="000000"/>
                <w:sz w:val="16"/>
                <w:szCs w:val="16"/>
              </w:rPr>
              <w:t>Yet be Purchased</w:t>
            </w:r>
          </w:p>
          <w:p w:rsidR="00000000" w:rsidRDefault="00AF3814">
            <w:pPr>
              <w:spacing w:after="100"/>
              <w:jc w:val="center"/>
              <w:rPr>
                <w:rFonts w:eastAsia="Times New Roman"/>
              </w:rPr>
            </w:pPr>
            <w:r>
              <w:rPr>
                <w:rFonts w:eastAsia="Times New Roman"/>
                <w:b/>
                <w:bCs/>
                <w:color w:val="000000"/>
                <w:sz w:val="16"/>
                <w:szCs w:val="16"/>
              </w:rPr>
              <w:t>Under the Plan</w:t>
            </w:r>
          </w:p>
          <w:p w:rsidR="00000000" w:rsidRDefault="00AF3814">
            <w:pPr>
              <w:spacing w:after="100"/>
              <w:jc w:val="center"/>
              <w:rPr>
                <w:rFonts w:eastAsia="Times New Roman"/>
              </w:rPr>
            </w:pPr>
            <w:r>
              <w:rPr>
                <w:rFonts w:eastAsia="Times New Roman"/>
                <w:b/>
                <w:bCs/>
                <w:color w:val="000000"/>
                <w:sz w:val="16"/>
                <w:szCs w:val="16"/>
              </w:rPr>
              <w:t>or Program</w:t>
            </w:r>
          </w:p>
          <w:p w:rsidR="00000000" w:rsidRDefault="00AF3814">
            <w:pPr>
              <w:spacing w:after="100"/>
              <w:jc w:val="center"/>
              <w:rPr>
                <w:rFonts w:eastAsia="Times New Roman"/>
              </w:rPr>
            </w:pPr>
            <w:r>
              <w:rPr>
                <w:rFonts w:eastAsia="Times New Roman"/>
                <w:i/>
                <w:iCs/>
                <w:color w:val="000000"/>
                <w:sz w:val="16"/>
                <w:szCs w:val="16"/>
              </w:rPr>
              <w:t>(in millions)</w:t>
            </w:r>
          </w:p>
        </w:tc>
      </w:tr>
      <w:tr w:rsidR="00000000">
        <w:trPr>
          <w:divId w:val="1802966011"/>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April</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5,559,071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134.45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5,559,071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F3814">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6,263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02966011"/>
        </w:trPr>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May</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5,910,765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155.40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5,870,500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5,350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02966011"/>
        </w:trPr>
        <w:tc>
          <w:tcPr>
            <w:tcW w:w="0" w:type="auto"/>
            <w:gridSpan w:val="3"/>
            <w:shd w:val="clear" w:color="auto" w:fill="CCEE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June</w:t>
            </w: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15,500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160.63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15,500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5,348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AF3814">
            <w:pPr>
              <w:spacing w:after="100"/>
              <w:jc w:val="right"/>
              <w:rPr>
                <w:rFonts w:eastAsia="Times New Roman"/>
              </w:rPr>
            </w:pPr>
          </w:p>
        </w:tc>
      </w:tr>
      <w:tr w:rsidR="00000000">
        <w:trPr>
          <w:divId w:val="1802966011"/>
        </w:trPr>
        <w:tc>
          <w:tcPr>
            <w:tcW w:w="0" w:type="auto"/>
            <w:gridSpan w:val="3"/>
            <w:shd w:val="clear" w:color="auto" w:fill="FFFFFF"/>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11,485,336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145.27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F3814">
            <w:pPr>
              <w:spacing w:after="100"/>
              <w:jc w:val="right"/>
              <w:rPr>
                <w:rFonts w:eastAsia="Times New Roman"/>
              </w:rPr>
            </w:pPr>
            <w:r>
              <w:rPr>
                <w:rFonts w:eastAsia="Times New Roman"/>
                <w:b/>
                <w:bCs/>
                <w:color w:val="000000"/>
                <w:sz w:val="18"/>
                <w:szCs w:val="18"/>
              </w:rPr>
              <w:t>11,445,071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F38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F3814">
            <w:pPr>
              <w:spacing w:after="100"/>
              <w:rPr>
                <w:rFonts w:eastAsia="Times New Roman"/>
                <w:sz w:val="20"/>
                <w:szCs w:val="20"/>
              </w:rPr>
            </w:pPr>
          </w:p>
        </w:tc>
      </w:tr>
    </w:tbl>
    <w:p w:rsidR="00000000" w:rsidRDefault="00AF3814">
      <w:pPr>
        <w:divId w:val="1802966011"/>
        <w:rPr>
          <w:rFonts w:eastAsia="Times New Roman"/>
        </w:rPr>
      </w:pPr>
      <w:r>
        <w:rPr>
          <w:rFonts w:eastAsia="Times New Roman"/>
          <w:color w:val="000000"/>
          <w:sz w:val="20"/>
          <w:szCs w:val="20"/>
        </w:rPr>
        <w:t>__________</w:t>
      </w:r>
    </w:p>
    <w:p w:rsidR="00000000" w:rsidRDefault="00AF3814">
      <w:pPr>
        <w:ind w:hanging="360"/>
        <w:jc w:val="both"/>
        <w:divId w:val="60453349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On January 25, 2021, our Board of Directors authorized the repurchase of up to $7.5 billion of shares of our common stock. There were 40,265 shares withheld in May to cover taxes o</w:t>
      </w:r>
      <w:r>
        <w:rPr>
          <w:rFonts w:eastAsia="Times New Roman"/>
          <w:color w:val="000000"/>
          <w:sz w:val="16"/>
          <w:szCs w:val="16"/>
        </w:rPr>
        <w:t>n restricted stock units (“RSUs”) whose restrictions have lapsed. See “MD&amp;A—Capital Management—Dividend Policy and Stock Purchases” for more information.</w:t>
      </w:r>
    </w:p>
    <w:p w:rsidR="00000000" w:rsidRDefault="00AF3814">
      <w:pPr>
        <w:divId w:val="2077586082"/>
        <w:rPr>
          <w:rFonts w:eastAsia="Times New Roman"/>
        </w:rPr>
      </w:pPr>
      <w:r>
        <w:rPr>
          <w:rFonts w:eastAsia="Times New Roman"/>
          <w:b/>
          <w:bCs/>
          <w:color w:val="000000"/>
          <w:sz w:val="20"/>
          <w:szCs w:val="20"/>
        </w:rPr>
        <w:t xml:space="preserve">Item 3. Defaults Upon Senior Securities </w:t>
      </w:r>
    </w:p>
    <w:p w:rsidR="00000000" w:rsidRDefault="00AF3814">
      <w:pPr>
        <w:jc w:val="both"/>
        <w:divId w:val="1722905340"/>
        <w:rPr>
          <w:rFonts w:eastAsia="Times New Roman"/>
        </w:rPr>
      </w:pPr>
      <w:r>
        <w:rPr>
          <w:rFonts w:eastAsia="Times New Roman"/>
          <w:color w:val="000000"/>
          <w:sz w:val="20"/>
          <w:szCs w:val="20"/>
        </w:rPr>
        <w:t>None.</w:t>
      </w:r>
    </w:p>
    <w:p w:rsidR="00000000" w:rsidRDefault="00AF3814">
      <w:pPr>
        <w:divId w:val="1503932970"/>
        <w:rPr>
          <w:rFonts w:eastAsia="Times New Roman"/>
        </w:rPr>
      </w:pPr>
      <w:r>
        <w:rPr>
          <w:rFonts w:eastAsia="Times New Roman"/>
          <w:b/>
          <w:bCs/>
          <w:color w:val="000000"/>
          <w:sz w:val="20"/>
          <w:szCs w:val="20"/>
        </w:rPr>
        <w:t>Item </w:t>
      </w:r>
      <w:r>
        <w:rPr>
          <w:rFonts w:eastAsia="Times New Roman"/>
          <w:b/>
          <w:bCs/>
          <w:color w:val="000000"/>
          <w:sz w:val="20"/>
          <w:szCs w:val="20"/>
        </w:rPr>
        <w:t xml:space="preserve">4. Mine Safety Disclosures </w:t>
      </w:r>
    </w:p>
    <w:p w:rsidR="00000000" w:rsidRDefault="00AF3814">
      <w:pPr>
        <w:divId w:val="194201980"/>
        <w:rPr>
          <w:rFonts w:eastAsia="Times New Roman"/>
        </w:rPr>
      </w:pPr>
      <w:r>
        <w:rPr>
          <w:rFonts w:eastAsia="Times New Roman"/>
          <w:color w:val="000000"/>
          <w:sz w:val="20"/>
          <w:szCs w:val="20"/>
        </w:rPr>
        <w:t>Not applicable.</w:t>
      </w:r>
    </w:p>
    <w:p w:rsidR="00000000" w:rsidRDefault="00AF3814">
      <w:pPr>
        <w:divId w:val="1111627416"/>
        <w:rPr>
          <w:rFonts w:eastAsia="Times New Roman"/>
        </w:rPr>
      </w:pPr>
      <w:r>
        <w:rPr>
          <w:rFonts w:eastAsia="Times New Roman"/>
          <w:b/>
          <w:bCs/>
          <w:color w:val="000000"/>
          <w:sz w:val="20"/>
          <w:szCs w:val="20"/>
        </w:rPr>
        <w:t>Item 5.</w:t>
      </w:r>
      <w:r>
        <w:rPr>
          <w:rFonts w:eastAsia="Times New Roman"/>
          <w:color w:val="000000"/>
          <w:sz w:val="20"/>
          <w:szCs w:val="20"/>
        </w:rPr>
        <w:t xml:space="preserve"> </w:t>
      </w:r>
      <w:r>
        <w:rPr>
          <w:rFonts w:eastAsia="Times New Roman"/>
          <w:b/>
          <w:bCs/>
          <w:color w:val="000000"/>
          <w:sz w:val="20"/>
          <w:szCs w:val="20"/>
        </w:rPr>
        <w:t xml:space="preserve">Other Information </w:t>
      </w:r>
    </w:p>
    <w:p w:rsidR="00000000" w:rsidRDefault="00AF3814">
      <w:pPr>
        <w:jc w:val="both"/>
        <w:divId w:val="1473137647"/>
        <w:rPr>
          <w:rFonts w:eastAsia="Times New Roman"/>
        </w:rPr>
      </w:pPr>
      <w:r>
        <w:rPr>
          <w:rFonts w:eastAsia="Times New Roman"/>
          <w:color w:val="000000"/>
          <w:sz w:val="20"/>
          <w:szCs w:val="20"/>
        </w:rPr>
        <w:t>None.</w:t>
      </w:r>
    </w:p>
    <w:p w:rsidR="00000000" w:rsidRDefault="00AF3814">
      <w:pPr>
        <w:divId w:val="1036588135"/>
        <w:rPr>
          <w:rFonts w:eastAsia="Times New Roman"/>
        </w:rPr>
      </w:pPr>
      <w:r>
        <w:rPr>
          <w:rFonts w:eastAsia="Times New Roman"/>
          <w:b/>
          <w:bCs/>
          <w:color w:val="000000"/>
          <w:sz w:val="20"/>
          <w:szCs w:val="20"/>
        </w:rPr>
        <w:t xml:space="preserve">Item 6. Exhibits </w:t>
      </w:r>
    </w:p>
    <w:p w:rsidR="00000000" w:rsidRDefault="00AF3814">
      <w:pPr>
        <w:jc w:val="both"/>
        <w:divId w:val="1139499693"/>
        <w:rPr>
          <w:rFonts w:eastAsia="Times New Roman"/>
        </w:rPr>
      </w:pPr>
      <w:r>
        <w:rPr>
          <w:rFonts w:eastAsia="Times New Roman"/>
          <w:color w:val="000000"/>
          <w:sz w:val="20"/>
          <w:szCs w:val="20"/>
        </w:rPr>
        <w:t>An index to exhibits has been filed as part of this Report and is incorporated herein by reference.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73625627"/>
          <w:jc w:val="center"/>
        </w:trPr>
        <w:tc>
          <w:tcPr>
            <w:tcW w:w="50" w:type="pct"/>
            <w:vAlign w:val="center"/>
            <w:hideMark/>
          </w:tcPr>
          <w:p w:rsidR="00000000" w:rsidRDefault="00AF3814">
            <w:pPr>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373625627"/>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373625627"/>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130</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55" style="width:0;height:1.5pt" o:hralign="center" o:hrstd="t" o:hr="t" fillcolor="#a0a0a0" stroked="f"/>
        </w:pict>
      </w:r>
    </w:p>
    <w:p w:rsidR="00000000" w:rsidRDefault="00AF3814">
      <w:pPr>
        <w:jc w:val="both"/>
        <w:divId w:val="607002276"/>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rPr>
          <w:rFonts w:eastAsia="Times New Roman"/>
        </w:rPr>
      </w:pPr>
      <w:r>
        <w:rPr>
          <w:rFonts w:eastAsia="Times New Roman"/>
          <w:b/>
          <w:bCs/>
          <w:color w:val="000000"/>
          <w:sz w:val="20"/>
          <w:szCs w:val="20"/>
        </w:rPr>
        <w:t xml:space="preserve">EXHIBIT INDEX </w:t>
      </w:r>
    </w:p>
    <w:p w:rsidR="00000000" w:rsidRDefault="00AF3814">
      <w:pPr>
        <w:jc w:val="both"/>
        <w:divId w:val="264700981"/>
        <w:rPr>
          <w:rFonts w:eastAsia="Times New Roman"/>
        </w:rPr>
      </w:pPr>
      <w:r>
        <w:rPr>
          <w:rFonts w:eastAsia="Times New Roman"/>
          <w:color w:val="000000"/>
          <w:sz w:val="20"/>
          <w:szCs w:val="20"/>
        </w:rPr>
        <w:t>The following exhibits are incorporated by reference or filed herewith. Reference to the “2003 Form 10-K” is to the Company’s Annual Report on Form 10-K for the year ended December 31, 2003, filed on March 5, 2004.</w:t>
      </w:r>
    </w:p>
    <w:tbl>
      <w:tblPr>
        <w:tblW w:w="5000" w:type="pct"/>
        <w:jc w:val="center"/>
        <w:tblCellMar>
          <w:top w:w="15" w:type="dxa"/>
          <w:left w:w="15" w:type="dxa"/>
          <w:bottom w:w="15" w:type="dxa"/>
          <w:right w:w="15" w:type="dxa"/>
        </w:tblCellMar>
        <w:tblLook w:val="04A0" w:firstRow="1" w:lastRow="0" w:firstColumn="1" w:lastColumn="0" w:noHBand="0" w:noVBand="1"/>
      </w:tblPr>
      <w:tblGrid>
        <w:gridCol w:w="88"/>
        <w:gridCol w:w="776"/>
        <w:gridCol w:w="36"/>
        <w:gridCol w:w="36"/>
        <w:gridCol w:w="36"/>
        <w:gridCol w:w="36"/>
        <w:gridCol w:w="40"/>
        <w:gridCol w:w="7220"/>
        <w:gridCol w:w="38"/>
      </w:tblGrid>
      <w:tr w:rsidR="00000000">
        <w:trPr>
          <w:jc w:val="center"/>
        </w:trPr>
        <w:tc>
          <w:tcPr>
            <w:tcW w:w="50" w:type="pct"/>
            <w:vAlign w:val="center"/>
            <w:hideMark/>
          </w:tcPr>
          <w:p w:rsidR="00000000" w:rsidRDefault="00AF3814">
            <w:pPr>
              <w:jc w:val="both"/>
              <w:rPr>
                <w:rFonts w:eastAsia="Times New Roman"/>
              </w:rPr>
            </w:pPr>
          </w:p>
        </w:tc>
        <w:tc>
          <w:tcPr>
            <w:tcW w:w="4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411"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AF3814">
            <w:pPr>
              <w:spacing w:after="100"/>
              <w:jc w:val="center"/>
              <w:rPr>
                <w:rFonts w:eastAsia="Times New Roman"/>
              </w:rPr>
            </w:pPr>
            <w:r>
              <w:rPr>
                <w:rFonts w:eastAsia="Times New Roman"/>
                <w:b/>
                <w:bCs/>
                <w:color w:val="000000"/>
                <w:sz w:val="17"/>
                <w:szCs w:val="17"/>
              </w:rPr>
              <w:t>Exhibit No.</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AF3814">
            <w:pPr>
              <w:spacing w:after="100"/>
              <w:jc w:val="both"/>
              <w:rPr>
                <w:rFonts w:eastAsia="Times New Roman"/>
              </w:rPr>
            </w:pPr>
            <w:r>
              <w:rPr>
                <w:rFonts w:eastAsia="Times New Roman"/>
                <w:b/>
                <w:bCs/>
                <w:color w:val="000000"/>
                <w:sz w:val="17"/>
                <w:szCs w:val="17"/>
              </w:rPr>
              <w:t>Description</w:t>
            </w:r>
          </w:p>
        </w:tc>
      </w:tr>
      <w:tr w:rsidR="00000000">
        <w:trPr>
          <w:jc w:val="center"/>
        </w:trPr>
        <w:tc>
          <w:tcPr>
            <w:tcW w:w="0" w:type="auto"/>
            <w:gridSpan w:val="3"/>
            <w:tcBorders>
              <w:top w:val="single" w:sz="8" w:space="0" w:color="000000"/>
            </w:tcBorders>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3.1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AF3814">
            <w:pPr>
              <w:spacing w:after="100"/>
              <w:jc w:val="both"/>
              <w:rPr>
                <w:rFonts w:eastAsia="Times New Roman"/>
              </w:rPr>
            </w:pPr>
            <w:hyperlink r:id="rId4" w:history="1">
              <w:r>
                <w:rPr>
                  <w:rStyle w:val="a3"/>
                  <w:rFonts w:eastAsia="Times New Roman"/>
                  <w:sz w:val="17"/>
                  <w:szCs w:val="17"/>
                </w:rPr>
                <w:t>Restated Certificate of Incorporation of Capital One Financial Corporation (as restated May 1, 2020) (incorporated by refer</w:t>
              </w:r>
              <w:r>
                <w:rPr>
                  <w:rStyle w:val="a3"/>
                  <w:rFonts w:eastAsia="Times New Roman"/>
                  <w:sz w:val="17"/>
                  <w:szCs w:val="17"/>
                </w:rPr>
                <w:t>ence to Exhibit 3.2 of the Current Report on Form 8-K, filed on May 4, 2020).</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3.2</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hyperlink r:id="rId5" w:history="1">
              <w:r>
                <w:rPr>
                  <w:rStyle w:val="a3"/>
                  <w:rFonts w:eastAsia="Times New Roman"/>
                  <w:sz w:val="17"/>
                  <w:szCs w:val="17"/>
                </w:rPr>
                <w:t>Amended and Restated Bylaws of Capital One Financial Corporation, dated May 1, 2020 (incorporated by reference to Exhibit 3.3 of the Current Report</w:t>
              </w:r>
              <w:r>
                <w:rPr>
                  <w:rStyle w:val="a3"/>
                  <w:rFonts w:eastAsia="Times New Roman"/>
                  <w:sz w:val="17"/>
                  <w:szCs w:val="17"/>
                </w:rPr>
                <w:t xml:space="preserve"> on Form 8-K, filed on May 4, 2020).</w:t>
              </w:r>
            </w:hyperlink>
          </w:p>
        </w:tc>
      </w:tr>
      <w:tr w:rsidR="00000000">
        <w:trPr>
          <w:jc w:val="center"/>
        </w:trPr>
        <w:tc>
          <w:tcPr>
            <w:tcW w:w="0" w:type="auto"/>
            <w:gridSpan w:val="3"/>
            <w:vAlign w:val="center"/>
            <w:hideMark/>
          </w:tcPr>
          <w:p w:rsidR="00000000" w:rsidRDefault="00AF3814">
            <w:pPr>
              <w:spacing w:after="100"/>
              <w:jc w:val="both"/>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3.3.1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hyperlink r:id="rId6" w:history="1">
              <w:r>
                <w:rPr>
                  <w:rStyle w:val="a3"/>
                  <w:rFonts w:eastAsia="Times New Roman"/>
                  <w:sz w:val="17"/>
                  <w:szCs w:val="17"/>
                </w:rPr>
                <w:t>Certificate of Designations of Fixed Rate Non-Cumulative Perpetual Preferred Stock, Series K, dated September 16, 2020 (incorporated by reference to Exhibit 3</w:t>
              </w:r>
              <w:r>
                <w:rPr>
                  <w:rStyle w:val="a3"/>
                  <w:rFonts w:eastAsia="Times New Roman"/>
                  <w:sz w:val="17"/>
                  <w:szCs w:val="17"/>
                </w:rPr>
                <w:t>.1 of the Current Report on Form 8-K, filed on September 17, 2020).</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3.3.2</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hyperlink r:id="rId7" w:history="1">
              <w:r>
                <w:rPr>
                  <w:rStyle w:val="a3"/>
                  <w:rFonts w:eastAsia="Times New Roman"/>
                  <w:sz w:val="17"/>
                  <w:szCs w:val="17"/>
                </w:rPr>
                <w:t xml:space="preserve">Certificate of Designations of Fixed Rate Non-Cumulative Perpetual Preferred Stock, Series L, dated May 3, 2021 (incorporated by reference to Exhibit 3.1 </w:t>
              </w:r>
              <w:r>
                <w:rPr>
                  <w:rStyle w:val="a3"/>
                  <w:rFonts w:eastAsia="Times New Roman"/>
                  <w:sz w:val="17"/>
                  <w:szCs w:val="17"/>
                </w:rPr>
                <w:t>of the Current Report on Form 8-K, filed on May 4, 2021).</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3.3.3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hyperlink r:id="rId8" w:history="1">
              <w:r>
                <w:rPr>
                  <w:rStyle w:val="a3"/>
                  <w:rFonts w:eastAsia="Times New Roman"/>
                  <w:sz w:val="17"/>
                  <w:szCs w:val="17"/>
                </w:rPr>
                <w:t>Certificate of Designations of Fixed Rate Reset Non-Cumulative Perpetual Preferred</w:t>
              </w:r>
              <w:r>
                <w:rPr>
                  <w:rStyle w:val="a3"/>
                  <w:rFonts w:eastAsia="Times New Roman"/>
                  <w:sz w:val="17"/>
                  <w:szCs w:val="17"/>
                </w:rPr>
                <w:t xml:space="preserve"> Stock, Series M, dated June 9, 2021 (incorporated by reference to Exhibit 3.1 of the Current Report on Form 8-K, filed on June 10, 2021).</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3.3.4</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hyperlink r:id="rId9" w:history="1">
              <w:r>
                <w:rPr>
                  <w:rStyle w:val="a3"/>
                  <w:rFonts w:eastAsia="Times New Roman"/>
                  <w:sz w:val="17"/>
                  <w:szCs w:val="17"/>
                </w:rPr>
                <w:t>Certificate of Designations of Fixed Rate Non-Cumulative Perpetual Preferred Stock, Series N, dated July 28, 2021 (incorporated by reference to Exhibit 3</w:t>
              </w:r>
              <w:r>
                <w:rPr>
                  <w:rStyle w:val="a3"/>
                  <w:rFonts w:eastAsia="Times New Roman"/>
                  <w:sz w:val="17"/>
                  <w:szCs w:val="17"/>
                </w:rPr>
                <w:t>.1 of the Current Report on Form 8-K, filed on July 29, 2021).</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4.1.1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hyperlink r:id="rId10" w:history="1">
              <w:r>
                <w:rPr>
                  <w:rStyle w:val="a3"/>
                  <w:rFonts w:eastAsia="Times New Roman"/>
                  <w:sz w:val="17"/>
                  <w:szCs w:val="17"/>
                </w:rPr>
                <w:t>Specimen certificate representing the common stock of Capital One Financial Corporation</w:t>
              </w:r>
              <w:r>
                <w:rPr>
                  <w:rStyle w:val="a3"/>
                  <w:rFonts w:eastAsia="Times New Roman"/>
                  <w:sz w:val="17"/>
                  <w:szCs w:val="17"/>
                </w:rPr>
                <w:t xml:space="preserve"> (incorporated by reference to Exhibit 4.1 of the 2003 Form 10-K).</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4.1.2</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hyperlink r:id="rId11" w:history="1">
              <w:r>
                <w:rPr>
                  <w:rStyle w:val="a3"/>
                  <w:rFonts w:eastAsia="Times New Roman"/>
                  <w:sz w:val="17"/>
                  <w:szCs w:val="17"/>
                </w:rPr>
                <w:t>Warrant Agreement, dated December 3, 2009, between Capital One Financial Corporatio</w:t>
              </w:r>
              <w:r>
                <w:rPr>
                  <w:rStyle w:val="a3"/>
                  <w:rFonts w:eastAsia="Times New Roman"/>
                  <w:sz w:val="17"/>
                  <w:szCs w:val="17"/>
                </w:rPr>
                <w:t>n and Computershare Trust Company, N.A. (incorporated by reference to the Exhibit 4.1 of the Form 8-A, filed on December 4, 2009).</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4.1.3</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hyperlink r:id="rId12" w:history="1">
              <w:r>
                <w:rPr>
                  <w:rStyle w:val="a3"/>
                  <w:rFonts w:eastAsia="Times New Roman"/>
                  <w:sz w:val="17"/>
                  <w:szCs w:val="17"/>
                </w:rPr>
                <w:t>Deposit Agreement, dated August 20, 2012 (incorporated by reference to Exhibit 4.1 of the Current Report on Form 8-K, filed on August 20, 2012).</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4.2</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AF3814">
            <w:pPr>
              <w:spacing w:after="100"/>
              <w:jc w:val="both"/>
              <w:rPr>
                <w:rFonts w:eastAsia="Times New Roman"/>
              </w:rPr>
            </w:pPr>
            <w:r>
              <w:rPr>
                <w:rFonts w:eastAsia="Times New Roman"/>
                <w:color w:val="000000"/>
                <w:sz w:val="17"/>
                <w:szCs w:val="17"/>
              </w:rPr>
              <w:t>Pursuant to Item 601(b)(4)(iii)(A) of Regulation S-K, copies of instruments defining the rights of holders of long-term debt are not filed. The Company agrees to furnish a copy thereof to the SEC upon request.</w:t>
            </w:r>
          </w:p>
        </w:tc>
      </w:tr>
      <w:tr w:rsidR="00000000">
        <w:trPr>
          <w:jc w:val="center"/>
        </w:trPr>
        <w:tc>
          <w:tcPr>
            <w:tcW w:w="0" w:type="auto"/>
            <w:gridSpan w:val="3"/>
            <w:vAlign w:val="center"/>
            <w:hideMark/>
          </w:tcPr>
          <w:p w:rsidR="00000000" w:rsidRDefault="00AF3814">
            <w:pPr>
              <w:spacing w:after="100"/>
              <w:jc w:val="both"/>
              <w:rPr>
                <w:rFonts w:eastAsia="Times New Roman"/>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10.1+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hyperlink r:id="rId13" w:history="1">
              <w:r>
                <w:rPr>
                  <w:rStyle w:val="a3"/>
                  <w:rFonts w:eastAsia="Times New Roman"/>
                  <w:sz w:val="17"/>
                  <w:szCs w:val="17"/>
                </w:rPr>
                <w:t>Sixth Amended and Restated 2004 Stock Incentive Plan (incorporated by reference to Exhibit 10.1 of the Current Report on Form 8-K, filed on</w:t>
              </w:r>
              <w:r>
                <w:rPr>
                  <w:rStyle w:val="a3"/>
                  <w:rFonts w:eastAsia="Times New Roman"/>
                  <w:sz w:val="17"/>
                  <w:szCs w:val="17"/>
                </w:rPr>
                <w:t xml:space="preserve"> May 7, 2021).</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31.1*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hyperlink r:id="rId14" w:history="1">
              <w:r>
                <w:rPr>
                  <w:rStyle w:val="a3"/>
                  <w:rFonts w:eastAsia="Times New Roman"/>
                  <w:sz w:val="17"/>
                  <w:szCs w:val="17"/>
                </w:rPr>
                <w:t>Certification of Richard D. Fairbank.</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31.2*</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hyperlink r:id="rId15" w:history="1">
              <w:r>
                <w:rPr>
                  <w:rStyle w:val="a3"/>
                  <w:rFonts w:eastAsia="Times New Roman"/>
                  <w:sz w:val="17"/>
                  <w:szCs w:val="17"/>
                </w:rPr>
                <w:t>Certification of Andrew M. Young.</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32.1**</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hyperlink r:id="rId16" w:history="1">
              <w:r>
                <w:rPr>
                  <w:rStyle w:val="a3"/>
                  <w:rFonts w:eastAsia="Times New Roman"/>
                  <w:sz w:val="17"/>
                  <w:szCs w:val="17"/>
                </w:rPr>
                <w:t>Certification of Richard D. Fairbank.</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32.2**</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hyperlink r:id="rId17" w:history="1">
              <w:r>
                <w:rPr>
                  <w:rStyle w:val="a3"/>
                  <w:rFonts w:eastAsia="Times New Roman"/>
                  <w:sz w:val="17"/>
                  <w:szCs w:val="17"/>
                </w:rPr>
                <w:t>Certification of Andrew M. Young.</w:t>
              </w:r>
            </w:hyperlink>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101.INS</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r>
              <w:rPr>
                <w:rFonts w:eastAsia="Times New Roman"/>
                <w:color w:val="000000"/>
                <w:sz w:val="17"/>
                <w:szCs w:val="17"/>
              </w:rPr>
              <w:t>XBRL Instance Document - the instance document does not appear in the Interactive Data File because its XBRL tags are embedded within the Inline XBRL document.</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101.SCH*</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r>
              <w:rPr>
                <w:rFonts w:eastAsia="Times New Roman"/>
                <w:color w:val="000000"/>
                <w:sz w:val="17"/>
                <w:szCs w:val="17"/>
              </w:rPr>
              <w:t>Inline XBRL Taxonomy Extension Schema Document.</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101.CAL*</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r>
              <w:rPr>
                <w:rFonts w:eastAsia="Times New Roman"/>
                <w:color w:val="000000"/>
                <w:sz w:val="17"/>
                <w:szCs w:val="17"/>
              </w:rPr>
              <w:t>Inline XBRL Taxonomy Extension Calculation Linkbase Document.</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101.DEF*</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r>
              <w:rPr>
                <w:rFonts w:eastAsia="Times New Roman"/>
                <w:color w:val="000000"/>
                <w:sz w:val="17"/>
                <w:szCs w:val="17"/>
              </w:rPr>
              <w:t>Inline XBRL Taxonomy Extension Definition Linkbase Document.</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101.LAB*</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r>
              <w:rPr>
                <w:rFonts w:eastAsia="Times New Roman"/>
                <w:color w:val="000000"/>
                <w:sz w:val="17"/>
                <w:szCs w:val="17"/>
              </w:rPr>
              <w:t>Inline XBRL Taxonomy Extension Label Linkbase Document.</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101.PRE*</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r>
              <w:rPr>
                <w:rFonts w:eastAsia="Times New Roman"/>
                <w:color w:val="000000"/>
                <w:sz w:val="17"/>
                <w:szCs w:val="17"/>
              </w:rPr>
              <w:t>Inline XBRL Taxonomy Extension Presentation Linkbase Document.</w:t>
            </w:r>
          </w:p>
        </w:tc>
      </w:tr>
      <w:tr w:rsidR="00000000">
        <w:trPr>
          <w:jc w:val="center"/>
        </w:trPr>
        <w:tc>
          <w:tcPr>
            <w:tcW w:w="0" w:type="auto"/>
            <w:gridSpan w:val="3"/>
            <w:tcMar>
              <w:top w:w="30" w:type="dxa"/>
              <w:left w:w="20" w:type="dxa"/>
              <w:bottom w:w="30" w:type="dxa"/>
              <w:right w:w="20" w:type="dxa"/>
            </w:tcMar>
            <w:hideMark/>
          </w:tcPr>
          <w:p w:rsidR="00000000" w:rsidRDefault="00AF3814">
            <w:pPr>
              <w:spacing w:after="100"/>
              <w:jc w:val="center"/>
              <w:rPr>
                <w:rFonts w:eastAsia="Times New Roman"/>
              </w:rPr>
            </w:pPr>
            <w:r>
              <w:rPr>
                <w:rFonts w:eastAsia="Times New Roman"/>
                <w:color w:val="000000"/>
                <w:sz w:val="17"/>
                <w:szCs w:val="17"/>
              </w:rPr>
              <w:t>104</w:t>
            </w:r>
          </w:p>
        </w:tc>
        <w:tc>
          <w:tcPr>
            <w:tcW w:w="0" w:type="auto"/>
            <w:gridSpan w:val="3"/>
            <w:tcMar>
              <w:top w:w="0" w:type="dxa"/>
              <w:left w:w="20" w:type="dxa"/>
              <w:bottom w:w="0" w:type="dxa"/>
              <w:right w:w="20" w:type="dxa"/>
            </w:tcMar>
            <w:vAlign w:val="center"/>
            <w:hideMark/>
          </w:tcPr>
          <w:p w:rsidR="00000000" w:rsidRDefault="00AF38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r>
              <w:rPr>
                <w:rFonts w:eastAsia="Times New Roman"/>
                <w:color w:val="000000"/>
                <w:sz w:val="17"/>
                <w:szCs w:val="17"/>
              </w:rPr>
              <w:t>The cover page of Capital One Financial Corporation’</w:t>
            </w:r>
            <w:r>
              <w:rPr>
                <w:rFonts w:eastAsia="Times New Roman"/>
                <w:color w:val="000000"/>
                <w:sz w:val="17"/>
                <w:szCs w:val="17"/>
              </w:rPr>
              <w:t>s Quarterly Report on Form 10-Q for the quarter ended June 30, 2021, formatted in Inline XBRL (included within the Exhibit 101 attachments).</w:t>
            </w:r>
          </w:p>
        </w:tc>
      </w:tr>
    </w:tbl>
    <w:p w:rsidR="00000000" w:rsidRDefault="00AF3814">
      <w:pPr>
        <w:jc w:val="both"/>
        <w:divId w:val="369494658"/>
        <w:rPr>
          <w:rFonts w:eastAsia="Times New Roman"/>
        </w:rPr>
      </w:pPr>
      <w:r>
        <w:rPr>
          <w:rFonts w:eastAsia="Times New Roman"/>
          <w:color w:val="000000"/>
          <w:sz w:val="20"/>
          <w:szCs w:val="20"/>
        </w:rPr>
        <w:t>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197"/>
        <w:gridCol w:w="36"/>
        <w:gridCol w:w="69"/>
        <w:gridCol w:w="7899"/>
        <w:gridCol w:w="36"/>
      </w:tblGrid>
      <w:tr w:rsidR="00000000">
        <w:trPr>
          <w:divId w:val="204755767"/>
        </w:trPr>
        <w:tc>
          <w:tcPr>
            <w:tcW w:w="50" w:type="pct"/>
            <w:vAlign w:val="center"/>
            <w:hideMark/>
          </w:tcPr>
          <w:p w:rsidR="00000000" w:rsidRDefault="00AF3814">
            <w:pPr>
              <w:jc w:val="both"/>
              <w:rPr>
                <w:rFonts w:eastAsia="Times New Roman"/>
              </w:rPr>
            </w:pPr>
          </w:p>
        </w:tc>
        <w:tc>
          <w:tcPr>
            <w:tcW w:w="12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476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204755767"/>
        </w:trPr>
        <w:tc>
          <w:tcPr>
            <w:tcW w:w="0" w:type="auto"/>
            <w:gridSpan w:val="3"/>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r>
              <w:rPr>
                <w:rFonts w:eastAsia="Times New Roman"/>
                <w:color w:val="000000"/>
                <w:sz w:val="16"/>
                <w:szCs w:val="16"/>
              </w:rPr>
              <w:t>Represents a management contract or compensatory plan or arrangement.</w:t>
            </w:r>
          </w:p>
        </w:tc>
      </w:tr>
      <w:tr w:rsidR="00000000">
        <w:trPr>
          <w:divId w:val="204755767"/>
        </w:trPr>
        <w:tc>
          <w:tcPr>
            <w:tcW w:w="0" w:type="auto"/>
            <w:gridSpan w:val="3"/>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r>
              <w:rPr>
                <w:rFonts w:eastAsia="Times New Roman"/>
                <w:color w:val="000000"/>
                <w:sz w:val="16"/>
                <w:szCs w:val="16"/>
              </w:rPr>
              <w:t>Indicates a document being filed with this Form 10-Q.</w:t>
            </w:r>
          </w:p>
        </w:tc>
      </w:tr>
      <w:tr w:rsidR="00000000">
        <w:trPr>
          <w:divId w:val="204755767"/>
        </w:trPr>
        <w:tc>
          <w:tcPr>
            <w:tcW w:w="0" w:type="auto"/>
            <w:gridSpan w:val="3"/>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AF3814">
            <w:pPr>
              <w:spacing w:after="100"/>
              <w:jc w:val="both"/>
              <w:rPr>
                <w:rFonts w:eastAsia="Times New Roman"/>
              </w:rPr>
            </w:pPr>
            <w:r>
              <w:rPr>
                <w:rFonts w:eastAsia="Times New Roman"/>
                <w:color w:val="000000"/>
                <w:sz w:val="16"/>
                <w:szCs w:val="16"/>
              </w:rPr>
              <w:t>Indicates a document being furnished with this Form 10-Q. Information in this Form 10-Q furnished herewith shall not be deemed to be “filed” for the purposes of Section 18 of the Securities Exchange Act of 1934 or otherwise subject to the liabilities of th</w:t>
            </w:r>
            <w:r>
              <w:rPr>
                <w:rFonts w:eastAsia="Times New Roman"/>
                <w:color w:val="000000"/>
                <w:sz w:val="16"/>
                <w:szCs w:val="16"/>
              </w:rPr>
              <w:t>at Section. Such exhibit shall not be deemed incorporated by reference into any filing under the Securities Act of 1933 or the Securities Exchange Act of 1934.</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ind w:hanging="360"/>
              <w:jc w:val="both"/>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131</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000000" w:rsidRDefault="00AF3814">
      <w:pPr>
        <w:rPr>
          <w:rFonts w:eastAsia="Times New Roman"/>
        </w:rPr>
      </w:pPr>
      <w:r>
        <w:rPr>
          <w:rFonts w:eastAsia="Times New Roman"/>
        </w:rPr>
        <w:pict>
          <v:rect id="_x0000_i1156" style="width:0;height:1.5pt" o:hralign="center" o:hrstd="t" o:hr="t" fillcolor="#a0a0a0" stroked="f"/>
        </w:pict>
      </w:r>
    </w:p>
    <w:p w:rsidR="00000000" w:rsidRDefault="00AF3814">
      <w:pPr>
        <w:jc w:val="both"/>
        <w:divId w:val="1046372538"/>
        <w:rPr>
          <w:rFonts w:eastAsia="Times New Roman"/>
        </w:rPr>
      </w:pPr>
      <w:hyperlink w:anchor="id204df94663d4fc396719e5188ae3420_10" w:history="1">
        <w:r>
          <w:rPr>
            <w:rStyle w:val="a3"/>
            <w:rFonts w:eastAsia="Times New Roman"/>
            <w:sz w:val="16"/>
            <w:szCs w:val="16"/>
          </w:rPr>
          <w:t>Table of Contents</w:t>
        </w:r>
      </w:hyperlink>
    </w:p>
    <w:p w:rsidR="00000000" w:rsidRDefault="00AF3814">
      <w:pPr>
        <w:jc w:val="center"/>
        <w:divId w:val="199709393"/>
        <w:rPr>
          <w:rFonts w:eastAsia="Times New Roman"/>
        </w:rPr>
      </w:pPr>
      <w:r>
        <w:rPr>
          <w:rFonts w:eastAsia="Times New Roman"/>
          <w:b/>
          <w:bCs/>
          <w:color w:val="000000"/>
          <w:sz w:val="20"/>
          <w:szCs w:val="20"/>
        </w:rPr>
        <w:t>SIGNATURES</w:t>
      </w:r>
    </w:p>
    <w:p w:rsidR="00000000" w:rsidRDefault="00AF3814">
      <w:pPr>
        <w:jc w:val="both"/>
        <w:divId w:val="1091389507"/>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230"/>
        <w:gridCol w:w="36"/>
        <w:gridCol w:w="64"/>
        <w:gridCol w:w="849"/>
        <w:gridCol w:w="36"/>
        <w:gridCol w:w="77"/>
        <w:gridCol w:w="217"/>
        <w:gridCol w:w="36"/>
        <w:gridCol w:w="36"/>
        <w:gridCol w:w="36"/>
        <w:gridCol w:w="36"/>
        <w:gridCol w:w="43"/>
        <w:gridCol w:w="3510"/>
        <w:gridCol w:w="36"/>
      </w:tblGrid>
      <w:tr w:rsidR="00000000">
        <w:trPr>
          <w:divId w:val="1345286915"/>
        </w:trPr>
        <w:tc>
          <w:tcPr>
            <w:tcW w:w="50" w:type="pct"/>
            <w:vAlign w:val="center"/>
            <w:hideMark/>
          </w:tcPr>
          <w:p w:rsidR="00000000" w:rsidRDefault="00AF3814">
            <w:pPr>
              <w:jc w:val="both"/>
              <w:rPr>
                <w:rFonts w:eastAsia="Times New Roman"/>
              </w:rPr>
            </w:pPr>
          </w:p>
        </w:tc>
        <w:tc>
          <w:tcPr>
            <w:tcW w:w="195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52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42"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2123"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134528691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b/>
                <w:bCs/>
                <w:color w:val="000000"/>
                <w:sz w:val="20"/>
                <w:szCs w:val="20"/>
              </w:rPr>
              <w:t>CAPITAL ONE FINANCIAL CORPORATION</w:t>
            </w:r>
          </w:p>
        </w:tc>
      </w:tr>
      <w:tr w:rsidR="00000000">
        <w:trPr>
          <w:divId w:val="1345286915"/>
          <w:trHeight w:val="120"/>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1345286915"/>
        </w:trPr>
        <w:tc>
          <w:tcPr>
            <w:tcW w:w="0" w:type="auto"/>
            <w:gridSpan w:val="3"/>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20"/>
                <w:szCs w:val="20"/>
              </w:rPr>
              <w:t>Date: July 30, 2021</w:t>
            </w: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20"/>
                <w:szCs w:val="20"/>
              </w:rPr>
              <w:t>/s/ ANDREW M. YOUNG</w:t>
            </w:r>
          </w:p>
        </w:tc>
      </w:tr>
      <w:tr w:rsidR="00000000">
        <w:trPr>
          <w:divId w:val="134528691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AF3814">
            <w:pPr>
              <w:spacing w:after="100"/>
              <w:rPr>
                <w:rFonts w:eastAsia="Times New Roman"/>
              </w:rPr>
            </w:pPr>
            <w:r>
              <w:rPr>
                <w:rFonts w:eastAsia="Times New Roman"/>
                <w:color w:val="000000"/>
                <w:sz w:val="20"/>
                <w:szCs w:val="20"/>
              </w:rPr>
              <w:t>Andrew M. Young</w:t>
            </w:r>
          </w:p>
        </w:tc>
      </w:tr>
      <w:tr w:rsidR="00000000">
        <w:trPr>
          <w:divId w:val="1345286915"/>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rPr>
                <w:rFonts w:eastAsia="Times New Roman"/>
              </w:rPr>
            </w:pPr>
            <w:r>
              <w:rPr>
                <w:rFonts w:eastAsia="Times New Roman"/>
                <w:color w:val="000000"/>
                <w:sz w:val="20"/>
                <w:szCs w:val="20"/>
              </w:rPr>
              <w:t>Chief Financial Officer</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684"/>
        <w:gridCol w:w="144"/>
        <w:gridCol w:w="144"/>
        <w:gridCol w:w="144"/>
        <w:gridCol w:w="144"/>
        <w:gridCol w:w="144"/>
        <w:gridCol w:w="2968"/>
        <w:gridCol w:w="144"/>
        <w:gridCol w:w="144"/>
        <w:gridCol w:w="144"/>
        <w:gridCol w:w="144"/>
        <w:gridCol w:w="144"/>
        <w:gridCol w:w="1255"/>
        <w:gridCol w:w="144"/>
      </w:tblGrid>
      <w:tr w:rsidR="00000000">
        <w:trPr>
          <w:jc w:val="center"/>
        </w:trPr>
        <w:tc>
          <w:tcPr>
            <w:tcW w:w="50" w:type="pct"/>
            <w:vAlign w:val="center"/>
            <w:hideMark/>
          </w:tcPr>
          <w:p w:rsidR="00000000" w:rsidRDefault="00AF3814">
            <w:pPr>
              <w:jc w:val="both"/>
              <w:rPr>
                <w:rFonts w:eastAsia="Times New Roman"/>
              </w:rPr>
            </w:pPr>
          </w:p>
        </w:tc>
        <w:tc>
          <w:tcPr>
            <w:tcW w:w="221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78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75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p w:rsidR="00000000" w:rsidRDefault="00AF3814">
      <w:pPr>
        <w:jc w:val="center"/>
        <w:divId w:val="424231404"/>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662"/>
        <w:gridCol w:w="36"/>
        <w:gridCol w:w="36"/>
        <w:gridCol w:w="36"/>
        <w:gridCol w:w="36"/>
        <w:gridCol w:w="42"/>
        <w:gridCol w:w="2946"/>
        <w:gridCol w:w="36"/>
        <w:gridCol w:w="36"/>
        <w:gridCol w:w="36"/>
        <w:gridCol w:w="36"/>
        <w:gridCol w:w="42"/>
        <w:gridCol w:w="1232"/>
        <w:gridCol w:w="36"/>
      </w:tblGrid>
      <w:tr w:rsidR="00000000">
        <w:trPr>
          <w:divId w:val="424231404"/>
          <w:jc w:val="center"/>
        </w:trPr>
        <w:tc>
          <w:tcPr>
            <w:tcW w:w="50" w:type="pct"/>
            <w:vAlign w:val="center"/>
            <w:hideMark/>
          </w:tcPr>
          <w:p w:rsidR="00000000" w:rsidRDefault="00AF3814">
            <w:pPr>
              <w:jc w:val="center"/>
              <w:rPr>
                <w:rFonts w:eastAsia="Times New Roman"/>
              </w:rPr>
            </w:pPr>
          </w:p>
        </w:tc>
        <w:tc>
          <w:tcPr>
            <w:tcW w:w="2218"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787"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2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75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divId w:val="424231404"/>
          <w:trHeight w:val="60"/>
          <w:jc w:val="center"/>
        </w:trPr>
        <w:tc>
          <w:tcPr>
            <w:tcW w:w="0" w:type="auto"/>
            <w:gridSpan w:val="15"/>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r w:rsidR="00000000">
        <w:trPr>
          <w:divId w:val="424231404"/>
          <w:jc w:val="center"/>
        </w:trPr>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c>
          <w:tcPr>
            <w:tcW w:w="0" w:type="auto"/>
            <w:gridSpan w:val="3"/>
            <w:vAlign w:val="center"/>
            <w:hideMark/>
          </w:tcPr>
          <w:p w:rsidR="00000000" w:rsidRDefault="00AF3814">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AF3814">
            <w:pPr>
              <w:jc w:val="center"/>
              <w:rPr>
                <w:rFonts w:eastAsia="Times New Roman"/>
              </w:rPr>
            </w:pPr>
          </w:p>
        </w:tc>
        <w:tc>
          <w:tcPr>
            <w:tcW w:w="1606"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c>
          <w:tcPr>
            <w:tcW w:w="50" w:type="pct"/>
            <w:vAlign w:val="center"/>
            <w:hideMark/>
          </w:tcPr>
          <w:p w:rsidR="00000000" w:rsidRDefault="00AF3814">
            <w:pPr>
              <w:spacing w:after="100"/>
              <w:rPr>
                <w:rFonts w:eastAsia="Times New Roman"/>
                <w:sz w:val="20"/>
                <w:szCs w:val="20"/>
              </w:rPr>
            </w:pPr>
          </w:p>
        </w:tc>
        <w:tc>
          <w:tcPr>
            <w:tcW w:w="1614" w:type="pct"/>
            <w:vAlign w:val="center"/>
            <w:hideMark/>
          </w:tcPr>
          <w:p w:rsidR="00000000" w:rsidRDefault="00AF3814">
            <w:pPr>
              <w:spacing w:after="100"/>
              <w:rPr>
                <w:rFonts w:eastAsia="Times New Roman"/>
                <w:sz w:val="20"/>
                <w:szCs w:val="20"/>
              </w:rPr>
            </w:pPr>
          </w:p>
        </w:tc>
        <w:tc>
          <w:tcPr>
            <w:tcW w:w="5" w:type="pct"/>
            <w:vAlign w:val="center"/>
            <w:hideMark/>
          </w:tcPr>
          <w:p w:rsidR="00000000" w:rsidRDefault="00AF3814">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AF38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AF38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F3814">
            <w:pPr>
              <w:spacing w:after="100"/>
              <w:jc w:val="center"/>
              <w:rPr>
                <w:rFonts w:eastAsia="Times New Roman"/>
              </w:rPr>
            </w:pPr>
            <w:r>
              <w:rPr>
                <w:rFonts w:eastAsia="Times New Roman"/>
                <w:color w:val="000000"/>
                <w:sz w:val="16"/>
                <w:szCs w:val="16"/>
              </w:rPr>
              <w:t>132</w:t>
            </w:r>
          </w:p>
        </w:tc>
        <w:tc>
          <w:tcPr>
            <w:tcW w:w="0" w:type="auto"/>
            <w:gridSpan w:val="3"/>
            <w:tcMar>
              <w:top w:w="30" w:type="dxa"/>
              <w:left w:w="20" w:type="dxa"/>
              <w:bottom w:w="30" w:type="dxa"/>
              <w:right w:w="20" w:type="dxa"/>
            </w:tcMar>
            <w:vAlign w:val="bottom"/>
            <w:hideMark/>
          </w:tcPr>
          <w:p w:rsidR="00000000" w:rsidRDefault="00AF3814">
            <w:pPr>
              <w:spacing w:after="100"/>
              <w:jc w:val="right"/>
              <w:rPr>
                <w:rFonts w:eastAsia="Times New Roman"/>
              </w:rPr>
            </w:pPr>
            <w:r>
              <w:rPr>
                <w:rFonts w:eastAsia="Times New Roman"/>
                <w:color w:val="000000"/>
                <w:sz w:val="16"/>
                <w:szCs w:val="16"/>
              </w:rPr>
              <w:t>Capital One Financial Corporation (COF)</w:t>
            </w:r>
          </w:p>
        </w:tc>
      </w:tr>
    </w:tbl>
    <w:p w:rsidR="00AF3814" w:rsidRDefault="00AF3814">
      <w:pPr>
        <w:rPr>
          <w:rFonts w:eastAsia="Times New Roman"/>
        </w:rPr>
      </w:pPr>
    </w:p>
    <w:sectPr w:rsidR="00AF381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3814"/>
    <w:rsid w:val="00AF3814"/>
  </w:rsids>
  <m:mathPr>
    <m:mathFont m:val="Cambria Math"/>
    <m:brkBin m:val="before"/>
    <m:brkBinSub m:val="--"/>
    <m:smallFrac m:val="0"/>
    <m:dispDef/>
    <m:lMargin m:val="0"/>
    <m:rMargin m:val="0"/>
    <m:defJc m:val="centerGroup"/>
    <m:wrapIndent m:val="1440"/>
    <m:intLim m:val="subSup"/>
    <m:naryLim m:val="undOvr"/>
  </m:mathPr>
  <w:attachedSchema w:val="http://xbrl.sec.gov/country/2020-01-31"/>
  <w:attachedSchema w:val="http://www.xbrl.org/2003/instance"/>
  <w:attachedSchema w:val="http://www.sec.gov/inlineXBRL/transformation/2015-08-31"/>
  <w:attachedSchema w:val="http://www.xbrl.org/2003/iso4217"/>
  <w:attachedSchema w:val="http://fasb.org/us-gaap/2020-01-31"/>
  <w:attachedSchema w:val="http://www.xbrl.org/2013/inlineXBRL"/>
  <w:attachedSchema w:val="http://www.w3.org/1999/xlink"/>
  <w:attachedSchema w:val="http://fasb.org/srt/2020-01-31"/>
  <w:attachedSchema w:val="http://xbrl.org/2006/xbrldi"/>
  <w:attachedSchema w:val="http://xbrl.sec.gov/currency/2020-01-31"/>
  <w:attachedSchema w:val="http://www.xbrl.org/inlineXBRL/transformation/2015-02-26"/>
  <w:attachedSchema w:val="http://xbrl.sec.gov/dei/2020-01-31"/>
  <w:attachedSchema w:val="http://www.capitalone.com/20210630"/>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8">
      <w:marLeft w:val="0"/>
      <w:marRight w:val="0"/>
      <w:marTop w:val="60"/>
      <w:marBottom w:val="60"/>
      <w:divBdr>
        <w:top w:val="none" w:sz="0" w:space="0" w:color="auto"/>
        <w:left w:val="none" w:sz="0" w:space="0" w:color="auto"/>
        <w:bottom w:val="none" w:sz="0" w:space="0" w:color="auto"/>
        <w:right w:val="none" w:sz="0" w:space="0" w:color="auto"/>
      </w:divBdr>
      <w:divsChild>
        <w:div w:id="1946841438">
          <w:marLeft w:val="0"/>
          <w:marRight w:val="0"/>
          <w:marTop w:val="0"/>
          <w:marBottom w:val="0"/>
          <w:divBdr>
            <w:top w:val="none" w:sz="0" w:space="0" w:color="auto"/>
            <w:left w:val="none" w:sz="0" w:space="0" w:color="auto"/>
            <w:bottom w:val="none" w:sz="0" w:space="0" w:color="auto"/>
            <w:right w:val="none" w:sz="0" w:space="0" w:color="auto"/>
          </w:divBdr>
        </w:div>
        <w:div w:id="1226799212">
          <w:marLeft w:val="0"/>
          <w:marRight w:val="0"/>
          <w:marTop w:val="0"/>
          <w:marBottom w:val="0"/>
          <w:divBdr>
            <w:top w:val="none" w:sz="0" w:space="0" w:color="auto"/>
            <w:left w:val="none" w:sz="0" w:space="0" w:color="auto"/>
            <w:bottom w:val="none" w:sz="0" w:space="0" w:color="auto"/>
            <w:right w:val="none" w:sz="0" w:space="0" w:color="auto"/>
          </w:divBdr>
        </w:div>
        <w:div w:id="100489517">
          <w:marLeft w:val="0"/>
          <w:marRight w:val="0"/>
          <w:marTop w:val="0"/>
          <w:marBottom w:val="0"/>
          <w:divBdr>
            <w:top w:val="none" w:sz="0" w:space="0" w:color="auto"/>
            <w:left w:val="none" w:sz="0" w:space="0" w:color="auto"/>
            <w:bottom w:val="none" w:sz="0" w:space="0" w:color="auto"/>
            <w:right w:val="none" w:sz="0" w:space="0" w:color="auto"/>
          </w:divBdr>
        </w:div>
      </w:divsChild>
    </w:div>
    <w:div w:id="161613">
      <w:marLeft w:val="0"/>
      <w:marRight w:val="0"/>
      <w:marTop w:val="180"/>
      <w:marBottom w:val="180"/>
      <w:divBdr>
        <w:top w:val="none" w:sz="0" w:space="0" w:color="auto"/>
        <w:left w:val="none" w:sz="0" w:space="0" w:color="auto"/>
        <w:bottom w:val="none" w:sz="0" w:space="0" w:color="auto"/>
        <w:right w:val="none" w:sz="0" w:space="0" w:color="auto"/>
      </w:divBdr>
    </w:div>
    <w:div w:id="1057811">
      <w:marLeft w:val="0"/>
      <w:marRight w:val="0"/>
      <w:marTop w:val="180"/>
      <w:marBottom w:val="60"/>
      <w:divBdr>
        <w:top w:val="none" w:sz="0" w:space="0" w:color="auto"/>
        <w:left w:val="none" w:sz="0" w:space="0" w:color="auto"/>
        <w:bottom w:val="none" w:sz="0" w:space="0" w:color="auto"/>
        <w:right w:val="none" w:sz="0" w:space="0" w:color="auto"/>
      </w:divBdr>
    </w:div>
    <w:div w:id="1444910">
      <w:marLeft w:val="0"/>
      <w:marRight w:val="0"/>
      <w:marTop w:val="180"/>
      <w:marBottom w:val="180"/>
      <w:divBdr>
        <w:top w:val="none" w:sz="0" w:space="0" w:color="auto"/>
        <w:left w:val="none" w:sz="0" w:space="0" w:color="auto"/>
        <w:bottom w:val="none" w:sz="0" w:space="0" w:color="auto"/>
        <w:right w:val="none" w:sz="0" w:space="0" w:color="auto"/>
      </w:divBdr>
    </w:div>
    <w:div w:id="2510915">
      <w:marLeft w:val="0"/>
      <w:marRight w:val="0"/>
      <w:marTop w:val="60"/>
      <w:marBottom w:val="60"/>
      <w:divBdr>
        <w:top w:val="none" w:sz="0" w:space="0" w:color="auto"/>
        <w:left w:val="none" w:sz="0" w:space="0" w:color="auto"/>
        <w:bottom w:val="none" w:sz="0" w:space="0" w:color="auto"/>
        <w:right w:val="none" w:sz="0" w:space="0" w:color="auto"/>
      </w:divBdr>
    </w:div>
    <w:div w:id="3749086">
      <w:marLeft w:val="0"/>
      <w:marRight w:val="0"/>
      <w:marTop w:val="180"/>
      <w:marBottom w:val="180"/>
      <w:divBdr>
        <w:top w:val="none" w:sz="0" w:space="0" w:color="auto"/>
        <w:left w:val="none" w:sz="0" w:space="0" w:color="auto"/>
        <w:bottom w:val="none" w:sz="0" w:space="0" w:color="auto"/>
        <w:right w:val="none" w:sz="0" w:space="0" w:color="auto"/>
      </w:divBdr>
    </w:div>
    <w:div w:id="7948553">
      <w:marLeft w:val="0"/>
      <w:marRight w:val="0"/>
      <w:marTop w:val="180"/>
      <w:marBottom w:val="180"/>
      <w:divBdr>
        <w:top w:val="none" w:sz="0" w:space="0" w:color="auto"/>
        <w:left w:val="none" w:sz="0" w:space="0" w:color="auto"/>
        <w:bottom w:val="none" w:sz="0" w:space="0" w:color="auto"/>
        <w:right w:val="none" w:sz="0" w:space="0" w:color="auto"/>
      </w:divBdr>
    </w:div>
    <w:div w:id="8996957">
      <w:marLeft w:val="0"/>
      <w:marRight w:val="0"/>
      <w:marTop w:val="60"/>
      <w:marBottom w:val="60"/>
      <w:divBdr>
        <w:top w:val="none" w:sz="0" w:space="0" w:color="auto"/>
        <w:left w:val="none" w:sz="0" w:space="0" w:color="auto"/>
        <w:bottom w:val="none" w:sz="0" w:space="0" w:color="auto"/>
        <w:right w:val="none" w:sz="0" w:space="0" w:color="auto"/>
      </w:divBdr>
    </w:div>
    <w:div w:id="12583884">
      <w:marLeft w:val="0"/>
      <w:marRight w:val="0"/>
      <w:marTop w:val="60"/>
      <w:marBottom w:val="0"/>
      <w:divBdr>
        <w:top w:val="none" w:sz="0" w:space="0" w:color="auto"/>
        <w:left w:val="none" w:sz="0" w:space="0" w:color="auto"/>
        <w:bottom w:val="none" w:sz="0" w:space="0" w:color="auto"/>
        <w:right w:val="none" w:sz="0" w:space="0" w:color="auto"/>
      </w:divBdr>
    </w:div>
    <w:div w:id="17047596">
      <w:marLeft w:val="0"/>
      <w:marRight w:val="0"/>
      <w:marTop w:val="0"/>
      <w:marBottom w:val="0"/>
      <w:divBdr>
        <w:top w:val="none" w:sz="0" w:space="0" w:color="auto"/>
        <w:left w:val="none" w:sz="0" w:space="0" w:color="auto"/>
        <w:bottom w:val="none" w:sz="0" w:space="0" w:color="auto"/>
        <w:right w:val="none" w:sz="0" w:space="0" w:color="auto"/>
      </w:divBdr>
      <w:divsChild>
        <w:div w:id="1531719049">
          <w:marLeft w:val="0"/>
          <w:marRight w:val="0"/>
          <w:marTop w:val="60"/>
          <w:marBottom w:val="60"/>
          <w:divBdr>
            <w:top w:val="none" w:sz="0" w:space="0" w:color="auto"/>
            <w:left w:val="none" w:sz="0" w:space="0" w:color="auto"/>
            <w:bottom w:val="none" w:sz="0" w:space="0" w:color="auto"/>
            <w:right w:val="none" w:sz="0" w:space="0" w:color="auto"/>
          </w:divBdr>
        </w:div>
      </w:divsChild>
    </w:div>
    <w:div w:id="20515834">
      <w:marLeft w:val="0"/>
      <w:marRight w:val="0"/>
      <w:marTop w:val="180"/>
      <w:marBottom w:val="60"/>
      <w:divBdr>
        <w:top w:val="none" w:sz="0" w:space="0" w:color="auto"/>
        <w:left w:val="none" w:sz="0" w:space="0" w:color="auto"/>
        <w:bottom w:val="none" w:sz="0" w:space="0" w:color="auto"/>
        <w:right w:val="none" w:sz="0" w:space="0" w:color="auto"/>
      </w:divBdr>
    </w:div>
    <w:div w:id="25299620">
      <w:marLeft w:val="0"/>
      <w:marRight w:val="0"/>
      <w:marTop w:val="0"/>
      <w:marBottom w:val="0"/>
      <w:divBdr>
        <w:top w:val="none" w:sz="0" w:space="0" w:color="auto"/>
        <w:left w:val="none" w:sz="0" w:space="0" w:color="auto"/>
        <w:bottom w:val="none" w:sz="0" w:space="0" w:color="auto"/>
        <w:right w:val="none" w:sz="0" w:space="0" w:color="auto"/>
      </w:divBdr>
    </w:div>
    <w:div w:id="25522031">
      <w:marLeft w:val="0"/>
      <w:marRight w:val="0"/>
      <w:marTop w:val="100"/>
      <w:marBottom w:val="0"/>
      <w:divBdr>
        <w:top w:val="none" w:sz="0" w:space="0" w:color="auto"/>
        <w:left w:val="none" w:sz="0" w:space="0" w:color="auto"/>
        <w:bottom w:val="none" w:sz="0" w:space="0" w:color="auto"/>
        <w:right w:val="none" w:sz="0" w:space="0" w:color="auto"/>
      </w:divBdr>
      <w:divsChild>
        <w:div w:id="2141338826">
          <w:marLeft w:val="0"/>
          <w:marRight w:val="0"/>
          <w:marTop w:val="0"/>
          <w:marBottom w:val="0"/>
          <w:divBdr>
            <w:top w:val="none" w:sz="0" w:space="0" w:color="auto"/>
            <w:left w:val="none" w:sz="0" w:space="0" w:color="auto"/>
            <w:bottom w:val="none" w:sz="0" w:space="0" w:color="auto"/>
            <w:right w:val="none" w:sz="0" w:space="0" w:color="auto"/>
          </w:divBdr>
        </w:div>
        <w:div w:id="470709417">
          <w:marLeft w:val="0"/>
          <w:marRight w:val="0"/>
          <w:marTop w:val="0"/>
          <w:marBottom w:val="0"/>
          <w:divBdr>
            <w:top w:val="none" w:sz="0" w:space="0" w:color="auto"/>
            <w:left w:val="none" w:sz="0" w:space="0" w:color="auto"/>
            <w:bottom w:val="none" w:sz="0" w:space="0" w:color="auto"/>
            <w:right w:val="none" w:sz="0" w:space="0" w:color="auto"/>
          </w:divBdr>
        </w:div>
        <w:div w:id="494688808">
          <w:marLeft w:val="0"/>
          <w:marRight w:val="0"/>
          <w:marTop w:val="0"/>
          <w:marBottom w:val="0"/>
          <w:divBdr>
            <w:top w:val="none" w:sz="0" w:space="0" w:color="auto"/>
            <w:left w:val="none" w:sz="0" w:space="0" w:color="auto"/>
            <w:bottom w:val="none" w:sz="0" w:space="0" w:color="auto"/>
            <w:right w:val="none" w:sz="0" w:space="0" w:color="auto"/>
          </w:divBdr>
        </w:div>
      </w:divsChild>
    </w:div>
    <w:div w:id="26028410">
      <w:marLeft w:val="0"/>
      <w:marRight w:val="0"/>
      <w:marTop w:val="0"/>
      <w:marBottom w:val="0"/>
      <w:divBdr>
        <w:top w:val="none" w:sz="0" w:space="0" w:color="auto"/>
        <w:left w:val="none" w:sz="0" w:space="0" w:color="auto"/>
        <w:bottom w:val="none" w:sz="0" w:space="0" w:color="auto"/>
        <w:right w:val="none" w:sz="0" w:space="0" w:color="auto"/>
      </w:divBdr>
    </w:div>
    <w:div w:id="27144220">
      <w:marLeft w:val="0"/>
      <w:marRight w:val="0"/>
      <w:marTop w:val="60"/>
      <w:marBottom w:val="60"/>
      <w:divBdr>
        <w:top w:val="none" w:sz="0" w:space="0" w:color="auto"/>
        <w:left w:val="none" w:sz="0" w:space="0" w:color="auto"/>
        <w:bottom w:val="none" w:sz="0" w:space="0" w:color="auto"/>
        <w:right w:val="none" w:sz="0" w:space="0" w:color="auto"/>
      </w:divBdr>
    </w:div>
    <w:div w:id="27339114">
      <w:marLeft w:val="0"/>
      <w:marRight w:val="0"/>
      <w:marTop w:val="0"/>
      <w:marBottom w:val="15"/>
      <w:divBdr>
        <w:top w:val="none" w:sz="0" w:space="0" w:color="auto"/>
        <w:left w:val="none" w:sz="0" w:space="0" w:color="auto"/>
        <w:bottom w:val="none" w:sz="0" w:space="0" w:color="auto"/>
        <w:right w:val="none" w:sz="0" w:space="0" w:color="auto"/>
      </w:divBdr>
    </w:div>
    <w:div w:id="30807988">
      <w:marLeft w:val="0"/>
      <w:marRight w:val="0"/>
      <w:marTop w:val="0"/>
      <w:marBottom w:val="0"/>
      <w:divBdr>
        <w:top w:val="none" w:sz="0" w:space="0" w:color="auto"/>
        <w:left w:val="none" w:sz="0" w:space="0" w:color="auto"/>
        <w:bottom w:val="none" w:sz="0" w:space="0" w:color="auto"/>
        <w:right w:val="none" w:sz="0" w:space="0" w:color="auto"/>
      </w:divBdr>
      <w:divsChild>
        <w:div w:id="595016134">
          <w:marLeft w:val="0"/>
          <w:marRight w:val="0"/>
          <w:marTop w:val="0"/>
          <w:marBottom w:val="0"/>
          <w:divBdr>
            <w:top w:val="none" w:sz="0" w:space="0" w:color="auto"/>
            <w:left w:val="none" w:sz="0" w:space="0" w:color="auto"/>
            <w:bottom w:val="none" w:sz="0" w:space="0" w:color="auto"/>
            <w:right w:val="none" w:sz="0" w:space="0" w:color="auto"/>
          </w:divBdr>
          <w:divsChild>
            <w:div w:id="16095061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5275473">
      <w:marLeft w:val="0"/>
      <w:marRight w:val="0"/>
      <w:marTop w:val="180"/>
      <w:marBottom w:val="180"/>
      <w:divBdr>
        <w:top w:val="none" w:sz="0" w:space="0" w:color="auto"/>
        <w:left w:val="none" w:sz="0" w:space="0" w:color="auto"/>
        <w:bottom w:val="none" w:sz="0" w:space="0" w:color="auto"/>
        <w:right w:val="none" w:sz="0" w:space="0" w:color="auto"/>
      </w:divBdr>
    </w:div>
    <w:div w:id="36125544">
      <w:marLeft w:val="0"/>
      <w:marRight w:val="0"/>
      <w:marTop w:val="180"/>
      <w:marBottom w:val="180"/>
      <w:divBdr>
        <w:top w:val="none" w:sz="0" w:space="0" w:color="auto"/>
        <w:left w:val="none" w:sz="0" w:space="0" w:color="auto"/>
        <w:bottom w:val="none" w:sz="0" w:space="0" w:color="auto"/>
        <w:right w:val="none" w:sz="0" w:space="0" w:color="auto"/>
      </w:divBdr>
    </w:div>
    <w:div w:id="37124864">
      <w:marLeft w:val="0"/>
      <w:marRight w:val="0"/>
      <w:marTop w:val="60"/>
      <w:marBottom w:val="60"/>
      <w:divBdr>
        <w:top w:val="none" w:sz="0" w:space="0" w:color="auto"/>
        <w:left w:val="none" w:sz="0" w:space="0" w:color="auto"/>
        <w:bottom w:val="none" w:sz="0" w:space="0" w:color="auto"/>
        <w:right w:val="none" w:sz="0" w:space="0" w:color="auto"/>
      </w:divBdr>
    </w:div>
    <w:div w:id="38167476">
      <w:marLeft w:val="0"/>
      <w:marRight w:val="0"/>
      <w:marTop w:val="0"/>
      <w:marBottom w:val="0"/>
      <w:divBdr>
        <w:top w:val="none" w:sz="0" w:space="0" w:color="auto"/>
        <w:left w:val="none" w:sz="0" w:space="0" w:color="auto"/>
        <w:bottom w:val="none" w:sz="0" w:space="0" w:color="auto"/>
        <w:right w:val="none" w:sz="0" w:space="0" w:color="auto"/>
      </w:divBdr>
    </w:div>
    <w:div w:id="38212707">
      <w:marLeft w:val="0"/>
      <w:marRight w:val="0"/>
      <w:marTop w:val="60"/>
      <w:marBottom w:val="120"/>
      <w:divBdr>
        <w:top w:val="none" w:sz="0" w:space="0" w:color="auto"/>
        <w:left w:val="none" w:sz="0" w:space="0" w:color="auto"/>
        <w:bottom w:val="none" w:sz="0" w:space="0" w:color="auto"/>
        <w:right w:val="none" w:sz="0" w:space="0" w:color="auto"/>
      </w:divBdr>
      <w:divsChild>
        <w:div w:id="236020417">
          <w:marLeft w:val="0"/>
          <w:marRight w:val="0"/>
          <w:marTop w:val="0"/>
          <w:marBottom w:val="0"/>
          <w:divBdr>
            <w:top w:val="none" w:sz="0" w:space="0" w:color="auto"/>
            <w:left w:val="none" w:sz="0" w:space="0" w:color="auto"/>
            <w:bottom w:val="none" w:sz="0" w:space="0" w:color="auto"/>
            <w:right w:val="none" w:sz="0" w:space="0" w:color="auto"/>
          </w:divBdr>
        </w:div>
        <w:div w:id="1030499092">
          <w:marLeft w:val="0"/>
          <w:marRight w:val="0"/>
          <w:marTop w:val="0"/>
          <w:marBottom w:val="0"/>
          <w:divBdr>
            <w:top w:val="none" w:sz="0" w:space="0" w:color="auto"/>
            <w:left w:val="none" w:sz="0" w:space="0" w:color="auto"/>
            <w:bottom w:val="none" w:sz="0" w:space="0" w:color="auto"/>
            <w:right w:val="none" w:sz="0" w:space="0" w:color="auto"/>
          </w:divBdr>
        </w:div>
        <w:div w:id="721976048">
          <w:marLeft w:val="0"/>
          <w:marRight w:val="0"/>
          <w:marTop w:val="0"/>
          <w:marBottom w:val="0"/>
          <w:divBdr>
            <w:top w:val="none" w:sz="0" w:space="0" w:color="auto"/>
            <w:left w:val="none" w:sz="0" w:space="0" w:color="auto"/>
            <w:bottom w:val="none" w:sz="0" w:space="0" w:color="auto"/>
            <w:right w:val="none" w:sz="0" w:space="0" w:color="auto"/>
          </w:divBdr>
        </w:div>
      </w:divsChild>
    </w:div>
    <w:div w:id="38288554">
      <w:marLeft w:val="0"/>
      <w:marRight w:val="0"/>
      <w:marTop w:val="180"/>
      <w:marBottom w:val="180"/>
      <w:divBdr>
        <w:top w:val="none" w:sz="0" w:space="0" w:color="auto"/>
        <w:left w:val="none" w:sz="0" w:space="0" w:color="auto"/>
        <w:bottom w:val="none" w:sz="0" w:space="0" w:color="auto"/>
        <w:right w:val="none" w:sz="0" w:space="0" w:color="auto"/>
      </w:divBdr>
    </w:div>
    <w:div w:id="38365707">
      <w:marLeft w:val="0"/>
      <w:marRight w:val="0"/>
      <w:marTop w:val="0"/>
      <w:marBottom w:val="0"/>
      <w:divBdr>
        <w:top w:val="none" w:sz="0" w:space="0" w:color="auto"/>
        <w:left w:val="none" w:sz="0" w:space="0" w:color="auto"/>
        <w:bottom w:val="none" w:sz="0" w:space="0" w:color="auto"/>
        <w:right w:val="none" w:sz="0" w:space="0" w:color="auto"/>
      </w:divBdr>
    </w:div>
    <w:div w:id="46533131">
      <w:marLeft w:val="0"/>
      <w:marRight w:val="0"/>
      <w:marTop w:val="180"/>
      <w:marBottom w:val="180"/>
      <w:divBdr>
        <w:top w:val="none" w:sz="0" w:space="0" w:color="auto"/>
        <w:left w:val="none" w:sz="0" w:space="0" w:color="auto"/>
        <w:bottom w:val="none" w:sz="0" w:space="0" w:color="auto"/>
        <w:right w:val="none" w:sz="0" w:space="0" w:color="auto"/>
      </w:divBdr>
    </w:div>
    <w:div w:id="49958829">
      <w:marLeft w:val="0"/>
      <w:marRight w:val="0"/>
      <w:marTop w:val="60"/>
      <w:marBottom w:val="60"/>
      <w:divBdr>
        <w:top w:val="none" w:sz="0" w:space="0" w:color="auto"/>
        <w:left w:val="none" w:sz="0" w:space="0" w:color="auto"/>
        <w:bottom w:val="none" w:sz="0" w:space="0" w:color="auto"/>
        <w:right w:val="none" w:sz="0" w:space="0" w:color="auto"/>
      </w:divBdr>
    </w:div>
    <w:div w:id="50463907">
      <w:marLeft w:val="0"/>
      <w:marRight w:val="0"/>
      <w:marTop w:val="180"/>
      <w:marBottom w:val="180"/>
      <w:divBdr>
        <w:top w:val="none" w:sz="0" w:space="0" w:color="auto"/>
        <w:left w:val="none" w:sz="0" w:space="0" w:color="auto"/>
        <w:bottom w:val="none" w:sz="0" w:space="0" w:color="auto"/>
        <w:right w:val="none" w:sz="0" w:space="0" w:color="auto"/>
      </w:divBdr>
    </w:div>
    <w:div w:id="51344417">
      <w:marLeft w:val="0"/>
      <w:marRight w:val="0"/>
      <w:marTop w:val="60"/>
      <w:marBottom w:val="60"/>
      <w:divBdr>
        <w:top w:val="none" w:sz="0" w:space="0" w:color="auto"/>
        <w:left w:val="none" w:sz="0" w:space="0" w:color="auto"/>
        <w:bottom w:val="none" w:sz="0" w:space="0" w:color="auto"/>
        <w:right w:val="none" w:sz="0" w:space="0" w:color="auto"/>
      </w:divBdr>
    </w:div>
    <w:div w:id="58291045">
      <w:marLeft w:val="0"/>
      <w:marRight w:val="0"/>
      <w:marTop w:val="0"/>
      <w:marBottom w:val="180"/>
      <w:divBdr>
        <w:top w:val="none" w:sz="0" w:space="0" w:color="auto"/>
        <w:left w:val="none" w:sz="0" w:space="0" w:color="auto"/>
        <w:bottom w:val="none" w:sz="0" w:space="0" w:color="auto"/>
        <w:right w:val="none" w:sz="0" w:space="0" w:color="auto"/>
      </w:divBdr>
    </w:div>
    <w:div w:id="60569929">
      <w:marLeft w:val="0"/>
      <w:marRight w:val="0"/>
      <w:marTop w:val="180"/>
      <w:marBottom w:val="60"/>
      <w:divBdr>
        <w:top w:val="none" w:sz="0" w:space="0" w:color="auto"/>
        <w:left w:val="none" w:sz="0" w:space="0" w:color="auto"/>
        <w:bottom w:val="none" w:sz="0" w:space="0" w:color="auto"/>
        <w:right w:val="none" w:sz="0" w:space="0" w:color="auto"/>
      </w:divBdr>
    </w:div>
    <w:div w:id="60956464">
      <w:marLeft w:val="0"/>
      <w:marRight w:val="0"/>
      <w:marTop w:val="180"/>
      <w:marBottom w:val="180"/>
      <w:divBdr>
        <w:top w:val="none" w:sz="0" w:space="0" w:color="auto"/>
        <w:left w:val="none" w:sz="0" w:space="0" w:color="auto"/>
        <w:bottom w:val="none" w:sz="0" w:space="0" w:color="auto"/>
        <w:right w:val="none" w:sz="0" w:space="0" w:color="auto"/>
      </w:divBdr>
    </w:div>
    <w:div w:id="62719932">
      <w:marLeft w:val="0"/>
      <w:marRight w:val="0"/>
      <w:marTop w:val="60"/>
      <w:marBottom w:val="60"/>
      <w:divBdr>
        <w:top w:val="none" w:sz="0" w:space="0" w:color="auto"/>
        <w:left w:val="none" w:sz="0" w:space="0" w:color="auto"/>
        <w:bottom w:val="none" w:sz="0" w:space="0" w:color="auto"/>
        <w:right w:val="none" w:sz="0" w:space="0" w:color="auto"/>
      </w:divBdr>
      <w:divsChild>
        <w:div w:id="986784939">
          <w:marLeft w:val="0"/>
          <w:marRight w:val="0"/>
          <w:marTop w:val="0"/>
          <w:marBottom w:val="0"/>
          <w:divBdr>
            <w:top w:val="none" w:sz="0" w:space="0" w:color="auto"/>
            <w:left w:val="none" w:sz="0" w:space="0" w:color="auto"/>
            <w:bottom w:val="none" w:sz="0" w:space="0" w:color="auto"/>
            <w:right w:val="none" w:sz="0" w:space="0" w:color="auto"/>
          </w:divBdr>
        </w:div>
      </w:divsChild>
    </w:div>
    <w:div w:id="63534275">
      <w:marLeft w:val="0"/>
      <w:marRight w:val="0"/>
      <w:marTop w:val="180"/>
      <w:marBottom w:val="180"/>
      <w:divBdr>
        <w:top w:val="none" w:sz="0" w:space="0" w:color="auto"/>
        <w:left w:val="none" w:sz="0" w:space="0" w:color="auto"/>
        <w:bottom w:val="none" w:sz="0" w:space="0" w:color="auto"/>
        <w:right w:val="none" w:sz="0" w:space="0" w:color="auto"/>
      </w:divBdr>
    </w:div>
    <w:div w:id="65960897">
      <w:marLeft w:val="0"/>
      <w:marRight w:val="0"/>
      <w:marTop w:val="0"/>
      <w:marBottom w:val="0"/>
      <w:divBdr>
        <w:top w:val="none" w:sz="0" w:space="0" w:color="auto"/>
        <w:left w:val="none" w:sz="0" w:space="0" w:color="auto"/>
        <w:bottom w:val="none" w:sz="0" w:space="0" w:color="auto"/>
        <w:right w:val="none" w:sz="0" w:space="0" w:color="auto"/>
      </w:divBdr>
    </w:div>
    <w:div w:id="67726708">
      <w:marLeft w:val="0"/>
      <w:marRight w:val="0"/>
      <w:marTop w:val="180"/>
      <w:marBottom w:val="180"/>
      <w:divBdr>
        <w:top w:val="none" w:sz="0" w:space="0" w:color="auto"/>
        <w:left w:val="none" w:sz="0" w:space="0" w:color="auto"/>
        <w:bottom w:val="none" w:sz="0" w:space="0" w:color="auto"/>
        <w:right w:val="none" w:sz="0" w:space="0" w:color="auto"/>
      </w:divBdr>
    </w:div>
    <w:div w:id="68037210">
      <w:marLeft w:val="0"/>
      <w:marRight w:val="0"/>
      <w:marTop w:val="180"/>
      <w:marBottom w:val="180"/>
      <w:divBdr>
        <w:top w:val="none" w:sz="0" w:space="0" w:color="auto"/>
        <w:left w:val="none" w:sz="0" w:space="0" w:color="auto"/>
        <w:bottom w:val="none" w:sz="0" w:space="0" w:color="auto"/>
        <w:right w:val="none" w:sz="0" w:space="0" w:color="auto"/>
      </w:divBdr>
    </w:div>
    <w:div w:id="69351638">
      <w:marLeft w:val="0"/>
      <w:marRight w:val="0"/>
      <w:marTop w:val="0"/>
      <w:marBottom w:val="0"/>
      <w:divBdr>
        <w:top w:val="none" w:sz="0" w:space="0" w:color="auto"/>
        <w:left w:val="none" w:sz="0" w:space="0" w:color="auto"/>
        <w:bottom w:val="none" w:sz="0" w:space="0" w:color="auto"/>
        <w:right w:val="none" w:sz="0" w:space="0" w:color="auto"/>
      </w:divBdr>
      <w:divsChild>
        <w:div w:id="195191948">
          <w:marLeft w:val="0"/>
          <w:marRight w:val="0"/>
          <w:marTop w:val="0"/>
          <w:marBottom w:val="0"/>
          <w:divBdr>
            <w:top w:val="none" w:sz="0" w:space="0" w:color="auto"/>
            <w:left w:val="none" w:sz="0" w:space="0" w:color="auto"/>
            <w:bottom w:val="none" w:sz="0" w:space="0" w:color="auto"/>
            <w:right w:val="none" w:sz="0" w:space="0" w:color="auto"/>
          </w:divBdr>
          <w:divsChild>
            <w:div w:id="9324684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470375">
      <w:marLeft w:val="0"/>
      <w:marRight w:val="0"/>
      <w:marTop w:val="180"/>
      <w:marBottom w:val="180"/>
      <w:divBdr>
        <w:top w:val="none" w:sz="0" w:space="0" w:color="auto"/>
        <w:left w:val="none" w:sz="0" w:space="0" w:color="auto"/>
        <w:bottom w:val="none" w:sz="0" w:space="0" w:color="auto"/>
        <w:right w:val="none" w:sz="0" w:space="0" w:color="auto"/>
      </w:divBdr>
    </w:div>
    <w:div w:id="72700817">
      <w:marLeft w:val="0"/>
      <w:marRight w:val="0"/>
      <w:marTop w:val="0"/>
      <w:marBottom w:val="0"/>
      <w:divBdr>
        <w:top w:val="none" w:sz="0" w:space="0" w:color="auto"/>
        <w:left w:val="none" w:sz="0" w:space="0" w:color="auto"/>
        <w:bottom w:val="none" w:sz="0" w:space="0" w:color="auto"/>
        <w:right w:val="none" w:sz="0" w:space="0" w:color="auto"/>
      </w:divBdr>
      <w:divsChild>
        <w:div w:id="607002276">
          <w:marLeft w:val="0"/>
          <w:marRight w:val="0"/>
          <w:marTop w:val="180"/>
          <w:marBottom w:val="180"/>
          <w:divBdr>
            <w:top w:val="none" w:sz="0" w:space="0" w:color="auto"/>
            <w:left w:val="none" w:sz="0" w:space="0" w:color="auto"/>
            <w:bottom w:val="none" w:sz="0" w:space="0" w:color="auto"/>
            <w:right w:val="none" w:sz="0" w:space="0" w:color="auto"/>
          </w:divBdr>
        </w:div>
      </w:divsChild>
    </w:div>
    <w:div w:id="72748565">
      <w:marLeft w:val="0"/>
      <w:marRight w:val="0"/>
      <w:marTop w:val="180"/>
      <w:marBottom w:val="60"/>
      <w:divBdr>
        <w:top w:val="none" w:sz="0" w:space="0" w:color="auto"/>
        <w:left w:val="none" w:sz="0" w:space="0" w:color="auto"/>
        <w:bottom w:val="none" w:sz="0" w:space="0" w:color="auto"/>
        <w:right w:val="none" w:sz="0" w:space="0" w:color="auto"/>
      </w:divBdr>
    </w:div>
    <w:div w:id="73088366">
      <w:marLeft w:val="0"/>
      <w:marRight w:val="0"/>
      <w:marTop w:val="0"/>
      <w:marBottom w:val="0"/>
      <w:divBdr>
        <w:top w:val="none" w:sz="0" w:space="0" w:color="auto"/>
        <w:left w:val="none" w:sz="0" w:space="0" w:color="auto"/>
        <w:bottom w:val="none" w:sz="0" w:space="0" w:color="auto"/>
        <w:right w:val="none" w:sz="0" w:space="0" w:color="auto"/>
      </w:divBdr>
      <w:divsChild>
        <w:div w:id="1097866559">
          <w:marLeft w:val="0"/>
          <w:marRight w:val="0"/>
          <w:marTop w:val="60"/>
          <w:marBottom w:val="60"/>
          <w:divBdr>
            <w:top w:val="none" w:sz="0" w:space="0" w:color="auto"/>
            <w:left w:val="none" w:sz="0" w:space="0" w:color="auto"/>
            <w:bottom w:val="none" w:sz="0" w:space="0" w:color="auto"/>
            <w:right w:val="none" w:sz="0" w:space="0" w:color="auto"/>
          </w:divBdr>
        </w:div>
      </w:divsChild>
    </w:div>
    <w:div w:id="74400564">
      <w:marLeft w:val="0"/>
      <w:marRight w:val="0"/>
      <w:marTop w:val="180"/>
      <w:marBottom w:val="180"/>
      <w:divBdr>
        <w:top w:val="none" w:sz="0" w:space="0" w:color="auto"/>
        <w:left w:val="none" w:sz="0" w:space="0" w:color="auto"/>
        <w:bottom w:val="none" w:sz="0" w:space="0" w:color="auto"/>
        <w:right w:val="none" w:sz="0" w:space="0" w:color="auto"/>
      </w:divBdr>
    </w:div>
    <w:div w:id="74591572">
      <w:marLeft w:val="0"/>
      <w:marRight w:val="0"/>
      <w:marTop w:val="60"/>
      <w:marBottom w:val="60"/>
      <w:divBdr>
        <w:top w:val="none" w:sz="0" w:space="0" w:color="auto"/>
        <w:left w:val="none" w:sz="0" w:space="0" w:color="auto"/>
        <w:bottom w:val="none" w:sz="0" w:space="0" w:color="auto"/>
        <w:right w:val="none" w:sz="0" w:space="0" w:color="auto"/>
      </w:divBdr>
    </w:div>
    <w:div w:id="75247215">
      <w:marLeft w:val="0"/>
      <w:marRight w:val="0"/>
      <w:marTop w:val="180"/>
      <w:marBottom w:val="180"/>
      <w:divBdr>
        <w:top w:val="none" w:sz="0" w:space="0" w:color="auto"/>
        <w:left w:val="none" w:sz="0" w:space="0" w:color="auto"/>
        <w:bottom w:val="none" w:sz="0" w:space="0" w:color="auto"/>
        <w:right w:val="none" w:sz="0" w:space="0" w:color="auto"/>
      </w:divBdr>
    </w:div>
    <w:div w:id="75441717">
      <w:marLeft w:val="0"/>
      <w:marRight w:val="0"/>
      <w:marTop w:val="0"/>
      <w:marBottom w:val="0"/>
      <w:divBdr>
        <w:top w:val="none" w:sz="0" w:space="0" w:color="auto"/>
        <w:left w:val="none" w:sz="0" w:space="0" w:color="auto"/>
        <w:bottom w:val="none" w:sz="0" w:space="0" w:color="auto"/>
        <w:right w:val="none" w:sz="0" w:space="0" w:color="auto"/>
      </w:divBdr>
    </w:div>
    <w:div w:id="76751701">
      <w:marLeft w:val="0"/>
      <w:marRight w:val="0"/>
      <w:marTop w:val="60"/>
      <w:marBottom w:val="180"/>
      <w:divBdr>
        <w:top w:val="none" w:sz="0" w:space="0" w:color="auto"/>
        <w:left w:val="none" w:sz="0" w:space="0" w:color="auto"/>
        <w:bottom w:val="none" w:sz="0" w:space="0" w:color="auto"/>
        <w:right w:val="none" w:sz="0" w:space="0" w:color="auto"/>
      </w:divBdr>
    </w:div>
    <w:div w:id="77601051">
      <w:marLeft w:val="0"/>
      <w:marRight w:val="0"/>
      <w:marTop w:val="0"/>
      <w:marBottom w:val="0"/>
      <w:divBdr>
        <w:top w:val="none" w:sz="0" w:space="0" w:color="auto"/>
        <w:left w:val="none" w:sz="0" w:space="0" w:color="auto"/>
        <w:bottom w:val="none" w:sz="0" w:space="0" w:color="auto"/>
        <w:right w:val="none" w:sz="0" w:space="0" w:color="auto"/>
      </w:divBdr>
    </w:div>
    <w:div w:id="77749086">
      <w:marLeft w:val="0"/>
      <w:marRight w:val="0"/>
      <w:marTop w:val="0"/>
      <w:marBottom w:val="0"/>
      <w:divBdr>
        <w:top w:val="none" w:sz="0" w:space="0" w:color="auto"/>
        <w:left w:val="none" w:sz="0" w:space="0" w:color="auto"/>
        <w:bottom w:val="none" w:sz="0" w:space="0" w:color="auto"/>
        <w:right w:val="none" w:sz="0" w:space="0" w:color="auto"/>
      </w:divBdr>
    </w:div>
    <w:div w:id="78598231">
      <w:marLeft w:val="0"/>
      <w:marRight w:val="0"/>
      <w:marTop w:val="180"/>
      <w:marBottom w:val="180"/>
      <w:divBdr>
        <w:top w:val="none" w:sz="0" w:space="0" w:color="auto"/>
        <w:left w:val="none" w:sz="0" w:space="0" w:color="auto"/>
        <w:bottom w:val="none" w:sz="0" w:space="0" w:color="auto"/>
        <w:right w:val="none" w:sz="0" w:space="0" w:color="auto"/>
      </w:divBdr>
      <w:divsChild>
        <w:div w:id="1485583649">
          <w:marLeft w:val="0"/>
          <w:marRight w:val="0"/>
          <w:marTop w:val="0"/>
          <w:marBottom w:val="0"/>
          <w:divBdr>
            <w:top w:val="none" w:sz="0" w:space="0" w:color="auto"/>
            <w:left w:val="none" w:sz="0" w:space="0" w:color="auto"/>
            <w:bottom w:val="none" w:sz="0" w:space="0" w:color="auto"/>
            <w:right w:val="none" w:sz="0" w:space="0" w:color="auto"/>
          </w:divBdr>
        </w:div>
        <w:div w:id="1432819738">
          <w:marLeft w:val="0"/>
          <w:marRight w:val="0"/>
          <w:marTop w:val="0"/>
          <w:marBottom w:val="0"/>
          <w:divBdr>
            <w:top w:val="none" w:sz="0" w:space="0" w:color="auto"/>
            <w:left w:val="none" w:sz="0" w:space="0" w:color="auto"/>
            <w:bottom w:val="none" w:sz="0" w:space="0" w:color="auto"/>
            <w:right w:val="none" w:sz="0" w:space="0" w:color="auto"/>
          </w:divBdr>
        </w:div>
        <w:div w:id="1014497981">
          <w:marLeft w:val="0"/>
          <w:marRight w:val="0"/>
          <w:marTop w:val="0"/>
          <w:marBottom w:val="0"/>
          <w:divBdr>
            <w:top w:val="none" w:sz="0" w:space="0" w:color="auto"/>
            <w:left w:val="none" w:sz="0" w:space="0" w:color="auto"/>
            <w:bottom w:val="none" w:sz="0" w:space="0" w:color="auto"/>
            <w:right w:val="none" w:sz="0" w:space="0" w:color="auto"/>
          </w:divBdr>
        </w:div>
        <w:div w:id="397022098">
          <w:marLeft w:val="0"/>
          <w:marRight w:val="0"/>
          <w:marTop w:val="0"/>
          <w:marBottom w:val="0"/>
          <w:divBdr>
            <w:top w:val="none" w:sz="0" w:space="0" w:color="auto"/>
            <w:left w:val="none" w:sz="0" w:space="0" w:color="auto"/>
            <w:bottom w:val="none" w:sz="0" w:space="0" w:color="auto"/>
            <w:right w:val="none" w:sz="0" w:space="0" w:color="auto"/>
          </w:divBdr>
        </w:div>
        <w:div w:id="1593320878">
          <w:marLeft w:val="0"/>
          <w:marRight w:val="0"/>
          <w:marTop w:val="0"/>
          <w:marBottom w:val="0"/>
          <w:divBdr>
            <w:top w:val="none" w:sz="0" w:space="0" w:color="auto"/>
            <w:left w:val="none" w:sz="0" w:space="0" w:color="auto"/>
            <w:bottom w:val="none" w:sz="0" w:space="0" w:color="auto"/>
            <w:right w:val="none" w:sz="0" w:space="0" w:color="auto"/>
          </w:divBdr>
        </w:div>
        <w:div w:id="382488512">
          <w:marLeft w:val="0"/>
          <w:marRight w:val="0"/>
          <w:marTop w:val="0"/>
          <w:marBottom w:val="0"/>
          <w:divBdr>
            <w:top w:val="none" w:sz="0" w:space="0" w:color="auto"/>
            <w:left w:val="none" w:sz="0" w:space="0" w:color="auto"/>
            <w:bottom w:val="none" w:sz="0" w:space="0" w:color="auto"/>
            <w:right w:val="none" w:sz="0" w:space="0" w:color="auto"/>
          </w:divBdr>
        </w:div>
        <w:div w:id="218632522">
          <w:marLeft w:val="0"/>
          <w:marRight w:val="0"/>
          <w:marTop w:val="0"/>
          <w:marBottom w:val="0"/>
          <w:divBdr>
            <w:top w:val="none" w:sz="0" w:space="0" w:color="auto"/>
            <w:left w:val="none" w:sz="0" w:space="0" w:color="auto"/>
            <w:bottom w:val="none" w:sz="0" w:space="0" w:color="auto"/>
            <w:right w:val="none" w:sz="0" w:space="0" w:color="auto"/>
          </w:divBdr>
        </w:div>
        <w:div w:id="1382173470">
          <w:marLeft w:val="0"/>
          <w:marRight w:val="0"/>
          <w:marTop w:val="0"/>
          <w:marBottom w:val="0"/>
          <w:divBdr>
            <w:top w:val="none" w:sz="0" w:space="0" w:color="auto"/>
            <w:left w:val="none" w:sz="0" w:space="0" w:color="auto"/>
            <w:bottom w:val="none" w:sz="0" w:space="0" w:color="auto"/>
            <w:right w:val="none" w:sz="0" w:space="0" w:color="auto"/>
          </w:divBdr>
        </w:div>
        <w:div w:id="1434595193">
          <w:marLeft w:val="0"/>
          <w:marRight w:val="0"/>
          <w:marTop w:val="0"/>
          <w:marBottom w:val="0"/>
          <w:divBdr>
            <w:top w:val="none" w:sz="0" w:space="0" w:color="auto"/>
            <w:left w:val="none" w:sz="0" w:space="0" w:color="auto"/>
            <w:bottom w:val="none" w:sz="0" w:space="0" w:color="auto"/>
            <w:right w:val="none" w:sz="0" w:space="0" w:color="auto"/>
          </w:divBdr>
        </w:div>
        <w:div w:id="1060058931">
          <w:marLeft w:val="0"/>
          <w:marRight w:val="0"/>
          <w:marTop w:val="0"/>
          <w:marBottom w:val="0"/>
          <w:divBdr>
            <w:top w:val="none" w:sz="0" w:space="0" w:color="auto"/>
            <w:left w:val="none" w:sz="0" w:space="0" w:color="auto"/>
            <w:bottom w:val="none" w:sz="0" w:space="0" w:color="auto"/>
            <w:right w:val="none" w:sz="0" w:space="0" w:color="auto"/>
          </w:divBdr>
        </w:div>
        <w:div w:id="999967771">
          <w:marLeft w:val="0"/>
          <w:marRight w:val="0"/>
          <w:marTop w:val="0"/>
          <w:marBottom w:val="0"/>
          <w:divBdr>
            <w:top w:val="none" w:sz="0" w:space="0" w:color="auto"/>
            <w:left w:val="none" w:sz="0" w:space="0" w:color="auto"/>
            <w:bottom w:val="none" w:sz="0" w:space="0" w:color="auto"/>
            <w:right w:val="none" w:sz="0" w:space="0" w:color="auto"/>
          </w:divBdr>
        </w:div>
        <w:div w:id="930314066">
          <w:marLeft w:val="0"/>
          <w:marRight w:val="0"/>
          <w:marTop w:val="0"/>
          <w:marBottom w:val="0"/>
          <w:divBdr>
            <w:top w:val="none" w:sz="0" w:space="0" w:color="auto"/>
            <w:left w:val="none" w:sz="0" w:space="0" w:color="auto"/>
            <w:bottom w:val="none" w:sz="0" w:space="0" w:color="auto"/>
            <w:right w:val="none" w:sz="0" w:space="0" w:color="auto"/>
          </w:divBdr>
        </w:div>
        <w:div w:id="973944331">
          <w:marLeft w:val="0"/>
          <w:marRight w:val="0"/>
          <w:marTop w:val="0"/>
          <w:marBottom w:val="0"/>
          <w:divBdr>
            <w:top w:val="none" w:sz="0" w:space="0" w:color="auto"/>
            <w:left w:val="none" w:sz="0" w:space="0" w:color="auto"/>
            <w:bottom w:val="none" w:sz="0" w:space="0" w:color="auto"/>
            <w:right w:val="none" w:sz="0" w:space="0" w:color="auto"/>
          </w:divBdr>
        </w:div>
        <w:div w:id="1631477891">
          <w:marLeft w:val="0"/>
          <w:marRight w:val="0"/>
          <w:marTop w:val="0"/>
          <w:marBottom w:val="0"/>
          <w:divBdr>
            <w:top w:val="none" w:sz="0" w:space="0" w:color="auto"/>
            <w:left w:val="none" w:sz="0" w:space="0" w:color="auto"/>
            <w:bottom w:val="none" w:sz="0" w:space="0" w:color="auto"/>
            <w:right w:val="none" w:sz="0" w:space="0" w:color="auto"/>
          </w:divBdr>
        </w:div>
        <w:div w:id="764812619">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
        <w:div w:id="1058674849">
          <w:marLeft w:val="0"/>
          <w:marRight w:val="0"/>
          <w:marTop w:val="0"/>
          <w:marBottom w:val="0"/>
          <w:divBdr>
            <w:top w:val="none" w:sz="0" w:space="0" w:color="auto"/>
            <w:left w:val="none" w:sz="0" w:space="0" w:color="auto"/>
            <w:bottom w:val="none" w:sz="0" w:space="0" w:color="auto"/>
            <w:right w:val="none" w:sz="0" w:space="0" w:color="auto"/>
          </w:divBdr>
        </w:div>
        <w:div w:id="1458523351">
          <w:marLeft w:val="0"/>
          <w:marRight w:val="0"/>
          <w:marTop w:val="0"/>
          <w:marBottom w:val="0"/>
          <w:divBdr>
            <w:top w:val="none" w:sz="0" w:space="0" w:color="auto"/>
            <w:left w:val="none" w:sz="0" w:space="0" w:color="auto"/>
            <w:bottom w:val="none" w:sz="0" w:space="0" w:color="auto"/>
            <w:right w:val="none" w:sz="0" w:space="0" w:color="auto"/>
          </w:divBdr>
        </w:div>
        <w:div w:id="1947468218">
          <w:marLeft w:val="0"/>
          <w:marRight w:val="0"/>
          <w:marTop w:val="0"/>
          <w:marBottom w:val="0"/>
          <w:divBdr>
            <w:top w:val="none" w:sz="0" w:space="0" w:color="auto"/>
            <w:left w:val="none" w:sz="0" w:space="0" w:color="auto"/>
            <w:bottom w:val="none" w:sz="0" w:space="0" w:color="auto"/>
            <w:right w:val="none" w:sz="0" w:space="0" w:color="auto"/>
          </w:divBdr>
        </w:div>
        <w:div w:id="955794217">
          <w:marLeft w:val="0"/>
          <w:marRight w:val="0"/>
          <w:marTop w:val="0"/>
          <w:marBottom w:val="0"/>
          <w:divBdr>
            <w:top w:val="none" w:sz="0" w:space="0" w:color="auto"/>
            <w:left w:val="none" w:sz="0" w:space="0" w:color="auto"/>
            <w:bottom w:val="none" w:sz="0" w:space="0" w:color="auto"/>
            <w:right w:val="none" w:sz="0" w:space="0" w:color="auto"/>
          </w:divBdr>
        </w:div>
        <w:div w:id="248388528">
          <w:marLeft w:val="0"/>
          <w:marRight w:val="0"/>
          <w:marTop w:val="0"/>
          <w:marBottom w:val="0"/>
          <w:divBdr>
            <w:top w:val="none" w:sz="0" w:space="0" w:color="auto"/>
            <w:left w:val="none" w:sz="0" w:space="0" w:color="auto"/>
            <w:bottom w:val="none" w:sz="0" w:space="0" w:color="auto"/>
            <w:right w:val="none" w:sz="0" w:space="0" w:color="auto"/>
          </w:divBdr>
        </w:div>
      </w:divsChild>
    </w:div>
    <w:div w:id="79838263">
      <w:marLeft w:val="0"/>
      <w:marRight w:val="0"/>
      <w:marTop w:val="180"/>
      <w:marBottom w:val="60"/>
      <w:divBdr>
        <w:top w:val="none" w:sz="0" w:space="0" w:color="auto"/>
        <w:left w:val="none" w:sz="0" w:space="0" w:color="auto"/>
        <w:bottom w:val="none" w:sz="0" w:space="0" w:color="auto"/>
        <w:right w:val="none" w:sz="0" w:space="0" w:color="auto"/>
      </w:divBdr>
    </w:div>
    <w:div w:id="81488077">
      <w:marLeft w:val="0"/>
      <w:marRight w:val="0"/>
      <w:marTop w:val="240"/>
      <w:marBottom w:val="180"/>
      <w:divBdr>
        <w:top w:val="none" w:sz="0" w:space="0" w:color="auto"/>
        <w:left w:val="none" w:sz="0" w:space="0" w:color="auto"/>
        <w:bottom w:val="none" w:sz="0" w:space="0" w:color="auto"/>
        <w:right w:val="none" w:sz="0" w:space="0" w:color="auto"/>
      </w:divBdr>
    </w:div>
    <w:div w:id="84961931">
      <w:marLeft w:val="0"/>
      <w:marRight w:val="0"/>
      <w:marTop w:val="180"/>
      <w:marBottom w:val="180"/>
      <w:divBdr>
        <w:top w:val="none" w:sz="0" w:space="0" w:color="auto"/>
        <w:left w:val="none" w:sz="0" w:space="0" w:color="auto"/>
        <w:bottom w:val="none" w:sz="0" w:space="0" w:color="auto"/>
        <w:right w:val="none" w:sz="0" w:space="0" w:color="auto"/>
      </w:divBdr>
    </w:div>
    <w:div w:id="86273757">
      <w:marLeft w:val="0"/>
      <w:marRight w:val="0"/>
      <w:marTop w:val="0"/>
      <w:marBottom w:val="0"/>
      <w:divBdr>
        <w:top w:val="none" w:sz="0" w:space="0" w:color="auto"/>
        <w:left w:val="none" w:sz="0" w:space="0" w:color="auto"/>
        <w:bottom w:val="none" w:sz="0" w:space="0" w:color="auto"/>
        <w:right w:val="none" w:sz="0" w:space="0" w:color="auto"/>
      </w:divBdr>
    </w:div>
    <w:div w:id="89006849">
      <w:marLeft w:val="0"/>
      <w:marRight w:val="0"/>
      <w:marTop w:val="180"/>
      <w:marBottom w:val="180"/>
      <w:divBdr>
        <w:top w:val="none" w:sz="0" w:space="0" w:color="auto"/>
        <w:left w:val="none" w:sz="0" w:space="0" w:color="auto"/>
        <w:bottom w:val="none" w:sz="0" w:space="0" w:color="auto"/>
        <w:right w:val="none" w:sz="0" w:space="0" w:color="auto"/>
      </w:divBdr>
    </w:div>
    <w:div w:id="94448057">
      <w:marLeft w:val="0"/>
      <w:marRight w:val="0"/>
      <w:marTop w:val="0"/>
      <w:marBottom w:val="0"/>
      <w:divBdr>
        <w:top w:val="none" w:sz="0" w:space="0" w:color="auto"/>
        <w:left w:val="none" w:sz="0" w:space="0" w:color="auto"/>
        <w:bottom w:val="none" w:sz="0" w:space="0" w:color="auto"/>
        <w:right w:val="none" w:sz="0" w:space="0" w:color="auto"/>
      </w:divBdr>
    </w:div>
    <w:div w:id="97992410">
      <w:marLeft w:val="0"/>
      <w:marRight w:val="0"/>
      <w:marTop w:val="0"/>
      <w:marBottom w:val="0"/>
      <w:divBdr>
        <w:top w:val="none" w:sz="0" w:space="0" w:color="auto"/>
        <w:left w:val="none" w:sz="0" w:space="0" w:color="auto"/>
        <w:bottom w:val="none" w:sz="0" w:space="0" w:color="auto"/>
        <w:right w:val="none" w:sz="0" w:space="0" w:color="auto"/>
      </w:divBdr>
      <w:divsChild>
        <w:div w:id="1681736051">
          <w:marLeft w:val="0"/>
          <w:marRight w:val="0"/>
          <w:marTop w:val="0"/>
          <w:marBottom w:val="0"/>
          <w:divBdr>
            <w:top w:val="none" w:sz="0" w:space="0" w:color="auto"/>
            <w:left w:val="none" w:sz="0" w:space="0" w:color="auto"/>
            <w:bottom w:val="none" w:sz="0" w:space="0" w:color="auto"/>
            <w:right w:val="none" w:sz="0" w:space="0" w:color="auto"/>
          </w:divBdr>
          <w:divsChild>
            <w:div w:id="9432676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881411">
      <w:marLeft w:val="0"/>
      <w:marRight w:val="0"/>
      <w:marTop w:val="0"/>
      <w:marBottom w:val="0"/>
      <w:divBdr>
        <w:top w:val="none" w:sz="0" w:space="0" w:color="auto"/>
        <w:left w:val="none" w:sz="0" w:space="0" w:color="auto"/>
        <w:bottom w:val="none" w:sz="0" w:space="0" w:color="auto"/>
        <w:right w:val="none" w:sz="0" w:space="0" w:color="auto"/>
      </w:divBdr>
      <w:divsChild>
        <w:div w:id="343287080">
          <w:marLeft w:val="0"/>
          <w:marRight w:val="0"/>
          <w:marTop w:val="0"/>
          <w:marBottom w:val="0"/>
          <w:divBdr>
            <w:top w:val="none" w:sz="0" w:space="0" w:color="auto"/>
            <w:left w:val="none" w:sz="0" w:space="0" w:color="auto"/>
            <w:bottom w:val="none" w:sz="0" w:space="0" w:color="auto"/>
            <w:right w:val="none" w:sz="0" w:space="0" w:color="auto"/>
          </w:divBdr>
          <w:divsChild>
            <w:div w:id="16595804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3960674">
      <w:marLeft w:val="0"/>
      <w:marRight w:val="0"/>
      <w:marTop w:val="60"/>
      <w:marBottom w:val="60"/>
      <w:divBdr>
        <w:top w:val="none" w:sz="0" w:space="0" w:color="auto"/>
        <w:left w:val="none" w:sz="0" w:space="0" w:color="auto"/>
        <w:bottom w:val="none" w:sz="0" w:space="0" w:color="auto"/>
        <w:right w:val="none" w:sz="0" w:space="0" w:color="auto"/>
      </w:divBdr>
    </w:div>
    <w:div w:id="104036940">
      <w:marLeft w:val="0"/>
      <w:marRight w:val="0"/>
      <w:marTop w:val="60"/>
      <w:marBottom w:val="60"/>
      <w:divBdr>
        <w:top w:val="none" w:sz="0" w:space="0" w:color="auto"/>
        <w:left w:val="none" w:sz="0" w:space="0" w:color="auto"/>
        <w:bottom w:val="none" w:sz="0" w:space="0" w:color="auto"/>
        <w:right w:val="none" w:sz="0" w:space="0" w:color="auto"/>
      </w:divBdr>
    </w:div>
    <w:div w:id="106045064">
      <w:marLeft w:val="0"/>
      <w:marRight w:val="0"/>
      <w:marTop w:val="0"/>
      <w:marBottom w:val="0"/>
      <w:divBdr>
        <w:top w:val="none" w:sz="0" w:space="0" w:color="auto"/>
        <w:left w:val="none" w:sz="0" w:space="0" w:color="auto"/>
        <w:bottom w:val="none" w:sz="0" w:space="0" w:color="auto"/>
        <w:right w:val="none" w:sz="0" w:space="0" w:color="auto"/>
      </w:divBdr>
      <w:divsChild>
        <w:div w:id="1245139630">
          <w:marLeft w:val="0"/>
          <w:marRight w:val="0"/>
          <w:marTop w:val="60"/>
          <w:marBottom w:val="60"/>
          <w:divBdr>
            <w:top w:val="none" w:sz="0" w:space="0" w:color="auto"/>
            <w:left w:val="none" w:sz="0" w:space="0" w:color="auto"/>
            <w:bottom w:val="none" w:sz="0" w:space="0" w:color="auto"/>
            <w:right w:val="none" w:sz="0" w:space="0" w:color="auto"/>
          </w:divBdr>
        </w:div>
      </w:divsChild>
    </w:div>
    <w:div w:id="106894579">
      <w:marLeft w:val="0"/>
      <w:marRight w:val="0"/>
      <w:marTop w:val="100"/>
      <w:marBottom w:val="0"/>
      <w:divBdr>
        <w:top w:val="none" w:sz="0" w:space="0" w:color="auto"/>
        <w:left w:val="none" w:sz="0" w:space="0" w:color="auto"/>
        <w:bottom w:val="none" w:sz="0" w:space="0" w:color="auto"/>
        <w:right w:val="none" w:sz="0" w:space="0" w:color="auto"/>
      </w:divBdr>
      <w:divsChild>
        <w:div w:id="799689955">
          <w:marLeft w:val="0"/>
          <w:marRight w:val="0"/>
          <w:marTop w:val="0"/>
          <w:marBottom w:val="0"/>
          <w:divBdr>
            <w:top w:val="none" w:sz="0" w:space="0" w:color="auto"/>
            <w:left w:val="none" w:sz="0" w:space="0" w:color="auto"/>
            <w:bottom w:val="none" w:sz="0" w:space="0" w:color="auto"/>
            <w:right w:val="none" w:sz="0" w:space="0" w:color="auto"/>
          </w:divBdr>
        </w:div>
        <w:div w:id="1299721642">
          <w:marLeft w:val="0"/>
          <w:marRight w:val="0"/>
          <w:marTop w:val="0"/>
          <w:marBottom w:val="0"/>
          <w:divBdr>
            <w:top w:val="none" w:sz="0" w:space="0" w:color="auto"/>
            <w:left w:val="none" w:sz="0" w:space="0" w:color="auto"/>
            <w:bottom w:val="none" w:sz="0" w:space="0" w:color="auto"/>
            <w:right w:val="none" w:sz="0" w:space="0" w:color="auto"/>
          </w:divBdr>
        </w:div>
      </w:divsChild>
    </w:div>
    <w:div w:id="109520868">
      <w:marLeft w:val="0"/>
      <w:marRight w:val="0"/>
      <w:marTop w:val="60"/>
      <w:marBottom w:val="60"/>
      <w:divBdr>
        <w:top w:val="none" w:sz="0" w:space="0" w:color="auto"/>
        <w:left w:val="none" w:sz="0" w:space="0" w:color="auto"/>
        <w:bottom w:val="none" w:sz="0" w:space="0" w:color="auto"/>
        <w:right w:val="none" w:sz="0" w:space="0" w:color="auto"/>
      </w:divBdr>
    </w:div>
    <w:div w:id="112794560">
      <w:marLeft w:val="0"/>
      <w:marRight w:val="0"/>
      <w:marTop w:val="100"/>
      <w:marBottom w:val="60"/>
      <w:divBdr>
        <w:top w:val="none" w:sz="0" w:space="0" w:color="auto"/>
        <w:left w:val="none" w:sz="0" w:space="0" w:color="auto"/>
        <w:bottom w:val="none" w:sz="0" w:space="0" w:color="auto"/>
        <w:right w:val="none" w:sz="0" w:space="0" w:color="auto"/>
      </w:divBdr>
    </w:div>
    <w:div w:id="115102973">
      <w:marLeft w:val="0"/>
      <w:marRight w:val="0"/>
      <w:marTop w:val="0"/>
      <w:marBottom w:val="0"/>
      <w:divBdr>
        <w:top w:val="none" w:sz="0" w:space="0" w:color="auto"/>
        <w:left w:val="none" w:sz="0" w:space="0" w:color="auto"/>
        <w:bottom w:val="none" w:sz="0" w:space="0" w:color="auto"/>
        <w:right w:val="none" w:sz="0" w:space="0" w:color="auto"/>
      </w:divBdr>
    </w:div>
    <w:div w:id="119538698">
      <w:marLeft w:val="0"/>
      <w:marRight w:val="0"/>
      <w:marTop w:val="180"/>
      <w:marBottom w:val="180"/>
      <w:divBdr>
        <w:top w:val="none" w:sz="0" w:space="0" w:color="auto"/>
        <w:left w:val="none" w:sz="0" w:space="0" w:color="auto"/>
        <w:bottom w:val="none" w:sz="0" w:space="0" w:color="auto"/>
        <w:right w:val="none" w:sz="0" w:space="0" w:color="auto"/>
      </w:divBdr>
    </w:div>
    <w:div w:id="119614343">
      <w:marLeft w:val="0"/>
      <w:marRight w:val="0"/>
      <w:marTop w:val="180"/>
      <w:marBottom w:val="180"/>
      <w:divBdr>
        <w:top w:val="none" w:sz="0" w:space="0" w:color="auto"/>
        <w:left w:val="none" w:sz="0" w:space="0" w:color="auto"/>
        <w:bottom w:val="none" w:sz="0" w:space="0" w:color="auto"/>
        <w:right w:val="none" w:sz="0" w:space="0" w:color="auto"/>
      </w:divBdr>
    </w:div>
    <w:div w:id="120656787">
      <w:marLeft w:val="0"/>
      <w:marRight w:val="0"/>
      <w:marTop w:val="60"/>
      <w:marBottom w:val="0"/>
      <w:divBdr>
        <w:top w:val="none" w:sz="0" w:space="0" w:color="auto"/>
        <w:left w:val="none" w:sz="0" w:space="0" w:color="auto"/>
        <w:bottom w:val="none" w:sz="0" w:space="0" w:color="auto"/>
        <w:right w:val="none" w:sz="0" w:space="0" w:color="auto"/>
      </w:divBdr>
    </w:div>
    <w:div w:id="121926742">
      <w:marLeft w:val="0"/>
      <w:marRight w:val="0"/>
      <w:marTop w:val="60"/>
      <w:marBottom w:val="60"/>
      <w:divBdr>
        <w:top w:val="none" w:sz="0" w:space="0" w:color="auto"/>
        <w:left w:val="none" w:sz="0" w:space="0" w:color="auto"/>
        <w:bottom w:val="none" w:sz="0" w:space="0" w:color="auto"/>
        <w:right w:val="none" w:sz="0" w:space="0" w:color="auto"/>
      </w:divBdr>
    </w:div>
    <w:div w:id="122122617">
      <w:marLeft w:val="0"/>
      <w:marRight w:val="0"/>
      <w:marTop w:val="180"/>
      <w:marBottom w:val="180"/>
      <w:divBdr>
        <w:top w:val="none" w:sz="0" w:space="0" w:color="auto"/>
        <w:left w:val="none" w:sz="0" w:space="0" w:color="auto"/>
        <w:bottom w:val="none" w:sz="0" w:space="0" w:color="auto"/>
        <w:right w:val="none" w:sz="0" w:space="0" w:color="auto"/>
      </w:divBdr>
    </w:div>
    <w:div w:id="122697782">
      <w:marLeft w:val="0"/>
      <w:marRight w:val="0"/>
      <w:marTop w:val="0"/>
      <w:marBottom w:val="0"/>
      <w:divBdr>
        <w:top w:val="none" w:sz="0" w:space="0" w:color="auto"/>
        <w:left w:val="none" w:sz="0" w:space="0" w:color="auto"/>
        <w:bottom w:val="none" w:sz="0" w:space="0" w:color="auto"/>
        <w:right w:val="none" w:sz="0" w:space="0" w:color="auto"/>
      </w:divBdr>
    </w:div>
    <w:div w:id="122818379">
      <w:marLeft w:val="0"/>
      <w:marRight w:val="0"/>
      <w:marTop w:val="180"/>
      <w:marBottom w:val="180"/>
      <w:divBdr>
        <w:top w:val="none" w:sz="0" w:space="0" w:color="auto"/>
        <w:left w:val="none" w:sz="0" w:space="0" w:color="auto"/>
        <w:bottom w:val="none" w:sz="0" w:space="0" w:color="auto"/>
        <w:right w:val="none" w:sz="0" w:space="0" w:color="auto"/>
      </w:divBdr>
    </w:div>
    <w:div w:id="127863494">
      <w:marLeft w:val="0"/>
      <w:marRight w:val="0"/>
      <w:marTop w:val="180"/>
      <w:marBottom w:val="180"/>
      <w:divBdr>
        <w:top w:val="none" w:sz="0" w:space="0" w:color="auto"/>
        <w:left w:val="none" w:sz="0" w:space="0" w:color="auto"/>
        <w:bottom w:val="none" w:sz="0" w:space="0" w:color="auto"/>
        <w:right w:val="none" w:sz="0" w:space="0" w:color="auto"/>
      </w:divBdr>
    </w:div>
    <w:div w:id="128403530">
      <w:marLeft w:val="0"/>
      <w:marRight w:val="0"/>
      <w:marTop w:val="0"/>
      <w:marBottom w:val="0"/>
      <w:divBdr>
        <w:top w:val="none" w:sz="0" w:space="0" w:color="auto"/>
        <w:left w:val="none" w:sz="0" w:space="0" w:color="auto"/>
        <w:bottom w:val="none" w:sz="0" w:space="0" w:color="auto"/>
        <w:right w:val="none" w:sz="0" w:space="0" w:color="auto"/>
      </w:divBdr>
      <w:divsChild>
        <w:div w:id="1498766099">
          <w:marLeft w:val="0"/>
          <w:marRight w:val="0"/>
          <w:marTop w:val="0"/>
          <w:marBottom w:val="0"/>
          <w:divBdr>
            <w:top w:val="none" w:sz="0" w:space="0" w:color="auto"/>
            <w:left w:val="none" w:sz="0" w:space="0" w:color="auto"/>
            <w:bottom w:val="none" w:sz="0" w:space="0" w:color="auto"/>
            <w:right w:val="none" w:sz="0" w:space="0" w:color="auto"/>
          </w:divBdr>
          <w:divsChild>
            <w:div w:id="14125862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9713461">
      <w:marLeft w:val="0"/>
      <w:marRight w:val="0"/>
      <w:marTop w:val="180"/>
      <w:marBottom w:val="180"/>
      <w:divBdr>
        <w:top w:val="none" w:sz="0" w:space="0" w:color="auto"/>
        <w:left w:val="none" w:sz="0" w:space="0" w:color="auto"/>
        <w:bottom w:val="none" w:sz="0" w:space="0" w:color="auto"/>
        <w:right w:val="none" w:sz="0" w:space="0" w:color="auto"/>
      </w:divBdr>
    </w:div>
    <w:div w:id="132144108">
      <w:marLeft w:val="0"/>
      <w:marRight w:val="0"/>
      <w:marTop w:val="180"/>
      <w:marBottom w:val="180"/>
      <w:divBdr>
        <w:top w:val="none" w:sz="0" w:space="0" w:color="auto"/>
        <w:left w:val="none" w:sz="0" w:space="0" w:color="auto"/>
        <w:bottom w:val="none" w:sz="0" w:space="0" w:color="auto"/>
        <w:right w:val="none" w:sz="0" w:space="0" w:color="auto"/>
      </w:divBdr>
    </w:div>
    <w:div w:id="137577204">
      <w:marLeft w:val="0"/>
      <w:marRight w:val="0"/>
      <w:marTop w:val="180"/>
      <w:marBottom w:val="60"/>
      <w:divBdr>
        <w:top w:val="none" w:sz="0" w:space="0" w:color="auto"/>
        <w:left w:val="none" w:sz="0" w:space="0" w:color="auto"/>
        <w:bottom w:val="none" w:sz="0" w:space="0" w:color="auto"/>
        <w:right w:val="none" w:sz="0" w:space="0" w:color="auto"/>
      </w:divBdr>
    </w:div>
    <w:div w:id="139158539">
      <w:marLeft w:val="0"/>
      <w:marRight w:val="0"/>
      <w:marTop w:val="180"/>
      <w:marBottom w:val="180"/>
      <w:divBdr>
        <w:top w:val="none" w:sz="0" w:space="0" w:color="auto"/>
        <w:left w:val="none" w:sz="0" w:space="0" w:color="auto"/>
        <w:bottom w:val="none" w:sz="0" w:space="0" w:color="auto"/>
        <w:right w:val="none" w:sz="0" w:space="0" w:color="auto"/>
      </w:divBdr>
    </w:div>
    <w:div w:id="141849348">
      <w:marLeft w:val="0"/>
      <w:marRight w:val="0"/>
      <w:marTop w:val="180"/>
      <w:marBottom w:val="180"/>
      <w:divBdr>
        <w:top w:val="none" w:sz="0" w:space="0" w:color="auto"/>
        <w:left w:val="none" w:sz="0" w:space="0" w:color="auto"/>
        <w:bottom w:val="none" w:sz="0" w:space="0" w:color="auto"/>
        <w:right w:val="none" w:sz="0" w:space="0" w:color="auto"/>
      </w:divBdr>
    </w:div>
    <w:div w:id="142429446">
      <w:marLeft w:val="0"/>
      <w:marRight w:val="0"/>
      <w:marTop w:val="180"/>
      <w:marBottom w:val="180"/>
      <w:divBdr>
        <w:top w:val="none" w:sz="0" w:space="0" w:color="auto"/>
        <w:left w:val="none" w:sz="0" w:space="0" w:color="auto"/>
        <w:bottom w:val="none" w:sz="0" w:space="0" w:color="auto"/>
        <w:right w:val="none" w:sz="0" w:space="0" w:color="auto"/>
      </w:divBdr>
    </w:div>
    <w:div w:id="142625170">
      <w:marLeft w:val="0"/>
      <w:marRight w:val="0"/>
      <w:marTop w:val="180"/>
      <w:marBottom w:val="180"/>
      <w:divBdr>
        <w:top w:val="none" w:sz="0" w:space="0" w:color="auto"/>
        <w:left w:val="none" w:sz="0" w:space="0" w:color="auto"/>
        <w:bottom w:val="none" w:sz="0" w:space="0" w:color="auto"/>
        <w:right w:val="none" w:sz="0" w:space="0" w:color="auto"/>
      </w:divBdr>
    </w:div>
    <w:div w:id="145124943">
      <w:marLeft w:val="0"/>
      <w:marRight w:val="0"/>
      <w:marTop w:val="180"/>
      <w:marBottom w:val="180"/>
      <w:divBdr>
        <w:top w:val="none" w:sz="0" w:space="0" w:color="auto"/>
        <w:left w:val="none" w:sz="0" w:space="0" w:color="auto"/>
        <w:bottom w:val="none" w:sz="0" w:space="0" w:color="auto"/>
        <w:right w:val="none" w:sz="0" w:space="0" w:color="auto"/>
      </w:divBdr>
    </w:div>
    <w:div w:id="145129330">
      <w:marLeft w:val="0"/>
      <w:marRight w:val="0"/>
      <w:marTop w:val="240"/>
      <w:marBottom w:val="180"/>
      <w:divBdr>
        <w:top w:val="none" w:sz="0" w:space="0" w:color="auto"/>
        <w:left w:val="none" w:sz="0" w:space="0" w:color="auto"/>
        <w:bottom w:val="none" w:sz="0" w:space="0" w:color="auto"/>
        <w:right w:val="none" w:sz="0" w:space="0" w:color="auto"/>
      </w:divBdr>
    </w:div>
    <w:div w:id="148131391">
      <w:marLeft w:val="0"/>
      <w:marRight w:val="0"/>
      <w:marTop w:val="180"/>
      <w:marBottom w:val="180"/>
      <w:divBdr>
        <w:top w:val="none" w:sz="0" w:space="0" w:color="auto"/>
        <w:left w:val="none" w:sz="0" w:space="0" w:color="auto"/>
        <w:bottom w:val="none" w:sz="0" w:space="0" w:color="auto"/>
        <w:right w:val="none" w:sz="0" w:space="0" w:color="auto"/>
      </w:divBdr>
    </w:div>
    <w:div w:id="149568765">
      <w:marLeft w:val="0"/>
      <w:marRight w:val="0"/>
      <w:marTop w:val="180"/>
      <w:marBottom w:val="60"/>
      <w:divBdr>
        <w:top w:val="none" w:sz="0" w:space="0" w:color="auto"/>
        <w:left w:val="none" w:sz="0" w:space="0" w:color="auto"/>
        <w:bottom w:val="none" w:sz="0" w:space="0" w:color="auto"/>
        <w:right w:val="none" w:sz="0" w:space="0" w:color="auto"/>
      </w:divBdr>
    </w:div>
    <w:div w:id="149952890">
      <w:marLeft w:val="0"/>
      <w:marRight w:val="0"/>
      <w:marTop w:val="180"/>
      <w:marBottom w:val="180"/>
      <w:divBdr>
        <w:top w:val="none" w:sz="0" w:space="0" w:color="auto"/>
        <w:left w:val="none" w:sz="0" w:space="0" w:color="auto"/>
        <w:bottom w:val="none" w:sz="0" w:space="0" w:color="auto"/>
        <w:right w:val="none" w:sz="0" w:space="0" w:color="auto"/>
      </w:divBdr>
    </w:div>
    <w:div w:id="150828844">
      <w:marLeft w:val="0"/>
      <w:marRight w:val="0"/>
      <w:marTop w:val="100"/>
      <w:marBottom w:val="0"/>
      <w:divBdr>
        <w:top w:val="none" w:sz="0" w:space="0" w:color="auto"/>
        <w:left w:val="none" w:sz="0" w:space="0" w:color="auto"/>
        <w:bottom w:val="none" w:sz="0" w:space="0" w:color="auto"/>
        <w:right w:val="none" w:sz="0" w:space="0" w:color="auto"/>
      </w:divBdr>
    </w:div>
    <w:div w:id="157691055">
      <w:marLeft w:val="0"/>
      <w:marRight w:val="0"/>
      <w:marTop w:val="180"/>
      <w:marBottom w:val="60"/>
      <w:divBdr>
        <w:top w:val="none" w:sz="0" w:space="0" w:color="auto"/>
        <w:left w:val="none" w:sz="0" w:space="0" w:color="auto"/>
        <w:bottom w:val="none" w:sz="0" w:space="0" w:color="auto"/>
        <w:right w:val="none" w:sz="0" w:space="0" w:color="auto"/>
      </w:divBdr>
    </w:div>
    <w:div w:id="157961717">
      <w:marLeft w:val="0"/>
      <w:marRight w:val="0"/>
      <w:marTop w:val="180"/>
      <w:marBottom w:val="180"/>
      <w:divBdr>
        <w:top w:val="none" w:sz="0" w:space="0" w:color="auto"/>
        <w:left w:val="none" w:sz="0" w:space="0" w:color="auto"/>
        <w:bottom w:val="none" w:sz="0" w:space="0" w:color="auto"/>
        <w:right w:val="none" w:sz="0" w:space="0" w:color="auto"/>
      </w:divBdr>
    </w:div>
    <w:div w:id="160389458">
      <w:marLeft w:val="0"/>
      <w:marRight w:val="0"/>
      <w:marTop w:val="180"/>
      <w:marBottom w:val="180"/>
      <w:divBdr>
        <w:top w:val="none" w:sz="0" w:space="0" w:color="auto"/>
        <w:left w:val="none" w:sz="0" w:space="0" w:color="auto"/>
        <w:bottom w:val="none" w:sz="0" w:space="0" w:color="auto"/>
        <w:right w:val="none" w:sz="0" w:space="0" w:color="auto"/>
      </w:divBdr>
    </w:div>
    <w:div w:id="160776381">
      <w:marLeft w:val="0"/>
      <w:marRight w:val="0"/>
      <w:marTop w:val="0"/>
      <w:marBottom w:val="0"/>
      <w:divBdr>
        <w:top w:val="none" w:sz="0" w:space="0" w:color="auto"/>
        <w:left w:val="none" w:sz="0" w:space="0" w:color="auto"/>
        <w:bottom w:val="none" w:sz="0" w:space="0" w:color="auto"/>
        <w:right w:val="none" w:sz="0" w:space="0" w:color="auto"/>
      </w:divBdr>
    </w:div>
    <w:div w:id="162093431">
      <w:marLeft w:val="0"/>
      <w:marRight w:val="0"/>
      <w:marTop w:val="180"/>
      <w:marBottom w:val="180"/>
      <w:divBdr>
        <w:top w:val="none" w:sz="0" w:space="0" w:color="auto"/>
        <w:left w:val="none" w:sz="0" w:space="0" w:color="auto"/>
        <w:bottom w:val="none" w:sz="0" w:space="0" w:color="auto"/>
        <w:right w:val="none" w:sz="0" w:space="0" w:color="auto"/>
      </w:divBdr>
    </w:div>
    <w:div w:id="163323010">
      <w:marLeft w:val="0"/>
      <w:marRight w:val="0"/>
      <w:marTop w:val="180"/>
      <w:marBottom w:val="180"/>
      <w:divBdr>
        <w:top w:val="none" w:sz="0" w:space="0" w:color="auto"/>
        <w:left w:val="none" w:sz="0" w:space="0" w:color="auto"/>
        <w:bottom w:val="none" w:sz="0" w:space="0" w:color="auto"/>
        <w:right w:val="none" w:sz="0" w:space="0" w:color="auto"/>
      </w:divBdr>
    </w:div>
    <w:div w:id="164636083">
      <w:marLeft w:val="0"/>
      <w:marRight w:val="0"/>
      <w:marTop w:val="180"/>
      <w:marBottom w:val="180"/>
      <w:divBdr>
        <w:top w:val="none" w:sz="0" w:space="0" w:color="auto"/>
        <w:left w:val="none" w:sz="0" w:space="0" w:color="auto"/>
        <w:bottom w:val="none" w:sz="0" w:space="0" w:color="auto"/>
        <w:right w:val="none" w:sz="0" w:space="0" w:color="auto"/>
      </w:divBdr>
    </w:div>
    <w:div w:id="165901690">
      <w:marLeft w:val="0"/>
      <w:marRight w:val="0"/>
      <w:marTop w:val="60"/>
      <w:marBottom w:val="60"/>
      <w:divBdr>
        <w:top w:val="none" w:sz="0" w:space="0" w:color="auto"/>
        <w:left w:val="none" w:sz="0" w:space="0" w:color="auto"/>
        <w:bottom w:val="none" w:sz="0" w:space="0" w:color="auto"/>
        <w:right w:val="none" w:sz="0" w:space="0" w:color="auto"/>
      </w:divBdr>
    </w:div>
    <w:div w:id="167183490">
      <w:marLeft w:val="0"/>
      <w:marRight w:val="0"/>
      <w:marTop w:val="180"/>
      <w:marBottom w:val="180"/>
      <w:divBdr>
        <w:top w:val="none" w:sz="0" w:space="0" w:color="auto"/>
        <w:left w:val="none" w:sz="0" w:space="0" w:color="auto"/>
        <w:bottom w:val="none" w:sz="0" w:space="0" w:color="auto"/>
        <w:right w:val="none" w:sz="0" w:space="0" w:color="auto"/>
      </w:divBdr>
    </w:div>
    <w:div w:id="170341979">
      <w:marLeft w:val="0"/>
      <w:marRight w:val="0"/>
      <w:marTop w:val="180"/>
      <w:marBottom w:val="60"/>
      <w:divBdr>
        <w:top w:val="none" w:sz="0" w:space="0" w:color="auto"/>
        <w:left w:val="none" w:sz="0" w:space="0" w:color="auto"/>
        <w:bottom w:val="none" w:sz="0" w:space="0" w:color="auto"/>
        <w:right w:val="none" w:sz="0" w:space="0" w:color="auto"/>
      </w:divBdr>
    </w:div>
    <w:div w:id="170875756">
      <w:marLeft w:val="0"/>
      <w:marRight w:val="0"/>
      <w:marTop w:val="180"/>
      <w:marBottom w:val="180"/>
      <w:divBdr>
        <w:top w:val="none" w:sz="0" w:space="0" w:color="auto"/>
        <w:left w:val="none" w:sz="0" w:space="0" w:color="auto"/>
        <w:bottom w:val="none" w:sz="0" w:space="0" w:color="auto"/>
        <w:right w:val="none" w:sz="0" w:space="0" w:color="auto"/>
      </w:divBdr>
    </w:div>
    <w:div w:id="172496271">
      <w:marLeft w:val="0"/>
      <w:marRight w:val="0"/>
      <w:marTop w:val="180"/>
      <w:marBottom w:val="180"/>
      <w:divBdr>
        <w:top w:val="none" w:sz="0" w:space="0" w:color="auto"/>
        <w:left w:val="none" w:sz="0" w:space="0" w:color="auto"/>
        <w:bottom w:val="none" w:sz="0" w:space="0" w:color="auto"/>
        <w:right w:val="none" w:sz="0" w:space="0" w:color="auto"/>
      </w:divBdr>
    </w:div>
    <w:div w:id="173426004">
      <w:marLeft w:val="0"/>
      <w:marRight w:val="0"/>
      <w:marTop w:val="180"/>
      <w:marBottom w:val="180"/>
      <w:divBdr>
        <w:top w:val="none" w:sz="0" w:space="0" w:color="auto"/>
        <w:left w:val="none" w:sz="0" w:space="0" w:color="auto"/>
        <w:bottom w:val="none" w:sz="0" w:space="0" w:color="auto"/>
        <w:right w:val="none" w:sz="0" w:space="0" w:color="auto"/>
      </w:divBdr>
    </w:div>
    <w:div w:id="174224987">
      <w:marLeft w:val="0"/>
      <w:marRight w:val="0"/>
      <w:marTop w:val="0"/>
      <w:marBottom w:val="0"/>
      <w:divBdr>
        <w:top w:val="none" w:sz="0" w:space="0" w:color="auto"/>
        <w:left w:val="none" w:sz="0" w:space="0" w:color="auto"/>
        <w:bottom w:val="none" w:sz="0" w:space="0" w:color="auto"/>
        <w:right w:val="none" w:sz="0" w:space="0" w:color="auto"/>
      </w:divBdr>
    </w:div>
    <w:div w:id="178854602">
      <w:marLeft w:val="0"/>
      <w:marRight w:val="0"/>
      <w:marTop w:val="180"/>
      <w:marBottom w:val="60"/>
      <w:divBdr>
        <w:top w:val="none" w:sz="0" w:space="0" w:color="auto"/>
        <w:left w:val="none" w:sz="0" w:space="0" w:color="auto"/>
        <w:bottom w:val="none" w:sz="0" w:space="0" w:color="auto"/>
        <w:right w:val="none" w:sz="0" w:space="0" w:color="auto"/>
      </w:divBdr>
    </w:div>
    <w:div w:id="179125809">
      <w:marLeft w:val="0"/>
      <w:marRight w:val="0"/>
      <w:marTop w:val="60"/>
      <w:marBottom w:val="60"/>
      <w:divBdr>
        <w:top w:val="none" w:sz="0" w:space="0" w:color="auto"/>
        <w:left w:val="none" w:sz="0" w:space="0" w:color="auto"/>
        <w:bottom w:val="none" w:sz="0" w:space="0" w:color="auto"/>
        <w:right w:val="none" w:sz="0" w:space="0" w:color="auto"/>
      </w:divBdr>
    </w:div>
    <w:div w:id="179396066">
      <w:marLeft w:val="0"/>
      <w:marRight w:val="0"/>
      <w:marTop w:val="180"/>
      <w:marBottom w:val="180"/>
      <w:divBdr>
        <w:top w:val="none" w:sz="0" w:space="0" w:color="auto"/>
        <w:left w:val="none" w:sz="0" w:space="0" w:color="auto"/>
        <w:bottom w:val="none" w:sz="0" w:space="0" w:color="auto"/>
        <w:right w:val="none" w:sz="0" w:space="0" w:color="auto"/>
      </w:divBdr>
    </w:div>
    <w:div w:id="180166838">
      <w:marLeft w:val="0"/>
      <w:marRight w:val="0"/>
      <w:marTop w:val="180"/>
      <w:marBottom w:val="180"/>
      <w:divBdr>
        <w:top w:val="none" w:sz="0" w:space="0" w:color="auto"/>
        <w:left w:val="none" w:sz="0" w:space="0" w:color="auto"/>
        <w:bottom w:val="none" w:sz="0" w:space="0" w:color="auto"/>
        <w:right w:val="none" w:sz="0" w:space="0" w:color="auto"/>
      </w:divBdr>
    </w:div>
    <w:div w:id="183440710">
      <w:marLeft w:val="0"/>
      <w:marRight w:val="0"/>
      <w:marTop w:val="180"/>
      <w:marBottom w:val="60"/>
      <w:divBdr>
        <w:top w:val="none" w:sz="0" w:space="0" w:color="auto"/>
        <w:left w:val="none" w:sz="0" w:space="0" w:color="auto"/>
        <w:bottom w:val="none" w:sz="0" w:space="0" w:color="auto"/>
        <w:right w:val="none" w:sz="0" w:space="0" w:color="auto"/>
      </w:divBdr>
    </w:div>
    <w:div w:id="184170400">
      <w:marLeft w:val="0"/>
      <w:marRight w:val="0"/>
      <w:marTop w:val="180"/>
      <w:marBottom w:val="180"/>
      <w:divBdr>
        <w:top w:val="none" w:sz="0" w:space="0" w:color="auto"/>
        <w:left w:val="none" w:sz="0" w:space="0" w:color="auto"/>
        <w:bottom w:val="none" w:sz="0" w:space="0" w:color="auto"/>
        <w:right w:val="none" w:sz="0" w:space="0" w:color="auto"/>
      </w:divBdr>
    </w:div>
    <w:div w:id="185756234">
      <w:marLeft w:val="0"/>
      <w:marRight w:val="0"/>
      <w:marTop w:val="0"/>
      <w:marBottom w:val="180"/>
      <w:divBdr>
        <w:top w:val="none" w:sz="0" w:space="0" w:color="auto"/>
        <w:left w:val="none" w:sz="0" w:space="0" w:color="auto"/>
        <w:bottom w:val="none" w:sz="0" w:space="0" w:color="auto"/>
        <w:right w:val="none" w:sz="0" w:space="0" w:color="auto"/>
      </w:divBdr>
    </w:div>
    <w:div w:id="188229014">
      <w:marLeft w:val="0"/>
      <w:marRight w:val="0"/>
      <w:marTop w:val="180"/>
      <w:marBottom w:val="180"/>
      <w:divBdr>
        <w:top w:val="none" w:sz="0" w:space="0" w:color="auto"/>
        <w:left w:val="none" w:sz="0" w:space="0" w:color="auto"/>
        <w:bottom w:val="none" w:sz="0" w:space="0" w:color="auto"/>
        <w:right w:val="none" w:sz="0" w:space="0" w:color="auto"/>
      </w:divBdr>
    </w:div>
    <w:div w:id="188418773">
      <w:marLeft w:val="0"/>
      <w:marRight w:val="0"/>
      <w:marTop w:val="180"/>
      <w:marBottom w:val="180"/>
      <w:divBdr>
        <w:top w:val="none" w:sz="0" w:space="0" w:color="auto"/>
        <w:left w:val="none" w:sz="0" w:space="0" w:color="auto"/>
        <w:bottom w:val="none" w:sz="0" w:space="0" w:color="auto"/>
        <w:right w:val="none" w:sz="0" w:space="0" w:color="auto"/>
      </w:divBdr>
    </w:div>
    <w:div w:id="190071998">
      <w:marLeft w:val="0"/>
      <w:marRight w:val="0"/>
      <w:marTop w:val="0"/>
      <w:marBottom w:val="0"/>
      <w:divBdr>
        <w:top w:val="none" w:sz="0" w:space="0" w:color="auto"/>
        <w:left w:val="none" w:sz="0" w:space="0" w:color="auto"/>
        <w:bottom w:val="none" w:sz="0" w:space="0" w:color="auto"/>
        <w:right w:val="none" w:sz="0" w:space="0" w:color="auto"/>
      </w:divBdr>
    </w:div>
    <w:div w:id="191037753">
      <w:marLeft w:val="0"/>
      <w:marRight w:val="0"/>
      <w:marTop w:val="0"/>
      <w:marBottom w:val="0"/>
      <w:divBdr>
        <w:top w:val="none" w:sz="0" w:space="0" w:color="auto"/>
        <w:left w:val="none" w:sz="0" w:space="0" w:color="auto"/>
        <w:bottom w:val="none" w:sz="0" w:space="0" w:color="auto"/>
        <w:right w:val="none" w:sz="0" w:space="0" w:color="auto"/>
      </w:divBdr>
    </w:div>
    <w:div w:id="191115089">
      <w:marLeft w:val="0"/>
      <w:marRight w:val="0"/>
      <w:marTop w:val="60"/>
      <w:marBottom w:val="60"/>
      <w:divBdr>
        <w:top w:val="none" w:sz="0" w:space="0" w:color="auto"/>
        <w:left w:val="none" w:sz="0" w:space="0" w:color="auto"/>
        <w:bottom w:val="none" w:sz="0" w:space="0" w:color="auto"/>
        <w:right w:val="none" w:sz="0" w:space="0" w:color="auto"/>
      </w:divBdr>
    </w:div>
    <w:div w:id="194002513">
      <w:marLeft w:val="0"/>
      <w:marRight w:val="0"/>
      <w:marTop w:val="180"/>
      <w:marBottom w:val="60"/>
      <w:divBdr>
        <w:top w:val="none" w:sz="0" w:space="0" w:color="auto"/>
        <w:left w:val="none" w:sz="0" w:space="0" w:color="auto"/>
        <w:bottom w:val="none" w:sz="0" w:space="0" w:color="auto"/>
        <w:right w:val="none" w:sz="0" w:space="0" w:color="auto"/>
      </w:divBdr>
    </w:div>
    <w:div w:id="194201980">
      <w:marLeft w:val="0"/>
      <w:marRight w:val="0"/>
      <w:marTop w:val="180"/>
      <w:marBottom w:val="180"/>
      <w:divBdr>
        <w:top w:val="none" w:sz="0" w:space="0" w:color="auto"/>
        <w:left w:val="none" w:sz="0" w:space="0" w:color="auto"/>
        <w:bottom w:val="none" w:sz="0" w:space="0" w:color="auto"/>
        <w:right w:val="none" w:sz="0" w:space="0" w:color="auto"/>
      </w:divBdr>
    </w:div>
    <w:div w:id="196283883">
      <w:marLeft w:val="0"/>
      <w:marRight w:val="0"/>
      <w:marTop w:val="100"/>
      <w:marBottom w:val="0"/>
      <w:divBdr>
        <w:top w:val="none" w:sz="0" w:space="0" w:color="auto"/>
        <w:left w:val="none" w:sz="0" w:space="0" w:color="auto"/>
        <w:bottom w:val="none" w:sz="0" w:space="0" w:color="auto"/>
        <w:right w:val="none" w:sz="0" w:space="0" w:color="auto"/>
      </w:divBdr>
      <w:divsChild>
        <w:div w:id="1209142547">
          <w:marLeft w:val="0"/>
          <w:marRight w:val="0"/>
          <w:marTop w:val="0"/>
          <w:marBottom w:val="0"/>
          <w:divBdr>
            <w:top w:val="none" w:sz="0" w:space="0" w:color="auto"/>
            <w:left w:val="none" w:sz="0" w:space="0" w:color="auto"/>
            <w:bottom w:val="none" w:sz="0" w:space="0" w:color="auto"/>
            <w:right w:val="none" w:sz="0" w:space="0" w:color="auto"/>
          </w:divBdr>
        </w:div>
        <w:div w:id="658120664">
          <w:marLeft w:val="0"/>
          <w:marRight w:val="0"/>
          <w:marTop w:val="0"/>
          <w:marBottom w:val="0"/>
          <w:divBdr>
            <w:top w:val="none" w:sz="0" w:space="0" w:color="auto"/>
            <w:left w:val="none" w:sz="0" w:space="0" w:color="auto"/>
            <w:bottom w:val="none" w:sz="0" w:space="0" w:color="auto"/>
            <w:right w:val="none" w:sz="0" w:space="0" w:color="auto"/>
          </w:divBdr>
        </w:div>
        <w:div w:id="1073158168">
          <w:marLeft w:val="0"/>
          <w:marRight w:val="0"/>
          <w:marTop w:val="0"/>
          <w:marBottom w:val="0"/>
          <w:divBdr>
            <w:top w:val="none" w:sz="0" w:space="0" w:color="auto"/>
            <w:left w:val="none" w:sz="0" w:space="0" w:color="auto"/>
            <w:bottom w:val="none" w:sz="0" w:space="0" w:color="auto"/>
            <w:right w:val="none" w:sz="0" w:space="0" w:color="auto"/>
          </w:divBdr>
        </w:div>
        <w:div w:id="1828084904">
          <w:marLeft w:val="0"/>
          <w:marRight w:val="0"/>
          <w:marTop w:val="0"/>
          <w:marBottom w:val="0"/>
          <w:divBdr>
            <w:top w:val="none" w:sz="0" w:space="0" w:color="auto"/>
            <w:left w:val="none" w:sz="0" w:space="0" w:color="auto"/>
            <w:bottom w:val="none" w:sz="0" w:space="0" w:color="auto"/>
            <w:right w:val="none" w:sz="0" w:space="0" w:color="auto"/>
          </w:divBdr>
        </w:div>
        <w:div w:id="792670537">
          <w:marLeft w:val="0"/>
          <w:marRight w:val="0"/>
          <w:marTop w:val="0"/>
          <w:marBottom w:val="0"/>
          <w:divBdr>
            <w:top w:val="none" w:sz="0" w:space="0" w:color="auto"/>
            <w:left w:val="none" w:sz="0" w:space="0" w:color="auto"/>
            <w:bottom w:val="none" w:sz="0" w:space="0" w:color="auto"/>
            <w:right w:val="none" w:sz="0" w:space="0" w:color="auto"/>
          </w:divBdr>
        </w:div>
        <w:div w:id="1208952863">
          <w:marLeft w:val="0"/>
          <w:marRight w:val="0"/>
          <w:marTop w:val="0"/>
          <w:marBottom w:val="0"/>
          <w:divBdr>
            <w:top w:val="none" w:sz="0" w:space="0" w:color="auto"/>
            <w:left w:val="none" w:sz="0" w:space="0" w:color="auto"/>
            <w:bottom w:val="none" w:sz="0" w:space="0" w:color="auto"/>
            <w:right w:val="none" w:sz="0" w:space="0" w:color="auto"/>
          </w:divBdr>
        </w:div>
        <w:div w:id="860822067">
          <w:marLeft w:val="0"/>
          <w:marRight w:val="0"/>
          <w:marTop w:val="0"/>
          <w:marBottom w:val="0"/>
          <w:divBdr>
            <w:top w:val="none" w:sz="0" w:space="0" w:color="auto"/>
            <w:left w:val="none" w:sz="0" w:space="0" w:color="auto"/>
            <w:bottom w:val="none" w:sz="0" w:space="0" w:color="auto"/>
            <w:right w:val="none" w:sz="0" w:space="0" w:color="auto"/>
          </w:divBdr>
        </w:div>
        <w:div w:id="371535619">
          <w:marLeft w:val="0"/>
          <w:marRight w:val="0"/>
          <w:marTop w:val="0"/>
          <w:marBottom w:val="0"/>
          <w:divBdr>
            <w:top w:val="none" w:sz="0" w:space="0" w:color="auto"/>
            <w:left w:val="none" w:sz="0" w:space="0" w:color="auto"/>
            <w:bottom w:val="none" w:sz="0" w:space="0" w:color="auto"/>
            <w:right w:val="none" w:sz="0" w:space="0" w:color="auto"/>
          </w:divBdr>
        </w:div>
        <w:div w:id="591200580">
          <w:marLeft w:val="0"/>
          <w:marRight w:val="0"/>
          <w:marTop w:val="0"/>
          <w:marBottom w:val="0"/>
          <w:divBdr>
            <w:top w:val="none" w:sz="0" w:space="0" w:color="auto"/>
            <w:left w:val="none" w:sz="0" w:space="0" w:color="auto"/>
            <w:bottom w:val="none" w:sz="0" w:space="0" w:color="auto"/>
            <w:right w:val="none" w:sz="0" w:space="0" w:color="auto"/>
          </w:divBdr>
        </w:div>
        <w:div w:id="204954027">
          <w:marLeft w:val="0"/>
          <w:marRight w:val="0"/>
          <w:marTop w:val="0"/>
          <w:marBottom w:val="0"/>
          <w:divBdr>
            <w:top w:val="none" w:sz="0" w:space="0" w:color="auto"/>
            <w:left w:val="none" w:sz="0" w:space="0" w:color="auto"/>
            <w:bottom w:val="none" w:sz="0" w:space="0" w:color="auto"/>
            <w:right w:val="none" w:sz="0" w:space="0" w:color="auto"/>
          </w:divBdr>
        </w:div>
        <w:div w:id="166017309">
          <w:marLeft w:val="0"/>
          <w:marRight w:val="0"/>
          <w:marTop w:val="0"/>
          <w:marBottom w:val="0"/>
          <w:divBdr>
            <w:top w:val="none" w:sz="0" w:space="0" w:color="auto"/>
            <w:left w:val="none" w:sz="0" w:space="0" w:color="auto"/>
            <w:bottom w:val="none" w:sz="0" w:space="0" w:color="auto"/>
            <w:right w:val="none" w:sz="0" w:space="0" w:color="auto"/>
          </w:divBdr>
        </w:div>
        <w:div w:id="517353811">
          <w:marLeft w:val="0"/>
          <w:marRight w:val="0"/>
          <w:marTop w:val="0"/>
          <w:marBottom w:val="0"/>
          <w:divBdr>
            <w:top w:val="none" w:sz="0" w:space="0" w:color="auto"/>
            <w:left w:val="none" w:sz="0" w:space="0" w:color="auto"/>
            <w:bottom w:val="none" w:sz="0" w:space="0" w:color="auto"/>
            <w:right w:val="none" w:sz="0" w:space="0" w:color="auto"/>
          </w:divBdr>
        </w:div>
        <w:div w:id="1527063220">
          <w:marLeft w:val="0"/>
          <w:marRight w:val="0"/>
          <w:marTop w:val="0"/>
          <w:marBottom w:val="0"/>
          <w:divBdr>
            <w:top w:val="none" w:sz="0" w:space="0" w:color="auto"/>
            <w:left w:val="none" w:sz="0" w:space="0" w:color="auto"/>
            <w:bottom w:val="none" w:sz="0" w:space="0" w:color="auto"/>
            <w:right w:val="none" w:sz="0" w:space="0" w:color="auto"/>
          </w:divBdr>
        </w:div>
        <w:div w:id="1925646753">
          <w:marLeft w:val="0"/>
          <w:marRight w:val="0"/>
          <w:marTop w:val="0"/>
          <w:marBottom w:val="0"/>
          <w:divBdr>
            <w:top w:val="none" w:sz="0" w:space="0" w:color="auto"/>
            <w:left w:val="none" w:sz="0" w:space="0" w:color="auto"/>
            <w:bottom w:val="none" w:sz="0" w:space="0" w:color="auto"/>
            <w:right w:val="none" w:sz="0" w:space="0" w:color="auto"/>
          </w:divBdr>
        </w:div>
        <w:div w:id="1992826706">
          <w:marLeft w:val="0"/>
          <w:marRight w:val="0"/>
          <w:marTop w:val="0"/>
          <w:marBottom w:val="0"/>
          <w:divBdr>
            <w:top w:val="none" w:sz="0" w:space="0" w:color="auto"/>
            <w:left w:val="none" w:sz="0" w:space="0" w:color="auto"/>
            <w:bottom w:val="none" w:sz="0" w:space="0" w:color="auto"/>
            <w:right w:val="none" w:sz="0" w:space="0" w:color="auto"/>
          </w:divBdr>
        </w:div>
        <w:div w:id="730808302">
          <w:marLeft w:val="0"/>
          <w:marRight w:val="0"/>
          <w:marTop w:val="0"/>
          <w:marBottom w:val="0"/>
          <w:divBdr>
            <w:top w:val="none" w:sz="0" w:space="0" w:color="auto"/>
            <w:left w:val="none" w:sz="0" w:space="0" w:color="auto"/>
            <w:bottom w:val="none" w:sz="0" w:space="0" w:color="auto"/>
            <w:right w:val="none" w:sz="0" w:space="0" w:color="auto"/>
          </w:divBdr>
        </w:div>
        <w:div w:id="608046103">
          <w:marLeft w:val="0"/>
          <w:marRight w:val="0"/>
          <w:marTop w:val="0"/>
          <w:marBottom w:val="0"/>
          <w:divBdr>
            <w:top w:val="none" w:sz="0" w:space="0" w:color="auto"/>
            <w:left w:val="none" w:sz="0" w:space="0" w:color="auto"/>
            <w:bottom w:val="none" w:sz="0" w:space="0" w:color="auto"/>
            <w:right w:val="none" w:sz="0" w:space="0" w:color="auto"/>
          </w:divBdr>
        </w:div>
      </w:divsChild>
    </w:div>
    <w:div w:id="196629952">
      <w:marLeft w:val="0"/>
      <w:marRight w:val="0"/>
      <w:marTop w:val="60"/>
      <w:marBottom w:val="60"/>
      <w:divBdr>
        <w:top w:val="none" w:sz="0" w:space="0" w:color="auto"/>
        <w:left w:val="none" w:sz="0" w:space="0" w:color="auto"/>
        <w:bottom w:val="none" w:sz="0" w:space="0" w:color="auto"/>
        <w:right w:val="none" w:sz="0" w:space="0" w:color="auto"/>
      </w:divBdr>
    </w:div>
    <w:div w:id="196700116">
      <w:marLeft w:val="0"/>
      <w:marRight w:val="0"/>
      <w:marTop w:val="180"/>
      <w:marBottom w:val="180"/>
      <w:divBdr>
        <w:top w:val="none" w:sz="0" w:space="0" w:color="auto"/>
        <w:left w:val="none" w:sz="0" w:space="0" w:color="auto"/>
        <w:bottom w:val="none" w:sz="0" w:space="0" w:color="auto"/>
        <w:right w:val="none" w:sz="0" w:space="0" w:color="auto"/>
      </w:divBdr>
    </w:div>
    <w:div w:id="199709393">
      <w:marLeft w:val="0"/>
      <w:marRight w:val="0"/>
      <w:marTop w:val="180"/>
      <w:marBottom w:val="180"/>
      <w:divBdr>
        <w:top w:val="none" w:sz="0" w:space="0" w:color="auto"/>
        <w:left w:val="none" w:sz="0" w:space="0" w:color="auto"/>
        <w:bottom w:val="none" w:sz="0" w:space="0" w:color="auto"/>
        <w:right w:val="none" w:sz="0" w:space="0" w:color="auto"/>
      </w:divBdr>
    </w:div>
    <w:div w:id="202788362">
      <w:marLeft w:val="0"/>
      <w:marRight w:val="0"/>
      <w:marTop w:val="100"/>
      <w:marBottom w:val="0"/>
      <w:divBdr>
        <w:top w:val="none" w:sz="0" w:space="0" w:color="auto"/>
        <w:left w:val="none" w:sz="0" w:space="0" w:color="auto"/>
        <w:bottom w:val="none" w:sz="0" w:space="0" w:color="auto"/>
        <w:right w:val="none" w:sz="0" w:space="0" w:color="auto"/>
      </w:divBdr>
      <w:divsChild>
        <w:div w:id="1976711740">
          <w:marLeft w:val="0"/>
          <w:marRight w:val="0"/>
          <w:marTop w:val="0"/>
          <w:marBottom w:val="0"/>
          <w:divBdr>
            <w:top w:val="none" w:sz="0" w:space="0" w:color="auto"/>
            <w:left w:val="none" w:sz="0" w:space="0" w:color="auto"/>
            <w:bottom w:val="none" w:sz="0" w:space="0" w:color="auto"/>
            <w:right w:val="none" w:sz="0" w:space="0" w:color="auto"/>
          </w:divBdr>
        </w:div>
      </w:divsChild>
    </w:div>
    <w:div w:id="203569118">
      <w:marLeft w:val="0"/>
      <w:marRight w:val="0"/>
      <w:marTop w:val="180"/>
      <w:marBottom w:val="60"/>
      <w:divBdr>
        <w:top w:val="none" w:sz="0" w:space="0" w:color="auto"/>
        <w:left w:val="none" w:sz="0" w:space="0" w:color="auto"/>
        <w:bottom w:val="none" w:sz="0" w:space="0" w:color="auto"/>
        <w:right w:val="none" w:sz="0" w:space="0" w:color="auto"/>
      </w:divBdr>
    </w:div>
    <w:div w:id="204755767">
      <w:marLeft w:val="0"/>
      <w:marRight w:val="0"/>
      <w:marTop w:val="60"/>
      <w:marBottom w:val="0"/>
      <w:divBdr>
        <w:top w:val="none" w:sz="0" w:space="0" w:color="auto"/>
        <w:left w:val="none" w:sz="0" w:space="0" w:color="auto"/>
        <w:bottom w:val="none" w:sz="0" w:space="0" w:color="auto"/>
        <w:right w:val="none" w:sz="0" w:space="0" w:color="auto"/>
      </w:divBdr>
    </w:div>
    <w:div w:id="209077743">
      <w:marLeft w:val="0"/>
      <w:marRight w:val="0"/>
      <w:marTop w:val="180"/>
      <w:marBottom w:val="180"/>
      <w:divBdr>
        <w:top w:val="none" w:sz="0" w:space="0" w:color="auto"/>
        <w:left w:val="none" w:sz="0" w:space="0" w:color="auto"/>
        <w:bottom w:val="none" w:sz="0" w:space="0" w:color="auto"/>
        <w:right w:val="none" w:sz="0" w:space="0" w:color="auto"/>
      </w:divBdr>
    </w:div>
    <w:div w:id="209850094">
      <w:marLeft w:val="0"/>
      <w:marRight w:val="0"/>
      <w:marTop w:val="180"/>
      <w:marBottom w:val="180"/>
      <w:divBdr>
        <w:top w:val="none" w:sz="0" w:space="0" w:color="auto"/>
        <w:left w:val="none" w:sz="0" w:space="0" w:color="auto"/>
        <w:bottom w:val="none" w:sz="0" w:space="0" w:color="auto"/>
        <w:right w:val="none" w:sz="0" w:space="0" w:color="auto"/>
      </w:divBdr>
    </w:div>
    <w:div w:id="211039197">
      <w:marLeft w:val="0"/>
      <w:marRight w:val="0"/>
      <w:marTop w:val="180"/>
      <w:marBottom w:val="180"/>
      <w:divBdr>
        <w:top w:val="none" w:sz="0" w:space="0" w:color="auto"/>
        <w:left w:val="none" w:sz="0" w:space="0" w:color="auto"/>
        <w:bottom w:val="none" w:sz="0" w:space="0" w:color="auto"/>
        <w:right w:val="none" w:sz="0" w:space="0" w:color="auto"/>
      </w:divBdr>
    </w:div>
    <w:div w:id="211353602">
      <w:marLeft w:val="0"/>
      <w:marRight w:val="0"/>
      <w:marTop w:val="180"/>
      <w:marBottom w:val="180"/>
      <w:divBdr>
        <w:top w:val="none" w:sz="0" w:space="0" w:color="auto"/>
        <w:left w:val="none" w:sz="0" w:space="0" w:color="auto"/>
        <w:bottom w:val="none" w:sz="0" w:space="0" w:color="auto"/>
        <w:right w:val="none" w:sz="0" w:space="0" w:color="auto"/>
      </w:divBdr>
    </w:div>
    <w:div w:id="211963523">
      <w:marLeft w:val="0"/>
      <w:marRight w:val="0"/>
      <w:marTop w:val="180"/>
      <w:marBottom w:val="180"/>
      <w:divBdr>
        <w:top w:val="none" w:sz="0" w:space="0" w:color="auto"/>
        <w:left w:val="none" w:sz="0" w:space="0" w:color="auto"/>
        <w:bottom w:val="none" w:sz="0" w:space="0" w:color="auto"/>
        <w:right w:val="none" w:sz="0" w:space="0" w:color="auto"/>
      </w:divBdr>
    </w:div>
    <w:div w:id="212431965">
      <w:marLeft w:val="0"/>
      <w:marRight w:val="0"/>
      <w:marTop w:val="60"/>
      <w:marBottom w:val="60"/>
      <w:divBdr>
        <w:top w:val="none" w:sz="0" w:space="0" w:color="auto"/>
        <w:left w:val="none" w:sz="0" w:space="0" w:color="auto"/>
        <w:bottom w:val="none" w:sz="0" w:space="0" w:color="auto"/>
        <w:right w:val="none" w:sz="0" w:space="0" w:color="auto"/>
      </w:divBdr>
    </w:div>
    <w:div w:id="214121499">
      <w:marLeft w:val="0"/>
      <w:marRight w:val="0"/>
      <w:marTop w:val="180"/>
      <w:marBottom w:val="180"/>
      <w:divBdr>
        <w:top w:val="none" w:sz="0" w:space="0" w:color="auto"/>
        <w:left w:val="none" w:sz="0" w:space="0" w:color="auto"/>
        <w:bottom w:val="none" w:sz="0" w:space="0" w:color="auto"/>
        <w:right w:val="none" w:sz="0" w:space="0" w:color="auto"/>
      </w:divBdr>
    </w:div>
    <w:div w:id="215313700">
      <w:marLeft w:val="0"/>
      <w:marRight w:val="0"/>
      <w:marTop w:val="180"/>
      <w:marBottom w:val="180"/>
      <w:divBdr>
        <w:top w:val="none" w:sz="0" w:space="0" w:color="auto"/>
        <w:left w:val="none" w:sz="0" w:space="0" w:color="auto"/>
        <w:bottom w:val="none" w:sz="0" w:space="0" w:color="auto"/>
        <w:right w:val="none" w:sz="0" w:space="0" w:color="auto"/>
      </w:divBdr>
    </w:div>
    <w:div w:id="219172053">
      <w:marLeft w:val="0"/>
      <w:marRight w:val="0"/>
      <w:marTop w:val="60"/>
      <w:marBottom w:val="180"/>
      <w:divBdr>
        <w:top w:val="none" w:sz="0" w:space="0" w:color="auto"/>
        <w:left w:val="none" w:sz="0" w:space="0" w:color="auto"/>
        <w:bottom w:val="none" w:sz="0" w:space="0" w:color="auto"/>
        <w:right w:val="none" w:sz="0" w:space="0" w:color="auto"/>
      </w:divBdr>
      <w:divsChild>
        <w:div w:id="1171214823">
          <w:marLeft w:val="0"/>
          <w:marRight w:val="0"/>
          <w:marTop w:val="0"/>
          <w:marBottom w:val="0"/>
          <w:divBdr>
            <w:top w:val="none" w:sz="0" w:space="0" w:color="auto"/>
            <w:left w:val="none" w:sz="0" w:space="0" w:color="auto"/>
            <w:bottom w:val="none" w:sz="0" w:space="0" w:color="auto"/>
            <w:right w:val="none" w:sz="0" w:space="0" w:color="auto"/>
          </w:divBdr>
        </w:div>
        <w:div w:id="550193805">
          <w:marLeft w:val="0"/>
          <w:marRight w:val="0"/>
          <w:marTop w:val="0"/>
          <w:marBottom w:val="0"/>
          <w:divBdr>
            <w:top w:val="none" w:sz="0" w:space="0" w:color="auto"/>
            <w:left w:val="none" w:sz="0" w:space="0" w:color="auto"/>
            <w:bottom w:val="none" w:sz="0" w:space="0" w:color="auto"/>
            <w:right w:val="none" w:sz="0" w:space="0" w:color="auto"/>
          </w:divBdr>
        </w:div>
        <w:div w:id="313605511">
          <w:marLeft w:val="0"/>
          <w:marRight w:val="0"/>
          <w:marTop w:val="0"/>
          <w:marBottom w:val="0"/>
          <w:divBdr>
            <w:top w:val="none" w:sz="0" w:space="0" w:color="auto"/>
            <w:left w:val="none" w:sz="0" w:space="0" w:color="auto"/>
            <w:bottom w:val="none" w:sz="0" w:space="0" w:color="auto"/>
            <w:right w:val="none" w:sz="0" w:space="0" w:color="auto"/>
          </w:divBdr>
        </w:div>
      </w:divsChild>
    </w:div>
    <w:div w:id="222254791">
      <w:marLeft w:val="0"/>
      <w:marRight w:val="0"/>
      <w:marTop w:val="60"/>
      <w:marBottom w:val="60"/>
      <w:divBdr>
        <w:top w:val="none" w:sz="0" w:space="0" w:color="auto"/>
        <w:left w:val="none" w:sz="0" w:space="0" w:color="auto"/>
        <w:bottom w:val="none" w:sz="0" w:space="0" w:color="auto"/>
        <w:right w:val="none" w:sz="0" w:space="0" w:color="auto"/>
      </w:divBdr>
    </w:div>
    <w:div w:id="223181442">
      <w:marLeft w:val="0"/>
      <w:marRight w:val="0"/>
      <w:marTop w:val="60"/>
      <w:marBottom w:val="60"/>
      <w:divBdr>
        <w:top w:val="none" w:sz="0" w:space="0" w:color="auto"/>
        <w:left w:val="none" w:sz="0" w:space="0" w:color="auto"/>
        <w:bottom w:val="none" w:sz="0" w:space="0" w:color="auto"/>
        <w:right w:val="none" w:sz="0" w:space="0" w:color="auto"/>
      </w:divBdr>
    </w:div>
    <w:div w:id="223882032">
      <w:marLeft w:val="0"/>
      <w:marRight w:val="0"/>
      <w:marTop w:val="180"/>
      <w:marBottom w:val="180"/>
      <w:divBdr>
        <w:top w:val="none" w:sz="0" w:space="0" w:color="auto"/>
        <w:left w:val="none" w:sz="0" w:space="0" w:color="auto"/>
        <w:bottom w:val="none" w:sz="0" w:space="0" w:color="auto"/>
        <w:right w:val="none" w:sz="0" w:space="0" w:color="auto"/>
      </w:divBdr>
    </w:div>
    <w:div w:id="226192325">
      <w:marLeft w:val="0"/>
      <w:marRight w:val="0"/>
      <w:marTop w:val="0"/>
      <w:marBottom w:val="0"/>
      <w:divBdr>
        <w:top w:val="none" w:sz="0" w:space="0" w:color="auto"/>
        <w:left w:val="none" w:sz="0" w:space="0" w:color="auto"/>
        <w:bottom w:val="none" w:sz="0" w:space="0" w:color="auto"/>
        <w:right w:val="none" w:sz="0" w:space="0" w:color="auto"/>
      </w:divBdr>
    </w:div>
    <w:div w:id="227039281">
      <w:marLeft w:val="0"/>
      <w:marRight w:val="0"/>
      <w:marTop w:val="0"/>
      <w:marBottom w:val="0"/>
      <w:divBdr>
        <w:top w:val="none" w:sz="0" w:space="0" w:color="auto"/>
        <w:left w:val="none" w:sz="0" w:space="0" w:color="auto"/>
        <w:bottom w:val="none" w:sz="0" w:space="0" w:color="auto"/>
        <w:right w:val="none" w:sz="0" w:space="0" w:color="auto"/>
      </w:divBdr>
      <w:divsChild>
        <w:div w:id="1651593612">
          <w:marLeft w:val="0"/>
          <w:marRight w:val="0"/>
          <w:marTop w:val="0"/>
          <w:marBottom w:val="180"/>
          <w:divBdr>
            <w:top w:val="none" w:sz="0" w:space="0" w:color="auto"/>
            <w:left w:val="none" w:sz="0" w:space="0" w:color="auto"/>
            <w:bottom w:val="none" w:sz="0" w:space="0" w:color="auto"/>
            <w:right w:val="none" w:sz="0" w:space="0" w:color="auto"/>
          </w:divBdr>
        </w:div>
      </w:divsChild>
    </w:div>
    <w:div w:id="231820214">
      <w:marLeft w:val="0"/>
      <w:marRight w:val="0"/>
      <w:marTop w:val="0"/>
      <w:marBottom w:val="0"/>
      <w:divBdr>
        <w:top w:val="none" w:sz="0" w:space="0" w:color="auto"/>
        <w:left w:val="none" w:sz="0" w:space="0" w:color="auto"/>
        <w:bottom w:val="none" w:sz="0" w:space="0" w:color="auto"/>
        <w:right w:val="none" w:sz="0" w:space="0" w:color="auto"/>
      </w:divBdr>
    </w:div>
    <w:div w:id="232476440">
      <w:marLeft w:val="0"/>
      <w:marRight w:val="0"/>
      <w:marTop w:val="180"/>
      <w:marBottom w:val="180"/>
      <w:divBdr>
        <w:top w:val="none" w:sz="0" w:space="0" w:color="auto"/>
        <w:left w:val="none" w:sz="0" w:space="0" w:color="auto"/>
        <w:bottom w:val="none" w:sz="0" w:space="0" w:color="auto"/>
        <w:right w:val="none" w:sz="0" w:space="0" w:color="auto"/>
      </w:divBdr>
    </w:div>
    <w:div w:id="232787432">
      <w:marLeft w:val="0"/>
      <w:marRight w:val="0"/>
      <w:marTop w:val="180"/>
      <w:marBottom w:val="180"/>
      <w:divBdr>
        <w:top w:val="none" w:sz="0" w:space="0" w:color="auto"/>
        <w:left w:val="none" w:sz="0" w:space="0" w:color="auto"/>
        <w:bottom w:val="none" w:sz="0" w:space="0" w:color="auto"/>
        <w:right w:val="none" w:sz="0" w:space="0" w:color="auto"/>
      </w:divBdr>
    </w:div>
    <w:div w:id="232931910">
      <w:marLeft w:val="0"/>
      <w:marRight w:val="0"/>
      <w:marTop w:val="0"/>
      <w:marBottom w:val="0"/>
      <w:divBdr>
        <w:top w:val="none" w:sz="0" w:space="0" w:color="auto"/>
        <w:left w:val="none" w:sz="0" w:space="0" w:color="auto"/>
        <w:bottom w:val="none" w:sz="0" w:space="0" w:color="auto"/>
        <w:right w:val="none" w:sz="0" w:space="0" w:color="auto"/>
      </w:divBdr>
      <w:divsChild>
        <w:div w:id="1261378836">
          <w:marLeft w:val="0"/>
          <w:marRight w:val="0"/>
          <w:marTop w:val="60"/>
          <w:marBottom w:val="60"/>
          <w:divBdr>
            <w:top w:val="none" w:sz="0" w:space="0" w:color="auto"/>
            <w:left w:val="none" w:sz="0" w:space="0" w:color="auto"/>
            <w:bottom w:val="none" w:sz="0" w:space="0" w:color="auto"/>
            <w:right w:val="none" w:sz="0" w:space="0" w:color="auto"/>
          </w:divBdr>
        </w:div>
      </w:divsChild>
    </w:div>
    <w:div w:id="233011000">
      <w:marLeft w:val="0"/>
      <w:marRight w:val="0"/>
      <w:marTop w:val="0"/>
      <w:marBottom w:val="0"/>
      <w:divBdr>
        <w:top w:val="none" w:sz="0" w:space="0" w:color="auto"/>
        <w:left w:val="none" w:sz="0" w:space="0" w:color="auto"/>
        <w:bottom w:val="none" w:sz="0" w:space="0" w:color="auto"/>
        <w:right w:val="none" w:sz="0" w:space="0" w:color="auto"/>
      </w:divBdr>
      <w:divsChild>
        <w:div w:id="378163503">
          <w:marLeft w:val="0"/>
          <w:marRight w:val="0"/>
          <w:marTop w:val="0"/>
          <w:marBottom w:val="0"/>
          <w:divBdr>
            <w:top w:val="none" w:sz="0" w:space="0" w:color="auto"/>
            <w:left w:val="none" w:sz="0" w:space="0" w:color="auto"/>
            <w:bottom w:val="none" w:sz="0" w:space="0" w:color="auto"/>
            <w:right w:val="none" w:sz="0" w:space="0" w:color="auto"/>
          </w:divBdr>
          <w:divsChild>
            <w:div w:id="7343595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8712555">
      <w:marLeft w:val="0"/>
      <w:marRight w:val="0"/>
      <w:marTop w:val="60"/>
      <w:marBottom w:val="60"/>
      <w:divBdr>
        <w:top w:val="none" w:sz="0" w:space="0" w:color="auto"/>
        <w:left w:val="none" w:sz="0" w:space="0" w:color="auto"/>
        <w:bottom w:val="none" w:sz="0" w:space="0" w:color="auto"/>
        <w:right w:val="none" w:sz="0" w:space="0" w:color="auto"/>
      </w:divBdr>
    </w:div>
    <w:div w:id="238753802">
      <w:marLeft w:val="0"/>
      <w:marRight w:val="0"/>
      <w:marTop w:val="100"/>
      <w:marBottom w:val="0"/>
      <w:divBdr>
        <w:top w:val="none" w:sz="0" w:space="0" w:color="auto"/>
        <w:left w:val="none" w:sz="0" w:space="0" w:color="auto"/>
        <w:bottom w:val="none" w:sz="0" w:space="0" w:color="auto"/>
        <w:right w:val="none" w:sz="0" w:space="0" w:color="auto"/>
      </w:divBdr>
    </w:div>
    <w:div w:id="239564308">
      <w:marLeft w:val="0"/>
      <w:marRight w:val="0"/>
      <w:marTop w:val="0"/>
      <w:marBottom w:val="0"/>
      <w:divBdr>
        <w:top w:val="none" w:sz="0" w:space="0" w:color="auto"/>
        <w:left w:val="none" w:sz="0" w:space="0" w:color="auto"/>
        <w:bottom w:val="none" w:sz="0" w:space="0" w:color="auto"/>
        <w:right w:val="none" w:sz="0" w:space="0" w:color="auto"/>
      </w:divBdr>
    </w:div>
    <w:div w:id="240680866">
      <w:marLeft w:val="0"/>
      <w:marRight w:val="0"/>
      <w:marTop w:val="180"/>
      <w:marBottom w:val="180"/>
      <w:divBdr>
        <w:top w:val="none" w:sz="0" w:space="0" w:color="auto"/>
        <w:left w:val="none" w:sz="0" w:space="0" w:color="auto"/>
        <w:bottom w:val="none" w:sz="0" w:space="0" w:color="auto"/>
        <w:right w:val="none" w:sz="0" w:space="0" w:color="auto"/>
      </w:divBdr>
    </w:div>
    <w:div w:id="241985544">
      <w:marLeft w:val="0"/>
      <w:marRight w:val="0"/>
      <w:marTop w:val="180"/>
      <w:marBottom w:val="60"/>
      <w:divBdr>
        <w:top w:val="none" w:sz="0" w:space="0" w:color="auto"/>
        <w:left w:val="none" w:sz="0" w:space="0" w:color="auto"/>
        <w:bottom w:val="none" w:sz="0" w:space="0" w:color="auto"/>
        <w:right w:val="none" w:sz="0" w:space="0" w:color="auto"/>
      </w:divBdr>
    </w:div>
    <w:div w:id="242182004">
      <w:marLeft w:val="0"/>
      <w:marRight w:val="0"/>
      <w:marTop w:val="180"/>
      <w:marBottom w:val="180"/>
      <w:divBdr>
        <w:top w:val="none" w:sz="0" w:space="0" w:color="auto"/>
        <w:left w:val="none" w:sz="0" w:space="0" w:color="auto"/>
        <w:bottom w:val="none" w:sz="0" w:space="0" w:color="auto"/>
        <w:right w:val="none" w:sz="0" w:space="0" w:color="auto"/>
      </w:divBdr>
    </w:div>
    <w:div w:id="242496833">
      <w:marLeft w:val="0"/>
      <w:marRight w:val="0"/>
      <w:marTop w:val="60"/>
      <w:marBottom w:val="60"/>
      <w:divBdr>
        <w:top w:val="none" w:sz="0" w:space="0" w:color="auto"/>
        <w:left w:val="none" w:sz="0" w:space="0" w:color="auto"/>
        <w:bottom w:val="none" w:sz="0" w:space="0" w:color="auto"/>
        <w:right w:val="none" w:sz="0" w:space="0" w:color="auto"/>
      </w:divBdr>
    </w:div>
    <w:div w:id="243951727">
      <w:marLeft w:val="0"/>
      <w:marRight w:val="0"/>
      <w:marTop w:val="180"/>
      <w:marBottom w:val="180"/>
      <w:divBdr>
        <w:top w:val="none" w:sz="0" w:space="0" w:color="auto"/>
        <w:left w:val="none" w:sz="0" w:space="0" w:color="auto"/>
        <w:bottom w:val="none" w:sz="0" w:space="0" w:color="auto"/>
        <w:right w:val="none" w:sz="0" w:space="0" w:color="auto"/>
      </w:divBdr>
    </w:div>
    <w:div w:id="245723527">
      <w:marLeft w:val="0"/>
      <w:marRight w:val="0"/>
      <w:marTop w:val="180"/>
      <w:marBottom w:val="180"/>
      <w:divBdr>
        <w:top w:val="none" w:sz="0" w:space="0" w:color="auto"/>
        <w:left w:val="none" w:sz="0" w:space="0" w:color="auto"/>
        <w:bottom w:val="none" w:sz="0" w:space="0" w:color="auto"/>
        <w:right w:val="none" w:sz="0" w:space="0" w:color="auto"/>
      </w:divBdr>
    </w:div>
    <w:div w:id="247227504">
      <w:marLeft w:val="0"/>
      <w:marRight w:val="0"/>
      <w:marTop w:val="180"/>
      <w:marBottom w:val="180"/>
      <w:divBdr>
        <w:top w:val="none" w:sz="0" w:space="0" w:color="auto"/>
        <w:left w:val="none" w:sz="0" w:space="0" w:color="auto"/>
        <w:bottom w:val="none" w:sz="0" w:space="0" w:color="auto"/>
        <w:right w:val="none" w:sz="0" w:space="0" w:color="auto"/>
      </w:divBdr>
    </w:div>
    <w:div w:id="248852538">
      <w:marLeft w:val="0"/>
      <w:marRight w:val="0"/>
      <w:marTop w:val="180"/>
      <w:marBottom w:val="180"/>
      <w:divBdr>
        <w:top w:val="none" w:sz="0" w:space="0" w:color="auto"/>
        <w:left w:val="none" w:sz="0" w:space="0" w:color="auto"/>
        <w:bottom w:val="none" w:sz="0" w:space="0" w:color="auto"/>
        <w:right w:val="none" w:sz="0" w:space="0" w:color="auto"/>
      </w:divBdr>
    </w:div>
    <w:div w:id="249778274">
      <w:marLeft w:val="0"/>
      <w:marRight w:val="0"/>
      <w:marTop w:val="180"/>
      <w:marBottom w:val="180"/>
      <w:divBdr>
        <w:top w:val="none" w:sz="0" w:space="0" w:color="auto"/>
        <w:left w:val="none" w:sz="0" w:space="0" w:color="auto"/>
        <w:bottom w:val="none" w:sz="0" w:space="0" w:color="auto"/>
        <w:right w:val="none" w:sz="0" w:space="0" w:color="auto"/>
      </w:divBdr>
    </w:div>
    <w:div w:id="249969696">
      <w:marLeft w:val="0"/>
      <w:marRight w:val="0"/>
      <w:marTop w:val="180"/>
      <w:marBottom w:val="180"/>
      <w:divBdr>
        <w:top w:val="none" w:sz="0" w:space="0" w:color="auto"/>
        <w:left w:val="none" w:sz="0" w:space="0" w:color="auto"/>
        <w:bottom w:val="none" w:sz="0" w:space="0" w:color="auto"/>
        <w:right w:val="none" w:sz="0" w:space="0" w:color="auto"/>
      </w:divBdr>
    </w:div>
    <w:div w:id="250091705">
      <w:marLeft w:val="0"/>
      <w:marRight w:val="0"/>
      <w:marTop w:val="180"/>
      <w:marBottom w:val="60"/>
      <w:divBdr>
        <w:top w:val="none" w:sz="0" w:space="0" w:color="auto"/>
        <w:left w:val="none" w:sz="0" w:space="0" w:color="auto"/>
        <w:bottom w:val="none" w:sz="0" w:space="0" w:color="auto"/>
        <w:right w:val="none" w:sz="0" w:space="0" w:color="auto"/>
      </w:divBdr>
    </w:div>
    <w:div w:id="250697585">
      <w:marLeft w:val="0"/>
      <w:marRight w:val="0"/>
      <w:marTop w:val="180"/>
      <w:marBottom w:val="180"/>
      <w:divBdr>
        <w:top w:val="none" w:sz="0" w:space="0" w:color="auto"/>
        <w:left w:val="none" w:sz="0" w:space="0" w:color="auto"/>
        <w:bottom w:val="none" w:sz="0" w:space="0" w:color="auto"/>
        <w:right w:val="none" w:sz="0" w:space="0" w:color="auto"/>
      </w:divBdr>
    </w:div>
    <w:div w:id="252323790">
      <w:marLeft w:val="0"/>
      <w:marRight w:val="0"/>
      <w:marTop w:val="180"/>
      <w:marBottom w:val="180"/>
      <w:divBdr>
        <w:top w:val="none" w:sz="0" w:space="0" w:color="auto"/>
        <w:left w:val="none" w:sz="0" w:space="0" w:color="auto"/>
        <w:bottom w:val="none" w:sz="0" w:space="0" w:color="auto"/>
        <w:right w:val="none" w:sz="0" w:space="0" w:color="auto"/>
      </w:divBdr>
    </w:div>
    <w:div w:id="253588329">
      <w:marLeft w:val="0"/>
      <w:marRight w:val="0"/>
      <w:marTop w:val="0"/>
      <w:marBottom w:val="60"/>
      <w:divBdr>
        <w:top w:val="none" w:sz="0" w:space="0" w:color="auto"/>
        <w:left w:val="none" w:sz="0" w:space="0" w:color="auto"/>
        <w:bottom w:val="none" w:sz="0" w:space="0" w:color="auto"/>
        <w:right w:val="none" w:sz="0" w:space="0" w:color="auto"/>
      </w:divBdr>
    </w:div>
    <w:div w:id="255132944">
      <w:marLeft w:val="0"/>
      <w:marRight w:val="0"/>
      <w:marTop w:val="0"/>
      <w:marBottom w:val="0"/>
      <w:divBdr>
        <w:top w:val="none" w:sz="0" w:space="0" w:color="auto"/>
        <w:left w:val="none" w:sz="0" w:space="0" w:color="auto"/>
        <w:bottom w:val="none" w:sz="0" w:space="0" w:color="auto"/>
        <w:right w:val="none" w:sz="0" w:space="0" w:color="auto"/>
      </w:divBdr>
      <w:divsChild>
        <w:div w:id="1344162391">
          <w:marLeft w:val="0"/>
          <w:marRight w:val="0"/>
          <w:marTop w:val="0"/>
          <w:marBottom w:val="0"/>
          <w:divBdr>
            <w:top w:val="none" w:sz="0" w:space="0" w:color="auto"/>
            <w:left w:val="none" w:sz="0" w:space="0" w:color="auto"/>
            <w:bottom w:val="none" w:sz="0" w:space="0" w:color="auto"/>
            <w:right w:val="none" w:sz="0" w:space="0" w:color="auto"/>
          </w:divBdr>
          <w:divsChild>
            <w:div w:id="1872598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5211902">
      <w:marLeft w:val="0"/>
      <w:marRight w:val="0"/>
      <w:marTop w:val="180"/>
      <w:marBottom w:val="180"/>
      <w:divBdr>
        <w:top w:val="none" w:sz="0" w:space="0" w:color="auto"/>
        <w:left w:val="none" w:sz="0" w:space="0" w:color="auto"/>
        <w:bottom w:val="none" w:sz="0" w:space="0" w:color="auto"/>
        <w:right w:val="none" w:sz="0" w:space="0" w:color="auto"/>
      </w:divBdr>
    </w:div>
    <w:div w:id="257449769">
      <w:marLeft w:val="0"/>
      <w:marRight w:val="0"/>
      <w:marTop w:val="0"/>
      <w:marBottom w:val="0"/>
      <w:divBdr>
        <w:top w:val="none" w:sz="0" w:space="0" w:color="auto"/>
        <w:left w:val="none" w:sz="0" w:space="0" w:color="auto"/>
        <w:bottom w:val="none" w:sz="0" w:space="0" w:color="auto"/>
        <w:right w:val="none" w:sz="0" w:space="0" w:color="auto"/>
      </w:divBdr>
      <w:divsChild>
        <w:div w:id="1738702717">
          <w:marLeft w:val="0"/>
          <w:marRight w:val="0"/>
          <w:marTop w:val="60"/>
          <w:marBottom w:val="60"/>
          <w:divBdr>
            <w:top w:val="none" w:sz="0" w:space="0" w:color="auto"/>
            <w:left w:val="none" w:sz="0" w:space="0" w:color="auto"/>
            <w:bottom w:val="none" w:sz="0" w:space="0" w:color="auto"/>
            <w:right w:val="none" w:sz="0" w:space="0" w:color="auto"/>
          </w:divBdr>
        </w:div>
      </w:divsChild>
    </w:div>
    <w:div w:id="258566965">
      <w:marLeft w:val="0"/>
      <w:marRight w:val="0"/>
      <w:marTop w:val="180"/>
      <w:marBottom w:val="180"/>
      <w:divBdr>
        <w:top w:val="none" w:sz="0" w:space="0" w:color="auto"/>
        <w:left w:val="none" w:sz="0" w:space="0" w:color="auto"/>
        <w:bottom w:val="none" w:sz="0" w:space="0" w:color="auto"/>
        <w:right w:val="none" w:sz="0" w:space="0" w:color="auto"/>
      </w:divBdr>
    </w:div>
    <w:div w:id="258678014">
      <w:marLeft w:val="0"/>
      <w:marRight w:val="0"/>
      <w:marTop w:val="0"/>
      <w:marBottom w:val="0"/>
      <w:divBdr>
        <w:top w:val="none" w:sz="0" w:space="0" w:color="auto"/>
        <w:left w:val="none" w:sz="0" w:space="0" w:color="auto"/>
        <w:bottom w:val="none" w:sz="0" w:space="0" w:color="auto"/>
        <w:right w:val="none" w:sz="0" w:space="0" w:color="auto"/>
      </w:divBdr>
      <w:divsChild>
        <w:div w:id="1149588476">
          <w:marLeft w:val="0"/>
          <w:marRight w:val="0"/>
          <w:marTop w:val="0"/>
          <w:marBottom w:val="0"/>
          <w:divBdr>
            <w:top w:val="none" w:sz="0" w:space="0" w:color="auto"/>
            <w:left w:val="none" w:sz="0" w:space="0" w:color="auto"/>
            <w:bottom w:val="none" w:sz="0" w:space="0" w:color="auto"/>
            <w:right w:val="none" w:sz="0" w:space="0" w:color="auto"/>
          </w:divBdr>
          <w:divsChild>
            <w:div w:id="4505910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2420066">
      <w:marLeft w:val="0"/>
      <w:marRight w:val="0"/>
      <w:marTop w:val="0"/>
      <w:marBottom w:val="0"/>
      <w:divBdr>
        <w:top w:val="none" w:sz="0" w:space="0" w:color="auto"/>
        <w:left w:val="none" w:sz="0" w:space="0" w:color="auto"/>
        <w:bottom w:val="none" w:sz="0" w:space="0" w:color="auto"/>
        <w:right w:val="none" w:sz="0" w:space="0" w:color="auto"/>
      </w:divBdr>
    </w:div>
    <w:div w:id="262879397">
      <w:marLeft w:val="0"/>
      <w:marRight w:val="0"/>
      <w:marTop w:val="180"/>
      <w:marBottom w:val="180"/>
      <w:divBdr>
        <w:top w:val="none" w:sz="0" w:space="0" w:color="auto"/>
        <w:left w:val="none" w:sz="0" w:space="0" w:color="auto"/>
        <w:bottom w:val="none" w:sz="0" w:space="0" w:color="auto"/>
        <w:right w:val="none" w:sz="0" w:space="0" w:color="auto"/>
      </w:divBdr>
    </w:div>
    <w:div w:id="263458065">
      <w:marLeft w:val="0"/>
      <w:marRight w:val="0"/>
      <w:marTop w:val="120"/>
      <w:marBottom w:val="180"/>
      <w:divBdr>
        <w:top w:val="none" w:sz="0" w:space="0" w:color="auto"/>
        <w:left w:val="none" w:sz="0" w:space="0" w:color="auto"/>
        <w:bottom w:val="none" w:sz="0" w:space="0" w:color="auto"/>
        <w:right w:val="none" w:sz="0" w:space="0" w:color="auto"/>
      </w:divBdr>
    </w:div>
    <w:div w:id="263458422">
      <w:marLeft w:val="0"/>
      <w:marRight w:val="0"/>
      <w:marTop w:val="180"/>
      <w:marBottom w:val="180"/>
      <w:divBdr>
        <w:top w:val="none" w:sz="0" w:space="0" w:color="auto"/>
        <w:left w:val="none" w:sz="0" w:space="0" w:color="auto"/>
        <w:bottom w:val="none" w:sz="0" w:space="0" w:color="auto"/>
        <w:right w:val="none" w:sz="0" w:space="0" w:color="auto"/>
      </w:divBdr>
    </w:div>
    <w:div w:id="264700981">
      <w:marLeft w:val="0"/>
      <w:marRight w:val="0"/>
      <w:marTop w:val="180"/>
      <w:marBottom w:val="180"/>
      <w:divBdr>
        <w:top w:val="none" w:sz="0" w:space="0" w:color="auto"/>
        <w:left w:val="none" w:sz="0" w:space="0" w:color="auto"/>
        <w:bottom w:val="none" w:sz="0" w:space="0" w:color="auto"/>
        <w:right w:val="none" w:sz="0" w:space="0" w:color="auto"/>
      </w:divBdr>
    </w:div>
    <w:div w:id="266470632">
      <w:marLeft w:val="0"/>
      <w:marRight w:val="0"/>
      <w:marTop w:val="180"/>
      <w:marBottom w:val="60"/>
      <w:divBdr>
        <w:top w:val="none" w:sz="0" w:space="0" w:color="auto"/>
        <w:left w:val="none" w:sz="0" w:space="0" w:color="auto"/>
        <w:bottom w:val="none" w:sz="0" w:space="0" w:color="auto"/>
        <w:right w:val="none" w:sz="0" w:space="0" w:color="auto"/>
      </w:divBdr>
    </w:div>
    <w:div w:id="269897275">
      <w:marLeft w:val="0"/>
      <w:marRight w:val="0"/>
      <w:marTop w:val="180"/>
      <w:marBottom w:val="180"/>
      <w:divBdr>
        <w:top w:val="none" w:sz="0" w:space="0" w:color="auto"/>
        <w:left w:val="none" w:sz="0" w:space="0" w:color="auto"/>
        <w:bottom w:val="none" w:sz="0" w:space="0" w:color="auto"/>
        <w:right w:val="none" w:sz="0" w:space="0" w:color="auto"/>
      </w:divBdr>
    </w:div>
    <w:div w:id="276524704">
      <w:marLeft w:val="0"/>
      <w:marRight w:val="0"/>
      <w:marTop w:val="0"/>
      <w:marBottom w:val="0"/>
      <w:divBdr>
        <w:top w:val="none" w:sz="0" w:space="0" w:color="auto"/>
        <w:left w:val="none" w:sz="0" w:space="0" w:color="auto"/>
        <w:bottom w:val="none" w:sz="0" w:space="0" w:color="auto"/>
        <w:right w:val="none" w:sz="0" w:space="0" w:color="auto"/>
      </w:divBdr>
      <w:divsChild>
        <w:div w:id="935136364">
          <w:marLeft w:val="0"/>
          <w:marRight w:val="0"/>
          <w:marTop w:val="60"/>
          <w:marBottom w:val="60"/>
          <w:divBdr>
            <w:top w:val="none" w:sz="0" w:space="0" w:color="auto"/>
            <w:left w:val="none" w:sz="0" w:space="0" w:color="auto"/>
            <w:bottom w:val="none" w:sz="0" w:space="0" w:color="auto"/>
            <w:right w:val="none" w:sz="0" w:space="0" w:color="auto"/>
          </w:divBdr>
        </w:div>
      </w:divsChild>
    </w:div>
    <w:div w:id="276908612">
      <w:marLeft w:val="0"/>
      <w:marRight w:val="0"/>
      <w:marTop w:val="60"/>
      <w:marBottom w:val="60"/>
      <w:divBdr>
        <w:top w:val="none" w:sz="0" w:space="0" w:color="auto"/>
        <w:left w:val="none" w:sz="0" w:space="0" w:color="auto"/>
        <w:bottom w:val="none" w:sz="0" w:space="0" w:color="auto"/>
        <w:right w:val="none" w:sz="0" w:space="0" w:color="auto"/>
      </w:divBdr>
    </w:div>
    <w:div w:id="277227301">
      <w:marLeft w:val="0"/>
      <w:marRight w:val="0"/>
      <w:marTop w:val="180"/>
      <w:marBottom w:val="60"/>
      <w:divBdr>
        <w:top w:val="none" w:sz="0" w:space="0" w:color="auto"/>
        <w:left w:val="none" w:sz="0" w:space="0" w:color="auto"/>
        <w:bottom w:val="none" w:sz="0" w:space="0" w:color="auto"/>
        <w:right w:val="none" w:sz="0" w:space="0" w:color="auto"/>
      </w:divBdr>
      <w:divsChild>
        <w:div w:id="1416895541">
          <w:marLeft w:val="0"/>
          <w:marRight w:val="0"/>
          <w:marTop w:val="0"/>
          <w:marBottom w:val="0"/>
          <w:divBdr>
            <w:top w:val="none" w:sz="0" w:space="0" w:color="auto"/>
            <w:left w:val="none" w:sz="0" w:space="0" w:color="auto"/>
            <w:bottom w:val="none" w:sz="0" w:space="0" w:color="auto"/>
            <w:right w:val="none" w:sz="0" w:space="0" w:color="auto"/>
          </w:divBdr>
        </w:div>
      </w:divsChild>
    </w:div>
    <w:div w:id="279579715">
      <w:marLeft w:val="0"/>
      <w:marRight w:val="0"/>
      <w:marTop w:val="180"/>
      <w:marBottom w:val="180"/>
      <w:divBdr>
        <w:top w:val="none" w:sz="0" w:space="0" w:color="auto"/>
        <w:left w:val="none" w:sz="0" w:space="0" w:color="auto"/>
        <w:bottom w:val="none" w:sz="0" w:space="0" w:color="auto"/>
        <w:right w:val="none" w:sz="0" w:space="0" w:color="auto"/>
      </w:divBdr>
    </w:div>
    <w:div w:id="283193222">
      <w:marLeft w:val="0"/>
      <w:marRight w:val="0"/>
      <w:marTop w:val="180"/>
      <w:marBottom w:val="180"/>
      <w:divBdr>
        <w:top w:val="none" w:sz="0" w:space="0" w:color="auto"/>
        <w:left w:val="none" w:sz="0" w:space="0" w:color="auto"/>
        <w:bottom w:val="none" w:sz="0" w:space="0" w:color="auto"/>
        <w:right w:val="none" w:sz="0" w:space="0" w:color="auto"/>
      </w:divBdr>
    </w:div>
    <w:div w:id="287779300">
      <w:marLeft w:val="0"/>
      <w:marRight w:val="0"/>
      <w:marTop w:val="180"/>
      <w:marBottom w:val="180"/>
      <w:divBdr>
        <w:top w:val="none" w:sz="0" w:space="0" w:color="auto"/>
        <w:left w:val="none" w:sz="0" w:space="0" w:color="auto"/>
        <w:bottom w:val="none" w:sz="0" w:space="0" w:color="auto"/>
        <w:right w:val="none" w:sz="0" w:space="0" w:color="auto"/>
      </w:divBdr>
    </w:div>
    <w:div w:id="290668189">
      <w:marLeft w:val="0"/>
      <w:marRight w:val="0"/>
      <w:marTop w:val="0"/>
      <w:marBottom w:val="0"/>
      <w:divBdr>
        <w:top w:val="none" w:sz="0" w:space="0" w:color="auto"/>
        <w:left w:val="none" w:sz="0" w:space="0" w:color="auto"/>
        <w:bottom w:val="none" w:sz="0" w:space="0" w:color="auto"/>
        <w:right w:val="none" w:sz="0" w:space="0" w:color="auto"/>
      </w:divBdr>
      <w:divsChild>
        <w:div w:id="1481268518">
          <w:marLeft w:val="0"/>
          <w:marRight w:val="0"/>
          <w:marTop w:val="0"/>
          <w:marBottom w:val="0"/>
          <w:divBdr>
            <w:top w:val="none" w:sz="0" w:space="0" w:color="auto"/>
            <w:left w:val="none" w:sz="0" w:space="0" w:color="auto"/>
            <w:bottom w:val="none" w:sz="0" w:space="0" w:color="auto"/>
            <w:right w:val="none" w:sz="0" w:space="0" w:color="auto"/>
          </w:divBdr>
          <w:divsChild>
            <w:div w:id="1127958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91592488">
      <w:marLeft w:val="0"/>
      <w:marRight w:val="0"/>
      <w:marTop w:val="180"/>
      <w:marBottom w:val="180"/>
      <w:divBdr>
        <w:top w:val="none" w:sz="0" w:space="0" w:color="auto"/>
        <w:left w:val="none" w:sz="0" w:space="0" w:color="auto"/>
        <w:bottom w:val="none" w:sz="0" w:space="0" w:color="auto"/>
        <w:right w:val="none" w:sz="0" w:space="0" w:color="auto"/>
      </w:divBdr>
    </w:div>
    <w:div w:id="293289379">
      <w:marLeft w:val="0"/>
      <w:marRight w:val="0"/>
      <w:marTop w:val="100"/>
      <w:marBottom w:val="0"/>
      <w:divBdr>
        <w:top w:val="none" w:sz="0" w:space="0" w:color="auto"/>
        <w:left w:val="none" w:sz="0" w:space="0" w:color="auto"/>
        <w:bottom w:val="none" w:sz="0" w:space="0" w:color="auto"/>
        <w:right w:val="none" w:sz="0" w:space="0" w:color="auto"/>
      </w:divBdr>
      <w:divsChild>
        <w:div w:id="1331061774">
          <w:marLeft w:val="0"/>
          <w:marRight w:val="0"/>
          <w:marTop w:val="0"/>
          <w:marBottom w:val="0"/>
          <w:divBdr>
            <w:top w:val="none" w:sz="0" w:space="0" w:color="auto"/>
            <w:left w:val="none" w:sz="0" w:space="0" w:color="auto"/>
            <w:bottom w:val="none" w:sz="0" w:space="0" w:color="auto"/>
            <w:right w:val="none" w:sz="0" w:space="0" w:color="auto"/>
          </w:divBdr>
        </w:div>
        <w:div w:id="541554067">
          <w:marLeft w:val="0"/>
          <w:marRight w:val="0"/>
          <w:marTop w:val="0"/>
          <w:marBottom w:val="0"/>
          <w:divBdr>
            <w:top w:val="none" w:sz="0" w:space="0" w:color="auto"/>
            <w:left w:val="none" w:sz="0" w:space="0" w:color="auto"/>
            <w:bottom w:val="none" w:sz="0" w:space="0" w:color="auto"/>
            <w:right w:val="none" w:sz="0" w:space="0" w:color="auto"/>
          </w:divBdr>
        </w:div>
        <w:div w:id="877425283">
          <w:marLeft w:val="0"/>
          <w:marRight w:val="0"/>
          <w:marTop w:val="0"/>
          <w:marBottom w:val="0"/>
          <w:divBdr>
            <w:top w:val="none" w:sz="0" w:space="0" w:color="auto"/>
            <w:left w:val="none" w:sz="0" w:space="0" w:color="auto"/>
            <w:bottom w:val="none" w:sz="0" w:space="0" w:color="auto"/>
            <w:right w:val="none" w:sz="0" w:space="0" w:color="auto"/>
          </w:divBdr>
        </w:div>
        <w:div w:id="1071777744">
          <w:marLeft w:val="0"/>
          <w:marRight w:val="0"/>
          <w:marTop w:val="0"/>
          <w:marBottom w:val="0"/>
          <w:divBdr>
            <w:top w:val="none" w:sz="0" w:space="0" w:color="auto"/>
            <w:left w:val="none" w:sz="0" w:space="0" w:color="auto"/>
            <w:bottom w:val="none" w:sz="0" w:space="0" w:color="auto"/>
            <w:right w:val="none" w:sz="0" w:space="0" w:color="auto"/>
          </w:divBdr>
        </w:div>
      </w:divsChild>
    </w:div>
    <w:div w:id="293289655">
      <w:marLeft w:val="0"/>
      <w:marRight w:val="0"/>
      <w:marTop w:val="0"/>
      <w:marBottom w:val="15"/>
      <w:divBdr>
        <w:top w:val="none" w:sz="0" w:space="0" w:color="auto"/>
        <w:left w:val="none" w:sz="0" w:space="0" w:color="auto"/>
        <w:bottom w:val="none" w:sz="0" w:space="0" w:color="auto"/>
        <w:right w:val="none" w:sz="0" w:space="0" w:color="auto"/>
      </w:divBdr>
    </w:div>
    <w:div w:id="294216047">
      <w:marLeft w:val="0"/>
      <w:marRight w:val="0"/>
      <w:marTop w:val="60"/>
      <w:marBottom w:val="60"/>
      <w:divBdr>
        <w:top w:val="none" w:sz="0" w:space="0" w:color="auto"/>
        <w:left w:val="none" w:sz="0" w:space="0" w:color="auto"/>
        <w:bottom w:val="none" w:sz="0" w:space="0" w:color="auto"/>
        <w:right w:val="none" w:sz="0" w:space="0" w:color="auto"/>
      </w:divBdr>
    </w:div>
    <w:div w:id="295264514">
      <w:marLeft w:val="0"/>
      <w:marRight w:val="0"/>
      <w:marTop w:val="180"/>
      <w:marBottom w:val="180"/>
      <w:divBdr>
        <w:top w:val="none" w:sz="0" w:space="0" w:color="auto"/>
        <w:left w:val="none" w:sz="0" w:space="0" w:color="auto"/>
        <w:bottom w:val="none" w:sz="0" w:space="0" w:color="auto"/>
        <w:right w:val="none" w:sz="0" w:space="0" w:color="auto"/>
      </w:divBdr>
    </w:div>
    <w:div w:id="300037483">
      <w:marLeft w:val="0"/>
      <w:marRight w:val="0"/>
      <w:marTop w:val="60"/>
      <w:marBottom w:val="60"/>
      <w:divBdr>
        <w:top w:val="none" w:sz="0" w:space="0" w:color="auto"/>
        <w:left w:val="none" w:sz="0" w:space="0" w:color="auto"/>
        <w:bottom w:val="none" w:sz="0" w:space="0" w:color="auto"/>
        <w:right w:val="none" w:sz="0" w:space="0" w:color="auto"/>
      </w:divBdr>
    </w:div>
    <w:div w:id="301270303">
      <w:marLeft w:val="0"/>
      <w:marRight w:val="0"/>
      <w:marTop w:val="60"/>
      <w:marBottom w:val="60"/>
      <w:divBdr>
        <w:top w:val="none" w:sz="0" w:space="0" w:color="auto"/>
        <w:left w:val="none" w:sz="0" w:space="0" w:color="auto"/>
        <w:bottom w:val="none" w:sz="0" w:space="0" w:color="auto"/>
        <w:right w:val="none" w:sz="0" w:space="0" w:color="auto"/>
      </w:divBdr>
    </w:div>
    <w:div w:id="301422627">
      <w:marLeft w:val="0"/>
      <w:marRight w:val="0"/>
      <w:marTop w:val="180"/>
      <w:marBottom w:val="180"/>
      <w:divBdr>
        <w:top w:val="none" w:sz="0" w:space="0" w:color="auto"/>
        <w:left w:val="none" w:sz="0" w:space="0" w:color="auto"/>
        <w:bottom w:val="none" w:sz="0" w:space="0" w:color="auto"/>
        <w:right w:val="none" w:sz="0" w:space="0" w:color="auto"/>
      </w:divBdr>
    </w:div>
    <w:div w:id="306403000">
      <w:marLeft w:val="0"/>
      <w:marRight w:val="0"/>
      <w:marTop w:val="60"/>
      <w:marBottom w:val="60"/>
      <w:divBdr>
        <w:top w:val="none" w:sz="0" w:space="0" w:color="auto"/>
        <w:left w:val="none" w:sz="0" w:space="0" w:color="auto"/>
        <w:bottom w:val="none" w:sz="0" w:space="0" w:color="auto"/>
        <w:right w:val="none" w:sz="0" w:space="0" w:color="auto"/>
      </w:divBdr>
    </w:div>
    <w:div w:id="306672317">
      <w:marLeft w:val="0"/>
      <w:marRight w:val="0"/>
      <w:marTop w:val="60"/>
      <w:marBottom w:val="60"/>
      <w:divBdr>
        <w:top w:val="none" w:sz="0" w:space="0" w:color="auto"/>
        <w:left w:val="none" w:sz="0" w:space="0" w:color="auto"/>
        <w:bottom w:val="none" w:sz="0" w:space="0" w:color="auto"/>
        <w:right w:val="none" w:sz="0" w:space="0" w:color="auto"/>
      </w:divBdr>
    </w:div>
    <w:div w:id="307633634">
      <w:marLeft w:val="0"/>
      <w:marRight w:val="0"/>
      <w:marTop w:val="180"/>
      <w:marBottom w:val="180"/>
      <w:divBdr>
        <w:top w:val="none" w:sz="0" w:space="0" w:color="auto"/>
        <w:left w:val="none" w:sz="0" w:space="0" w:color="auto"/>
        <w:bottom w:val="none" w:sz="0" w:space="0" w:color="auto"/>
        <w:right w:val="none" w:sz="0" w:space="0" w:color="auto"/>
      </w:divBdr>
    </w:div>
    <w:div w:id="309094849">
      <w:marLeft w:val="0"/>
      <w:marRight w:val="0"/>
      <w:marTop w:val="0"/>
      <w:marBottom w:val="0"/>
      <w:divBdr>
        <w:top w:val="none" w:sz="0" w:space="0" w:color="auto"/>
        <w:left w:val="none" w:sz="0" w:space="0" w:color="auto"/>
        <w:bottom w:val="none" w:sz="0" w:space="0" w:color="auto"/>
        <w:right w:val="none" w:sz="0" w:space="0" w:color="auto"/>
      </w:divBdr>
    </w:div>
    <w:div w:id="309287833">
      <w:marLeft w:val="0"/>
      <w:marRight w:val="0"/>
      <w:marTop w:val="0"/>
      <w:marBottom w:val="0"/>
      <w:divBdr>
        <w:top w:val="none" w:sz="0" w:space="0" w:color="auto"/>
        <w:left w:val="none" w:sz="0" w:space="0" w:color="auto"/>
        <w:bottom w:val="none" w:sz="0" w:space="0" w:color="auto"/>
        <w:right w:val="none" w:sz="0" w:space="0" w:color="auto"/>
      </w:divBdr>
      <w:divsChild>
        <w:div w:id="1646741076">
          <w:marLeft w:val="0"/>
          <w:marRight w:val="0"/>
          <w:marTop w:val="0"/>
          <w:marBottom w:val="0"/>
          <w:divBdr>
            <w:top w:val="none" w:sz="0" w:space="0" w:color="auto"/>
            <w:left w:val="none" w:sz="0" w:space="0" w:color="auto"/>
            <w:bottom w:val="none" w:sz="0" w:space="0" w:color="auto"/>
            <w:right w:val="none" w:sz="0" w:space="0" w:color="auto"/>
          </w:divBdr>
          <w:divsChild>
            <w:div w:id="14341326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9747704">
      <w:marLeft w:val="0"/>
      <w:marRight w:val="0"/>
      <w:marTop w:val="100"/>
      <w:marBottom w:val="0"/>
      <w:divBdr>
        <w:top w:val="none" w:sz="0" w:space="0" w:color="auto"/>
        <w:left w:val="none" w:sz="0" w:space="0" w:color="auto"/>
        <w:bottom w:val="none" w:sz="0" w:space="0" w:color="auto"/>
        <w:right w:val="none" w:sz="0" w:space="0" w:color="auto"/>
      </w:divBdr>
      <w:divsChild>
        <w:div w:id="651955310">
          <w:marLeft w:val="0"/>
          <w:marRight w:val="0"/>
          <w:marTop w:val="0"/>
          <w:marBottom w:val="0"/>
          <w:divBdr>
            <w:top w:val="none" w:sz="0" w:space="0" w:color="auto"/>
            <w:left w:val="none" w:sz="0" w:space="0" w:color="auto"/>
            <w:bottom w:val="none" w:sz="0" w:space="0" w:color="auto"/>
            <w:right w:val="none" w:sz="0" w:space="0" w:color="auto"/>
          </w:divBdr>
        </w:div>
        <w:div w:id="1813791186">
          <w:marLeft w:val="0"/>
          <w:marRight w:val="0"/>
          <w:marTop w:val="0"/>
          <w:marBottom w:val="0"/>
          <w:divBdr>
            <w:top w:val="none" w:sz="0" w:space="0" w:color="auto"/>
            <w:left w:val="none" w:sz="0" w:space="0" w:color="auto"/>
            <w:bottom w:val="none" w:sz="0" w:space="0" w:color="auto"/>
            <w:right w:val="none" w:sz="0" w:space="0" w:color="auto"/>
          </w:divBdr>
        </w:div>
        <w:div w:id="666327808">
          <w:marLeft w:val="0"/>
          <w:marRight w:val="0"/>
          <w:marTop w:val="0"/>
          <w:marBottom w:val="0"/>
          <w:divBdr>
            <w:top w:val="none" w:sz="0" w:space="0" w:color="auto"/>
            <w:left w:val="none" w:sz="0" w:space="0" w:color="auto"/>
            <w:bottom w:val="none" w:sz="0" w:space="0" w:color="auto"/>
            <w:right w:val="none" w:sz="0" w:space="0" w:color="auto"/>
          </w:divBdr>
        </w:div>
        <w:div w:id="891964120">
          <w:marLeft w:val="0"/>
          <w:marRight w:val="0"/>
          <w:marTop w:val="0"/>
          <w:marBottom w:val="0"/>
          <w:divBdr>
            <w:top w:val="none" w:sz="0" w:space="0" w:color="auto"/>
            <w:left w:val="none" w:sz="0" w:space="0" w:color="auto"/>
            <w:bottom w:val="none" w:sz="0" w:space="0" w:color="auto"/>
            <w:right w:val="none" w:sz="0" w:space="0" w:color="auto"/>
          </w:divBdr>
        </w:div>
        <w:div w:id="1411467344">
          <w:marLeft w:val="0"/>
          <w:marRight w:val="0"/>
          <w:marTop w:val="0"/>
          <w:marBottom w:val="0"/>
          <w:divBdr>
            <w:top w:val="none" w:sz="0" w:space="0" w:color="auto"/>
            <w:left w:val="none" w:sz="0" w:space="0" w:color="auto"/>
            <w:bottom w:val="none" w:sz="0" w:space="0" w:color="auto"/>
            <w:right w:val="none" w:sz="0" w:space="0" w:color="auto"/>
          </w:divBdr>
        </w:div>
      </w:divsChild>
    </w:div>
    <w:div w:id="311058986">
      <w:marLeft w:val="0"/>
      <w:marRight w:val="0"/>
      <w:marTop w:val="180"/>
      <w:marBottom w:val="180"/>
      <w:divBdr>
        <w:top w:val="none" w:sz="0" w:space="0" w:color="auto"/>
        <w:left w:val="none" w:sz="0" w:space="0" w:color="auto"/>
        <w:bottom w:val="none" w:sz="0" w:space="0" w:color="auto"/>
        <w:right w:val="none" w:sz="0" w:space="0" w:color="auto"/>
      </w:divBdr>
    </w:div>
    <w:div w:id="312222292">
      <w:marLeft w:val="0"/>
      <w:marRight w:val="0"/>
      <w:marTop w:val="180"/>
      <w:marBottom w:val="180"/>
      <w:divBdr>
        <w:top w:val="none" w:sz="0" w:space="0" w:color="auto"/>
        <w:left w:val="none" w:sz="0" w:space="0" w:color="auto"/>
        <w:bottom w:val="none" w:sz="0" w:space="0" w:color="auto"/>
        <w:right w:val="none" w:sz="0" w:space="0" w:color="auto"/>
      </w:divBdr>
    </w:div>
    <w:div w:id="312637709">
      <w:marLeft w:val="0"/>
      <w:marRight w:val="0"/>
      <w:marTop w:val="60"/>
      <w:marBottom w:val="60"/>
      <w:divBdr>
        <w:top w:val="none" w:sz="0" w:space="0" w:color="auto"/>
        <w:left w:val="none" w:sz="0" w:space="0" w:color="auto"/>
        <w:bottom w:val="none" w:sz="0" w:space="0" w:color="auto"/>
        <w:right w:val="none" w:sz="0" w:space="0" w:color="auto"/>
      </w:divBdr>
    </w:div>
    <w:div w:id="312805765">
      <w:marLeft w:val="0"/>
      <w:marRight w:val="0"/>
      <w:marTop w:val="60"/>
      <w:marBottom w:val="60"/>
      <w:divBdr>
        <w:top w:val="none" w:sz="0" w:space="0" w:color="auto"/>
        <w:left w:val="none" w:sz="0" w:space="0" w:color="auto"/>
        <w:bottom w:val="none" w:sz="0" w:space="0" w:color="auto"/>
        <w:right w:val="none" w:sz="0" w:space="0" w:color="auto"/>
      </w:divBdr>
    </w:div>
    <w:div w:id="317996558">
      <w:marLeft w:val="0"/>
      <w:marRight w:val="0"/>
      <w:marTop w:val="180"/>
      <w:marBottom w:val="180"/>
      <w:divBdr>
        <w:top w:val="none" w:sz="0" w:space="0" w:color="auto"/>
        <w:left w:val="none" w:sz="0" w:space="0" w:color="auto"/>
        <w:bottom w:val="none" w:sz="0" w:space="0" w:color="auto"/>
        <w:right w:val="none" w:sz="0" w:space="0" w:color="auto"/>
      </w:divBdr>
    </w:div>
    <w:div w:id="322898266">
      <w:marLeft w:val="0"/>
      <w:marRight w:val="0"/>
      <w:marTop w:val="180"/>
      <w:marBottom w:val="180"/>
      <w:divBdr>
        <w:top w:val="none" w:sz="0" w:space="0" w:color="auto"/>
        <w:left w:val="none" w:sz="0" w:space="0" w:color="auto"/>
        <w:bottom w:val="none" w:sz="0" w:space="0" w:color="auto"/>
        <w:right w:val="none" w:sz="0" w:space="0" w:color="auto"/>
      </w:divBdr>
    </w:div>
    <w:div w:id="322900335">
      <w:marLeft w:val="0"/>
      <w:marRight w:val="0"/>
      <w:marTop w:val="0"/>
      <w:marBottom w:val="0"/>
      <w:divBdr>
        <w:top w:val="none" w:sz="0" w:space="0" w:color="auto"/>
        <w:left w:val="none" w:sz="0" w:space="0" w:color="auto"/>
        <w:bottom w:val="none" w:sz="0" w:space="0" w:color="auto"/>
        <w:right w:val="none" w:sz="0" w:space="0" w:color="auto"/>
      </w:divBdr>
      <w:divsChild>
        <w:div w:id="1442333307">
          <w:marLeft w:val="0"/>
          <w:marRight w:val="0"/>
          <w:marTop w:val="0"/>
          <w:marBottom w:val="0"/>
          <w:divBdr>
            <w:top w:val="none" w:sz="0" w:space="0" w:color="auto"/>
            <w:left w:val="none" w:sz="0" w:space="0" w:color="auto"/>
            <w:bottom w:val="none" w:sz="0" w:space="0" w:color="auto"/>
            <w:right w:val="none" w:sz="0" w:space="0" w:color="auto"/>
          </w:divBdr>
          <w:divsChild>
            <w:div w:id="9703319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23556279">
      <w:marLeft w:val="0"/>
      <w:marRight w:val="0"/>
      <w:marTop w:val="180"/>
      <w:marBottom w:val="180"/>
      <w:divBdr>
        <w:top w:val="none" w:sz="0" w:space="0" w:color="auto"/>
        <w:left w:val="none" w:sz="0" w:space="0" w:color="auto"/>
        <w:bottom w:val="none" w:sz="0" w:space="0" w:color="auto"/>
        <w:right w:val="none" w:sz="0" w:space="0" w:color="auto"/>
      </w:divBdr>
    </w:div>
    <w:div w:id="324667831">
      <w:marLeft w:val="0"/>
      <w:marRight w:val="0"/>
      <w:marTop w:val="60"/>
      <w:marBottom w:val="60"/>
      <w:divBdr>
        <w:top w:val="none" w:sz="0" w:space="0" w:color="auto"/>
        <w:left w:val="none" w:sz="0" w:space="0" w:color="auto"/>
        <w:bottom w:val="none" w:sz="0" w:space="0" w:color="auto"/>
        <w:right w:val="none" w:sz="0" w:space="0" w:color="auto"/>
      </w:divBdr>
    </w:div>
    <w:div w:id="325862774">
      <w:marLeft w:val="0"/>
      <w:marRight w:val="0"/>
      <w:marTop w:val="180"/>
      <w:marBottom w:val="180"/>
      <w:divBdr>
        <w:top w:val="none" w:sz="0" w:space="0" w:color="auto"/>
        <w:left w:val="none" w:sz="0" w:space="0" w:color="auto"/>
        <w:bottom w:val="none" w:sz="0" w:space="0" w:color="auto"/>
        <w:right w:val="none" w:sz="0" w:space="0" w:color="auto"/>
      </w:divBdr>
    </w:div>
    <w:div w:id="326977198">
      <w:marLeft w:val="0"/>
      <w:marRight w:val="0"/>
      <w:marTop w:val="180"/>
      <w:marBottom w:val="0"/>
      <w:divBdr>
        <w:top w:val="none" w:sz="0" w:space="0" w:color="auto"/>
        <w:left w:val="none" w:sz="0" w:space="0" w:color="auto"/>
        <w:bottom w:val="none" w:sz="0" w:space="0" w:color="auto"/>
        <w:right w:val="none" w:sz="0" w:space="0" w:color="auto"/>
      </w:divBdr>
    </w:div>
    <w:div w:id="329217388">
      <w:marLeft w:val="0"/>
      <w:marRight w:val="0"/>
      <w:marTop w:val="180"/>
      <w:marBottom w:val="180"/>
      <w:divBdr>
        <w:top w:val="none" w:sz="0" w:space="0" w:color="auto"/>
        <w:left w:val="none" w:sz="0" w:space="0" w:color="auto"/>
        <w:bottom w:val="none" w:sz="0" w:space="0" w:color="auto"/>
        <w:right w:val="none" w:sz="0" w:space="0" w:color="auto"/>
      </w:divBdr>
    </w:div>
    <w:div w:id="329260542">
      <w:marLeft w:val="0"/>
      <w:marRight w:val="0"/>
      <w:marTop w:val="0"/>
      <w:marBottom w:val="0"/>
      <w:divBdr>
        <w:top w:val="none" w:sz="0" w:space="0" w:color="auto"/>
        <w:left w:val="none" w:sz="0" w:space="0" w:color="auto"/>
        <w:bottom w:val="none" w:sz="0" w:space="0" w:color="auto"/>
        <w:right w:val="none" w:sz="0" w:space="0" w:color="auto"/>
      </w:divBdr>
      <w:divsChild>
        <w:div w:id="342559708">
          <w:marLeft w:val="0"/>
          <w:marRight w:val="0"/>
          <w:marTop w:val="0"/>
          <w:marBottom w:val="0"/>
          <w:divBdr>
            <w:top w:val="none" w:sz="0" w:space="0" w:color="auto"/>
            <w:left w:val="none" w:sz="0" w:space="0" w:color="auto"/>
            <w:bottom w:val="none" w:sz="0" w:space="0" w:color="auto"/>
            <w:right w:val="none" w:sz="0" w:space="0" w:color="auto"/>
          </w:divBdr>
          <w:divsChild>
            <w:div w:id="14076787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0104890">
      <w:marLeft w:val="0"/>
      <w:marRight w:val="0"/>
      <w:marTop w:val="60"/>
      <w:marBottom w:val="60"/>
      <w:divBdr>
        <w:top w:val="none" w:sz="0" w:space="0" w:color="auto"/>
        <w:left w:val="none" w:sz="0" w:space="0" w:color="auto"/>
        <w:bottom w:val="none" w:sz="0" w:space="0" w:color="auto"/>
        <w:right w:val="none" w:sz="0" w:space="0" w:color="auto"/>
      </w:divBdr>
    </w:div>
    <w:div w:id="331182272">
      <w:marLeft w:val="0"/>
      <w:marRight w:val="0"/>
      <w:marTop w:val="180"/>
      <w:marBottom w:val="180"/>
      <w:divBdr>
        <w:top w:val="none" w:sz="0" w:space="0" w:color="auto"/>
        <w:left w:val="none" w:sz="0" w:space="0" w:color="auto"/>
        <w:bottom w:val="none" w:sz="0" w:space="0" w:color="auto"/>
        <w:right w:val="none" w:sz="0" w:space="0" w:color="auto"/>
      </w:divBdr>
    </w:div>
    <w:div w:id="332495063">
      <w:marLeft w:val="0"/>
      <w:marRight w:val="0"/>
      <w:marTop w:val="80"/>
      <w:marBottom w:val="0"/>
      <w:divBdr>
        <w:top w:val="none" w:sz="0" w:space="0" w:color="auto"/>
        <w:left w:val="none" w:sz="0" w:space="0" w:color="auto"/>
        <w:bottom w:val="none" w:sz="0" w:space="0" w:color="auto"/>
        <w:right w:val="none" w:sz="0" w:space="0" w:color="auto"/>
      </w:divBdr>
    </w:div>
    <w:div w:id="335763906">
      <w:marLeft w:val="0"/>
      <w:marRight w:val="0"/>
      <w:marTop w:val="0"/>
      <w:marBottom w:val="0"/>
      <w:divBdr>
        <w:top w:val="none" w:sz="0" w:space="0" w:color="auto"/>
        <w:left w:val="none" w:sz="0" w:space="0" w:color="auto"/>
        <w:bottom w:val="none" w:sz="0" w:space="0" w:color="auto"/>
        <w:right w:val="none" w:sz="0" w:space="0" w:color="auto"/>
      </w:divBdr>
    </w:div>
    <w:div w:id="335770379">
      <w:marLeft w:val="0"/>
      <w:marRight w:val="0"/>
      <w:marTop w:val="180"/>
      <w:marBottom w:val="180"/>
      <w:divBdr>
        <w:top w:val="none" w:sz="0" w:space="0" w:color="auto"/>
        <w:left w:val="none" w:sz="0" w:space="0" w:color="auto"/>
        <w:bottom w:val="none" w:sz="0" w:space="0" w:color="auto"/>
        <w:right w:val="none" w:sz="0" w:space="0" w:color="auto"/>
      </w:divBdr>
    </w:div>
    <w:div w:id="338585742">
      <w:marLeft w:val="0"/>
      <w:marRight w:val="0"/>
      <w:marTop w:val="180"/>
      <w:marBottom w:val="60"/>
      <w:divBdr>
        <w:top w:val="none" w:sz="0" w:space="0" w:color="auto"/>
        <w:left w:val="none" w:sz="0" w:space="0" w:color="auto"/>
        <w:bottom w:val="none" w:sz="0" w:space="0" w:color="auto"/>
        <w:right w:val="none" w:sz="0" w:space="0" w:color="auto"/>
      </w:divBdr>
    </w:div>
    <w:div w:id="338696424">
      <w:marLeft w:val="0"/>
      <w:marRight w:val="0"/>
      <w:marTop w:val="100"/>
      <w:marBottom w:val="0"/>
      <w:divBdr>
        <w:top w:val="none" w:sz="0" w:space="0" w:color="auto"/>
        <w:left w:val="none" w:sz="0" w:space="0" w:color="auto"/>
        <w:bottom w:val="none" w:sz="0" w:space="0" w:color="auto"/>
        <w:right w:val="none" w:sz="0" w:space="0" w:color="auto"/>
      </w:divBdr>
    </w:div>
    <w:div w:id="339085214">
      <w:marLeft w:val="0"/>
      <w:marRight w:val="0"/>
      <w:marTop w:val="0"/>
      <w:marBottom w:val="0"/>
      <w:divBdr>
        <w:top w:val="none" w:sz="0" w:space="0" w:color="auto"/>
        <w:left w:val="none" w:sz="0" w:space="0" w:color="auto"/>
        <w:bottom w:val="none" w:sz="0" w:space="0" w:color="auto"/>
        <w:right w:val="none" w:sz="0" w:space="0" w:color="auto"/>
      </w:divBdr>
    </w:div>
    <w:div w:id="340815756">
      <w:marLeft w:val="0"/>
      <w:marRight w:val="0"/>
      <w:marTop w:val="180"/>
      <w:marBottom w:val="180"/>
      <w:divBdr>
        <w:top w:val="none" w:sz="0" w:space="0" w:color="auto"/>
        <w:left w:val="none" w:sz="0" w:space="0" w:color="auto"/>
        <w:bottom w:val="none" w:sz="0" w:space="0" w:color="auto"/>
        <w:right w:val="none" w:sz="0" w:space="0" w:color="auto"/>
      </w:divBdr>
    </w:div>
    <w:div w:id="340934625">
      <w:marLeft w:val="0"/>
      <w:marRight w:val="0"/>
      <w:marTop w:val="120"/>
      <w:marBottom w:val="180"/>
      <w:divBdr>
        <w:top w:val="none" w:sz="0" w:space="0" w:color="auto"/>
        <w:left w:val="none" w:sz="0" w:space="0" w:color="auto"/>
        <w:bottom w:val="none" w:sz="0" w:space="0" w:color="auto"/>
        <w:right w:val="none" w:sz="0" w:space="0" w:color="auto"/>
      </w:divBdr>
    </w:div>
    <w:div w:id="344787133">
      <w:marLeft w:val="0"/>
      <w:marRight w:val="0"/>
      <w:marTop w:val="120"/>
      <w:marBottom w:val="60"/>
      <w:divBdr>
        <w:top w:val="none" w:sz="0" w:space="0" w:color="auto"/>
        <w:left w:val="none" w:sz="0" w:space="0" w:color="auto"/>
        <w:bottom w:val="none" w:sz="0" w:space="0" w:color="auto"/>
        <w:right w:val="none" w:sz="0" w:space="0" w:color="auto"/>
      </w:divBdr>
    </w:div>
    <w:div w:id="346759007">
      <w:marLeft w:val="0"/>
      <w:marRight w:val="0"/>
      <w:marTop w:val="0"/>
      <w:marBottom w:val="0"/>
      <w:divBdr>
        <w:top w:val="none" w:sz="0" w:space="0" w:color="auto"/>
        <w:left w:val="none" w:sz="0" w:space="0" w:color="auto"/>
        <w:bottom w:val="none" w:sz="0" w:space="0" w:color="auto"/>
        <w:right w:val="none" w:sz="0" w:space="0" w:color="auto"/>
      </w:divBdr>
    </w:div>
    <w:div w:id="346833943">
      <w:marLeft w:val="0"/>
      <w:marRight w:val="0"/>
      <w:marTop w:val="180"/>
      <w:marBottom w:val="180"/>
      <w:divBdr>
        <w:top w:val="none" w:sz="0" w:space="0" w:color="auto"/>
        <w:left w:val="none" w:sz="0" w:space="0" w:color="auto"/>
        <w:bottom w:val="none" w:sz="0" w:space="0" w:color="auto"/>
        <w:right w:val="none" w:sz="0" w:space="0" w:color="auto"/>
      </w:divBdr>
    </w:div>
    <w:div w:id="352727751">
      <w:marLeft w:val="0"/>
      <w:marRight w:val="0"/>
      <w:marTop w:val="100"/>
      <w:marBottom w:val="0"/>
      <w:divBdr>
        <w:top w:val="none" w:sz="0" w:space="0" w:color="auto"/>
        <w:left w:val="none" w:sz="0" w:space="0" w:color="auto"/>
        <w:bottom w:val="none" w:sz="0" w:space="0" w:color="auto"/>
        <w:right w:val="none" w:sz="0" w:space="0" w:color="auto"/>
      </w:divBdr>
      <w:divsChild>
        <w:div w:id="1644776373">
          <w:marLeft w:val="0"/>
          <w:marRight w:val="0"/>
          <w:marTop w:val="0"/>
          <w:marBottom w:val="0"/>
          <w:divBdr>
            <w:top w:val="none" w:sz="0" w:space="0" w:color="auto"/>
            <w:left w:val="none" w:sz="0" w:space="0" w:color="auto"/>
            <w:bottom w:val="none" w:sz="0" w:space="0" w:color="auto"/>
            <w:right w:val="none" w:sz="0" w:space="0" w:color="auto"/>
          </w:divBdr>
        </w:div>
      </w:divsChild>
    </w:div>
    <w:div w:id="354237597">
      <w:marLeft w:val="0"/>
      <w:marRight w:val="0"/>
      <w:marTop w:val="60"/>
      <w:marBottom w:val="60"/>
      <w:divBdr>
        <w:top w:val="none" w:sz="0" w:space="0" w:color="auto"/>
        <w:left w:val="none" w:sz="0" w:space="0" w:color="auto"/>
        <w:bottom w:val="none" w:sz="0" w:space="0" w:color="auto"/>
        <w:right w:val="none" w:sz="0" w:space="0" w:color="auto"/>
      </w:divBdr>
    </w:div>
    <w:div w:id="356543929">
      <w:marLeft w:val="0"/>
      <w:marRight w:val="0"/>
      <w:marTop w:val="180"/>
      <w:marBottom w:val="60"/>
      <w:divBdr>
        <w:top w:val="none" w:sz="0" w:space="0" w:color="auto"/>
        <w:left w:val="none" w:sz="0" w:space="0" w:color="auto"/>
        <w:bottom w:val="none" w:sz="0" w:space="0" w:color="auto"/>
        <w:right w:val="none" w:sz="0" w:space="0" w:color="auto"/>
      </w:divBdr>
    </w:div>
    <w:div w:id="358625273">
      <w:marLeft w:val="0"/>
      <w:marRight w:val="0"/>
      <w:marTop w:val="0"/>
      <w:marBottom w:val="0"/>
      <w:divBdr>
        <w:top w:val="none" w:sz="0" w:space="0" w:color="auto"/>
        <w:left w:val="none" w:sz="0" w:space="0" w:color="auto"/>
        <w:bottom w:val="none" w:sz="0" w:space="0" w:color="auto"/>
        <w:right w:val="none" w:sz="0" w:space="0" w:color="auto"/>
      </w:divBdr>
    </w:div>
    <w:div w:id="360324046">
      <w:marLeft w:val="0"/>
      <w:marRight w:val="0"/>
      <w:marTop w:val="100"/>
      <w:marBottom w:val="0"/>
      <w:divBdr>
        <w:top w:val="none" w:sz="0" w:space="0" w:color="auto"/>
        <w:left w:val="none" w:sz="0" w:space="0" w:color="auto"/>
        <w:bottom w:val="none" w:sz="0" w:space="0" w:color="auto"/>
        <w:right w:val="none" w:sz="0" w:space="0" w:color="auto"/>
      </w:divBdr>
    </w:div>
    <w:div w:id="362638883">
      <w:marLeft w:val="0"/>
      <w:marRight w:val="0"/>
      <w:marTop w:val="180"/>
      <w:marBottom w:val="0"/>
      <w:divBdr>
        <w:top w:val="none" w:sz="0" w:space="0" w:color="auto"/>
        <w:left w:val="none" w:sz="0" w:space="0" w:color="auto"/>
        <w:bottom w:val="none" w:sz="0" w:space="0" w:color="auto"/>
        <w:right w:val="none" w:sz="0" w:space="0" w:color="auto"/>
      </w:divBdr>
      <w:divsChild>
        <w:div w:id="745880141">
          <w:marLeft w:val="0"/>
          <w:marRight w:val="0"/>
          <w:marTop w:val="0"/>
          <w:marBottom w:val="0"/>
          <w:divBdr>
            <w:top w:val="none" w:sz="0" w:space="0" w:color="auto"/>
            <w:left w:val="none" w:sz="0" w:space="0" w:color="auto"/>
            <w:bottom w:val="none" w:sz="0" w:space="0" w:color="auto"/>
            <w:right w:val="none" w:sz="0" w:space="0" w:color="auto"/>
          </w:divBdr>
        </w:div>
        <w:div w:id="610015141">
          <w:marLeft w:val="0"/>
          <w:marRight w:val="0"/>
          <w:marTop w:val="0"/>
          <w:marBottom w:val="0"/>
          <w:divBdr>
            <w:top w:val="none" w:sz="0" w:space="0" w:color="auto"/>
            <w:left w:val="none" w:sz="0" w:space="0" w:color="auto"/>
            <w:bottom w:val="none" w:sz="0" w:space="0" w:color="auto"/>
            <w:right w:val="none" w:sz="0" w:space="0" w:color="auto"/>
          </w:divBdr>
        </w:div>
        <w:div w:id="735081307">
          <w:marLeft w:val="0"/>
          <w:marRight w:val="0"/>
          <w:marTop w:val="0"/>
          <w:marBottom w:val="0"/>
          <w:divBdr>
            <w:top w:val="none" w:sz="0" w:space="0" w:color="auto"/>
            <w:left w:val="none" w:sz="0" w:space="0" w:color="auto"/>
            <w:bottom w:val="none" w:sz="0" w:space="0" w:color="auto"/>
            <w:right w:val="none" w:sz="0" w:space="0" w:color="auto"/>
          </w:divBdr>
        </w:div>
        <w:div w:id="365372385">
          <w:marLeft w:val="0"/>
          <w:marRight w:val="0"/>
          <w:marTop w:val="0"/>
          <w:marBottom w:val="0"/>
          <w:divBdr>
            <w:top w:val="none" w:sz="0" w:space="0" w:color="auto"/>
            <w:left w:val="none" w:sz="0" w:space="0" w:color="auto"/>
            <w:bottom w:val="none" w:sz="0" w:space="0" w:color="auto"/>
            <w:right w:val="none" w:sz="0" w:space="0" w:color="auto"/>
          </w:divBdr>
        </w:div>
        <w:div w:id="290981340">
          <w:marLeft w:val="0"/>
          <w:marRight w:val="0"/>
          <w:marTop w:val="0"/>
          <w:marBottom w:val="0"/>
          <w:divBdr>
            <w:top w:val="none" w:sz="0" w:space="0" w:color="auto"/>
            <w:left w:val="none" w:sz="0" w:space="0" w:color="auto"/>
            <w:bottom w:val="none" w:sz="0" w:space="0" w:color="auto"/>
            <w:right w:val="none" w:sz="0" w:space="0" w:color="auto"/>
          </w:divBdr>
        </w:div>
        <w:div w:id="1703094967">
          <w:marLeft w:val="0"/>
          <w:marRight w:val="0"/>
          <w:marTop w:val="0"/>
          <w:marBottom w:val="0"/>
          <w:divBdr>
            <w:top w:val="none" w:sz="0" w:space="0" w:color="auto"/>
            <w:left w:val="none" w:sz="0" w:space="0" w:color="auto"/>
            <w:bottom w:val="none" w:sz="0" w:space="0" w:color="auto"/>
            <w:right w:val="none" w:sz="0" w:space="0" w:color="auto"/>
          </w:divBdr>
        </w:div>
        <w:div w:id="1039208330">
          <w:marLeft w:val="0"/>
          <w:marRight w:val="0"/>
          <w:marTop w:val="0"/>
          <w:marBottom w:val="0"/>
          <w:divBdr>
            <w:top w:val="none" w:sz="0" w:space="0" w:color="auto"/>
            <w:left w:val="none" w:sz="0" w:space="0" w:color="auto"/>
            <w:bottom w:val="none" w:sz="0" w:space="0" w:color="auto"/>
            <w:right w:val="none" w:sz="0" w:space="0" w:color="auto"/>
          </w:divBdr>
        </w:div>
        <w:div w:id="494346541">
          <w:marLeft w:val="0"/>
          <w:marRight w:val="0"/>
          <w:marTop w:val="0"/>
          <w:marBottom w:val="0"/>
          <w:divBdr>
            <w:top w:val="none" w:sz="0" w:space="0" w:color="auto"/>
            <w:left w:val="none" w:sz="0" w:space="0" w:color="auto"/>
            <w:bottom w:val="none" w:sz="0" w:space="0" w:color="auto"/>
            <w:right w:val="none" w:sz="0" w:space="0" w:color="auto"/>
          </w:divBdr>
        </w:div>
      </w:divsChild>
    </w:div>
    <w:div w:id="364404216">
      <w:marLeft w:val="0"/>
      <w:marRight w:val="0"/>
      <w:marTop w:val="180"/>
      <w:marBottom w:val="180"/>
      <w:divBdr>
        <w:top w:val="none" w:sz="0" w:space="0" w:color="auto"/>
        <w:left w:val="none" w:sz="0" w:space="0" w:color="auto"/>
        <w:bottom w:val="none" w:sz="0" w:space="0" w:color="auto"/>
        <w:right w:val="none" w:sz="0" w:space="0" w:color="auto"/>
      </w:divBdr>
    </w:div>
    <w:div w:id="366024511">
      <w:marLeft w:val="0"/>
      <w:marRight w:val="0"/>
      <w:marTop w:val="180"/>
      <w:marBottom w:val="180"/>
      <w:divBdr>
        <w:top w:val="none" w:sz="0" w:space="0" w:color="auto"/>
        <w:left w:val="none" w:sz="0" w:space="0" w:color="auto"/>
        <w:bottom w:val="none" w:sz="0" w:space="0" w:color="auto"/>
        <w:right w:val="none" w:sz="0" w:space="0" w:color="auto"/>
      </w:divBdr>
    </w:div>
    <w:div w:id="368143697">
      <w:marLeft w:val="0"/>
      <w:marRight w:val="0"/>
      <w:marTop w:val="100"/>
      <w:marBottom w:val="0"/>
      <w:divBdr>
        <w:top w:val="none" w:sz="0" w:space="0" w:color="auto"/>
        <w:left w:val="none" w:sz="0" w:space="0" w:color="auto"/>
        <w:bottom w:val="none" w:sz="0" w:space="0" w:color="auto"/>
        <w:right w:val="none" w:sz="0" w:space="0" w:color="auto"/>
      </w:divBdr>
    </w:div>
    <w:div w:id="369494658">
      <w:marLeft w:val="0"/>
      <w:marRight w:val="0"/>
      <w:marTop w:val="0"/>
      <w:marBottom w:val="60"/>
      <w:divBdr>
        <w:top w:val="none" w:sz="0" w:space="0" w:color="auto"/>
        <w:left w:val="none" w:sz="0" w:space="0" w:color="auto"/>
        <w:bottom w:val="none" w:sz="0" w:space="0" w:color="auto"/>
        <w:right w:val="none" w:sz="0" w:space="0" w:color="auto"/>
      </w:divBdr>
    </w:div>
    <w:div w:id="370106156">
      <w:marLeft w:val="0"/>
      <w:marRight w:val="0"/>
      <w:marTop w:val="180"/>
      <w:marBottom w:val="180"/>
      <w:divBdr>
        <w:top w:val="none" w:sz="0" w:space="0" w:color="auto"/>
        <w:left w:val="none" w:sz="0" w:space="0" w:color="auto"/>
        <w:bottom w:val="none" w:sz="0" w:space="0" w:color="auto"/>
        <w:right w:val="none" w:sz="0" w:space="0" w:color="auto"/>
      </w:divBdr>
    </w:div>
    <w:div w:id="370882993">
      <w:marLeft w:val="0"/>
      <w:marRight w:val="0"/>
      <w:marTop w:val="0"/>
      <w:marBottom w:val="0"/>
      <w:divBdr>
        <w:top w:val="none" w:sz="0" w:space="0" w:color="auto"/>
        <w:left w:val="none" w:sz="0" w:space="0" w:color="auto"/>
        <w:bottom w:val="none" w:sz="0" w:space="0" w:color="auto"/>
        <w:right w:val="none" w:sz="0" w:space="0" w:color="auto"/>
      </w:divBdr>
      <w:divsChild>
        <w:div w:id="1180436868">
          <w:marLeft w:val="0"/>
          <w:marRight w:val="0"/>
          <w:marTop w:val="60"/>
          <w:marBottom w:val="60"/>
          <w:divBdr>
            <w:top w:val="none" w:sz="0" w:space="0" w:color="auto"/>
            <w:left w:val="none" w:sz="0" w:space="0" w:color="auto"/>
            <w:bottom w:val="none" w:sz="0" w:space="0" w:color="auto"/>
            <w:right w:val="none" w:sz="0" w:space="0" w:color="auto"/>
          </w:divBdr>
        </w:div>
      </w:divsChild>
    </w:div>
    <w:div w:id="371421307">
      <w:marLeft w:val="0"/>
      <w:marRight w:val="0"/>
      <w:marTop w:val="0"/>
      <w:marBottom w:val="0"/>
      <w:divBdr>
        <w:top w:val="none" w:sz="0" w:space="0" w:color="auto"/>
        <w:left w:val="none" w:sz="0" w:space="0" w:color="auto"/>
        <w:bottom w:val="none" w:sz="0" w:space="0" w:color="auto"/>
        <w:right w:val="none" w:sz="0" w:space="0" w:color="auto"/>
      </w:divBdr>
      <w:divsChild>
        <w:div w:id="1083186542">
          <w:marLeft w:val="0"/>
          <w:marRight w:val="0"/>
          <w:marTop w:val="60"/>
          <w:marBottom w:val="60"/>
          <w:divBdr>
            <w:top w:val="none" w:sz="0" w:space="0" w:color="auto"/>
            <w:left w:val="none" w:sz="0" w:space="0" w:color="auto"/>
            <w:bottom w:val="none" w:sz="0" w:space="0" w:color="auto"/>
            <w:right w:val="none" w:sz="0" w:space="0" w:color="auto"/>
          </w:divBdr>
        </w:div>
      </w:divsChild>
    </w:div>
    <w:div w:id="371854560">
      <w:marLeft w:val="0"/>
      <w:marRight w:val="0"/>
      <w:marTop w:val="0"/>
      <w:marBottom w:val="0"/>
      <w:divBdr>
        <w:top w:val="none" w:sz="0" w:space="0" w:color="auto"/>
        <w:left w:val="none" w:sz="0" w:space="0" w:color="auto"/>
        <w:bottom w:val="none" w:sz="0" w:space="0" w:color="auto"/>
        <w:right w:val="none" w:sz="0" w:space="0" w:color="auto"/>
      </w:divBdr>
    </w:div>
    <w:div w:id="373120250">
      <w:marLeft w:val="0"/>
      <w:marRight w:val="0"/>
      <w:marTop w:val="60"/>
      <w:marBottom w:val="60"/>
      <w:divBdr>
        <w:top w:val="none" w:sz="0" w:space="0" w:color="auto"/>
        <w:left w:val="none" w:sz="0" w:space="0" w:color="auto"/>
        <w:bottom w:val="none" w:sz="0" w:space="0" w:color="auto"/>
        <w:right w:val="none" w:sz="0" w:space="0" w:color="auto"/>
      </w:divBdr>
    </w:div>
    <w:div w:id="374087614">
      <w:marLeft w:val="0"/>
      <w:marRight w:val="0"/>
      <w:marTop w:val="60"/>
      <w:marBottom w:val="60"/>
      <w:divBdr>
        <w:top w:val="none" w:sz="0" w:space="0" w:color="auto"/>
        <w:left w:val="none" w:sz="0" w:space="0" w:color="auto"/>
        <w:bottom w:val="none" w:sz="0" w:space="0" w:color="auto"/>
        <w:right w:val="none" w:sz="0" w:space="0" w:color="auto"/>
      </w:divBdr>
    </w:div>
    <w:div w:id="374278132">
      <w:marLeft w:val="0"/>
      <w:marRight w:val="0"/>
      <w:marTop w:val="180"/>
      <w:marBottom w:val="180"/>
      <w:divBdr>
        <w:top w:val="none" w:sz="0" w:space="0" w:color="auto"/>
        <w:left w:val="none" w:sz="0" w:space="0" w:color="auto"/>
        <w:bottom w:val="none" w:sz="0" w:space="0" w:color="auto"/>
        <w:right w:val="none" w:sz="0" w:space="0" w:color="auto"/>
      </w:divBdr>
    </w:div>
    <w:div w:id="375080167">
      <w:marLeft w:val="0"/>
      <w:marRight w:val="0"/>
      <w:marTop w:val="0"/>
      <w:marBottom w:val="0"/>
      <w:divBdr>
        <w:top w:val="none" w:sz="0" w:space="0" w:color="auto"/>
        <w:left w:val="none" w:sz="0" w:space="0" w:color="auto"/>
        <w:bottom w:val="none" w:sz="0" w:space="0" w:color="auto"/>
        <w:right w:val="none" w:sz="0" w:space="0" w:color="auto"/>
      </w:divBdr>
      <w:divsChild>
        <w:div w:id="2110655038">
          <w:marLeft w:val="0"/>
          <w:marRight w:val="0"/>
          <w:marTop w:val="0"/>
          <w:marBottom w:val="0"/>
          <w:divBdr>
            <w:top w:val="none" w:sz="0" w:space="0" w:color="auto"/>
            <w:left w:val="none" w:sz="0" w:space="0" w:color="auto"/>
            <w:bottom w:val="none" w:sz="0" w:space="0" w:color="auto"/>
            <w:right w:val="none" w:sz="0" w:space="0" w:color="auto"/>
          </w:divBdr>
        </w:div>
      </w:divsChild>
    </w:div>
    <w:div w:id="375395480">
      <w:marLeft w:val="0"/>
      <w:marRight w:val="0"/>
      <w:marTop w:val="180"/>
      <w:marBottom w:val="180"/>
      <w:divBdr>
        <w:top w:val="none" w:sz="0" w:space="0" w:color="auto"/>
        <w:left w:val="none" w:sz="0" w:space="0" w:color="auto"/>
        <w:bottom w:val="none" w:sz="0" w:space="0" w:color="auto"/>
        <w:right w:val="none" w:sz="0" w:space="0" w:color="auto"/>
      </w:divBdr>
    </w:div>
    <w:div w:id="375398460">
      <w:marLeft w:val="0"/>
      <w:marRight w:val="0"/>
      <w:marTop w:val="180"/>
      <w:marBottom w:val="180"/>
      <w:divBdr>
        <w:top w:val="none" w:sz="0" w:space="0" w:color="auto"/>
        <w:left w:val="none" w:sz="0" w:space="0" w:color="auto"/>
        <w:bottom w:val="none" w:sz="0" w:space="0" w:color="auto"/>
        <w:right w:val="none" w:sz="0" w:space="0" w:color="auto"/>
      </w:divBdr>
    </w:div>
    <w:div w:id="376780168">
      <w:marLeft w:val="0"/>
      <w:marRight w:val="0"/>
      <w:marTop w:val="180"/>
      <w:marBottom w:val="180"/>
      <w:divBdr>
        <w:top w:val="none" w:sz="0" w:space="0" w:color="auto"/>
        <w:left w:val="none" w:sz="0" w:space="0" w:color="auto"/>
        <w:bottom w:val="none" w:sz="0" w:space="0" w:color="auto"/>
        <w:right w:val="none" w:sz="0" w:space="0" w:color="auto"/>
      </w:divBdr>
    </w:div>
    <w:div w:id="377244636">
      <w:marLeft w:val="0"/>
      <w:marRight w:val="0"/>
      <w:marTop w:val="180"/>
      <w:marBottom w:val="180"/>
      <w:divBdr>
        <w:top w:val="none" w:sz="0" w:space="0" w:color="auto"/>
        <w:left w:val="none" w:sz="0" w:space="0" w:color="auto"/>
        <w:bottom w:val="none" w:sz="0" w:space="0" w:color="auto"/>
        <w:right w:val="none" w:sz="0" w:space="0" w:color="auto"/>
      </w:divBdr>
    </w:div>
    <w:div w:id="377751944">
      <w:marLeft w:val="0"/>
      <w:marRight w:val="0"/>
      <w:marTop w:val="180"/>
      <w:marBottom w:val="180"/>
      <w:divBdr>
        <w:top w:val="none" w:sz="0" w:space="0" w:color="auto"/>
        <w:left w:val="none" w:sz="0" w:space="0" w:color="auto"/>
        <w:bottom w:val="none" w:sz="0" w:space="0" w:color="auto"/>
        <w:right w:val="none" w:sz="0" w:space="0" w:color="auto"/>
      </w:divBdr>
    </w:div>
    <w:div w:id="378012592">
      <w:marLeft w:val="0"/>
      <w:marRight w:val="0"/>
      <w:marTop w:val="180"/>
      <w:marBottom w:val="180"/>
      <w:divBdr>
        <w:top w:val="none" w:sz="0" w:space="0" w:color="auto"/>
        <w:left w:val="none" w:sz="0" w:space="0" w:color="auto"/>
        <w:bottom w:val="none" w:sz="0" w:space="0" w:color="auto"/>
        <w:right w:val="none" w:sz="0" w:space="0" w:color="auto"/>
      </w:divBdr>
    </w:div>
    <w:div w:id="379942280">
      <w:marLeft w:val="0"/>
      <w:marRight w:val="0"/>
      <w:marTop w:val="0"/>
      <w:marBottom w:val="0"/>
      <w:divBdr>
        <w:top w:val="none" w:sz="0" w:space="0" w:color="auto"/>
        <w:left w:val="none" w:sz="0" w:space="0" w:color="auto"/>
        <w:bottom w:val="none" w:sz="0" w:space="0" w:color="auto"/>
        <w:right w:val="none" w:sz="0" w:space="0" w:color="auto"/>
      </w:divBdr>
      <w:divsChild>
        <w:div w:id="2125923222">
          <w:marLeft w:val="0"/>
          <w:marRight w:val="0"/>
          <w:marTop w:val="0"/>
          <w:marBottom w:val="0"/>
          <w:divBdr>
            <w:top w:val="none" w:sz="0" w:space="0" w:color="auto"/>
            <w:left w:val="none" w:sz="0" w:space="0" w:color="auto"/>
            <w:bottom w:val="none" w:sz="0" w:space="0" w:color="auto"/>
            <w:right w:val="none" w:sz="0" w:space="0" w:color="auto"/>
          </w:divBdr>
          <w:divsChild>
            <w:div w:id="5853070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4183847">
      <w:marLeft w:val="0"/>
      <w:marRight w:val="0"/>
      <w:marTop w:val="0"/>
      <w:marBottom w:val="0"/>
      <w:divBdr>
        <w:top w:val="none" w:sz="0" w:space="0" w:color="auto"/>
        <w:left w:val="none" w:sz="0" w:space="0" w:color="auto"/>
        <w:bottom w:val="none" w:sz="0" w:space="0" w:color="auto"/>
        <w:right w:val="none" w:sz="0" w:space="0" w:color="auto"/>
      </w:divBdr>
    </w:div>
    <w:div w:id="384330429">
      <w:marLeft w:val="0"/>
      <w:marRight w:val="0"/>
      <w:marTop w:val="0"/>
      <w:marBottom w:val="0"/>
      <w:divBdr>
        <w:top w:val="none" w:sz="0" w:space="0" w:color="auto"/>
        <w:left w:val="none" w:sz="0" w:space="0" w:color="auto"/>
        <w:bottom w:val="none" w:sz="0" w:space="0" w:color="auto"/>
        <w:right w:val="none" w:sz="0" w:space="0" w:color="auto"/>
      </w:divBdr>
    </w:div>
    <w:div w:id="385029848">
      <w:marLeft w:val="0"/>
      <w:marRight w:val="0"/>
      <w:marTop w:val="100"/>
      <w:marBottom w:val="0"/>
      <w:divBdr>
        <w:top w:val="none" w:sz="0" w:space="0" w:color="auto"/>
        <w:left w:val="none" w:sz="0" w:space="0" w:color="auto"/>
        <w:bottom w:val="none" w:sz="0" w:space="0" w:color="auto"/>
        <w:right w:val="none" w:sz="0" w:space="0" w:color="auto"/>
      </w:divBdr>
      <w:divsChild>
        <w:div w:id="798381023">
          <w:marLeft w:val="0"/>
          <w:marRight w:val="0"/>
          <w:marTop w:val="0"/>
          <w:marBottom w:val="0"/>
          <w:divBdr>
            <w:top w:val="none" w:sz="0" w:space="0" w:color="auto"/>
            <w:left w:val="none" w:sz="0" w:space="0" w:color="auto"/>
            <w:bottom w:val="none" w:sz="0" w:space="0" w:color="auto"/>
            <w:right w:val="none" w:sz="0" w:space="0" w:color="auto"/>
          </w:divBdr>
        </w:div>
      </w:divsChild>
    </w:div>
    <w:div w:id="385644071">
      <w:marLeft w:val="0"/>
      <w:marRight w:val="0"/>
      <w:marTop w:val="0"/>
      <w:marBottom w:val="0"/>
      <w:divBdr>
        <w:top w:val="none" w:sz="0" w:space="0" w:color="auto"/>
        <w:left w:val="none" w:sz="0" w:space="0" w:color="auto"/>
        <w:bottom w:val="none" w:sz="0" w:space="0" w:color="auto"/>
        <w:right w:val="none" w:sz="0" w:space="0" w:color="auto"/>
      </w:divBdr>
      <w:divsChild>
        <w:div w:id="870462979">
          <w:marLeft w:val="0"/>
          <w:marRight w:val="0"/>
          <w:marTop w:val="0"/>
          <w:marBottom w:val="0"/>
          <w:divBdr>
            <w:top w:val="none" w:sz="0" w:space="0" w:color="auto"/>
            <w:left w:val="none" w:sz="0" w:space="0" w:color="auto"/>
            <w:bottom w:val="none" w:sz="0" w:space="0" w:color="auto"/>
            <w:right w:val="none" w:sz="0" w:space="0" w:color="auto"/>
          </w:divBdr>
          <w:divsChild>
            <w:div w:id="1643653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8308231">
      <w:marLeft w:val="0"/>
      <w:marRight w:val="0"/>
      <w:marTop w:val="180"/>
      <w:marBottom w:val="180"/>
      <w:divBdr>
        <w:top w:val="none" w:sz="0" w:space="0" w:color="auto"/>
        <w:left w:val="none" w:sz="0" w:space="0" w:color="auto"/>
        <w:bottom w:val="none" w:sz="0" w:space="0" w:color="auto"/>
        <w:right w:val="none" w:sz="0" w:space="0" w:color="auto"/>
      </w:divBdr>
    </w:div>
    <w:div w:id="388499616">
      <w:marLeft w:val="0"/>
      <w:marRight w:val="0"/>
      <w:marTop w:val="180"/>
      <w:marBottom w:val="180"/>
      <w:divBdr>
        <w:top w:val="none" w:sz="0" w:space="0" w:color="auto"/>
        <w:left w:val="none" w:sz="0" w:space="0" w:color="auto"/>
        <w:bottom w:val="none" w:sz="0" w:space="0" w:color="auto"/>
        <w:right w:val="none" w:sz="0" w:space="0" w:color="auto"/>
      </w:divBdr>
    </w:div>
    <w:div w:id="389615905">
      <w:marLeft w:val="0"/>
      <w:marRight w:val="0"/>
      <w:marTop w:val="0"/>
      <w:marBottom w:val="0"/>
      <w:divBdr>
        <w:top w:val="none" w:sz="0" w:space="0" w:color="auto"/>
        <w:left w:val="none" w:sz="0" w:space="0" w:color="auto"/>
        <w:bottom w:val="none" w:sz="0" w:space="0" w:color="auto"/>
        <w:right w:val="none" w:sz="0" w:space="0" w:color="auto"/>
      </w:divBdr>
      <w:divsChild>
        <w:div w:id="283780930">
          <w:marLeft w:val="0"/>
          <w:marRight w:val="0"/>
          <w:marTop w:val="0"/>
          <w:marBottom w:val="0"/>
          <w:divBdr>
            <w:top w:val="none" w:sz="0" w:space="0" w:color="auto"/>
            <w:left w:val="none" w:sz="0" w:space="0" w:color="auto"/>
            <w:bottom w:val="none" w:sz="0" w:space="0" w:color="auto"/>
            <w:right w:val="none" w:sz="0" w:space="0" w:color="auto"/>
          </w:divBdr>
          <w:divsChild>
            <w:div w:id="14480867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91200388">
      <w:marLeft w:val="0"/>
      <w:marRight w:val="0"/>
      <w:marTop w:val="180"/>
      <w:marBottom w:val="180"/>
      <w:divBdr>
        <w:top w:val="none" w:sz="0" w:space="0" w:color="auto"/>
        <w:left w:val="none" w:sz="0" w:space="0" w:color="auto"/>
        <w:bottom w:val="none" w:sz="0" w:space="0" w:color="auto"/>
        <w:right w:val="none" w:sz="0" w:space="0" w:color="auto"/>
      </w:divBdr>
    </w:div>
    <w:div w:id="392126070">
      <w:marLeft w:val="0"/>
      <w:marRight w:val="0"/>
      <w:marTop w:val="60"/>
      <w:marBottom w:val="60"/>
      <w:divBdr>
        <w:top w:val="none" w:sz="0" w:space="0" w:color="auto"/>
        <w:left w:val="none" w:sz="0" w:space="0" w:color="auto"/>
        <w:bottom w:val="none" w:sz="0" w:space="0" w:color="auto"/>
        <w:right w:val="none" w:sz="0" w:space="0" w:color="auto"/>
      </w:divBdr>
    </w:div>
    <w:div w:id="392310237">
      <w:marLeft w:val="0"/>
      <w:marRight w:val="0"/>
      <w:marTop w:val="0"/>
      <w:marBottom w:val="0"/>
      <w:divBdr>
        <w:top w:val="none" w:sz="0" w:space="0" w:color="auto"/>
        <w:left w:val="none" w:sz="0" w:space="0" w:color="auto"/>
        <w:bottom w:val="none" w:sz="0" w:space="0" w:color="auto"/>
        <w:right w:val="none" w:sz="0" w:space="0" w:color="auto"/>
      </w:divBdr>
    </w:div>
    <w:div w:id="393897783">
      <w:marLeft w:val="0"/>
      <w:marRight w:val="0"/>
      <w:marTop w:val="180"/>
      <w:marBottom w:val="180"/>
      <w:divBdr>
        <w:top w:val="none" w:sz="0" w:space="0" w:color="auto"/>
        <w:left w:val="none" w:sz="0" w:space="0" w:color="auto"/>
        <w:bottom w:val="none" w:sz="0" w:space="0" w:color="auto"/>
        <w:right w:val="none" w:sz="0" w:space="0" w:color="auto"/>
      </w:divBdr>
    </w:div>
    <w:div w:id="395863092">
      <w:marLeft w:val="0"/>
      <w:marRight w:val="0"/>
      <w:marTop w:val="180"/>
      <w:marBottom w:val="180"/>
      <w:divBdr>
        <w:top w:val="none" w:sz="0" w:space="0" w:color="auto"/>
        <w:left w:val="none" w:sz="0" w:space="0" w:color="auto"/>
        <w:bottom w:val="none" w:sz="0" w:space="0" w:color="auto"/>
        <w:right w:val="none" w:sz="0" w:space="0" w:color="auto"/>
      </w:divBdr>
    </w:div>
    <w:div w:id="396048995">
      <w:marLeft w:val="0"/>
      <w:marRight w:val="0"/>
      <w:marTop w:val="0"/>
      <w:marBottom w:val="0"/>
      <w:divBdr>
        <w:top w:val="none" w:sz="0" w:space="0" w:color="auto"/>
        <w:left w:val="none" w:sz="0" w:space="0" w:color="auto"/>
        <w:bottom w:val="none" w:sz="0" w:space="0" w:color="auto"/>
        <w:right w:val="none" w:sz="0" w:space="0" w:color="auto"/>
      </w:divBdr>
    </w:div>
    <w:div w:id="396318236">
      <w:marLeft w:val="0"/>
      <w:marRight w:val="0"/>
      <w:marTop w:val="180"/>
      <w:marBottom w:val="180"/>
      <w:divBdr>
        <w:top w:val="none" w:sz="0" w:space="0" w:color="auto"/>
        <w:left w:val="none" w:sz="0" w:space="0" w:color="auto"/>
        <w:bottom w:val="none" w:sz="0" w:space="0" w:color="auto"/>
        <w:right w:val="none" w:sz="0" w:space="0" w:color="auto"/>
      </w:divBdr>
    </w:div>
    <w:div w:id="402262198">
      <w:marLeft w:val="0"/>
      <w:marRight w:val="0"/>
      <w:marTop w:val="0"/>
      <w:marBottom w:val="0"/>
      <w:divBdr>
        <w:top w:val="none" w:sz="0" w:space="0" w:color="auto"/>
        <w:left w:val="none" w:sz="0" w:space="0" w:color="auto"/>
        <w:bottom w:val="none" w:sz="0" w:space="0" w:color="auto"/>
        <w:right w:val="none" w:sz="0" w:space="0" w:color="auto"/>
      </w:divBdr>
    </w:div>
    <w:div w:id="402528331">
      <w:marLeft w:val="0"/>
      <w:marRight w:val="0"/>
      <w:marTop w:val="100"/>
      <w:marBottom w:val="0"/>
      <w:divBdr>
        <w:top w:val="none" w:sz="0" w:space="0" w:color="auto"/>
        <w:left w:val="none" w:sz="0" w:space="0" w:color="auto"/>
        <w:bottom w:val="none" w:sz="0" w:space="0" w:color="auto"/>
        <w:right w:val="none" w:sz="0" w:space="0" w:color="auto"/>
      </w:divBdr>
      <w:divsChild>
        <w:div w:id="1646857614">
          <w:marLeft w:val="0"/>
          <w:marRight w:val="0"/>
          <w:marTop w:val="0"/>
          <w:marBottom w:val="0"/>
          <w:divBdr>
            <w:top w:val="none" w:sz="0" w:space="0" w:color="auto"/>
            <w:left w:val="none" w:sz="0" w:space="0" w:color="auto"/>
            <w:bottom w:val="none" w:sz="0" w:space="0" w:color="auto"/>
            <w:right w:val="none" w:sz="0" w:space="0" w:color="auto"/>
          </w:divBdr>
        </w:div>
        <w:div w:id="446436952">
          <w:marLeft w:val="0"/>
          <w:marRight w:val="0"/>
          <w:marTop w:val="0"/>
          <w:marBottom w:val="0"/>
          <w:divBdr>
            <w:top w:val="none" w:sz="0" w:space="0" w:color="auto"/>
            <w:left w:val="none" w:sz="0" w:space="0" w:color="auto"/>
            <w:bottom w:val="none" w:sz="0" w:space="0" w:color="auto"/>
            <w:right w:val="none" w:sz="0" w:space="0" w:color="auto"/>
          </w:divBdr>
        </w:div>
      </w:divsChild>
    </w:div>
    <w:div w:id="403570856">
      <w:marLeft w:val="0"/>
      <w:marRight w:val="0"/>
      <w:marTop w:val="180"/>
      <w:marBottom w:val="180"/>
      <w:divBdr>
        <w:top w:val="none" w:sz="0" w:space="0" w:color="auto"/>
        <w:left w:val="none" w:sz="0" w:space="0" w:color="auto"/>
        <w:bottom w:val="none" w:sz="0" w:space="0" w:color="auto"/>
        <w:right w:val="none" w:sz="0" w:space="0" w:color="auto"/>
      </w:divBdr>
    </w:div>
    <w:div w:id="403726168">
      <w:marLeft w:val="0"/>
      <w:marRight w:val="0"/>
      <w:marTop w:val="0"/>
      <w:marBottom w:val="0"/>
      <w:divBdr>
        <w:top w:val="none" w:sz="0" w:space="0" w:color="auto"/>
        <w:left w:val="none" w:sz="0" w:space="0" w:color="auto"/>
        <w:bottom w:val="none" w:sz="0" w:space="0" w:color="auto"/>
        <w:right w:val="none" w:sz="0" w:space="0" w:color="auto"/>
      </w:divBdr>
      <w:divsChild>
        <w:div w:id="1276056655">
          <w:marLeft w:val="0"/>
          <w:marRight w:val="0"/>
          <w:marTop w:val="60"/>
          <w:marBottom w:val="60"/>
          <w:divBdr>
            <w:top w:val="none" w:sz="0" w:space="0" w:color="auto"/>
            <w:left w:val="none" w:sz="0" w:space="0" w:color="auto"/>
            <w:bottom w:val="none" w:sz="0" w:space="0" w:color="auto"/>
            <w:right w:val="none" w:sz="0" w:space="0" w:color="auto"/>
          </w:divBdr>
        </w:div>
      </w:divsChild>
    </w:div>
    <w:div w:id="408696249">
      <w:marLeft w:val="0"/>
      <w:marRight w:val="0"/>
      <w:marTop w:val="60"/>
      <w:marBottom w:val="60"/>
      <w:divBdr>
        <w:top w:val="none" w:sz="0" w:space="0" w:color="auto"/>
        <w:left w:val="none" w:sz="0" w:space="0" w:color="auto"/>
        <w:bottom w:val="none" w:sz="0" w:space="0" w:color="auto"/>
        <w:right w:val="none" w:sz="0" w:space="0" w:color="auto"/>
      </w:divBdr>
    </w:div>
    <w:div w:id="409347416">
      <w:marLeft w:val="0"/>
      <w:marRight w:val="0"/>
      <w:marTop w:val="180"/>
      <w:marBottom w:val="180"/>
      <w:divBdr>
        <w:top w:val="none" w:sz="0" w:space="0" w:color="auto"/>
        <w:left w:val="none" w:sz="0" w:space="0" w:color="auto"/>
        <w:bottom w:val="none" w:sz="0" w:space="0" w:color="auto"/>
        <w:right w:val="none" w:sz="0" w:space="0" w:color="auto"/>
      </w:divBdr>
    </w:div>
    <w:div w:id="409501019">
      <w:marLeft w:val="0"/>
      <w:marRight w:val="0"/>
      <w:marTop w:val="180"/>
      <w:marBottom w:val="180"/>
      <w:divBdr>
        <w:top w:val="none" w:sz="0" w:space="0" w:color="auto"/>
        <w:left w:val="none" w:sz="0" w:space="0" w:color="auto"/>
        <w:bottom w:val="none" w:sz="0" w:space="0" w:color="auto"/>
        <w:right w:val="none" w:sz="0" w:space="0" w:color="auto"/>
      </w:divBdr>
    </w:div>
    <w:div w:id="410280361">
      <w:marLeft w:val="0"/>
      <w:marRight w:val="0"/>
      <w:marTop w:val="180"/>
      <w:marBottom w:val="60"/>
      <w:divBdr>
        <w:top w:val="none" w:sz="0" w:space="0" w:color="auto"/>
        <w:left w:val="none" w:sz="0" w:space="0" w:color="auto"/>
        <w:bottom w:val="none" w:sz="0" w:space="0" w:color="auto"/>
        <w:right w:val="none" w:sz="0" w:space="0" w:color="auto"/>
      </w:divBdr>
    </w:div>
    <w:div w:id="411201077">
      <w:marLeft w:val="0"/>
      <w:marRight w:val="0"/>
      <w:marTop w:val="180"/>
      <w:marBottom w:val="180"/>
      <w:divBdr>
        <w:top w:val="none" w:sz="0" w:space="0" w:color="auto"/>
        <w:left w:val="none" w:sz="0" w:space="0" w:color="auto"/>
        <w:bottom w:val="none" w:sz="0" w:space="0" w:color="auto"/>
        <w:right w:val="none" w:sz="0" w:space="0" w:color="auto"/>
      </w:divBdr>
    </w:div>
    <w:div w:id="411201495">
      <w:marLeft w:val="0"/>
      <w:marRight w:val="0"/>
      <w:marTop w:val="180"/>
      <w:marBottom w:val="180"/>
      <w:divBdr>
        <w:top w:val="none" w:sz="0" w:space="0" w:color="auto"/>
        <w:left w:val="none" w:sz="0" w:space="0" w:color="auto"/>
        <w:bottom w:val="none" w:sz="0" w:space="0" w:color="auto"/>
        <w:right w:val="none" w:sz="0" w:space="0" w:color="auto"/>
      </w:divBdr>
    </w:div>
    <w:div w:id="414210344">
      <w:marLeft w:val="0"/>
      <w:marRight w:val="0"/>
      <w:marTop w:val="0"/>
      <w:marBottom w:val="0"/>
      <w:divBdr>
        <w:top w:val="none" w:sz="0" w:space="0" w:color="auto"/>
        <w:left w:val="none" w:sz="0" w:space="0" w:color="auto"/>
        <w:bottom w:val="none" w:sz="0" w:space="0" w:color="auto"/>
        <w:right w:val="none" w:sz="0" w:space="0" w:color="auto"/>
      </w:divBdr>
    </w:div>
    <w:div w:id="415903837">
      <w:marLeft w:val="0"/>
      <w:marRight w:val="0"/>
      <w:marTop w:val="180"/>
      <w:marBottom w:val="180"/>
      <w:divBdr>
        <w:top w:val="none" w:sz="0" w:space="0" w:color="auto"/>
        <w:left w:val="none" w:sz="0" w:space="0" w:color="auto"/>
        <w:bottom w:val="none" w:sz="0" w:space="0" w:color="auto"/>
        <w:right w:val="none" w:sz="0" w:space="0" w:color="auto"/>
      </w:divBdr>
    </w:div>
    <w:div w:id="416026638">
      <w:marLeft w:val="0"/>
      <w:marRight w:val="0"/>
      <w:marTop w:val="180"/>
      <w:marBottom w:val="180"/>
      <w:divBdr>
        <w:top w:val="none" w:sz="0" w:space="0" w:color="auto"/>
        <w:left w:val="none" w:sz="0" w:space="0" w:color="auto"/>
        <w:bottom w:val="none" w:sz="0" w:space="0" w:color="auto"/>
        <w:right w:val="none" w:sz="0" w:space="0" w:color="auto"/>
      </w:divBdr>
    </w:div>
    <w:div w:id="417101390">
      <w:marLeft w:val="0"/>
      <w:marRight w:val="0"/>
      <w:marTop w:val="60"/>
      <w:marBottom w:val="60"/>
      <w:divBdr>
        <w:top w:val="none" w:sz="0" w:space="0" w:color="auto"/>
        <w:left w:val="none" w:sz="0" w:space="0" w:color="auto"/>
        <w:bottom w:val="none" w:sz="0" w:space="0" w:color="auto"/>
        <w:right w:val="none" w:sz="0" w:space="0" w:color="auto"/>
      </w:divBdr>
    </w:div>
    <w:div w:id="418137352">
      <w:marLeft w:val="0"/>
      <w:marRight w:val="0"/>
      <w:marTop w:val="60"/>
      <w:marBottom w:val="60"/>
      <w:divBdr>
        <w:top w:val="none" w:sz="0" w:space="0" w:color="auto"/>
        <w:left w:val="none" w:sz="0" w:space="0" w:color="auto"/>
        <w:bottom w:val="none" w:sz="0" w:space="0" w:color="auto"/>
        <w:right w:val="none" w:sz="0" w:space="0" w:color="auto"/>
      </w:divBdr>
    </w:div>
    <w:div w:id="419301755">
      <w:marLeft w:val="0"/>
      <w:marRight w:val="0"/>
      <w:marTop w:val="180"/>
      <w:marBottom w:val="180"/>
      <w:divBdr>
        <w:top w:val="none" w:sz="0" w:space="0" w:color="auto"/>
        <w:left w:val="none" w:sz="0" w:space="0" w:color="auto"/>
        <w:bottom w:val="none" w:sz="0" w:space="0" w:color="auto"/>
        <w:right w:val="none" w:sz="0" w:space="0" w:color="auto"/>
      </w:divBdr>
    </w:div>
    <w:div w:id="420638800">
      <w:marLeft w:val="0"/>
      <w:marRight w:val="0"/>
      <w:marTop w:val="60"/>
      <w:marBottom w:val="60"/>
      <w:divBdr>
        <w:top w:val="none" w:sz="0" w:space="0" w:color="auto"/>
        <w:left w:val="none" w:sz="0" w:space="0" w:color="auto"/>
        <w:bottom w:val="none" w:sz="0" w:space="0" w:color="auto"/>
        <w:right w:val="none" w:sz="0" w:space="0" w:color="auto"/>
      </w:divBdr>
    </w:div>
    <w:div w:id="424037020">
      <w:marLeft w:val="0"/>
      <w:marRight w:val="0"/>
      <w:marTop w:val="100"/>
      <w:marBottom w:val="0"/>
      <w:divBdr>
        <w:top w:val="none" w:sz="0" w:space="0" w:color="auto"/>
        <w:left w:val="none" w:sz="0" w:space="0" w:color="auto"/>
        <w:bottom w:val="none" w:sz="0" w:space="0" w:color="auto"/>
        <w:right w:val="none" w:sz="0" w:space="0" w:color="auto"/>
      </w:divBdr>
      <w:divsChild>
        <w:div w:id="1799294957">
          <w:marLeft w:val="0"/>
          <w:marRight w:val="0"/>
          <w:marTop w:val="180"/>
          <w:marBottom w:val="180"/>
          <w:divBdr>
            <w:top w:val="none" w:sz="0" w:space="0" w:color="auto"/>
            <w:left w:val="none" w:sz="0" w:space="0" w:color="auto"/>
            <w:bottom w:val="none" w:sz="0" w:space="0" w:color="auto"/>
            <w:right w:val="none" w:sz="0" w:space="0" w:color="auto"/>
          </w:divBdr>
        </w:div>
        <w:div w:id="1911772409">
          <w:marLeft w:val="0"/>
          <w:marRight w:val="0"/>
          <w:marTop w:val="180"/>
          <w:marBottom w:val="180"/>
          <w:divBdr>
            <w:top w:val="none" w:sz="0" w:space="0" w:color="auto"/>
            <w:left w:val="none" w:sz="0" w:space="0" w:color="auto"/>
            <w:bottom w:val="none" w:sz="0" w:space="0" w:color="auto"/>
            <w:right w:val="none" w:sz="0" w:space="0" w:color="auto"/>
          </w:divBdr>
        </w:div>
        <w:div w:id="1866820896">
          <w:marLeft w:val="0"/>
          <w:marRight w:val="0"/>
          <w:marTop w:val="180"/>
          <w:marBottom w:val="180"/>
          <w:divBdr>
            <w:top w:val="none" w:sz="0" w:space="0" w:color="auto"/>
            <w:left w:val="none" w:sz="0" w:space="0" w:color="auto"/>
            <w:bottom w:val="none" w:sz="0" w:space="0" w:color="auto"/>
            <w:right w:val="none" w:sz="0" w:space="0" w:color="auto"/>
          </w:divBdr>
        </w:div>
        <w:div w:id="379717792">
          <w:marLeft w:val="0"/>
          <w:marRight w:val="0"/>
          <w:marTop w:val="180"/>
          <w:marBottom w:val="180"/>
          <w:divBdr>
            <w:top w:val="none" w:sz="0" w:space="0" w:color="auto"/>
            <w:left w:val="none" w:sz="0" w:space="0" w:color="auto"/>
            <w:bottom w:val="none" w:sz="0" w:space="0" w:color="auto"/>
            <w:right w:val="none" w:sz="0" w:space="0" w:color="auto"/>
          </w:divBdr>
        </w:div>
        <w:div w:id="1525094201">
          <w:marLeft w:val="0"/>
          <w:marRight w:val="0"/>
          <w:marTop w:val="180"/>
          <w:marBottom w:val="180"/>
          <w:divBdr>
            <w:top w:val="none" w:sz="0" w:space="0" w:color="auto"/>
            <w:left w:val="none" w:sz="0" w:space="0" w:color="auto"/>
            <w:bottom w:val="none" w:sz="0" w:space="0" w:color="auto"/>
            <w:right w:val="none" w:sz="0" w:space="0" w:color="auto"/>
          </w:divBdr>
        </w:div>
      </w:divsChild>
    </w:div>
    <w:div w:id="424231404">
      <w:marLeft w:val="0"/>
      <w:marRight w:val="0"/>
      <w:marTop w:val="180"/>
      <w:marBottom w:val="180"/>
      <w:divBdr>
        <w:top w:val="none" w:sz="0" w:space="0" w:color="auto"/>
        <w:left w:val="none" w:sz="0" w:space="0" w:color="auto"/>
        <w:bottom w:val="none" w:sz="0" w:space="0" w:color="auto"/>
        <w:right w:val="none" w:sz="0" w:space="0" w:color="auto"/>
      </w:divBdr>
    </w:div>
    <w:div w:id="427391009">
      <w:marLeft w:val="0"/>
      <w:marRight w:val="0"/>
      <w:marTop w:val="180"/>
      <w:marBottom w:val="60"/>
      <w:divBdr>
        <w:top w:val="none" w:sz="0" w:space="0" w:color="auto"/>
        <w:left w:val="none" w:sz="0" w:space="0" w:color="auto"/>
        <w:bottom w:val="none" w:sz="0" w:space="0" w:color="auto"/>
        <w:right w:val="none" w:sz="0" w:space="0" w:color="auto"/>
      </w:divBdr>
    </w:div>
    <w:div w:id="428085476">
      <w:marLeft w:val="0"/>
      <w:marRight w:val="0"/>
      <w:marTop w:val="0"/>
      <w:marBottom w:val="0"/>
      <w:divBdr>
        <w:top w:val="none" w:sz="0" w:space="0" w:color="auto"/>
        <w:left w:val="none" w:sz="0" w:space="0" w:color="auto"/>
        <w:bottom w:val="none" w:sz="0" w:space="0" w:color="auto"/>
        <w:right w:val="none" w:sz="0" w:space="0" w:color="auto"/>
      </w:divBdr>
    </w:div>
    <w:div w:id="430589951">
      <w:marLeft w:val="0"/>
      <w:marRight w:val="0"/>
      <w:marTop w:val="0"/>
      <w:marBottom w:val="0"/>
      <w:divBdr>
        <w:top w:val="none" w:sz="0" w:space="0" w:color="auto"/>
        <w:left w:val="none" w:sz="0" w:space="0" w:color="auto"/>
        <w:bottom w:val="none" w:sz="0" w:space="0" w:color="auto"/>
        <w:right w:val="none" w:sz="0" w:space="0" w:color="auto"/>
      </w:divBdr>
      <w:divsChild>
        <w:div w:id="587036137">
          <w:marLeft w:val="0"/>
          <w:marRight w:val="0"/>
          <w:marTop w:val="60"/>
          <w:marBottom w:val="60"/>
          <w:divBdr>
            <w:top w:val="none" w:sz="0" w:space="0" w:color="auto"/>
            <w:left w:val="none" w:sz="0" w:space="0" w:color="auto"/>
            <w:bottom w:val="none" w:sz="0" w:space="0" w:color="auto"/>
            <w:right w:val="none" w:sz="0" w:space="0" w:color="auto"/>
          </w:divBdr>
        </w:div>
      </w:divsChild>
    </w:div>
    <w:div w:id="431557889">
      <w:marLeft w:val="0"/>
      <w:marRight w:val="0"/>
      <w:marTop w:val="180"/>
      <w:marBottom w:val="180"/>
      <w:divBdr>
        <w:top w:val="none" w:sz="0" w:space="0" w:color="auto"/>
        <w:left w:val="none" w:sz="0" w:space="0" w:color="auto"/>
        <w:bottom w:val="none" w:sz="0" w:space="0" w:color="auto"/>
        <w:right w:val="none" w:sz="0" w:space="0" w:color="auto"/>
      </w:divBdr>
    </w:div>
    <w:div w:id="432632588">
      <w:marLeft w:val="0"/>
      <w:marRight w:val="0"/>
      <w:marTop w:val="60"/>
      <w:marBottom w:val="0"/>
      <w:divBdr>
        <w:top w:val="none" w:sz="0" w:space="0" w:color="auto"/>
        <w:left w:val="none" w:sz="0" w:space="0" w:color="auto"/>
        <w:bottom w:val="none" w:sz="0" w:space="0" w:color="auto"/>
        <w:right w:val="none" w:sz="0" w:space="0" w:color="auto"/>
      </w:divBdr>
    </w:div>
    <w:div w:id="434251390">
      <w:marLeft w:val="0"/>
      <w:marRight w:val="0"/>
      <w:marTop w:val="60"/>
      <w:marBottom w:val="60"/>
      <w:divBdr>
        <w:top w:val="none" w:sz="0" w:space="0" w:color="auto"/>
        <w:left w:val="none" w:sz="0" w:space="0" w:color="auto"/>
        <w:bottom w:val="none" w:sz="0" w:space="0" w:color="auto"/>
        <w:right w:val="none" w:sz="0" w:space="0" w:color="auto"/>
      </w:divBdr>
    </w:div>
    <w:div w:id="437409498">
      <w:marLeft w:val="0"/>
      <w:marRight w:val="0"/>
      <w:marTop w:val="60"/>
      <w:marBottom w:val="60"/>
      <w:divBdr>
        <w:top w:val="none" w:sz="0" w:space="0" w:color="auto"/>
        <w:left w:val="none" w:sz="0" w:space="0" w:color="auto"/>
        <w:bottom w:val="none" w:sz="0" w:space="0" w:color="auto"/>
        <w:right w:val="none" w:sz="0" w:space="0" w:color="auto"/>
      </w:divBdr>
    </w:div>
    <w:div w:id="438109144">
      <w:marLeft w:val="0"/>
      <w:marRight w:val="0"/>
      <w:marTop w:val="180"/>
      <w:marBottom w:val="180"/>
      <w:divBdr>
        <w:top w:val="none" w:sz="0" w:space="0" w:color="auto"/>
        <w:left w:val="none" w:sz="0" w:space="0" w:color="auto"/>
        <w:bottom w:val="none" w:sz="0" w:space="0" w:color="auto"/>
        <w:right w:val="none" w:sz="0" w:space="0" w:color="auto"/>
      </w:divBdr>
    </w:div>
    <w:div w:id="438456099">
      <w:marLeft w:val="0"/>
      <w:marRight w:val="0"/>
      <w:marTop w:val="180"/>
      <w:marBottom w:val="180"/>
      <w:divBdr>
        <w:top w:val="none" w:sz="0" w:space="0" w:color="auto"/>
        <w:left w:val="none" w:sz="0" w:space="0" w:color="auto"/>
        <w:bottom w:val="none" w:sz="0" w:space="0" w:color="auto"/>
        <w:right w:val="none" w:sz="0" w:space="0" w:color="auto"/>
      </w:divBdr>
    </w:div>
    <w:div w:id="439105208">
      <w:marLeft w:val="0"/>
      <w:marRight w:val="0"/>
      <w:marTop w:val="0"/>
      <w:marBottom w:val="0"/>
      <w:divBdr>
        <w:top w:val="none" w:sz="0" w:space="0" w:color="auto"/>
        <w:left w:val="none" w:sz="0" w:space="0" w:color="auto"/>
        <w:bottom w:val="none" w:sz="0" w:space="0" w:color="auto"/>
        <w:right w:val="none" w:sz="0" w:space="0" w:color="auto"/>
      </w:divBdr>
      <w:divsChild>
        <w:div w:id="142938407">
          <w:marLeft w:val="0"/>
          <w:marRight w:val="0"/>
          <w:marTop w:val="0"/>
          <w:marBottom w:val="0"/>
          <w:divBdr>
            <w:top w:val="none" w:sz="0" w:space="0" w:color="auto"/>
            <w:left w:val="none" w:sz="0" w:space="0" w:color="auto"/>
            <w:bottom w:val="none" w:sz="0" w:space="0" w:color="auto"/>
            <w:right w:val="none" w:sz="0" w:space="0" w:color="auto"/>
          </w:divBdr>
          <w:divsChild>
            <w:div w:id="16675123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0997287">
      <w:marLeft w:val="0"/>
      <w:marRight w:val="0"/>
      <w:marTop w:val="180"/>
      <w:marBottom w:val="180"/>
      <w:divBdr>
        <w:top w:val="none" w:sz="0" w:space="0" w:color="auto"/>
        <w:left w:val="none" w:sz="0" w:space="0" w:color="auto"/>
        <w:bottom w:val="none" w:sz="0" w:space="0" w:color="auto"/>
        <w:right w:val="none" w:sz="0" w:space="0" w:color="auto"/>
      </w:divBdr>
    </w:div>
    <w:div w:id="441801877">
      <w:marLeft w:val="0"/>
      <w:marRight w:val="0"/>
      <w:marTop w:val="180"/>
      <w:marBottom w:val="180"/>
      <w:divBdr>
        <w:top w:val="none" w:sz="0" w:space="0" w:color="auto"/>
        <w:left w:val="none" w:sz="0" w:space="0" w:color="auto"/>
        <w:bottom w:val="none" w:sz="0" w:space="0" w:color="auto"/>
        <w:right w:val="none" w:sz="0" w:space="0" w:color="auto"/>
      </w:divBdr>
    </w:div>
    <w:div w:id="443304922">
      <w:marLeft w:val="0"/>
      <w:marRight w:val="0"/>
      <w:marTop w:val="100"/>
      <w:marBottom w:val="20"/>
      <w:divBdr>
        <w:top w:val="none" w:sz="0" w:space="0" w:color="auto"/>
        <w:left w:val="none" w:sz="0" w:space="0" w:color="auto"/>
        <w:bottom w:val="none" w:sz="0" w:space="0" w:color="auto"/>
        <w:right w:val="none" w:sz="0" w:space="0" w:color="auto"/>
      </w:divBdr>
    </w:div>
    <w:div w:id="443576947">
      <w:marLeft w:val="0"/>
      <w:marRight w:val="0"/>
      <w:marTop w:val="60"/>
      <w:marBottom w:val="60"/>
      <w:divBdr>
        <w:top w:val="none" w:sz="0" w:space="0" w:color="auto"/>
        <w:left w:val="none" w:sz="0" w:space="0" w:color="auto"/>
        <w:bottom w:val="none" w:sz="0" w:space="0" w:color="auto"/>
        <w:right w:val="none" w:sz="0" w:space="0" w:color="auto"/>
      </w:divBdr>
    </w:div>
    <w:div w:id="445468365">
      <w:marLeft w:val="0"/>
      <w:marRight w:val="0"/>
      <w:marTop w:val="180"/>
      <w:marBottom w:val="60"/>
      <w:divBdr>
        <w:top w:val="none" w:sz="0" w:space="0" w:color="auto"/>
        <w:left w:val="none" w:sz="0" w:space="0" w:color="auto"/>
        <w:bottom w:val="none" w:sz="0" w:space="0" w:color="auto"/>
        <w:right w:val="none" w:sz="0" w:space="0" w:color="auto"/>
      </w:divBdr>
    </w:div>
    <w:div w:id="446002523">
      <w:marLeft w:val="0"/>
      <w:marRight w:val="0"/>
      <w:marTop w:val="60"/>
      <w:marBottom w:val="60"/>
      <w:divBdr>
        <w:top w:val="none" w:sz="0" w:space="0" w:color="auto"/>
        <w:left w:val="none" w:sz="0" w:space="0" w:color="auto"/>
        <w:bottom w:val="none" w:sz="0" w:space="0" w:color="auto"/>
        <w:right w:val="none" w:sz="0" w:space="0" w:color="auto"/>
      </w:divBdr>
    </w:div>
    <w:div w:id="447239526">
      <w:marLeft w:val="0"/>
      <w:marRight w:val="0"/>
      <w:marTop w:val="0"/>
      <w:marBottom w:val="0"/>
      <w:divBdr>
        <w:top w:val="none" w:sz="0" w:space="0" w:color="auto"/>
        <w:left w:val="none" w:sz="0" w:space="0" w:color="auto"/>
        <w:bottom w:val="none" w:sz="0" w:space="0" w:color="auto"/>
        <w:right w:val="none" w:sz="0" w:space="0" w:color="auto"/>
      </w:divBdr>
      <w:divsChild>
        <w:div w:id="1193886008">
          <w:marLeft w:val="0"/>
          <w:marRight w:val="0"/>
          <w:marTop w:val="0"/>
          <w:marBottom w:val="0"/>
          <w:divBdr>
            <w:top w:val="none" w:sz="0" w:space="0" w:color="auto"/>
            <w:left w:val="none" w:sz="0" w:space="0" w:color="auto"/>
            <w:bottom w:val="none" w:sz="0" w:space="0" w:color="auto"/>
            <w:right w:val="none" w:sz="0" w:space="0" w:color="auto"/>
          </w:divBdr>
          <w:divsChild>
            <w:div w:id="13203030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8007901">
      <w:marLeft w:val="0"/>
      <w:marRight w:val="0"/>
      <w:marTop w:val="180"/>
      <w:marBottom w:val="180"/>
      <w:divBdr>
        <w:top w:val="none" w:sz="0" w:space="0" w:color="auto"/>
        <w:left w:val="none" w:sz="0" w:space="0" w:color="auto"/>
        <w:bottom w:val="none" w:sz="0" w:space="0" w:color="auto"/>
        <w:right w:val="none" w:sz="0" w:space="0" w:color="auto"/>
      </w:divBdr>
    </w:div>
    <w:div w:id="448400060">
      <w:marLeft w:val="0"/>
      <w:marRight w:val="0"/>
      <w:marTop w:val="0"/>
      <w:marBottom w:val="0"/>
      <w:divBdr>
        <w:top w:val="none" w:sz="0" w:space="0" w:color="auto"/>
        <w:left w:val="none" w:sz="0" w:space="0" w:color="auto"/>
        <w:bottom w:val="none" w:sz="0" w:space="0" w:color="auto"/>
        <w:right w:val="none" w:sz="0" w:space="0" w:color="auto"/>
      </w:divBdr>
      <w:divsChild>
        <w:div w:id="644434873">
          <w:marLeft w:val="0"/>
          <w:marRight w:val="0"/>
          <w:marTop w:val="60"/>
          <w:marBottom w:val="60"/>
          <w:divBdr>
            <w:top w:val="none" w:sz="0" w:space="0" w:color="auto"/>
            <w:left w:val="none" w:sz="0" w:space="0" w:color="auto"/>
            <w:bottom w:val="none" w:sz="0" w:space="0" w:color="auto"/>
            <w:right w:val="none" w:sz="0" w:space="0" w:color="auto"/>
          </w:divBdr>
        </w:div>
      </w:divsChild>
    </w:div>
    <w:div w:id="449012162">
      <w:marLeft w:val="0"/>
      <w:marRight w:val="0"/>
      <w:marTop w:val="100"/>
      <w:marBottom w:val="0"/>
      <w:divBdr>
        <w:top w:val="none" w:sz="0" w:space="0" w:color="auto"/>
        <w:left w:val="none" w:sz="0" w:space="0" w:color="auto"/>
        <w:bottom w:val="none" w:sz="0" w:space="0" w:color="auto"/>
        <w:right w:val="none" w:sz="0" w:space="0" w:color="auto"/>
      </w:divBdr>
    </w:div>
    <w:div w:id="449519981">
      <w:marLeft w:val="0"/>
      <w:marRight w:val="0"/>
      <w:marTop w:val="180"/>
      <w:marBottom w:val="180"/>
      <w:divBdr>
        <w:top w:val="none" w:sz="0" w:space="0" w:color="auto"/>
        <w:left w:val="none" w:sz="0" w:space="0" w:color="auto"/>
        <w:bottom w:val="none" w:sz="0" w:space="0" w:color="auto"/>
        <w:right w:val="none" w:sz="0" w:space="0" w:color="auto"/>
      </w:divBdr>
    </w:div>
    <w:div w:id="451365720">
      <w:marLeft w:val="0"/>
      <w:marRight w:val="0"/>
      <w:marTop w:val="60"/>
      <w:marBottom w:val="60"/>
      <w:divBdr>
        <w:top w:val="none" w:sz="0" w:space="0" w:color="auto"/>
        <w:left w:val="none" w:sz="0" w:space="0" w:color="auto"/>
        <w:bottom w:val="none" w:sz="0" w:space="0" w:color="auto"/>
        <w:right w:val="none" w:sz="0" w:space="0" w:color="auto"/>
      </w:divBdr>
    </w:div>
    <w:div w:id="452987222">
      <w:marLeft w:val="0"/>
      <w:marRight w:val="0"/>
      <w:marTop w:val="0"/>
      <w:marBottom w:val="0"/>
      <w:divBdr>
        <w:top w:val="none" w:sz="0" w:space="0" w:color="auto"/>
        <w:left w:val="none" w:sz="0" w:space="0" w:color="auto"/>
        <w:bottom w:val="none" w:sz="0" w:space="0" w:color="auto"/>
        <w:right w:val="none" w:sz="0" w:space="0" w:color="auto"/>
      </w:divBdr>
    </w:div>
    <w:div w:id="453406234">
      <w:marLeft w:val="0"/>
      <w:marRight w:val="0"/>
      <w:marTop w:val="240"/>
      <w:marBottom w:val="180"/>
      <w:divBdr>
        <w:top w:val="none" w:sz="0" w:space="0" w:color="auto"/>
        <w:left w:val="none" w:sz="0" w:space="0" w:color="auto"/>
        <w:bottom w:val="none" w:sz="0" w:space="0" w:color="auto"/>
        <w:right w:val="none" w:sz="0" w:space="0" w:color="auto"/>
      </w:divBdr>
    </w:div>
    <w:div w:id="459497214">
      <w:marLeft w:val="0"/>
      <w:marRight w:val="0"/>
      <w:marTop w:val="100"/>
      <w:marBottom w:val="0"/>
      <w:divBdr>
        <w:top w:val="none" w:sz="0" w:space="0" w:color="auto"/>
        <w:left w:val="none" w:sz="0" w:space="0" w:color="auto"/>
        <w:bottom w:val="none" w:sz="0" w:space="0" w:color="auto"/>
        <w:right w:val="none" w:sz="0" w:space="0" w:color="auto"/>
      </w:divBdr>
      <w:divsChild>
        <w:div w:id="1919748952">
          <w:marLeft w:val="0"/>
          <w:marRight w:val="0"/>
          <w:marTop w:val="0"/>
          <w:marBottom w:val="0"/>
          <w:divBdr>
            <w:top w:val="none" w:sz="0" w:space="0" w:color="auto"/>
            <w:left w:val="none" w:sz="0" w:space="0" w:color="auto"/>
            <w:bottom w:val="none" w:sz="0" w:space="0" w:color="auto"/>
            <w:right w:val="none" w:sz="0" w:space="0" w:color="auto"/>
          </w:divBdr>
        </w:div>
      </w:divsChild>
    </w:div>
    <w:div w:id="461389062">
      <w:marLeft w:val="0"/>
      <w:marRight w:val="0"/>
      <w:marTop w:val="0"/>
      <w:marBottom w:val="0"/>
      <w:divBdr>
        <w:top w:val="none" w:sz="0" w:space="0" w:color="auto"/>
        <w:left w:val="none" w:sz="0" w:space="0" w:color="auto"/>
        <w:bottom w:val="none" w:sz="0" w:space="0" w:color="auto"/>
        <w:right w:val="none" w:sz="0" w:space="0" w:color="auto"/>
      </w:divBdr>
      <w:divsChild>
        <w:div w:id="1692030559">
          <w:marLeft w:val="0"/>
          <w:marRight w:val="0"/>
          <w:marTop w:val="60"/>
          <w:marBottom w:val="60"/>
          <w:divBdr>
            <w:top w:val="none" w:sz="0" w:space="0" w:color="auto"/>
            <w:left w:val="none" w:sz="0" w:space="0" w:color="auto"/>
            <w:bottom w:val="none" w:sz="0" w:space="0" w:color="auto"/>
            <w:right w:val="none" w:sz="0" w:space="0" w:color="auto"/>
          </w:divBdr>
        </w:div>
      </w:divsChild>
    </w:div>
    <w:div w:id="464271863">
      <w:marLeft w:val="0"/>
      <w:marRight w:val="0"/>
      <w:marTop w:val="180"/>
      <w:marBottom w:val="60"/>
      <w:divBdr>
        <w:top w:val="none" w:sz="0" w:space="0" w:color="auto"/>
        <w:left w:val="none" w:sz="0" w:space="0" w:color="auto"/>
        <w:bottom w:val="none" w:sz="0" w:space="0" w:color="auto"/>
        <w:right w:val="none" w:sz="0" w:space="0" w:color="auto"/>
      </w:divBdr>
    </w:div>
    <w:div w:id="465851166">
      <w:marLeft w:val="0"/>
      <w:marRight w:val="0"/>
      <w:marTop w:val="180"/>
      <w:marBottom w:val="60"/>
      <w:divBdr>
        <w:top w:val="none" w:sz="0" w:space="0" w:color="auto"/>
        <w:left w:val="none" w:sz="0" w:space="0" w:color="auto"/>
        <w:bottom w:val="none" w:sz="0" w:space="0" w:color="auto"/>
        <w:right w:val="none" w:sz="0" w:space="0" w:color="auto"/>
      </w:divBdr>
    </w:div>
    <w:div w:id="466240951">
      <w:marLeft w:val="0"/>
      <w:marRight w:val="0"/>
      <w:marTop w:val="60"/>
      <w:marBottom w:val="60"/>
      <w:divBdr>
        <w:top w:val="none" w:sz="0" w:space="0" w:color="auto"/>
        <w:left w:val="none" w:sz="0" w:space="0" w:color="auto"/>
        <w:bottom w:val="none" w:sz="0" w:space="0" w:color="auto"/>
        <w:right w:val="none" w:sz="0" w:space="0" w:color="auto"/>
      </w:divBdr>
    </w:div>
    <w:div w:id="468204031">
      <w:marLeft w:val="0"/>
      <w:marRight w:val="0"/>
      <w:marTop w:val="180"/>
      <w:marBottom w:val="180"/>
      <w:divBdr>
        <w:top w:val="none" w:sz="0" w:space="0" w:color="auto"/>
        <w:left w:val="none" w:sz="0" w:space="0" w:color="auto"/>
        <w:bottom w:val="none" w:sz="0" w:space="0" w:color="auto"/>
        <w:right w:val="none" w:sz="0" w:space="0" w:color="auto"/>
      </w:divBdr>
    </w:div>
    <w:div w:id="469061452">
      <w:marLeft w:val="0"/>
      <w:marRight w:val="0"/>
      <w:marTop w:val="60"/>
      <w:marBottom w:val="60"/>
      <w:divBdr>
        <w:top w:val="none" w:sz="0" w:space="0" w:color="auto"/>
        <w:left w:val="none" w:sz="0" w:space="0" w:color="auto"/>
        <w:bottom w:val="none" w:sz="0" w:space="0" w:color="auto"/>
        <w:right w:val="none" w:sz="0" w:space="0" w:color="auto"/>
      </w:divBdr>
    </w:div>
    <w:div w:id="469639220">
      <w:marLeft w:val="0"/>
      <w:marRight w:val="0"/>
      <w:marTop w:val="60"/>
      <w:marBottom w:val="60"/>
      <w:divBdr>
        <w:top w:val="none" w:sz="0" w:space="0" w:color="auto"/>
        <w:left w:val="none" w:sz="0" w:space="0" w:color="auto"/>
        <w:bottom w:val="none" w:sz="0" w:space="0" w:color="auto"/>
        <w:right w:val="none" w:sz="0" w:space="0" w:color="auto"/>
      </w:divBdr>
    </w:div>
    <w:div w:id="473524006">
      <w:marLeft w:val="0"/>
      <w:marRight w:val="0"/>
      <w:marTop w:val="100"/>
      <w:marBottom w:val="0"/>
      <w:divBdr>
        <w:top w:val="none" w:sz="0" w:space="0" w:color="auto"/>
        <w:left w:val="none" w:sz="0" w:space="0" w:color="auto"/>
        <w:bottom w:val="none" w:sz="0" w:space="0" w:color="auto"/>
        <w:right w:val="none" w:sz="0" w:space="0" w:color="auto"/>
      </w:divBdr>
    </w:div>
    <w:div w:id="473528347">
      <w:marLeft w:val="0"/>
      <w:marRight w:val="0"/>
      <w:marTop w:val="180"/>
      <w:marBottom w:val="180"/>
      <w:divBdr>
        <w:top w:val="none" w:sz="0" w:space="0" w:color="auto"/>
        <w:left w:val="none" w:sz="0" w:space="0" w:color="auto"/>
        <w:bottom w:val="none" w:sz="0" w:space="0" w:color="auto"/>
        <w:right w:val="none" w:sz="0" w:space="0" w:color="auto"/>
      </w:divBdr>
    </w:div>
    <w:div w:id="473790922">
      <w:marLeft w:val="0"/>
      <w:marRight w:val="0"/>
      <w:marTop w:val="0"/>
      <w:marBottom w:val="0"/>
      <w:divBdr>
        <w:top w:val="none" w:sz="0" w:space="0" w:color="auto"/>
        <w:left w:val="none" w:sz="0" w:space="0" w:color="auto"/>
        <w:bottom w:val="none" w:sz="0" w:space="0" w:color="auto"/>
        <w:right w:val="none" w:sz="0" w:space="0" w:color="auto"/>
      </w:divBdr>
    </w:div>
    <w:div w:id="475537818">
      <w:marLeft w:val="0"/>
      <w:marRight w:val="0"/>
      <w:marTop w:val="180"/>
      <w:marBottom w:val="180"/>
      <w:divBdr>
        <w:top w:val="none" w:sz="0" w:space="0" w:color="auto"/>
        <w:left w:val="none" w:sz="0" w:space="0" w:color="auto"/>
        <w:bottom w:val="none" w:sz="0" w:space="0" w:color="auto"/>
        <w:right w:val="none" w:sz="0" w:space="0" w:color="auto"/>
      </w:divBdr>
    </w:div>
    <w:div w:id="475799583">
      <w:marLeft w:val="0"/>
      <w:marRight w:val="0"/>
      <w:marTop w:val="180"/>
      <w:marBottom w:val="180"/>
      <w:divBdr>
        <w:top w:val="none" w:sz="0" w:space="0" w:color="auto"/>
        <w:left w:val="none" w:sz="0" w:space="0" w:color="auto"/>
        <w:bottom w:val="none" w:sz="0" w:space="0" w:color="auto"/>
        <w:right w:val="none" w:sz="0" w:space="0" w:color="auto"/>
      </w:divBdr>
    </w:div>
    <w:div w:id="478618836">
      <w:marLeft w:val="0"/>
      <w:marRight w:val="0"/>
      <w:marTop w:val="180"/>
      <w:marBottom w:val="180"/>
      <w:divBdr>
        <w:top w:val="none" w:sz="0" w:space="0" w:color="auto"/>
        <w:left w:val="none" w:sz="0" w:space="0" w:color="auto"/>
        <w:bottom w:val="none" w:sz="0" w:space="0" w:color="auto"/>
        <w:right w:val="none" w:sz="0" w:space="0" w:color="auto"/>
      </w:divBdr>
    </w:div>
    <w:div w:id="478694123">
      <w:marLeft w:val="0"/>
      <w:marRight w:val="0"/>
      <w:marTop w:val="180"/>
      <w:marBottom w:val="180"/>
      <w:divBdr>
        <w:top w:val="none" w:sz="0" w:space="0" w:color="auto"/>
        <w:left w:val="none" w:sz="0" w:space="0" w:color="auto"/>
        <w:bottom w:val="none" w:sz="0" w:space="0" w:color="auto"/>
        <w:right w:val="none" w:sz="0" w:space="0" w:color="auto"/>
      </w:divBdr>
    </w:div>
    <w:div w:id="479928043">
      <w:marLeft w:val="0"/>
      <w:marRight w:val="0"/>
      <w:marTop w:val="60"/>
      <w:marBottom w:val="60"/>
      <w:divBdr>
        <w:top w:val="none" w:sz="0" w:space="0" w:color="auto"/>
        <w:left w:val="none" w:sz="0" w:space="0" w:color="auto"/>
        <w:bottom w:val="none" w:sz="0" w:space="0" w:color="auto"/>
        <w:right w:val="none" w:sz="0" w:space="0" w:color="auto"/>
      </w:divBdr>
    </w:div>
    <w:div w:id="480006688">
      <w:marLeft w:val="0"/>
      <w:marRight w:val="0"/>
      <w:marTop w:val="0"/>
      <w:marBottom w:val="0"/>
      <w:divBdr>
        <w:top w:val="none" w:sz="0" w:space="0" w:color="auto"/>
        <w:left w:val="none" w:sz="0" w:space="0" w:color="auto"/>
        <w:bottom w:val="none" w:sz="0" w:space="0" w:color="auto"/>
        <w:right w:val="none" w:sz="0" w:space="0" w:color="auto"/>
      </w:divBdr>
      <w:divsChild>
        <w:div w:id="868881120">
          <w:marLeft w:val="0"/>
          <w:marRight w:val="0"/>
          <w:marTop w:val="60"/>
          <w:marBottom w:val="60"/>
          <w:divBdr>
            <w:top w:val="none" w:sz="0" w:space="0" w:color="auto"/>
            <w:left w:val="none" w:sz="0" w:space="0" w:color="auto"/>
            <w:bottom w:val="none" w:sz="0" w:space="0" w:color="auto"/>
            <w:right w:val="none" w:sz="0" w:space="0" w:color="auto"/>
          </w:divBdr>
        </w:div>
      </w:divsChild>
    </w:div>
    <w:div w:id="481968260">
      <w:marLeft w:val="0"/>
      <w:marRight w:val="0"/>
      <w:marTop w:val="0"/>
      <w:marBottom w:val="0"/>
      <w:divBdr>
        <w:top w:val="none" w:sz="0" w:space="0" w:color="auto"/>
        <w:left w:val="none" w:sz="0" w:space="0" w:color="auto"/>
        <w:bottom w:val="none" w:sz="0" w:space="0" w:color="auto"/>
        <w:right w:val="none" w:sz="0" w:space="0" w:color="auto"/>
      </w:divBdr>
      <w:divsChild>
        <w:div w:id="1957104598">
          <w:marLeft w:val="0"/>
          <w:marRight w:val="0"/>
          <w:marTop w:val="0"/>
          <w:marBottom w:val="0"/>
          <w:divBdr>
            <w:top w:val="none" w:sz="0" w:space="0" w:color="auto"/>
            <w:left w:val="none" w:sz="0" w:space="0" w:color="auto"/>
            <w:bottom w:val="none" w:sz="0" w:space="0" w:color="auto"/>
            <w:right w:val="none" w:sz="0" w:space="0" w:color="auto"/>
          </w:divBdr>
          <w:divsChild>
            <w:div w:id="3642113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3591876">
      <w:marLeft w:val="0"/>
      <w:marRight w:val="0"/>
      <w:marTop w:val="180"/>
      <w:marBottom w:val="0"/>
      <w:divBdr>
        <w:top w:val="none" w:sz="0" w:space="0" w:color="auto"/>
        <w:left w:val="none" w:sz="0" w:space="0" w:color="auto"/>
        <w:bottom w:val="none" w:sz="0" w:space="0" w:color="auto"/>
        <w:right w:val="none" w:sz="0" w:space="0" w:color="auto"/>
      </w:divBdr>
    </w:div>
    <w:div w:id="486363634">
      <w:marLeft w:val="0"/>
      <w:marRight w:val="0"/>
      <w:marTop w:val="100"/>
      <w:marBottom w:val="0"/>
      <w:divBdr>
        <w:top w:val="none" w:sz="0" w:space="0" w:color="auto"/>
        <w:left w:val="none" w:sz="0" w:space="0" w:color="auto"/>
        <w:bottom w:val="none" w:sz="0" w:space="0" w:color="auto"/>
        <w:right w:val="none" w:sz="0" w:space="0" w:color="auto"/>
      </w:divBdr>
      <w:divsChild>
        <w:div w:id="883562784">
          <w:marLeft w:val="0"/>
          <w:marRight w:val="0"/>
          <w:marTop w:val="0"/>
          <w:marBottom w:val="0"/>
          <w:divBdr>
            <w:top w:val="none" w:sz="0" w:space="0" w:color="auto"/>
            <w:left w:val="none" w:sz="0" w:space="0" w:color="auto"/>
            <w:bottom w:val="none" w:sz="0" w:space="0" w:color="auto"/>
            <w:right w:val="none" w:sz="0" w:space="0" w:color="auto"/>
          </w:divBdr>
        </w:div>
        <w:div w:id="1630889682">
          <w:marLeft w:val="0"/>
          <w:marRight w:val="0"/>
          <w:marTop w:val="0"/>
          <w:marBottom w:val="0"/>
          <w:divBdr>
            <w:top w:val="none" w:sz="0" w:space="0" w:color="auto"/>
            <w:left w:val="none" w:sz="0" w:space="0" w:color="auto"/>
            <w:bottom w:val="none" w:sz="0" w:space="0" w:color="auto"/>
            <w:right w:val="none" w:sz="0" w:space="0" w:color="auto"/>
          </w:divBdr>
        </w:div>
      </w:divsChild>
    </w:div>
    <w:div w:id="490290664">
      <w:marLeft w:val="0"/>
      <w:marRight w:val="0"/>
      <w:marTop w:val="180"/>
      <w:marBottom w:val="180"/>
      <w:divBdr>
        <w:top w:val="none" w:sz="0" w:space="0" w:color="auto"/>
        <w:left w:val="none" w:sz="0" w:space="0" w:color="auto"/>
        <w:bottom w:val="none" w:sz="0" w:space="0" w:color="auto"/>
        <w:right w:val="none" w:sz="0" w:space="0" w:color="auto"/>
      </w:divBdr>
    </w:div>
    <w:div w:id="493499340">
      <w:marLeft w:val="0"/>
      <w:marRight w:val="0"/>
      <w:marTop w:val="180"/>
      <w:marBottom w:val="180"/>
      <w:divBdr>
        <w:top w:val="none" w:sz="0" w:space="0" w:color="auto"/>
        <w:left w:val="none" w:sz="0" w:space="0" w:color="auto"/>
        <w:bottom w:val="none" w:sz="0" w:space="0" w:color="auto"/>
        <w:right w:val="none" w:sz="0" w:space="0" w:color="auto"/>
      </w:divBdr>
    </w:div>
    <w:div w:id="493883164">
      <w:marLeft w:val="0"/>
      <w:marRight w:val="0"/>
      <w:marTop w:val="0"/>
      <w:marBottom w:val="0"/>
      <w:divBdr>
        <w:top w:val="none" w:sz="0" w:space="0" w:color="auto"/>
        <w:left w:val="none" w:sz="0" w:space="0" w:color="auto"/>
        <w:bottom w:val="none" w:sz="0" w:space="0" w:color="auto"/>
        <w:right w:val="none" w:sz="0" w:space="0" w:color="auto"/>
      </w:divBdr>
      <w:divsChild>
        <w:div w:id="1062096712">
          <w:marLeft w:val="0"/>
          <w:marRight w:val="0"/>
          <w:marTop w:val="60"/>
          <w:marBottom w:val="60"/>
          <w:divBdr>
            <w:top w:val="none" w:sz="0" w:space="0" w:color="auto"/>
            <w:left w:val="none" w:sz="0" w:space="0" w:color="auto"/>
            <w:bottom w:val="none" w:sz="0" w:space="0" w:color="auto"/>
            <w:right w:val="none" w:sz="0" w:space="0" w:color="auto"/>
          </w:divBdr>
        </w:div>
      </w:divsChild>
    </w:div>
    <w:div w:id="495193340">
      <w:marLeft w:val="0"/>
      <w:marRight w:val="0"/>
      <w:marTop w:val="180"/>
      <w:marBottom w:val="180"/>
      <w:divBdr>
        <w:top w:val="none" w:sz="0" w:space="0" w:color="auto"/>
        <w:left w:val="none" w:sz="0" w:space="0" w:color="auto"/>
        <w:bottom w:val="none" w:sz="0" w:space="0" w:color="auto"/>
        <w:right w:val="none" w:sz="0" w:space="0" w:color="auto"/>
      </w:divBdr>
    </w:div>
    <w:div w:id="495996377">
      <w:marLeft w:val="0"/>
      <w:marRight w:val="0"/>
      <w:marTop w:val="180"/>
      <w:marBottom w:val="180"/>
      <w:divBdr>
        <w:top w:val="none" w:sz="0" w:space="0" w:color="auto"/>
        <w:left w:val="none" w:sz="0" w:space="0" w:color="auto"/>
        <w:bottom w:val="none" w:sz="0" w:space="0" w:color="auto"/>
        <w:right w:val="none" w:sz="0" w:space="0" w:color="auto"/>
      </w:divBdr>
    </w:div>
    <w:div w:id="497572416">
      <w:marLeft w:val="0"/>
      <w:marRight w:val="0"/>
      <w:marTop w:val="100"/>
      <w:marBottom w:val="0"/>
      <w:divBdr>
        <w:top w:val="none" w:sz="0" w:space="0" w:color="auto"/>
        <w:left w:val="none" w:sz="0" w:space="0" w:color="auto"/>
        <w:bottom w:val="none" w:sz="0" w:space="0" w:color="auto"/>
        <w:right w:val="none" w:sz="0" w:space="0" w:color="auto"/>
      </w:divBdr>
      <w:divsChild>
        <w:div w:id="1050114308">
          <w:marLeft w:val="0"/>
          <w:marRight w:val="0"/>
          <w:marTop w:val="0"/>
          <w:marBottom w:val="0"/>
          <w:divBdr>
            <w:top w:val="none" w:sz="0" w:space="0" w:color="auto"/>
            <w:left w:val="none" w:sz="0" w:space="0" w:color="auto"/>
            <w:bottom w:val="none" w:sz="0" w:space="0" w:color="auto"/>
            <w:right w:val="none" w:sz="0" w:space="0" w:color="auto"/>
          </w:divBdr>
        </w:div>
        <w:div w:id="689651020">
          <w:marLeft w:val="0"/>
          <w:marRight w:val="0"/>
          <w:marTop w:val="0"/>
          <w:marBottom w:val="0"/>
          <w:divBdr>
            <w:top w:val="none" w:sz="0" w:space="0" w:color="auto"/>
            <w:left w:val="none" w:sz="0" w:space="0" w:color="auto"/>
            <w:bottom w:val="none" w:sz="0" w:space="0" w:color="auto"/>
            <w:right w:val="none" w:sz="0" w:space="0" w:color="auto"/>
          </w:divBdr>
        </w:div>
      </w:divsChild>
    </w:div>
    <w:div w:id="497619911">
      <w:marLeft w:val="0"/>
      <w:marRight w:val="0"/>
      <w:marTop w:val="0"/>
      <w:marBottom w:val="0"/>
      <w:divBdr>
        <w:top w:val="none" w:sz="0" w:space="0" w:color="auto"/>
        <w:left w:val="none" w:sz="0" w:space="0" w:color="auto"/>
        <w:bottom w:val="none" w:sz="0" w:space="0" w:color="auto"/>
        <w:right w:val="none" w:sz="0" w:space="0" w:color="auto"/>
      </w:divBdr>
      <w:divsChild>
        <w:div w:id="1283419154">
          <w:marLeft w:val="0"/>
          <w:marRight w:val="0"/>
          <w:marTop w:val="0"/>
          <w:marBottom w:val="0"/>
          <w:divBdr>
            <w:top w:val="none" w:sz="0" w:space="0" w:color="auto"/>
            <w:left w:val="none" w:sz="0" w:space="0" w:color="auto"/>
            <w:bottom w:val="none" w:sz="0" w:space="0" w:color="auto"/>
            <w:right w:val="none" w:sz="0" w:space="0" w:color="auto"/>
          </w:divBdr>
          <w:divsChild>
            <w:div w:id="19806950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97814935">
      <w:marLeft w:val="0"/>
      <w:marRight w:val="0"/>
      <w:marTop w:val="180"/>
      <w:marBottom w:val="180"/>
      <w:divBdr>
        <w:top w:val="none" w:sz="0" w:space="0" w:color="auto"/>
        <w:left w:val="none" w:sz="0" w:space="0" w:color="auto"/>
        <w:bottom w:val="none" w:sz="0" w:space="0" w:color="auto"/>
        <w:right w:val="none" w:sz="0" w:space="0" w:color="auto"/>
      </w:divBdr>
    </w:div>
    <w:div w:id="498540796">
      <w:marLeft w:val="0"/>
      <w:marRight w:val="0"/>
      <w:marTop w:val="0"/>
      <w:marBottom w:val="0"/>
      <w:divBdr>
        <w:top w:val="none" w:sz="0" w:space="0" w:color="auto"/>
        <w:left w:val="none" w:sz="0" w:space="0" w:color="auto"/>
        <w:bottom w:val="none" w:sz="0" w:space="0" w:color="auto"/>
        <w:right w:val="none" w:sz="0" w:space="0" w:color="auto"/>
      </w:divBdr>
      <w:divsChild>
        <w:div w:id="761681817">
          <w:marLeft w:val="0"/>
          <w:marRight w:val="0"/>
          <w:marTop w:val="60"/>
          <w:marBottom w:val="60"/>
          <w:divBdr>
            <w:top w:val="none" w:sz="0" w:space="0" w:color="auto"/>
            <w:left w:val="none" w:sz="0" w:space="0" w:color="auto"/>
            <w:bottom w:val="none" w:sz="0" w:space="0" w:color="auto"/>
            <w:right w:val="none" w:sz="0" w:space="0" w:color="auto"/>
          </w:divBdr>
        </w:div>
      </w:divsChild>
    </w:div>
    <w:div w:id="500127333">
      <w:marLeft w:val="0"/>
      <w:marRight w:val="0"/>
      <w:marTop w:val="180"/>
      <w:marBottom w:val="180"/>
      <w:divBdr>
        <w:top w:val="none" w:sz="0" w:space="0" w:color="auto"/>
        <w:left w:val="none" w:sz="0" w:space="0" w:color="auto"/>
        <w:bottom w:val="none" w:sz="0" w:space="0" w:color="auto"/>
        <w:right w:val="none" w:sz="0" w:space="0" w:color="auto"/>
      </w:divBdr>
    </w:div>
    <w:div w:id="500194693">
      <w:marLeft w:val="0"/>
      <w:marRight w:val="0"/>
      <w:marTop w:val="180"/>
      <w:marBottom w:val="180"/>
      <w:divBdr>
        <w:top w:val="none" w:sz="0" w:space="0" w:color="auto"/>
        <w:left w:val="none" w:sz="0" w:space="0" w:color="auto"/>
        <w:bottom w:val="none" w:sz="0" w:space="0" w:color="auto"/>
        <w:right w:val="none" w:sz="0" w:space="0" w:color="auto"/>
      </w:divBdr>
    </w:div>
    <w:div w:id="502743015">
      <w:marLeft w:val="0"/>
      <w:marRight w:val="0"/>
      <w:marTop w:val="180"/>
      <w:marBottom w:val="180"/>
      <w:divBdr>
        <w:top w:val="none" w:sz="0" w:space="0" w:color="auto"/>
        <w:left w:val="none" w:sz="0" w:space="0" w:color="auto"/>
        <w:bottom w:val="none" w:sz="0" w:space="0" w:color="auto"/>
        <w:right w:val="none" w:sz="0" w:space="0" w:color="auto"/>
      </w:divBdr>
    </w:div>
    <w:div w:id="502862750">
      <w:marLeft w:val="0"/>
      <w:marRight w:val="0"/>
      <w:marTop w:val="180"/>
      <w:marBottom w:val="180"/>
      <w:divBdr>
        <w:top w:val="none" w:sz="0" w:space="0" w:color="auto"/>
        <w:left w:val="none" w:sz="0" w:space="0" w:color="auto"/>
        <w:bottom w:val="none" w:sz="0" w:space="0" w:color="auto"/>
        <w:right w:val="none" w:sz="0" w:space="0" w:color="auto"/>
      </w:divBdr>
    </w:div>
    <w:div w:id="504059311">
      <w:marLeft w:val="0"/>
      <w:marRight w:val="0"/>
      <w:marTop w:val="0"/>
      <w:marBottom w:val="0"/>
      <w:divBdr>
        <w:top w:val="none" w:sz="0" w:space="0" w:color="auto"/>
        <w:left w:val="none" w:sz="0" w:space="0" w:color="auto"/>
        <w:bottom w:val="none" w:sz="0" w:space="0" w:color="auto"/>
        <w:right w:val="none" w:sz="0" w:space="0" w:color="auto"/>
      </w:divBdr>
      <w:divsChild>
        <w:div w:id="958878857">
          <w:marLeft w:val="0"/>
          <w:marRight w:val="0"/>
          <w:marTop w:val="0"/>
          <w:marBottom w:val="0"/>
          <w:divBdr>
            <w:top w:val="none" w:sz="0" w:space="0" w:color="auto"/>
            <w:left w:val="none" w:sz="0" w:space="0" w:color="auto"/>
            <w:bottom w:val="none" w:sz="0" w:space="0" w:color="auto"/>
            <w:right w:val="none" w:sz="0" w:space="0" w:color="auto"/>
          </w:divBdr>
          <w:divsChild>
            <w:div w:id="5549706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06023207">
      <w:marLeft w:val="0"/>
      <w:marRight w:val="0"/>
      <w:marTop w:val="180"/>
      <w:marBottom w:val="180"/>
      <w:divBdr>
        <w:top w:val="none" w:sz="0" w:space="0" w:color="auto"/>
        <w:left w:val="none" w:sz="0" w:space="0" w:color="auto"/>
        <w:bottom w:val="none" w:sz="0" w:space="0" w:color="auto"/>
        <w:right w:val="none" w:sz="0" w:space="0" w:color="auto"/>
      </w:divBdr>
    </w:div>
    <w:div w:id="507445986">
      <w:marLeft w:val="0"/>
      <w:marRight w:val="0"/>
      <w:marTop w:val="100"/>
      <w:marBottom w:val="0"/>
      <w:divBdr>
        <w:top w:val="none" w:sz="0" w:space="0" w:color="auto"/>
        <w:left w:val="none" w:sz="0" w:space="0" w:color="auto"/>
        <w:bottom w:val="none" w:sz="0" w:space="0" w:color="auto"/>
        <w:right w:val="none" w:sz="0" w:space="0" w:color="auto"/>
      </w:divBdr>
    </w:div>
    <w:div w:id="512720059">
      <w:marLeft w:val="0"/>
      <w:marRight w:val="0"/>
      <w:marTop w:val="0"/>
      <w:marBottom w:val="0"/>
      <w:divBdr>
        <w:top w:val="none" w:sz="0" w:space="0" w:color="auto"/>
        <w:left w:val="none" w:sz="0" w:space="0" w:color="auto"/>
        <w:bottom w:val="none" w:sz="0" w:space="0" w:color="auto"/>
        <w:right w:val="none" w:sz="0" w:space="0" w:color="auto"/>
      </w:divBdr>
      <w:divsChild>
        <w:div w:id="454255597">
          <w:marLeft w:val="0"/>
          <w:marRight w:val="0"/>
          <w:marTop w:val="60"/>
          <w:marBottom w:val="60"/>
          <w:divBdr>
            <w:top w:val="none" w:sz="0" w:space="0" w:color="auto"/>
            <w:left w:val="none" w:sz="0" w:space="0" w:color="auto"/>
            <w:bottom w:val="none" w:sz="0" w:space="0" w:color="auto"/>
            <w:right w:val="none" w:sz="0" w:space="0" w:color="auto"/>
          </w:divBdr>
        </w:div>
      </w:divsChild>
    </w:div>
    <w:div w:id="513416874">
      <w:marLeft w:val="0"/>
      <w:marRight w:val="0"/>
      <w:marTop w:val="60"/>
      <w:marBottom w:val="60"/>
      <w:divBdr>
        <w:top w:val="none" w:sz="0" w:space="0" w:color="auto"/>
        <w:left w:val="none" w:sz="0" w:space="0" w:color="auto"/>
        <w:bottom w:val="none" w:sz="0" w:space="0" w:color="auto"/>
        <w:right w:val="none" w:sz="0" w:space="0" w:color="auto"/>
      </w:divBdr>
    </w:div>
    <w:div w:id="515658567">
      <w:marLeft w:val="0"/>
      <w:marRight w:val="0"/>
      <w:marTop w:val="0"/>
      <w:marBottom w:val="0"/>
      <w:divBdr>
        <w:top w:val="none" w:sz="0" w:space="0" w:color="auto"/>
        <w:left w:val="none" w:sz="0" w:space="0" w:color="auto"/>
        <w:bottom w:val="none" w:sz="0" w:space="0" w:color="auto"/>
        <w:right w:val="none" w:sz="0" w:space="0" w:color="auto"/>
      </w:divBdr>
    </w:div>
    <w:div w:id="516970992">
      <w:marLeft w:val="0"/>
      <w:marRight w:val="0"/>
      <w:marTop w:val="0"/>
      <w:marBottom w:val="0"/>
      <w:divBdr>
        <w:top w:val="none" w:sz="0" w:space="0" w:color="auto"/>
        <w:left w:val="none" w:sz="0" w:space="0" w:color="auto"/>
        <w:bottom w:val="none" w:sz="0" w:space="0" w:color="auto"/>
        <w:right w:val="none" w:sz="0" w:space="0" w:color="auto"/>
      </w:divBdr>
    </w:div>
    <w:div w:id="518397716">
      <w:marLeft w:val="0"/>
      <w:marRight w:val="0"/>
      <w:marTop w:val="0"/>
      <w:marBottom w:val="0"/>
      <w:divBdr>
        <w:top w:val="none" w:sz="0" w:space="0" w:color="auto"/>
        <w:left w:val="none" w:sz="0" w:space="0" w:color="auto"/>
        <w:bottom w:val="none" w:sz="0" w:space="0" w:color="auto"/>
        <w:right w:val="none" w:sz="0" w:space="0" w:color="auto"/>
      </w:divBdr>
    </w:div>
    <w:div w:id="519781149">
      <w:marLeft w:val="0"/>
      <w:marRight w:val="0"/>
      <w:marTop w:val="180"/>
      <w:marBottom w:val="180"/>
      <w:divBdr>
        <w:top w:val="none" w:sz="0" w:space="0" w:color="auto"/>
        <w:left w:val="none" w:sz="0" w:space="0" w:color="auto"/>
        <w:bottom w:val="none" w:sz="0" w:space="0" w:color="auto"/>
        <w:right w:val="none" w:sz="0" w:space="0" w:color="auto"/>
      </w:divBdr>
    </w:div>
    <w:div w:id="522981884">
      <w:marLeft w:val="0"/>
      <w:marRight w:val="0"/>
      <w:marTop w:val="180"/>
      <w:marBottom w:val="180"/>
      <w:divBdr>
        <w:top w:val="none" w:sz="0" w:space="0" w:color="auto"/>
        <w:left w:val="none" w:sz="0" w:space="0" w:color="auto"/>
        <w:bottom w:val="none" w:sz="0" w:space="0" w:color="auto"/>
        <w:right w:val="none" w:sz="0" w:space="0" w:color="auto"/>
      </w:divBdr>
    </w:div>
    <w:div w:id="523447835">
      <w:marLeft w:val="0"/>
      <w:marRight w:val="0"/>
      <w:marTop w:val="180"/>
      <w:marBottom w:val="180"/>
      <w:divBdr>
        <w:top w:val="none" w:sz="0" w:space="0" w:color="auto"/>
        <w:left w:val="none" w:sz="0" w:space="0" w:color="auto"/>
        <w:bottom w:val="none" w:sz="0" w:space="0" w:color="auto"/>
        <w:right w:val="none" w:sz="0" w:space="0" w:color="auto"/>
      </w:divBdr>
    </w:div>
    <w:div w:id="523638018">
      <w:marLeft w:val="0"/>
      <w:marRight w:val="0"/>
      <w:marTop w:val="60"/>
      <w:marBottom w:val="60"/>
      <w:divBdr>
        <w:top w:val="none" w:sz="0" w:space="0" w:color="auto"/>
        <w:left w:val="none" w:sz="0" w:space="0" w:color="auto"/>
        <w:bottom w:val="none" w:sz="0" w:space="0" w:color="auto"/>
        <w:right w:val="none" w:sz="0" w:space="0" w:color="auto"/>
      </w:divBdr>
    </w:div>
    <w:div w:id="525023139">
      <w:marLeft w:val="0"/>
      <w:marRight w:val="0"/>
      <w:marTop w:val="0"/>
      <w:marBottom w:val="0"/>
      <w:divBdr>
        <w:top w:val="none" w:sz="0" w:space="0" w:color="auto"/>
        <w:left w:val="none" w:sz="0" w:space="0" w:color="auto"/>
        <w:bottom w:val="none" w:sz="0" w:space="0" w:color="auto"/>
        <w:right w:val="none" w:sz="0" w:space="0" w:color="auto"/>
      </w:divBdr>
      <w:divsChild>
        <w:div w:id="305815109">
          <w:marLeft w:val="0"/>
          <w:marRight w:val="0"/>
          <w:marTop w:val="0"/>
          <w:marBottom w:val="0"/>
          <w:divBdr>
            <w:top w:val="none" w:sz="0" w:space="0" w:color="auto"/>
            <w:left w:val="none" w:sz="0" w:space="0" w:color="auto"/>
            <w:bottom w:val="none" w:sz="0" w:space="0" w:color="auto"/>
            <w:right w:val="none" w:sz="0" w:space="0" w:color="auto"/>
          </w:divBdr>
          <w:divsChild>
            <w:div w:id="2975408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6333471">
      <w:marLeft w:val="0"/>
      <w:marRight w:val="0"/>
      <w:marTop w:val="180"/>
      <w:marBottom w:val="180"/>
      <w:divBdr>
        <w:top w:val="none" w:sz="0" w:space="0" w:color="auto"/>
        <w:left w:val="none" w:sz="0" w:space="0" w:color="auto"/>
        <w:bottom w:val="none" w:sz="0" w:space="0" w:color="auto"/>
        <w:right w:val="none" w:sz="0" w:space="0" w:color="auto"/>
      </w:divBdr>
    </w:div>
    <w:div w:id="527068241">
      <w:marLeft w:val="0"/>
      <w:marRight w:val="0"/>
      <w:marTop w:val="0"/>
      <w:marBottom w:val="60"/>
      <w:divBdr>
        <w:top w:val="none" w:sz="0" w:space="0" w:color="auto"/>
        <w:left w:val="none" w:sz="0" w:space="0" w:color="auto"/>
        <w:bottom w:val="none" w:sz="0" w:space="0" w:color="auto"/>
        <w:right w:val="none" w:sz="0" w:space="0" w:color="auto"/>
      </w:divBdr>
    </w:div>
    <w:div w:id="527258173">
      <w:marLeft w:val="0"/>
      <w:marRight w:val="0"/>
      <w:marTop w:val="180"/>
      <w:marBottom w:val="180"/>
      <w:divBdr>
        <w:top w:val="none" w:sz="0" w:space="0" w:color="auto"/>
        <w:left w:val="none" w:sz="0" w:space="0" w:color="auto"/>
        <w:bottom w:val="none" w:sz="0" w:space="0" w:color="auto"/>
        <w:right w:val="none" w:sz="0" w:space="0" w:color="auto"/>
      </w:divBdr>
    </w:div>
    <w:div w:id="528761781">
      <w:marLeft w:val="0"/>
      <w:marRight w:val="0"/>
      <w:marTop w:val="60"/>
      <w:marBottom w:val="60"/>
      <w:divBdr>
        <w:top w:val="none" w:sz="0" w:space="0" w:color="auto"/>
        <w:left w:val="none" w:sz="0" w:space="0" w:color="auto"/>
        <w:bottom w:val="none" w:sz="0" w:space="0" w:color="auto"/>
        <w:right w:val="none" w:sz="0" w:space="0" w:color="auto"/>
      </w:divBdr>
    </w:div>
    <w:div w:id="531307387">
      <w:marLeft w:val="0"/>
      <w:marRight w:val="0"/>
      <w:marTop w:val="180"/>
      <w:marBottom w:val="180"/>
      <w:divBdr>
        <w:top w:val="none" w:sz="0" w:space="0" w:color="auto"/>
        <w:left w:val="none" w:sz="0" w:space="0" w:color="auto"/>
        <w:bottom w:val="none" w:sz="0" w:space="0" w:color="auto"/>
        <w:right w:val="none" w:sz="0" w:space="0" w:color="auto"/>
      </w:divBdr>
    </w:div>
    <w:div w:id="533153537">
      <w:marLeft w:val="0"/>
      <w:marRight w:val="0"/>
      <w:marTop w:val="180"/>
      <w:marBottom w:val="180"/>
      <w:divBdr>
        <w:top w:val="none" w:sz="0" w:space="0" w:color="auto"/>
        <w:left w:val="none" w:sz="0" w:space="0" w:color="auto"/>
        <w:bottom w:val="none" w:sz="0" w:space="0" w:color="auto"/>
        <w:right w:val="none" w:sz="0" w:space="0" w:color="auto"/>
      </w:divBdr>
    </w:div>
    <w:div w:id="533615729">
      <w:marLeft w:val="0"/>
      <w:marRight w:val="0"/>
      <w:marTop w:val="180"/>
      <w:marBottom w:val="180"/>
      <w:divBdr>
        <w:top w:val="none" w:sz="0" w:space="0" w:color="auto"/>
        <w:left w:val="none" w:sz="0" w:space="0" w:color="auto"/>
        <w:bottom w:val="none" w:sz="0" w:space="0" w:color="auto"/>
        <w:right w:val="none" w:sz="0" w:space="0" w:color="auto"/>
      </w:divBdr>
    </w:div>
    <w:div w:id="536357243">
      <w:marLeft w:val="0"/>
      <w:marRight w:val="0"/>
      <w:marTop w:val="180"/>
      <w:marBottom w:val="60"/>
      <w:divBdr>
        <w:top w:val="none" w:sz="0" w:space="0" w:color="auto"/>
        <w:left w:val="none" w:sz="0" w:space="0" w:color="auto"/>
        <w:bottom w:val="none" w:sz="0" w:space="0" w:color="auto"/>
        <w:right w:val="none" w:sz="0" w:space="0" w:color="auto"/>
      </w:divBdr>
    </w:div>
    <w:div w:id="536816016">
      <w:marLeft w:val="0"/>
      <w:marRight w:val="0"/>
      <w:marTop w:val="180"/>
      <w:marBottom w:val="180"/>
      <w:divBdr>
        <w:top w:val="none" w:sz="0" w:space="0" w:color="auto"/>
        <w:left w:val="none" w:sz="0" w:space="0" w:color="auto"/>
        <w:bottom w:val="none" w:sz="0" w:space="0" w:color="auto"/>
        <w:right w:val="none" w:sz="0" w:space="0" w:color="auto"/>
      </w:divBdr>
    </w:div>
    <w:div w:id="542524937">
      <w:marLeft w:val="0"/>
      <w:marRight w:val="0"/>
      <w:marTop w:val="0"/>
      <w:marBottom w:val="0"/>
      <w:divBdr>
        <w:top w:val="none" w:sz="0" w:space="0" w:color="auto"/>
        <w:left w:val="none" w:sz="0" w:space="0" w:color="auto"/>
        <w:bottom w:val="none" w:sz="0" w:space="0" w:color="auto"/>
        <w:right w:val="none" w:sz="0" w:space="0" w:color="auto"/>
      </w:divBdr>
    </w:div>
    <w:div w:id="545602170">
      <w:marLeft w:val="0"/>
      <w:marRight w:val="0"/>
      <w:marTop w:val="180"/>
      <w:marBottom w:val="180"/>
      <w:divBdr>
        <w:top w:val="none" w:sz="0" w:space="0" w:color="auto"/>
        <w:left w:val="none" w:sz="0" w:space="0" w:color="auto"/>
        <w:bottom w:val="none" w:sz="0" w:space="0" w:color="auto"/>
        <w:right w:val="none" w:sz="0" w:space="0" w:color="auto"/>
      </w:divBdr>
    </w:div>
    <w:div w:id="546114402">
      <w:marLeft w:val="0"/>
      <w:marRight w:val="0"/>
      <w:marTop w:val="60"/>
      <w:marBottom w:val="60"/>
      <w:divBdr>
        <w:top w:val="none" w:sz="0" w:space="0" w:color="auto"/>
        <w:left w:val="none" w:sz="0" w:space="0" w:color="auto"/>
        <w:bottom w:val="none" w:sz="0" w:space="0" w:color="auto"/>
        <w:right w:val="none" w:sz="0" w:space="0" w:color="auto"/>
      </w:divBdr>
    </w:div>
    <w:div w:id="546571022">
      <w:marLeft w:val="0"/>
      <w:marRight w:val="0"/>
      <w:marTop w:val="180"/>
      <w:marBottom w:val="180"/>
      <w:divBdr>
        <w:top w:val="none" w:sz="0" w:space="0" w:color="auto"/>
        <w:left w:val="none" w:sz="0" w:space="0" w:color="auto"/>
        <w:bottom w:val="none" w:sz="0" w:space="0" w:color="auto"/>
        <w:right w:val="none" w:sz="0" w:space="0" w:color="auto"/>
      </w:divBdr>
    </w:div>
    <w:div w:id="546647166">
      <w:marLeft w:val="0"/>
      <w:marRight w:val="0"/>
      <w:marTop w:val="180"/>
      <w:marBottom w:val="180"/>
      <w:divBdr>
        <w:top w:val="none" w:sz="0" w:space="0" w:color="auto"/>
        <w:left w:val="none" w:sz="0" w:space="0" w:color="auto"/>
        <w:bottom w:val="none" w:sz="0" w:space="0" w:color="auto"/>
        <w:right w:val="none" w:sz="0" w:space="0" w:color="auto"/>
      </w:divBdr>
    </w:div>
    <w:div w:id="548614557">
      <w:marLeft w:val="0"/>
      <w:marRight w:val="0"/>
      <w:marTop w:val="0"/>
      <w:marBottom w:val="0"/>
      <w:divBdr>
        <w:top w:val="none" w:sz="0" w:space="0" w:color="auto"/>
        <w:left w:val="none" w:sz="0" w:space="0" w:color="auto"/>
        <w:bottom w:val="none" w:sz="0" w:space="0" w:color="auto"/>
        <w:right w:val="none" w:sz="0" w:space="0" w:color="auto"/>
      </w:divBdr>
    </w:div>
    <w:div w:id="550533561">
      <w:marLeft w:val="0"/>
      <w:marRight w:val="0"/>
      <w:marTop w:val="0"/>
      <w:marBottom w:val="0"/>
      <w:divBdr>
        <w:top w:val="none" w:sz="0" w:space="0" w:color="auto"/>
        <w:left w:val="none" w:sz="0" w:space="0" w:color="auto"/>
        <w:bottom w:val="none" w:sz="0" w:space="0" w:color="auto"/>
        <w:right w:val="none" w:sz="0" w:space="0" w:color="auto"/>
      </w:divBdr>
      <w:divsChild>
        <w:div w:id="1262375265">
          <w:marLeft w:val="0"/>
          <w:marRight w:val="0"/>
          <w:marTop w:val="60"/>
          <w:marBottom w:val="60"/>
          <w:divBdr>
            <w:top w:val="none" w:sz="0" w:space="0" w:color="auto"/>
            <w:left w:val="none" w:sz="0" w:space="0" w:color="auto"/>
            <w:bottom w:val="none" w:sz="0" w:space="0" w:color="auto"/>
            <w:right w:val="none" w:sz="0" w:space="0" w:color="auto"/>
          </w:divBdr>
        </w:div>
      </w:divsChild>
    </w:div>
    <w:div w:id="550774474">
      <w:marLeft w:val="0"/>
      <w:marRight w:val="0"/>
      <w:marTop w:val="60"/>
      <w:marBottom w:val="60"/>
      <w:divBdr>
        <w:top w:val="none" w:sz="0" w:space="0" w:color="auto"/>
        <w:left w:val="none" w:sz="0" w:space="0" w:color="auto"/>
        <w:bottom w:val="none" w:sz="0" w:space="0" w:color="auto"/>
        <w:right w:val="none" w:sz="0" w:space="0" w:color="auto"/>
      </w:divBdr>
    </w:div>
    <w:div w:id="551161875">
      <w:marLeft w:val="0"/>
      <w:marRight w:val="0"/>
      <w:marTop w:val="180"/>
      <w:marBottom w:val="180"/>
      <w:divBdr>
        <w:top w:val="none" w:sz="0" w:space="0" w:color="auto"/>
        <w:left w:val="none" w:sz="0" w:space="0" w:color="auto"/>
        <w:bottom w:val="none" w:sz="0" w:space="0" w:color="auto"/>
        <w:right w:val="none" w:sz="0" w:space="0" w:color="auto"/>
      </w:divBdr>
      <w:divsChild>
        <w:div w:id="441731020">
          <w:marLeft w:val="0"/>
          <w:marRight w:val="0"/>
          <w:marTop w:val="0"/>
          <w:marBottom w:val="0"/>
          <w:divBdr>
            <w:top w:val="none" w:sz="0" w:space="0" w:color="auto"/>
            <w:left w:val="none" w:sz="0" w:space="0" w:color="auto"/>
            <w:bottom w:val="none" w:sz="0" w:space="0" w:color="auto"/>
            <w:right w:val="none" w:sz="0" w:space="0" w:color="auto"/>
          </w:divBdr>
        </w:div>
      </w:divsChild>
    </w:div>
    <w:div w:id="551699474">
      <w:marLeft w:val="0"/>
      <w:marRight w:val="0"/>
      <w:marTop w:val="0"/>
      <w:marBottom w:val="0"/>
      <w:divBdr>
        <w:top w:val="none" w:sz="0" w:space="0" w:color="auto"/>
        <w:left w:val="none" w:sz="0" w:space="0" w:color="auto"/>
        <w:bottom w:val="none" w:sz="0" w:space="0" w:color="auto"/>
        <w:right w:val="none" w:sz="0" w:space="0" w:color="auto"/>
      </w:divBdr>
      <w:divsChild>
        <w:div w:id="1878009896">
          <w:marLeft w:val="0"/>
          <w:marRight w:val="0"/>
          <w:marTop w:val="0"/>
          <w:marBottom w:val="0"/>
          <w:divBdr>
            <w:top w:val="none" w:sz="0" w:space="0" w:color="auto"/>
            <w:left w:val="none" w:sz="0" w:space="0" w:color="auto"/>
            <w:bottom w:val="none" w:sz="0" w:space="0" w:color="auto"/>
            <w:right w:val="none" w:sz="0" w:space="0" w:color="auto"/>
          </w:divBdr>
          <w:divsChild>
            <w:div w:id="5970592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3124026">
      <w:marLeft w:val="0"/>
      <w:marRight w:val="0"/>
      <w:marTop w:val="180"/>
      <w:marBottom w:val="180"/>
      <w:divBdr>
        <w:top w:val="none" w:sz="0" w:space="0" w:color="auto"/>
        <w:left w:val="none" w:sz="0" w:space="0" w:color="auto"/>
        <w:bottom w:val="none" w:sz="0" w:space="0" w:color="auto"/>
        <w:right w:val="none" w:sz="0" w:space="0" w:color="auto"/>
      </w:divBdr>
    </w:div>
    <w:div w:id="553856526">
      <w:marLeft w:val="0"/>
      <w:marRight w:val="0"/>
      <w:marTop w:val="0"/>
      <w:marBottom w:val="0"/>
      <w:divBdr>
        <w:top w:val="none" w:sz="0" w:space="0" w:color="auto"/>
        <w:left w:val="none" w:sz="0" w:space="0" w:color="auto"/>
        <w:bottom w:val="none" w:sz="0" w:space="0" w:color="auto"/>
        <w:right w:val="none" w:sz="0" w:space="0" w:color="auto"/>
      </w:divBdr>
      <w:divsChild>
        <w:div w:id="888566015">
          <w:marLeft w:val="0"/>
          <w:marRight w:val="0"/>
          <w:marTop w:val="60"/>
          <w:marBottom w:val="60"/>
          <w:divBdr>
            <w:top w:val="none" w:sz="0" w:space="0" w:color="auto"/>
            <w:left w:val="none" w:sz="0" w:space="0" w:color="auto"/>
            <w:bottom w:val="none" w:sz="0" w:space="0" w:color="auto"/>
            <w:right w:val="none" w:sz="0" w:space="0" w:color="auto"/>
          </w:divBdr>
        </w:div>
      </w:divsChild>
    </w:div>
    <w:div w:id="555286784">
      <w:marLeft w:val="0"/>
      <w:marRight w:val="0"/>
      <w:marTop w:val="0"/>
      <w:marBottom w:val="0"/>
      <w:divBdr>
        <w:top w:val="none" w:sz="0" w:space="0" w:color="auto"/>
        <w:left w:val="none" w:sz="0" w:space="0" w:color="auto"/>
        <w:bottom w:val="none" w:sz="0" w:space="0" w:color="auto"/>
        <w:right w:val="none" w:sz="0" w:space="0" w:color="auto"/>
      </w:divBdr>
      <w:divsChild>
        <w:div w:id="349381345">
          <w:marLeft w:val="0"/>
          <w:marRight w:val="0"/>
          <w:marTop w:val="0"/>
          <w:marBottom w:val="0"/>
          <w:divBdr>
            <w:top w:val="none" w:sz="0" w:space="0" w:color="auto"/>
            <w:left w:val="none" w:sz="0" w:space="0" w:color="auto"/>
            <w:bottom w:val="none" w:sz="0" w:space="0" w:color="auto"/>
            <w:right w:val="none" w:sz="0" w:space="0" w:color="auto"/>
          </w:divBdr>
          <w:divsChild>
            <w:div w:id="4307098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6479845">
      <w:marLeft w:val="0"/>
      <w:marRight w:val="0"/>
      <w:marTop w:val="180"/>
      <w:marBottom w:val="180"/>
      <w:divBdr>
        <w:top w:val="none" w:sz="0" w:space="0" w:color="auto"/>
        <w:left w:val="none" w:sz="0" w:space="0" w:color="auto"/>
        <w:bottom w:val="none" w:sz="0" w:space="0" w:color="auto"/>
        <w:right w:val="none" w:sz="0" w:space="0" w:color="auto"/>
      </w:divBdr>
    </w:div>
    <w:div w:id="557397270">
      <w:marLeft w:val="0"/>
      <w:marRight w:val="0"/>
      <w:marTop w:val="180"/>
      <w:marBottom w:val="180"/>
      <w:divBdr>
        <w:top w:val="none" w:sz="0" w:space="0" w:color="auto"/>
        <w:left w:val="none" w:sz="0" w:space="0" w:color="auto"/>
        <w:bottom w:val="none" w:sz="0" w:space="0" w:color="auto"/>
        <w:right w:val="none" w:sz="0" w:space="0" w:color="auto"/>
      </w:divBdr>
    </w:div>
    <w:div w:id="557981371">
      <w:marLeft w:val="0"/>
      <w:marRight w:val="0"/>
      <w:marTop w:val="180"/>
      <w:marBottom w:val="180"/>
      <w:divBdr>
        <w:top w:val="none" w:sz="0" w:space="0" w:color="auto"/>
        <w:left w:val="none" w:sz="0" w:space="0" w:color="auto"/>
        <w:bottom w:val="none" w:sz="0" w:space="0" w:color="auto"/>
        <w:right w:val="none" w:sz="0" w:space="0" w:color="auto"/>
      </w:divBdr>
    </w:div>
    <w:div w:id="561529781">
      <w:marLeft w:val="0"/>
      <w:marRight w:val="0"/>
      <w:marTop w:val="180"/>
      <w:marBottom w:val="180"/>
      <w:divBdr>
        <w:top w:val="none" w:sz="0" w:space="0" w:color="auto"/>
        <w:left w:val="none" w:sz="0" w:space="0" w:color="auto"/>
        <w:bottom w:val="none" w:sz="0" w:space="0" w:color="auto"/>
        <w:right w:val="none" w:sz="0" w:space="0" w:color="auto"/>
      </w:divBdr>
    </w:div>
    <w:div w:id="563953740">
      <w:marLeft w:val="0"/>
      <w:marRight w:val="0"/>
      <w:marTop w:val="180"/>
      <w:marBottom w:val="180"/>
      <w:divBdr>
        <w:top w:val="none" w:sz="0" w:space="0" w:color="auto"/>
        <w:left w:val="none" w:sz="0" w:space="0" w:color="auto"/>
        <w:bottom w:val="none" w:sz="0" w:space="0" w:color="auto"/>
        <w:right w:val="none" w:sz="0" w:space="0" w:color="auto"/>
      </w:divBdr>
    </w:div>
    <w:div w:id="569510750">
      <w:marLeft w:val="0"/>
      <w:marRight w:val="0"/>
      <w:marTop w:val="180"/>
      <w:marBottom w:val="180"/>
      <w:divBdr>
        <w:top w:val="none" w:sz="0" w:space="0" w:color="auto"/>
        <w:left w:val="none" w:sz="0" w:space="0" w:color="auto"/>
        <w:bottom w:val="none" w:sz="0" w:space="0" w:color="auto"/>
        <w:right w:val="none" w:sz="0" w:space="0" w:color="auto"/>
      </w:divBdr>
    </w:div>
    <w:div w:id="570235315">
      <w:marLeft w:val="0"/>
      <w:marRight w:val="0"/>
      <w:marTop w:val="0"/>
      <w:marBottom w:val="0"/>
      <w:divBdr>
        <w:top w:val="none" w:sz="0" w:space="0" w:color="auto"/>
        <w:left w:val="none" w:sz="0" w:space="0" w:color="auto"/>
        <w:bottom w:val="none" w:sz="0" w:space="0" w:color="auto"/>
        <w:right w:val="none" w:sz="0" w:space="0" w:color="auto"/>
      </w:divBdr>
      <w:divsChild>
        <w:div w:id="1688865253">
          <w:marLeft w:val="0"/>
          <w:marRight w:val="0"/>
          <w:marTop w:val="0"/>
          <w:marBottom w:val="0"/>
          <w:divBdr>
            <w:top w:val="none" w:sz="0" w:space="0" w:color="auto"/>
            <w:left w:val="none" w:sz="0" w:space="0" w:color="auto"/>
            <w:bottom w:val="none" w:sz="0" w:space="0" w:color="auto"/>
            <w:right w:val="none" w:sz="0" w:space="0" w:color="auto"/>
          </w:divBdr>
          <w:divsChild>
            <w:div w:id="4394475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0772623">
      <w:marLeft w:val="0"/>
      <w:marRight w:val="0"/>
      <w:marTop w:val="0"/>
      <w:marBottom w:val="0"/>
      <w:divBdr>
        <w:top w:val="none" w:sz="0" w:space="0" w:color="auto"/>
        <w:left w:val="none" w:sz="0" w:space="0" w:color="auto"/>
        <w:bottom w:val="none" w:sz="0" w:space="0" w:color="auto"/>
        <w:right w:val="none" w:sz="0" w:space="0" w:color="auto"/>
      </w:divBdr>
    </w:div>
    <w:div w:id="572079884">
      <w:marLeft w:val="0"/>
      <w:marRight w:val="0"/>
      <w:marTop w:val="0"/>
      <w:marBottom w:val="0"/>
      <w:divBdr>
        <w:top w:val="none" w:sz="0" w:space="0" w:color="auto"/>
        <w:left w:val="none" w:sz="0" w:space="0" w:color="auto"/>
        <w:bottom w:val="none" w:sz="0" w:space="0" w:color="auto"/>
        <w:right w:val="none" w:sz="0" w:space="0" w:color="auto"/>
      </w:divBdr>
      <w:divsChild>
        <w:div w:id="753431351">
          <w:marLeft w:val="0"/>
          <w:marRight w:val="0"/>
          <w:marTop w:val="0"/>
          <w:marBottom w:val="0"/>
          <w:divBdr>
            <w:top w:val="none" w:sz="0" w:space="0" w:color="auto"/>
            <w:left w:val="none" w:sz="0" w:space="0" w:color="auto"/>
            <w:bottom w:val="none" w:sz="0" w:space="0" w:color="auto"/>
            <w:right w:val="none" w:sz="0" w:space="0" w:color="auto"/>
          </w:divBdr>
          <w:divsChild>
            <w:div w:id="9382228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4241523">
      <w:marLeft w:val="0"/>
      <w:marRight w:val="0"/>
      <w:marTop w:val="180"/>
      <w:marBottom w:val="180"/>
      <w:divBdr>
        <w:top w:val="none" w:sz="0" w:space="0" w:color="auto"/>
        <w:left w:val="none" w:sz="0" w:space="0" w:color="auto"/>
        <w:bottom w:val="none" w:sz="0" w:space="0" w:color="auto"/>
        <w:right w:val="none" w:sz="0" w:space="0" w:color="auto"/>
      </w:divBdr>
    </w:div>
    <w:div w:id="574818933">
      <w:marLeft w:val="0"/>
      <w:marRight w:val="0"/>
      <w:marTop w:val="0"/>
      <w:marBottom w:val="0"/>
      <w:divBdr>
        <w:top w:val="none" w:sz="0" w:space="0" w:color="auto"/>
        <w:left w:val="none" w:sz="0" w:space="0" w:color="auto"/>
        <w:bottom w:val="none" w:sz="0" w:space="0" w:color="auto"/>
        <w:right w:val="none" w:sz="0" w:space="0" w:color="auto"/>
      </w:divBdr>
      <w:divsChild>
        <w:div w:id="1261916503">
          <w:marLeft w:val="0"/>
          <w:marRight w:val="0"/>
          <w:marTop w:val="0"/>
          <w:marBottom w:val="0"/>
          <w:divBdr>
            <w:top w:val="none" w:sz="0" w:space="0" w:color="auto"/>
            <w:left w:val="none" w:sz="0" w:space="0" w:color="auto"/>
            <w:bottom w:val="none" w:sz="0" w:space="0" w:color="auto"/>
            <w:right w:val="none" w:sz="0" w:space="0" w:color="auto"/>
          </w:divBdr>
          <w:divsChild>
            <w:div w:id="11425822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5017996">
      <w:marLeft w:val="0"/>
      <w:marRight w:val="0"/>
      <w:marTop w:val="180"/>
      <w:marBottom w:val="180"/>
      <w:divBdr>
        <w:top w:val="none" w:sz="0" w:space="0" w:color="auto"/>
        <w:left w:val="none" w:sz="0" w:space="0" w:color="auto"/>
        <w:bottom w:val="none" w:sz="0" w:space="0" w:color="auto"/>
        <w:right w:val="none" w:sz="0" w:space="0" w:color="auto"/>
      </w:divBdr>
    </w:div>
    <w:div w:id="575865182">
      <w:marLeft w:val="0"/>
      <w:marRight w:val="0"/>
      <w:marTop w:val="180"/>
      <w:marBottom w:val="180"/>
      <w:divBdr>
        <w:top w:val="none" w:sz="0" w:space="0" w:color="auto"/>
        <w:left w:val="none" w:sz="0" w:space="0" w:color="auto"/>
        <w:bottom w:val="none" w:sz="0" w:space="0" w:color="auto"/>
        <w:right w:val="none" w:sz="0" w:space="0" w:color="auto"/>
      </w:divBdr>
    </w:div>
    <w:div w:id="575867942">
      <w:marLeft w:val="0"/>
      <w:marRight w:val="0"/>
      <w:marTop w:val="180"/>
      <w:marBottom w:val="180"/>
      <w:divBdr>
        <w:top w:val="none" w:sz="0" w:space="0" w:color="auto"/>
        <w:left w:val="none" w:sz="0" w:space="0" w:color="auto"/>
        <w:bottom w:val="none" w:sz="0" w:space="0" w:color="auto"/>
        <w:right w:val="none" w:sz="0" w:space="0" w:color="auto"/>
      </w:divBdr>
    </w:div>
    <w:div w:id="576985768">
      <w:marLeft w:val="0"/>
      <w:marRight w:val="0"/>
      <w:marTop w:val="60"/>
      <w:marBottom w:val="60"/>
      <w:divBdr>
        <w:top w:val="none" w:sz="0" w:space="0" w:color="auto"/>
        <w:left w:val="none" w:sz="0" w:space="0" w:color="auto"/>
        <w:bottom w:val="none" w:sz="0" w:space="0" w:color="auto"/>
        <w:right w:val="none" w:sz="0" w:space="0" w:color="auto"/>
      </w:divBdr>
    </w:div>
    <w:div w:id="578057731">
      <w:marLeft w:val="0"/>
      <w:marRight w:val="0"/>
      <w:marTop w:val="0"/>
      <w:marBottom w:val="0"/>
      <w:divBdr>
        <w:top w:val="none" w:sz="0" w:space="0" w:color="auto"/>
        <w:left w:val="none" w:sz="0" w:space="0" w:color="auto"/>
        <w:bottom w:val="none" w:sz="0" w:space="0" w:color="auto"/>
        <w:right w:val="none" w:sz="0" w:space="0" w:color="auto"/>
      </w:divBdr>
    </w:div>
    <w:div w:id="579678219">
      <w:marLeft w:val="0"/>
      <w:marRight w:val="0"/>
      <w:marTop w:val="180"/>
      <w:marBottom w:val="60"/>
      <w:divBdr>
        <w:top w:val="none" w:sz="0" w:space="0" w:color="auto"/>
        <w:left w:val="none" w:sz="0" w:space="0" w:color="auto"/>
        <w:bottom w:val="none" w:sz="0" w:space="0" w:color="auto"/>
        <w:right w:val="none" w:sz="0" w:space="0" w:color="auto"/>
      </w:divBdr>
    </w:div>
    <w:div w:id="580019235">
      <w:marLeft w:val="0"/>
      <w:marRight w:val="0"/>
      <w:marTop w:val="120"/>
      <w:marBottom w:val="0"/>
      <w:divBdr>
        <w:top w:val="none" w:sz="0" w:space="0" w:color="auto"/>
        <w:left w:val="none" w:sz="0" w:space="0" w:color="auto"/>
        <w:bottom w:val="none" w:sz="0" w:space="0" w:color="auto"/>
        <w:right w:val="none" w:sz="0" w:space="0" w:color="auto"/>
      </w:divBdr>
    </w:div>
    <w:div w:id="580674393">
      <w:marLeft w:val="0"/>
      <w:marRight w:val="0"/>
      <w:marTop w:val="0"/>
      <w:marBottom w:val="0"/>
      <w:divBdr>
        <w:top w:val="none" w:sz="0" w:space="0" w:color="auto"/>
        <w:left w:val="none" w:sz="0" w:space="0" w:color="auto"/>
        <w:bottom w:val="none" w:sz="0" w:space="0" w:color="auto"/>
        <w:right w:val="none" w:sz="0" w:space="0" w:color="auto"/>
      </w:divBdr>
      <w:divsChild>
        <w:div w:id="896283028">
          <w:marLeft w:val="0"/>
          <w:marRight w:val="0"/>
          <w:marTop w:val="60"/>
          <w:marBottom w:val="60"/>
          <w:divBdr>
            <w:top w:val="none" w:sz="0" w:space="0" w:color="auto"/>
            <w:left w:val="none" w:sz="0" w:space="0" w:color="auto"/>
            <w:bottom w:val="none" w:sz="0" w:space="0" w:color="auto"/>
            <w:right w:val="none" w:sz="0" w:space="0" w:color="auto"/>
          </w:divBdr>
        </w:div>
      </w:divsChild>
    </w:div>
    <w:div w:id="582226438">
      <w:marLeft w:val="0"/>
      <w:marRight w:val="0"/>
      <w:marTop w:val="180"/>
      <w:marBottom w:val="180"/>
      <w:divBdr>
        <w:top w:val="none" w:sz="0" w:space="0" w:color="auto"/>
        <w:left w:val="none" w:sz="0" w:space="0" w:color="auto"/>
        <w:bottom w:val="none" w:sz="0" w:space="0" w:color="auto"/>
        <w:right w:val="none" w:sz="0" w:space="0" w:color="auto"/>
      </w:divBdr>
    </w:div>
    <w:div w:id="582303833">
      <w:marLeft w:val="0"/>
      <w:marRight w:val="0"/>
      <w:marTop w:val="0"/>
      <w:marBottom w:val="0"/>
      <w:divBdr>
        <w:top w:val="none" w:sz="0" w:space="0" w:color="auto"/>
        <w:left w:val="none" w:sz="0" w:space="0" w:color="auto"/>
        <w:bottom w:val="none" w:sz="0" w:space="0" w:color="auto"/>
        <w:right w:val="none" w:sz="0" w:space="0" w:color="auto"/>
      </w:divBdr>
    </w:div>
    <w:div w:id="586186279">
      <w:marLeft w:val="0"/>
      <w:marRight w:val="0"/>
      <w:marTop w:val="180"/>
      <w:marBottom w:val="180"/>
      <w:divBdr>
        <w:top w:val="none" w:sz="0" w:space="0" w:color="auto"/>
        <w:left w:val="none" w:sz="0" w:space="0" w:color="auto"/>
        <w:bottom w:val="none" w:sz="0" w:space="0" w:color="auto"/>
        <w:right w:val="none" w:sz="0" w:space="0" w:color="auto"/>
      </w:divBdr>
    </w:div>
    <w:div w:id="586883925">
      <w:marLeft w:val="0"/>
      <w:marRight w:val="0"/>
      <w:marTop w:val="120"/>
      <w:marBottom w:val="180"/>
      <w:divBdr>
        <w:top w:val="none" w:sz="0" w:space="0" w:color="auto"/>
        <w:left w:val="none" w:sz="0" w:space="0" w:color="auto"/>
        <w:bottom w:val="none" w:sz="0" w:space="0" w:color="auto"/>
        <w:right w:val="none" w:sz="0" w:space="0" w:color="auto"/>
      </w:divBdr>
    </w:div>
    <w:div w:id="587152164">
      <w:marLeft w:val="0"/>
      <w:marRight w:val="0"/>
      <w:marTop w:val="180"/>
      <w:marBottom w:val="180"/>
      <w:divBdr>
        <w:top w:val="none" w:sz="0" w:space="0" w:color="auto"/>
        <w:left w:val="none" w:sz="0" w:space="0" w:color="auto"/>
        <w:bottom w:val="none" w:sz="0" w:space="0" w:color="auto"/>
        <w:right w:val="none" w:sz="0" w:space="0" w:color="auto"/>
      </w:divBdr>
    </w:div>
    <w:div w:id="592278301">
      <w:marLeft w:val="0"/>
      <w:marRight w:val="0"/>
      <w:marTop w:val="180"/>
      <w:marBottom w:val="180"/>
      <w:divBdr>
        <w:top w:val="none" w:sz="0" w:space="0" w:color="auto"/>
        <w:left w:val="none" w:sz="0" w:space="0" w:color="auto"/>
        <w:bottom w:val="none" w:sz="0" w:space="0" w:color="auto"/>
        <w:right w:val="none" w:sz="0" w:space="0" w:color="auto"/>
      </w:divBdr>
    </w:div>
    <w:div w:id="593706549">
      <w:marLeft w:val="0"/>
      <w:marRight w:val="0"/>
      <w:marTop w:val="180"/>
      <w:marBottom w:val="180"/>
      <w:divBdr>
        <w:top w:val="none" w:sz="0" w:space="0" w:color="auto"/>
        <w:left w:val="none" w:sz="0" w:space="0" w:color="auto"/>
        <w:bottom w:val="none" w:sz="0" w:space="0" w:color="auto"/>
        <w:right w:val="none" w:sz="0" w:space="0" w:color="auto"/>
      </w:divBdr>
    </w:div>
    <w:div w:id="594749882">
      <w:marLeft w:val="0"/>
      <w:marRight w:val="0"/>
      <w:marTop w:val="0"/>
      <w:marBottom w:val="0"/>
      <w:divBdr>
        <w:top w:val="none" w:sz="0" w:space="0" w:color="auto"/>
        <w:left w:val="none" w:sz="0" w:space="0" w:color="auto"/>
        <w:bottom w:val="none" w:sz="0" w:space="0" w:color="auto"/>
        <w:right w:val="none" w:sz="0" w:space="0" w:color="auto"/>
      </w:divBdr>
      <w:divsChild>
        <w:div w:id="164634190">
          <w:marLeft w:val="0"/>
          <w:marRight w:val="0"/>
          <w:marTop w:val="0"/>
          <w:marBottom w:val="0"/>
          <w:divBdr>
            <w:top w:val="none" w:sz="0" w:space="0" w:color="auto"/>
            <w:left w:val="none" w:sz="0" w:space="0" w:color="auto"/>
            <w:bottom w:val="none" w:sz="0" w:space="0" w:color="auto"/>
            <w:right w:val="none" w:sz="0" w:space="0" w:color="auto"/>
          </w:divBdr>
          <w:divsChild>
            <w:div w:id="7903692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6326899">
      <w:marLeft w:val="0"/>
      <w:marRight w:val="0"/>
      <w:marTop w:val="180"/>
      <w:marBottom w:val="180"/>
      <w:divBdr>
        <w:top w:val="none" w:sz="0" w:space="0" w:color="auto"/>
        <w:left w:val="none" w:sz="0" w:space="0" w:color="auto"/>
        <w:bottom w:val="none" w:sz="0" w:space="0" w:color="auto"/>
        <w:right w:val="none" w:sz="0" w:space="0" w:color="auto"/>
      </w:divBdr>
    </w:div>
    <w:div w:id="596599696">
      <w:marLeft w:val="0"/>
      <w:marRight w:val="0"/>
      <w:marTop w:val="0"/>
      <w:marBottom w:val="0"/>
      <w:divBdr>
        <w:top w:val="none" w:sz="0" w:space="0" w:color="auto"/>
        <w:left w:val="none" w:sz="0" w:space="0" w:color="auto"/>
        <w:bottom w:val="none" w:sz="0" w:space="0" w:color="auto"/>
        <w:right w:val="none" w:sz="0" w:space="0" w:color="auto"/>
      </w:divBdr>
      <w:divsChild>
        <w:div w:id="1283152553">
          <w:marLeft w:val="0"/>
          <w:marRight w:val="0"/>
          <w:marTop w:val="0"/>
          <w:marBottom w:val="0"/>
          <w:divBdr>
            <w:top w:val="none" w:sz="0" w:space="0" w:color="auto"/>
            <w:left w:val="none" w:sz="0" w:space="0" w:color="auto"/>
            <w:bottom w:val="none" w:sz="0" w:space="0" w:color="auto"/>
            <w:right w:val="none" w:sz="0" w:space="0" w:color="auto"/>
          </w:divBdr>
          <w:divsChild>
            <w:div w:id="15819087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8173137">
      <w:marLeft w:val="0"/>
      <w:marRight w:val="0"/>
      <w:marTop w:val="180"/>
      <w:marBottom w:val="180"/>
      <w:divBdr>
        <w:top w:val="none" w:sz="0" w:space="0" w:color="auto"/>
        <w:left w:val="none" w:sz="0" w:space="0" w:color="auto"/>
        <w:bottom w:val="none" w:sz="0" w:space="0" w:color="auto"/>
        <w:right w:val="none" w:sz="0" w:space="0" w:color="auto"/>
      </w:divBdr>
    </w:div>
    <w:div w:id="598179345">
      <w:marLeft w:val="0"/>
      <w:marRight w:val="0"/>
      <w:marTop w:val="0"/>
      <w:marBottom w:val="0"/>
      <w:divBdr>
        <w:top w:val="none" w:sz="0" w:space="0" w:color="auto"/>
        <w:left w:val="none" w:sz="0" w:space="0" w:color="auto"/>
        <w:bottom w:val="none" w:sz="0" w:space="0" w:color="auto"/>
        <w:right w:val="none" w:sz="0" w:space="0" w:color="auto"/>
      </w:divBdr>
      <w:divsChild>
        <w:div w:id="1095204226">
          <w:marLeft w:val="0"/>
          <w:marRight w:val="0"/>
          <w:marTop w:val="0"/>
          <w:marBottom w:val="0"/>
          <w:divBdr>
            <w:top w:val="none" w:sz="0" w:space="0" w:color="auto"/>
            <w:left w:val="none" w:sz="0" w:space="0" w:color="auto"/>
            <w:bottom w:val="none" w:sz="0" w:space="0" w:color="auto"/>
            <w:right w:val="none" w:sz="0" w:space="0" w:color="auto"/>
          </w:divBdr>
          <w:divsChild>
            <w:div w:id="18964295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9289902">
      <w:marLeft w:val="0"/>
      <w:marRight w:val="0"/>
      <w:marTop w:val="180"/>
      <w:marBottom w:val="180"/>
      <w:divBdr>
        <w:top w:val="none" w:sz="0" w:space="0" w:color="auto"/>
        <w:left w:val="none" w:sz="0" w:space="0" w:color="auto"/>
        <w:bottom w:val="none" w:sz="0" w:space="0" w:color="auto"/>
        <w:right w:val="none" w:sz="0" w:space="0" w:color="auto"/>
      </w:divBdr>
    </w:div>
    <w:div w:id="601568875">
      <w:marLeft w:val="0"/>
      <w:marRight w:val="0"/>
      <w:marTop w:val="180"/>
      <w:marBottom w:val="60"/>
      <w:divBdr>
        <w:top w:val="none" w:sz="0" w:space="0" w:color="auto"/>
        <w:left w:val="none" w:sz="0" w:space="0" w:color="auto"/>
        <w:bottom w:val="none" w:sz="0" w:space="0" w:color="auto"/>
        <w:right w:val="none" w:sz="0" w:space="0" w:color="auto"/>
      </w:divBdr>
    </w:div>
    <w:div w:id="602030085">
      <w:marLeft w:val="0"/>
      <w:marRight w:val="0"/>
      <w:marTop w:val="60"/>
      <w:marBottom w:val="60"/>
      <w:divBdr>
        <w:top w:val="none" w:sz="0" w:space="0" w:color="auto"/>
        <w:left w:val="none" w:sz="0" w:space="0" w:color="auto"/>
        <w:bottom w:val="none" w:sz="0" w:space="0" w:color="auto"/>
        <w:right w:val="none" w:sz="0" w:space="0" w:color="auto"/>
      </w:divBdr>
    </w:div>
    <w:div w:id="602885538">
      <w:marLeft w:val="0"/>
      <w:marRight w:val="0"/>
      <w:marTop w:val="180"/>
      <w:marBottom w:val="180"/>
      <w:divBdr>
        <w:top w:val="none" w:sz="0" w:space="0" w:color="auto"/>
        <w:left w:val="none" w:sz="0" w:space="0" w:color="auto"/>
        <w:bottom w:val="none" w:sz="0" w:space="0" w:color="auto"/>
        <w:right w:val="none" w:sz="0" w:space="0" w:color="auto"/>
      </w:divBdr>
    </w:div>
    <w:div w:id="603614565">
      <w:marLeft w:val="0"/>
      <w:marRight w:val="0"/>
      <w:marTop w:val="60"/>
      <w:marBottom w:val="60"/>
      <w:divBdr>
        <w:top w:val="none" w:sz="0" w:space="0" w:color="auto"/>
        <w:left w:val="none" w:sz="0" w:space="0" w:color="auto"/>
        <w:bottom w:val="none" w:sz="0" w:space="0" w:color="auto"/>
        <w:right w:val="none" w:sz="0" w:space="0" w:color="auto"/>
      </w:divBdr>
    </w:div>
    <w:div w:id="604270768">
      <w:marLeft w:val="0"/>
      <w:marRight w:val="0"/>
      <w:marTop w:val="140"/>
      <w:marBottom w:val="180"/>
      <w:divBdr>
        <w:top w:val="none" w:sz="0" w:space="0" w:color="auto"/>
        <w:left w:val="none" w:sz="0" w:space="0" w:color="auto"/>
        <w:bottom w:val="none" w:sz="0" w:space="0" w:color="auto"/>
        <w:right w:val="none" w:sz="0" w:space="0" w:color="auto"/>
      </w:divBdr>
    </w:div>
    <w:div w:id="604533491">
      <w:marLeft w:val="0"/>
      <w:marRight w:val="0"/>
      <w:marTop w:val="60"/>
      <w:marBottom w:val="60"/>
      <w:divBdr>
        <w:top w:val="none" w:sz="0" w:space="0" w:color="auto"/>
        <w:left w:val="none" w:sz="0" w:space="0" w:color="auto"/>
        <w:bottom w:val="none" w:sz="0" w:space="0" w:color="auto"/>
        <w:right w:val="none" w:sz="0" w:space="0" w:color="auto"/>
      </w:divBdr>
    </w:div>
    <w:div w:id="604846969">
      <w:marLeft w:val="0"/>
      <w:marRight w:val="0"/>
      <w:marTop w:val="180"/>
      <w:marBottom w:val="180"/>
      <w:divBdr>
        <w:top w:val="none" w:sz="0" w:space="0" w:color="auto"/>
        <w:left w:val="none" w:sz="0" w:space="0" w:color="auto"/>
        <w:bottom w:val="none" w:sz="0" w:space="0" w:color="auto"/>
        <w:right w:val="none" w:sz="0" w:space="0" w:color="auto"/>
      </w:divBdr>
    </w:div>
    <w:div w:id="605038215">
      <w:marLeft w:val="0"/>
      <w:marRight w:val="0"/>
      <w:marTop w:val="180"/>
      <w:marBottom w:val="180"/>
      <w:divBdr>
        <w:top w:val="none" w:sz="0" w:space="0" w:color="auto"/>
        <w:left w:val="none" w:sz="0" w:space="0" w:color="auto"/>
        <w:bottom w:val="none" w:sz="0" w:space="0" w:color="auto"/>
        <w:right w:val="none" w:sz="0" w:space="0" w:color="auto"/>
      </w:divBdr>
    </w:div>
    <w:div w:id="606738556">
      <w:marLeft w:val="0"/>
      <w:marRight w:val="0"/>
      <w:marTop w:val="180"/>
      <w:marBottom w:val="180"/>
      <w:divBdr>
        <w:top w:val="none" w:sz="0" w:space="0" w:color="auto"/>
        <w:left w:val="none" w:sz="0" w:space="0" w:color="auto"/>
        <w:bottom w:val="none" w:sz="0" w:space="0" w:color="auto"/>
        <w:right w:val="none" w:sz="0" w:space="0" w:color="auto"/>
      </w:divBdr>
    </w:div>
    <w:div w:id="606813585">
      <w:marLeft w:val="0"/>
      <w:marRight w:val="0"/>
      <w:marTop w:val="160"/>
      <w:marBottom w:val="0"/>
      <w:divBdr>
        <w:top w:val="none" w:sz="0" w:space="0" w:color="auto"/>
        <w:left w:val="none" w:sz="0" w:space="0" w:color="auto"/>
        <w:bottom w:val="none" w:sz="0" w:space="0" w:color="auto"/>
        <w:right w:val="none" w:sz="0" w:space="0" w:color="auto"/>
      </w:divBdr>
    </w:div>
    <w:div w:id="609167857">
      <w:marLeft w:val="0"/>
      <w:marRight w:val="0"/>
      <w:marTop w:val="180"/>
      <w:marBottom w:val="180"/>
      <w:divBdr>
        <w:top w:val="none" w:sz="0" w:space="0" w:color="auto"/>
        <w:left w:val="none" w:sz="0" w:space="0" w:color="auto"/>
        <w:bottom w:val="none" w:sz="0" w:space="0" w:color="auto"/>
        <w:right w:val="none" w:sz="0" w:space="0" w:color="auto"/>
      </w:divBdr>
    </w:div>
    <w:div w:id="612514573">
      <w:marLeft w:val="0"/>
      <w:marRight w:val="0"/>
      <w:marTop w:val="180"/>
      <w:marBottom w:val="180"/>
      <w:divBdr>
        <w:top w:val="none" w:sz="0" w:space="0" w:color="auto"/>
        <w:left w:val="none" w:sz="0" w:space="0" w:color="auto"/>
        <w:bottom w:val="none" w:sz="0" w:space="0" w:color="auto"/>
        <w:right w:val="none" w:sz="0" w:space="0" w:color="auto"/>
      </w:divBdr>
    </w:div>
    <w:div w:id="614823731">
      <w:marLeft w:val="0"/>
      <w:marRight w:val="0"/>
      <w:marTop w:val="100"/>
      <w:marBottom w:val="0"/>
      <w:divBdr>
        <w:top w:val="none" w:sz="0" w:space="0" w:color="auto"/>
        <w:left w:val="none" w:sz="0" w:space="0" w:color="auto"/>
        <w:bottom w:val="none" w:sz="0" w:space="0" w:color="auto"/>
        <w:right w:val="none" w:sz="0" w:space="0" w:color="auto"/>
      </w:divBdr>
      <w:divsChild>
        <w:div w:id="2143381619">
          <w:marLeft w:val="0"/>
          <w:marRight w:val="0"/>
          <w:marTop w:val="0"/>
          <w:marBottom w:val="0"/>
          <w:divBdr>
            <w:top w:val="none" w:sz="0" w:space="0" w:color="auto"/>
            <w:left w:val="none" w:sz="0" w:space="0" w:color="auto"/>
            <w:bottom w:val="none" w:sz="0" w:space="0" w:color="auto"/>
            <w:right w:val="none" w:sz="0" w:space="0" w:color="auto"/>
          </w:divBdr>
        </w:div>
      </w:divsChild>
    </w:div>
    <w:div w:id="615452987">
      <w:marLeft w:val="0"/>
      <w:marRight w:val="0"/>
      <w:marTop w:val="0"/>
      <w:marBottom w:val="0"/>
      <w:divBdr>
        <w:top w:val="none" w:sz="0" w:space="0" w:color="auto"/>
        <w:left w:val="none" w:sz="0" w:space="0" w:color="auto"/>
        <w:bottom w:val="none" w:sz="0" w:space="0" w:color="auto"/>
        <w:right w:val="none" w:sz="0" w:space="0" w:color="auto"/>
      </w:divBdr>
      <w:divsChild>
        <w:div w:id="1376657501">
          <w:marLeft w:val="0"/>
          <w:marRight w:val="0"/>
          <w:marTop w:val="60"/>
          <w:marBottom w:val="60"/>
          <w:divBdr>
            <w:top w:val="none" w:sz="0" w:space="0" w:color="auto"/>
            <w:left w:val="none" w:sz="0" w:space="0" w:color="auto"/>
            <w:bottom w:val="none" w:sz="0" w:space="0" w:color="auto"/>
            <w:right w:val="none" w:sz="0" w:space="0" w:color="auto"/>
          </w:divBdr>
        </w:div>
      </w:divsChild>
    </w:div>
    <w:div w:id="618607780">
      <w:marLeft w:val="0"/>
      <w:marRight w:val="0"/>
      <w:marTop w:val="180"/>
      <w:marBottom w:val="180"/>
      <w:divBdr>
        <w:top w:val="none" w:sz="0" w:space="0" w:color="auto"/>
        <w:left w:val="none" w:sz="0" w:space="0" w:color="auto"/>
        <w:bottom w:val="none" w:sz="0" w:space="0" w:color="auto"/>
        <w:right w:val="none" w:sz="0" w:space="0" w:color="auto"/>
      </w:divBdr>
    </w:div>
    <w:div w:id="619268424">
      <w:marLeft w:val="0"/>
      <w:marRight w:val="0"/>
      <w:marTop w:val="180"/>
      <w:marBottom w:val="180"/>
      <w:divBdr>
        <w:top w:val="none" w:sz="0" w:space="0" w:color="auto"/>
        <w:left w:val="none" w:sz="0" w:space="0" w:color="auto"/>
        <w:bottom w:val="none" w:sz="0" w:space="0" w:color="auto"/>
        <w:right w:val="none" w:sz="0" w:space="0" w:color="auto"/>
      </w:divBdr>
    </w:div>
    <w:div w:id="619461328">
      <w:marLeft w:val="0"/>
      <w:marRight w:val="0"/>
      <w:marTop w:val="60"/>
      <w:marBottom w:val="60"/>
      <w:divBdr>
        <w:top w:val="none" w:sz="0" w:space="0" w:color="auto"/>
        <w:left w:val="none" w:sz="0" w:space="0" w:color="auto"/>
        <w:bottom w:val="none" w:sz="0" w:space="0" w:color="auto"/>
        <w:right w:val="none" w:sz="0" w:space="0" w:color="auto"/>
      </w:divBdr>
    </w:div>
    <w:div w:id="620963872">
      <w:marLeft w:val="0"/>
      <w:marRight w:val="0"/>
      <w:marTop w:val="0"/>
      <w:marBottom w:val="0"/>
      <w:divBdr>
        <w:top w:val="none" w:sz="0" w:space="0" w:color="auto"/>
        <w:left w:val="none" w:sz="0" w:space="0" w:color="auto"/>
        <w:bottom w:val="none" w:sz="0" w:space="0" w:color="auto"/>
        <w:right w:val="none" w:sz="0" w:space="0" w:color="auto"/>
      </w:divBdr>
      <w:divsChild>
        <w:div w:id="1202399312">
          <w:marLeft w:val="0"/>
          <w:marRight w:val="0"/>
          <w:marTop w:val="0"/>
          <w:marBottom w:val="0"/>
          <w:divBdr>
            <w:top w:val="none" w:sz="0" w:space="0" w:color="auto"/>
            <w:left w:val="none" w:sz="0" w:space="0" w:color="auto"/>
            <w:bottom w:val="none" w:sz="0" w:space="0" w:color="auto"/>
            <w:right w:val="none" w:sz="0" w:space="0" w:color="auto"/>
          </w:divBdr>
          <w:divsChild>
            <w:div w:id="17512002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1493817">
      <w:marLeft w:val="0"/>
      <w:marRight w:val="0"/>
      <w:marTop w:val="180"/>
      <w:marBottom w:val="180"/>
      <w:divBdr>
        <w:top w:val="none" w:sz="0" w:space="0" w:color="auto"/>
        <w:left w:val="none" w:sz="0" w:space="0" w:color="auto"/>
        <w:bottom w:val="none" w:sz="0" w:space="0" w:color="auto"/>
        <w:right w:val="none" w:sz="0" w:space="0" w:color="auto"/>
      </w:divBdr>
    </w:div>
    <w:div w:id="626935944">
      <w:marLeft w:val="0"/>
      <w:marRight w:val="0"/>
      <w:marTop w:val="180"/>
      <w:marBottom w:val="180"/>
      <w:divBdr>
        <w:top w:val="none" w:sz="0" w:space="0" w:color="auto"/>
        <w:left w:val="none" w:sz="0" w:space="0" w:color="auto"/>
        <w:bottom w:val="none" w:sz="0" w:space="0" w:color="auto"/>
        <w:right w:val="none" w:sz="0" w:space="0" w:color="auto"/>
      </w:divBdr>
    </w:div>
    <w:div w:id="628555989">
      <w:marLeft w:val="0"/>
      <w:marRight w:val="0"/>
      <w:marTop w:val="60"/>
      <w:marBottom w:val="60"/>
      <w:divBdr>
        <w:top w:val="none" w:sz="0" w:space="0" w:color="auto"/>
        <w:left w:val="none" w:sz="0" w:space="0" w:color="auto"/>
        <w:bottom w:val="none" w:sz="0" w:space="0" w:color="auto"/>
        <w:right w:val="none" w:sz="0" w:space="0" w:color="auto"/>
      </w:divBdr>
    </w:div>
    <w:div w:id="635529390">
      <w:marLeft w:val="0"/>
      <w:marRight w:val="0"/>
      <w:marTop w:val="60"/>
      <w:marBottom w:val="60"/>
      <w:divBdr>
        <w:top w:val="none" w:sz="0" w:space="0" w:color="auto"/>
        <w:left w:val="none" w:sz="0" w:space="0" w:color="auto"/>
        <w:bottom w:val="none" w:sz="0" w:space="0" w:color="auto"/>
        <w:right w:val="none" w:sz="0" w:space="0" w:color="auto"/>
      </w:divBdr>
    </w:div>
    <w:div w:id="638657394">
      <w:marLeft w:val="0"/>
      <w:marRight w:val="0"/>
      <w:marTop w:val="0"/>
      <w:marBottom w:val="0"/>
      <w:divBdr>
        <w:top w:val="none" w:sz="0" w:space="0" w:color="auto"/>
        <w:left w:val="none" w:sz="0" w:space="0" w:color="auto"/>
        <w:bottom w:val="none" w:sz="0" w:space="0" w:color="auto"/>
        <w:right w:val="none" w:sz="0" w:space="0" w:color="auto"/>
      </w:divBdr>
    </w:div>
    <w:div w:id="640228009">
      <w:marLeft w:val="0"/>
      <w:marRight w:val="0"/>
      <w:marTop w:val="180"/>
      <w:marBottom w:val="180"/>
      <w:divBdr>
        <w:top w:val="none" w:sz="0" w:space="0" w:color="auto"/>
        <w:left w:val="none" w:sz="0" w:space="0" w:color="auto"/>
        <w:bottom w:val="none" w:sz="0" w:space="0" w:color="auto"/>
        <w:right w:val="none" w:sz="0" w:space="0" w:color="auto"/>
      </w:divBdr>
    </w:div>
    <w:div w:id="641158013">
      <w:marLeft w:val="0"/>
      <w:marRight w:val="0"/>
      <w:marTop w:val="60"/>
      <w:marBottom w:val="60"/>
      <w:divBdr>
        <w:top w:val="none" w:sz="0" w:space="0" w:color="auto"/>
        <w:left w:val="none" w:sz="0" w:space="0" w:color="auto"/>
        <w:bottom w:val="none" w:sz="0" w:space="0" w:color="auto"/>
        <w:right w:val="none" w:sz="0" w:space="0" w:color="auto"/>
      </w:divBdr>
    </w:div>
    <w:div w:id="646327972">
      <w:marLeft w:val="0"/>
      <w:marRight w:val="0"/>
      <w:marTop w:val="180"/>
      <w:marBottom w:val="0"/>
      <w:divBdr>
        <w:top w:val="none" w:sz="0" w:space="0" w:color="auto"/>
        <w:left w:val="none" w:sz="0" w:space="0" w:color="auto"/>
        <w:bottom w:val="none" w:sz="0" w:space="0" w:color="auto"/>
        <w:right w:val="none" w:sz="0" w:space="0" w:color="auto"/>
      </w:divBdr>
    </w:div>
    <w:div w:id="650018631">
      <w:marLeft w:val="0"/>
      <w:marRight w:val="0"/>
      <w:marTop w:val="180"/>
      <w:marBottom w:val="180"/>
      <w:divBdr>
        <w:top w:val="none" w:sz="0" w:space="0" w:color="auto"/>
        <w:left w:val="none" w:sz="0" w:space="0" w:color="auto"/>
        <w:bottom w:val="none" w:sz="0" w:space="0" w:color="auto"/>
        <w:right w:val="none" w:sz="0" w:space="0" w:color="auto"/>
      </w:divBdr>
    </w:div>
    <w:div w:id="655378253">
      <w:marLeft w:val="0"/>
      <w:marRight w:val="0"/>
      <w:marTop w:val="180"/>
      <w:marBottom w:val="60"/>
      <w:divBdr>
        <w:top w:val="none" w:sz="0" w:space="0" w:color="auto"/>
        <w:left w:val="none" w:sz="0" w:space="0" w:color="auto"/>
        <w:bottom w:val="none" w:sz="0" w:space="0" w:color="auto"/>
        <w:right w:val="none" w:sz="0" w:space="0" w:color="auto"/>
      </w:divBdr>
    </w:div>
    <w:div w:id="656812253">
      <w:marLeft w:val="0"/>
      <w:marRight w:val="0"/>
      <w:marTop w:val="0"/>
      <w:marBottom w:val="0"/>
      <w:divBdr>
        <w:top w:val="none" w:sz="0" w:space="0" w:color="auto"/>
        <w:left w:val="none" w:sz="0" w:space="0" w:color="auto"/>
        <w:bottom w:val="none" w:sz="0" w:space="0" w:color="auto"/>
        <w:right w:val="none" w:sz="0" w:space="0" w:color="auto"/>
      </w:divBdr>
      <w:divsChild>
        <w:div w:id="339428091">
          <w:marLeft w:val="0"/>
          <w:marRight w:val="0"/>
          <w:marTop w:val="60"/>
          <w:marBottom w:val="60"/>
          <w:divBdr>
            <w:top w:val="none" w:sz="0" w:space="0" w:color="auto"/>
            <w:left w:val="none" w:sz="0" w:space="0" w:color="auto"/>
            <w:bottom w:val="none" w:sz="0" w:space="0" w:color="auto"/>
            <w:right w:val="none" w:sz="0" w:space="0" w:color="auto"/>
          </w:divBdr>
        </w:div>
      </w:divsChild>
    </w:div>
    <w:div w:id="657421579">
      <w:marLeft w:val="0"/>
      <w:marRight w:val="0"/>
      <w:marTop w:val="180"/>
      <w:marBottom w:val="180"/>
      <w:divBdr>
        <w:top w:val="none" w:sz="0" w:space="0" w:color="auto"/>
        <w:left w:val="none" w:sz="0" w:space="0" w:color="auto"/>
        <w:bottom w:val="none" w:sz="0" w:space="0" w:color="auto"/>
        <w:right w:val="none" w:sz="0" w:space="0" w:color="auto"/>
      </w:divBdr>
    </w:div>
    <w:div w:id="658509669">
      <w:marLeft w:val="0"/>
      <w:marRight w:val="0"/>
      <w:marTop w:val="0"/>
      <w:marBottom w:val="15"/>
      <w:divBdr>
        <w:top w:val="none" w:sz="0" w:space="0" w:color="auto"/>
        <w:left w:val="none" w:sz="0" w:space="0" w:color="auto"/>
        <w:bottom w:val="none" w:sz="0" w:space="0" w:color="auto"/>
        <w:right w:val="none" w:sz="0" w:space="0" w:color="auto"/>
      </w:divBdr>
    </w:div>
    <w:div w:id="658575636">
      <w:marLeft w:val="0"/>
      <w:marRight w:val="0"/>
      <w:marTop w:val="180"/>
      <w:marBottom w:val="180"/>
      <w:divBdr>
        <w:top w:val="none" w:sz="0" w:space="0" w:color="auto"/>
        <w:left w:val="none" w:sz="0" w:space="0" w:color="auto"/>
        <w:bottom w:val="none" w:sz="0" w:space="0" w:color="auto"/>
        <w:right w:val="none" w:sz="0" w:space="0" w:color="auto"/>
      </w:divBdr>
    </w:div>
    <w:div w:id="658734676">
      <w:marLeft w:val="0"/>
      <w:marRight w:val="0"/>
      <w:marTop w:val="180"/>
      <w:marBottom w:val="180"/>
      <w:divBdr>
        <w:top w:val="none" w:sz="0" w:space="0" w:color="auto"/>
        <w:left w:val="none" w:sz="0" w:space="0" w:color="auto"/>
        <w:bottom w:val="none" w:sz="0" w:space="0" w:color="auto"/>
        <w:right w:val="none" w:sz="0" w:space="0" w:color="auto"/>
      </w:divBdr>
    </w:div>
    <w:div w:id="658849774">
      <w:marLeft w:val="0"/>
      <w:marRight w:val="0"/>
      <w:marTop w:val="180"/>
      <w:marBottom w:val="0"/>
      <w:divBdr>
        <w:top w:val="none" w:sz="0" w:space="0" w:color="auto"/>
        <w:left w:val="none" w:sz="0" w:space="0" w:color="auto"/>
        <w:bottom w:val="none" w:sz="0" w:space="0" w:color="auto"/>
        <w:right w:val="none" w:sz="0" w:space="0" w:color="auto"/>
      </w:divBdr>
    </w:div>
    <w:div w:id="659161166">
      <w:marLeft w:val="0"/>
      <w:marRight w:val="0"/>
      <w:marTop w:val="0"/>
      <w:marBottom w:val="0"/>
      <w:divBdr>
        <w:top w:val="none" w:sz="0" w:space="0" w:color="auto"/>
        <w:left w:val="none" w:sz="0" w:space="0" w:color="auto"/>
        <w:bottom w:val="none" w:sz="0" w:space="0" w:color="auto"/>
        <w:right w:val="none" w:sz="0" w:space="0" w:color="auto"/>
      </w:divBdr>
    </w:div>
    <w:div w:id="659431631">
      <w:marLeft w:val="0"/>
      <w:marRight w:val="0"/>
      <w:marTop w:val="180"/>
      <w:marBottom w:val="180"/>
      <w:divBdr>
        <w:top w:val="none" w:sz="0" w:space="0" w:color="auto"/>
        <w:left w:val="none" w:sz="0" w:space="0" w:color="auto"/>
        <w:bottom w:val="none" w:sz="0" w:space="0" w:color="auto"/>
        <w:right w:val="none" w:sz="0" w:space="0" w:color="auto"/>
      </w:divBdr>
    </w:div>
    <w:div w:id="659624634">
      <w:marLeft w:val="0"/>
      <w:marRight w:val="0"/>
      <w:marTop w:val="180"/>
      <w:marBottom w:val="180"/>
      <w:divBdr>
        <w:top w:val="none" w:sz="0" w:space="0" w:color="auto"/>
        <w:left w:val="none" w:sz="0" w:space="0" w:color="auto"/>
        <w:bottom w:val="none" w:sz="0" w:space="0" w:color="auto"/>
        <w:right w:val="none" w:sz="0" w:space="0" w:color="auto"/>
      </w:divBdr>
    </w:div>
    <w:div w:id="660894395">
      <w:marLeft w:val="0"/>
      <w:marRight w:val="0"/>
      <w:marTop w:val="180"/>
      <w:marBottom w:val="180"/>
      <w:divBdr>
        <w:top w:val="none" w:sz="0" w:space="0" w:color="auto"/>
        <w:left w:val="none" w:sz="0" w:space="0" w:color="auto"/>
        <w:bottom w:val="none" w:sz="0" w:space="0" w:color="auto"/>
        <w:right w:val="none" w:sz="0" w:space="0" w:color="auto"/>
      </w:divBdr>
    </w:div>
    <w:div w:id="661084016">
      <w:marLeft w:val="0"/>
      <w:marRight w:val="0"/>
      <w:marTop w:val="60"/>
      <w:marBottom w:val="60"/>
      <w:divBdr>
        <w:top w:val="none" w:sz="0" w:space="0" w:color="auto"/>
        <w:left w:val="none" w:sz="0" w:space="0" w:color="auto"/>
        <w:bottom w:val="none" w:sz="0" w:space="0" w:color="auto"/>
        <w:right w:val="none" w:sz="0" w:space="0" w:color="auto"/>
      </w:divBdr>
    </w:div>
    <w:div w:id="661154216">
      <w:marLeft w:val="0"/>
      <w:marRight w:val="0"/>
      <w:marTop w:val="180"/>
      <w:marBottom w:val="180"/>
      <w:divBdr>
        <w:top w:val="none" w:sz="0" w:space="0" w:color="auto"/>
        <w:left w:val="none" w:sz="0" w:space="0" w:color="auto"/>
        <w:bottom w:val="none" w:sz="0" w:space="0" w:color="auto"/>
        <w:right w:val="none" w:sz="0" w:space="0" w:color="auto"/>
      </w:divBdr>
    </w:div>
    <w:div w:id="662784891">
      <w:marLeft w:val="0"/>
      <w:marRight w:val="0"/>
      <w:marTop w:val="60"/>
      <w:marBottom w:val="60"/>
      <w:divBdr>
        <w:top w:val="none" w:sz="0" w:space="0" w:color="auto"/>
        <w:left w:val="none" w:sz="0" w:space="0" w:color="auto"/>
        <w:bottom w:val="none" w:sz="0" w:space="0" w:color="auto"/>
        <w:right w:val="none" w:sz="0" w:space="0" w:color="auto"/>
      </w:divBdr>
    </w:div>
    <w:div w:id="665744265">
      <w:marLeft w:val="0"/>
      <w:marRight w:val="0"/>
      <w:marTop w:val="0"/>
      <w:marBottom w:val="0"/>
      <w:divBdr>
        <w:top w:val="none" w:sz="0" w:space="0" w:color="auto"/>
        <w:left w:val="none" w:sz="0" w:space="0" w:color="auto"/>
        <w:bottom w:val="none" w:sz="0" w:space="0" w:color="auto"/>
        <w:right w:val="none" w:sz="0" w:space="0" w:color="auto"/>
      </w:divBdr>
    </w:div>
    <w:div w:id="666592373">
      <w:marLeft w:val="0"/>
      <w:marRight w:val="0"/>
      <w:marTop w:val="0"/>
      <w:marBottom w:val="0"/>
      <w:divBdr>
        <w:top w:val="none" w:sz="0" w:space="0" w:color="auto"/>
        <w:left w:val="none" w:sz="0" w:space="0" w:color="auto"/>
        <w:bottom w:val="none" w:sz="0" w:space="0" w:color="auto"/>
        <w:right w:val="none" w:sz="0" w:space="0" w:color="auto"/>
      </w:divBdr>
    </w:div>
    <w:div w:id="669136697">
      <w:marLeft w:val="0"/>
      <w:marRight w:val="0"/>
      <w:marTop w:val="60"/>
      <w:marBottom w:val="0"/>
      <w:divBdr>
        <w:top w:val="none" w:sz="0" w:space="0" w:color="auto"/>
        <w:left w:val="none" w:sz="0" w:space="0" w:color="auto"/>
        <w:bottom w:val="none" w:sz="0" w:space="0" w:color="auto"/>
        <w:right w:val="none" w:sz="0" w:space="0" w:color="auto"/>
      </w:divBdr>
    </w:div>
    <w:div w:id="669328330">
      <w:marLeft w:val="0"/>
      <w:marRight w:val="0"/>
      <w:marTop w:val="0"/>
      <w:marBottom w:val="0"/>
      <w:divBdr>
        <w:top w:val="none" w:sz="0" w:space="0" w:color="auto"/>
        <w:left w:val="none" w:sz="0" w:space="0" w:color="auto"/>
        <w:bottom w:val="none" w:sz="0" w:space="0" w:color="auto"/>
        <w:right w:val="none" w:sz="0" w:space="0" w:color="auto"/>
      </w:divBdr>
      <w:divsChild>
        <w:div w:id="1708263629">
          <w:marLeft w:val="0"/>
          <w:marRight w:val="0"/>
          <w:marTop w:val="60"/>
          <w:marBottom w:val="60"/>
          <w:divBdr>
            <w:top w:val="none" w:sz="0" w:space="0" w:color="auto"/>
            <w:left w:val="none" w:sz="0" w:space="0" w:color="auto"/>
            <w:bottom w:val="none" w:sz="0" w:space="0" w:color="auto"/>
            <w:right w:val="none" w:sz="0" w:space="0" w:color="auto"/>
          </w:divBdr>
        </w:div>
      </w:divsChild>
    </w:div>
    <w:div w:id="677342994">
      <w:marLeft w:val="0"/>
      <w:marRight w:val="0"/>
      <w:marTop w:val="180"/>
      <w:marBottom w:val="60"/>
      <w:divBdr>
        <w:top w:val="none" w:sz="0" w:space="0" w:color="auto"/>
        <w:left w:val="none" w:sz="0" w:space="0" w:color="auto"/>
        <w:bottom w:val="none" w:sz="0" w:space="0" w:color="auto"/>
        <w:right w:val="none" w:sz="0" w:space="0" w:color="auto"/>
      </w:divBdr>
    </w:div>
    <w:div w:id="678124023">
      <w:marLeft w:val="0"/>
      <w:marRight w:val="0"/>
      <w:marTop w:val="180"/>
      <w:marBottom w:val="0"/>
      <w:divBdr>
        <w:top w:val="none" w:sz="0" w:space="0" w:color="auto"/>
        <w:left w:val="none" w:sz="0" w:space="0" w:color="auto"/>
        <w:bottom w:val="none" w:sz="0" w:space="0" w:color="auto"/>
        <w:right w:val="none" w:sz="0" w:space="0" w:color="auto"/>
      </w:divBdr>
    </w:div>
    <w:div w:id="681513981">
      <w:marLeft w:val="0"/>
      <w:marRight w:val="0"/>
      <w:marTop w:val="180"/>
      <w:marBottom w:val="180"/>
      <w:divBdr>
        <w:top w:val="none" w:sz="0" w:space="0" w:color="auto"/>
        <w:left w:val="none" w:sz="0" w:space="0" w:color="auto"/>
        <w:bottom w:val="none" w:sz="0" w:space="0" w:color="auto"/>
        <w:right w:val="none" w:sz="0" w:space="0" w:color="auto"/>
      </w:divBdr>
    </w:div>
    <w:div w:id="683166805">
      <w:marLeft w:val="0"/>
      <w:marRight w:val="0"/>
      <w:marTop w:val="180"/>
      <w:marBottom w:val="180"/>
      <w:divBdr>
        <w:top w:val="none" w:sz="0" w:space="0" w:color="auto"/>
        <w:left w:val="none" w:sz="0" w:space="0" w:color="auto"/>
        <w:bottom w:val="none" w:sz="0" w:space="0" w:color="auto"/>
        <w:right w:val="none" w:sz="0" w:space="0" w:color="auto"/>
      </w:divBdr>
    </w:div>
    <w:div w:id="684601119">
      <w:marLeft w:val="0"/>
      <w:marRight w:val="0"/>
      <w:marTop w:val="180"/>
      <w:marBottom w:val="180"/>
      <w:divBdr>
        <w:top w:val="none" w:sz="0" w:space="0" w:color="auto"/>
        <w:left w:val="none" w:sz="0" w:space="0" w:color="auto"/>
        <w:bottom w:val="none" w:sz="0" w:space="0" w:color="auto"/>
        <w:right w:val="none" w:sz="0" w:space="0" w:color="auto"/>
      </w:divBdr>
    </w:div>
    <w:div w:id="684744458">
      <w:marLeft w:val="0"/>
      <w:marRight w:val="0"/>
      <w:marTop w:val="180"/>
      <w:marBottom w:val="180"/>
      <w:divBdr>
        <w:top w:val="none" w:sz="0" w:space="0" w:color="auto"/>
        <w:left w:val="none" w:sz="0" w:space="0" w:color="auto"/>
        <w:bottom w:val="none" w:sz="0" w:space="0" w:color="auto"/>
        <w:right w:val="none" w:sz="0" w:space="0" w:color="auto"/>
      </w:divBdr>
    </w:div>
    <w:div w:id="685912020">
      <w:marLeft w:val="0"/>
      <w:marRight w:val="0"/>
      <w:marTop w:val="180"/>
      <w:marBottom w:val="180"/>
      <w:divBdr>
        <w:top w:val="none" w:sz="0" w:space="0" w:color="auto"/>
        <w:left w:val="none" w:sz="0" w:space="0" w:color="auto"/>
        <w:bottom w:val="none" w:sz="0" w:space="0" w:color="auto"/>
        <w:right w:val="none" w:sz="0" w:space="0" w:color="auto"/>
      </w:divBdr>
    </w:div>
    <w:div w:id="687603845">
      <w:marLeft w:val="0"/>
      <w:marRight w:val="0"/>
      <w:marTop w:val="180"/>
      <w:marBottom w:val="180"/>
      <w:divBdr>
        <w:top w:val="none" w:sz="0" w:space="0" w:color="auto"/>
        <w:left w:val="none" w:sz="0" w:space="0" w:color="auto"/>
        <w:bottom w:val="none" w:sz="0" w:space="0" w:color="auto"/>
        <w:right w:val="none" w:sz="0" w:space="0" w:color="auto"/>
      </w:divBdr>
    </w:div>
    <w:div w:id="691568064">
      <w:marLeft w:val="0"/>
      <w:marRight w:val="0"/>
      <w:marTop w:val="180"/>
      <w:marBottom w:val="0"/>
      <w:divBdr>
        <w:top w:val="none" w:sz="0" w:space="0" w:color="auto"/>
        <w:left w:val="none" w:sz="0" w:space="0" w:color="auto"/>
        <w:bottom w:val="none" w:sz="0" w:space="0" w:color="auto"/>
        <w:right w:val="none" w:sz="0" w:space="0" w:color="auto"/>
      </w:divBdr>
    </w:div>
    <w:div w:id="694111861">
      <w:marLeft w:val="0"/>
      <w:marRight w:val="0"/>
      <w:marTop w:val="180"/>
      <w:marBottom w:val="180"/>
      <w:divBdr>
        <w:top w:val="none" w:sz="0" w:space="0" w:color="auto"/>
        <w:left w:val="none" w:sz="0" w:space="0" w:color="auto"/>
        <w:bottom w:val="none" w:sz="0" w:space="0" w:color="auto"/>
        <w:right w:val="none" w:sz="0" w:space="0" w:color="auto"/>
      </w:divBdr>
    </w:div>
    <w:div w:id="695154440">
      <w:marLeft w:val="0"/>
      <w:marRight w:val="0"/>
      <w:marTop w:val="0"/>
      <w:marBottom w:val="0"/>
      <w:divBdr>
        <w:top w:val="none" w:sz="0" w:space="0" w:color="auto"/>
        <w:left w:val="none" w:sz="0" w:space="0" w:color="auto"/>
        <w:bottom w:val="none" w:sz="0" w:space="0" w:color="auto"/>
        <w:right w:val="none" w:sz="0" w:space="0" w:color="auto"/>
      </w:divBdr>
      <w:divsChild>
        <w:div w:id="1759253997">
          <w:marLeft w:val="0"/>
          <w:marRight w:val="0"/>
          <w:marTop w:val="0"/>
          <w:marBottom w:val="0"/>
          <w:divBdr>
            <w:top w:val="none" w:sz="0" w:space="0" w:color="auto"/>
            <w:left w:val="none" w:sz="0" w:space="0" w:color="auto"/>
            <w:bottom w:val="none" w:sz="0" w:space="0" w:color="auto"/>
            <w:right w:val="none" w:sz="0" w:space="0" w:color="auto"/>
          </w:divBdr>
          <w:divsChild>
            <w:div w:id="13160358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5271493">
      <w:marLeft w:val="0"/>
      <w:marRight w:val="0"/>
      <w:marTop w:val="180"/>
      <w:marBottom w:val="180"/>
      <w:divBdr>
        <w:top w:val="none" w:sz="0" w:space="0" w:color="auto"/>
        <w:left w:val="none" w:sz="0" w:space="0" w:color="auto"/>
        <w:bottom w:val="none" w:sz="0" w:space="0" w:color="auto"/>
        <w:right w:val="none" w:sz="0" w:space="0" w:color="auto"/>
      </w:divBdr>
    </w:div>
    <w:div w:id="695546602">
      <w:marLeft w:val="0"/>
      <w:marRight w:val="0"/>
      <w:marTop w:val="180"/>
      <w:marBottom w:val="180"/>
      <w:divBdr>
        <w:top w:val="none" w:sz="0" w:space="0" w:color="auto"/>
        <w:left w:val="none" w:sz="0" w:space="0" w:color="auto"/>
        <w:bottom w:val="none" w:sz="0" w:space="0" w:color="auto"/>
        <w:right w:val="none" w:sz="0" w:space="0" w:color="auto"/>
      </w:divBdr>
    </w:div>
    <w:div w:id="696154683">
      <w:marLeft w:val="0"/>
      <w:marRight w:val="0"/>
      <w:marTop w:val="0"/>
      <w:marBottom w:val="0"/>
      <w:divBdr>
        <w:top w:val="none" w:sz="0" w:space="0" w:color="auto"/>
        <w:left w:val="none" w:sz="0" w:space="0" w:color="auto"/>
        <w:bottom w:val="none" w:sz="0" w:space="0" w:color="auto"/>
        <w:right w:val="none" w:sz="0" w:space="0" w:color="auto"/>
      </w:divBdr>
    </w:div>
    <w:div w:id="697049377">
      <w:marLeft w:val="0"/>
      <w:marRight w:val="0"/>
      <w:marTop w:val="0"/>
      <w:marBottom w:val="0"/>
      <w:divBdr>
        <w:top w:val="none" w:sz="0" w:space="0" w:color="auto"/>
        <w:left w:val="none" w:sz="0" w:space="0" w:color="auto"/>
        <w:bottom w:val="none" w:sz="0" w:space="0" w:color="auto"/>
        <w:right w:val="none" w:sz="0" w:space="0" w:color="auto"/>
      </w:divBdr>
      <w:divsChild>
        <w:div w:id="1470125166">
          <w:marLeft w:val="0"/>
          <w:marRight w:val="0"/>
          <w:marTop w:val="0"/>
          <w:marBottom w:val="0"/>
          <w:divBdr>
            <w:top w:val="none" w:sz="0" w:space="0" w:color="auto"/>
            <w:left w:val="none" w:sz="0" w:space="0" w:color="auto"/>
            <w:bottom w:val="none" w:sz="0" w:space="0" w:color="auto"/>
            <w:right w:val="none" w:sz="0" w:space="0" w:color="auto"/>
          </w:divBdr>
          <w:divsChild>
            <w:div w:id="19769875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9357205">
      <w:marLeft w:val="0"/>
      <w:marRight w:val="0"/>
      <w:marTop w:val="180"/>
      <w:marBottom w:val="180"/>
      <w:divBdr>
        <w:top w:val="none" w:sz="0" w:space="0" w:color="auto"/>
        <w:left w:val="none" w:sz="0" w:space="0" w:color="auto"/>
        <w:bottom w:val="none" w:sz="0" w:space="0" w:color="auto"/>
        <w:right w:val="none" w:sz="0" w:space="0" w:color="auto"/>
      </w:divBdr>
    </w:div>
    <w:div w:id="701513158">
      <w:marLeft w:val="0"/>
      <w:marRight w:val="0"/>
      <w:marTop w:val="0"/>
      <w:marBottom w:val="0"/>
      <w:divBdr>
        <w:top w:val="none" w:sz="0" w:space="0" w:color="auto"/>
        <w:left w:val="none" w:sz="0" w:space="0" w:color="auto"/>
        <w:bottom w:val="none" w:sz="0" w:space="0" w:color="auto"/>
        <w:right w:val="none" w:sz="0" w:space="0" w:color="auto"/>
      </w:divBdr>
      <w:divsChild>
        <w:div w:id="1569263768">
          <w:marLeft w:val="0"/>
          <w:marRight w:val="0"/>
          <w:marTop w:val="60"/>
          <w:marBottom w:val="60"/>
          <w:divBdr>
            <w:top w:val="none" w:sz="0" w:space="0" w:color="auto"/>
            <w:left w:val="none" w:sz="0" w:space="0" w:color="auto"/>
            <w:bottom w:val="none" w:sz="0" w:space="0" w:color="auto"/>
            <w:right w:val="none" w:sz="0" w:space="0" w:color="auto"/>
          </w:divBdr>
        </w:div>
      </w:divsChild>
    </w:div>
    <w:div w:id="702091961">
      <w:marLeft w:val="0"/>
      <w:marRight w:val="0"/>
      <w:marTop w:val="240"/>
      <w:marBottom w:val="180"/>
      <w:divBdr>
        <w:top w:val="none" w:sz="0" w:space="0" w:color="auto"/>
        <w:left w:val="none" w:sz="0" w:space="0" w:color="auto"/>
        <w:bottom w:val="none" w:sz="0" w:space="0" w:color="auto"/>
        <w:right w:val="none" w:sz="0" w:space="0" w:color="auto"/>
      </w:divBdr>
    </w:div>
    <w:div w:id="704596063">
      <w:marLeft w:val="0"/>
      <w:marRight w:val="0"/>
      <w:marTop w:val="60"/>
      <w:marBottom w:val="60"/>
      <w:divBdr>
        <w:top w:val="none" w:sz="0" w:space="0" w:color="auto"/>
        <w:left w:val="none" w:sz="0" w:space="0" w:color="auto"/>
        <w:bottom w:val="none" w:sz="0" w:space="0" w:color="auto"/>
        <w:right w:val="none" w:sz="0" w:space="0" w:color="auto"/>
      </w:divBdr>
    </w:div>
    <w:div w:id="704788303">
      <w:marLeft w:val="0"/>
      <w:marRight w:val="0"/>
      <w:marTop w:val="180"/>
      <w:marBottom w:val="180"/>
      <w:divBdr>
        <w:top w:val="none" w:sz="0" w:space="0" w:color="auto"/>
        <w:left w:val="none" w:sz="0" w:space="0" w:color="auto"/>
        <w:bottom w:val="none" w:sz="0" w:space="0" w:color="auto"/>
        <w:right w:val="none" w:sz="0" w:space="0" w:color="auto"/>
      </w:divBdr>
    </w:div>
    <w:div w:id="705056738">
      <w:marLeft w:val="0"/>
      <w:marRight w:val="0"/>
      <w:marTop w:val="60"/>
      <w:marBottom w:val="60"/>
      <w:divBdr>
        <w:top w:val="none" w:sz="0" w:space="0" w:color="auto"/>
        <w:left w:val="none" w:sz="0" w:space="0" w:color="auto"/>
        <w:bottom w:val="none" w:sz="0" w:space="0" w:color="auto"/>
        <w:right w:val="none" w:sz="0" w:space="0" w:color="auto"/>
      </w:divBdr>
    </w:div>
    <w:div w:id="705641971">
      <w:marLeft w:val="0"/>
      <w:marRight w:val="0"/>
      <w:marTop w:val="60"/>
      <w:marBottom w:val="60"/>
      <w:divBdr>
        <w:top w:val="none" w:sz="0" w:space="0" w:color="auto"/>
        <w:left w:val="none" w:sz="0" w:space="0" w:color="auto"/>
        <w:bottom w:val="none" w:sz="0" w:space="0" w:color="auto"/>
        <w:right w:val="none" w:sz="0" w:space="0" w:color="auto"/>
      </w:divBdr>
    </w:div>
    <w:div w:id="706442988">
      <w:marLeft w:val="0"/>
      <w:marRight w:val="0"/>
      <w:marTop w:val="180"/>
      <w:marBottom w:val="180"/>
      <w:divBdr>
        <w:top w:val="none" w:sz="0" w:space="0" w:color="auto"/>
        <w:left w:val="none" w:sz="0" w:space="0" w:color="auto"/>
        <w:bottom w:val="none" w:sz="0" w:space="0" w:color="auto"/>
        <w:right w:val="none" w:sz="0" w:space="0" w:color="auto"/>
      </w:divBdr>
    </w:div>
    <w:div w:id="707490277">
      <w:marLeft w:val="0"/>
      <w:marRight w:val="0"/>
      <w:marTop w:val="180"/>
      <w:marBottom w:val="180"/>
      <w:divBdr>
        <w:top w:val="none" w:sz="0" w:space="0" w:color="auto"/>
        <w:left w:val="none" w:sz="0" w:space="0" w:color="auto"/>
        <w:bottom w:val="none" w:sz="0" w:space="0" w:color="auto"/>
        <w:right w:val="none" w:sz="0" w:space="0" w:color="auto"/>
      </w:divBdr>
    </w:div>
    <w:div w:id="707536617">
      <w:marLeft w:val="0"/>
      <w:marRight w:val="0"/>
      <w:marTop w:val="180"/>
      <w:marBottom w:val="60"/>
      <w:divBdr>
        <w:top w:val="none" w:sz="0" w:space="0" w:color="auto"/>
        <w:left w:val="none" w:sz="0" w:space="0" w:color="auto"/>
        <w:bottom w:val="none" w:sz="0" w:space="0" w:color="auto"/>
        <w:right w:val="none" w:sz="0" w:space="0" w:color="auto"/>
      </w:divBdr>
    </w:div>
    <w:div w:id="709652340">
      <w:marLeft w:val="0"/>
      <w:marRight w:val="0"/>
      <w:marTop w:val="60"/>
      <w:marBottom w:val="60"/>
      <w:divBdr>
        <w:top w:val="none" w:sz="0" w:space="0" w:color="auto"/>
        <w:left w:val="none" w:sz="0" w:space="0" w:color="auto"/>
        <w:bottom w:val="none" w:sz="0" w:space="0" w:color="auto"/>
        <w:right w:val="none" w:sz="0" w:space="0" w:color="auto"/>
      </w:divBdr>
    </w:div>
    <w:div w:id="712004729">
      <w:marLeft w:val="0"/>
      <w:marRight w:val="0"/>
      <w:marTop w:val="60"/>
      <w:marBottom w:val="60"/>
      <w:divBdr>
        <w:top w:val="none" w:sz="0" w:space="0" w:color="auto"/>
        <w:left w:val="none" w:sz="0" w:space="0" w:color="auto"/>
        <w:bottom w:val="none" w:sz="0" w:space="0" w:color="auto"/>
        <w:right w:val="none" w:sz="0" w:space="0" w:color="auto"/>
      </w:divBdr>
    </w:div>
    <w:div w:id="715351568">
      <w:marLeft w:val="0"/>
      <w:marRight w:val="0"/>
      <w:marTop w:val="0"/>
      <w:marBottom w:val="0"/>
      <w:divBdr>
        <w:top w:val="none" w:sz="0" w:space="0" w:color="auto"/>
        <w:left w:val="none" w:sz="0" w:space="0" w:color="auto"/>
        <w:bottom w:val="none" w:sz="0" w:space="0" w:color="auto"/>
        <w:right w:val="none" w:sz="0" w:space="0" w:color="auto"/>
      </w:divBdr>
      <w:divsChild>
        <w:div w:id="1530096568">
          <w:marLeft w:val="0"/>
          <w:marRight w:val="0"/>
          <w:marTop w:val="0"/>
          <w:marBottom w:val="0"/>
          <w:divBdr>
            <w:top w:val="none" w:sz="0" w:space="0" w:color="auto"/>
            <w:left w:val="none" w:sz="0" w:space="0" w:color="auto"/>
            <w:bottom w:val="none" w:sz="0" w:space="0" w:color="auto"/>
            <w:right w:val="none" w:sz="0" w:space="0" w:color="auto"/>
          </w:divBdr>
          <w:divsChild>
            <w:div w:id="2524694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15352377">
      <w:marLeft w:val="0"/>
      <w:marRight w:val="0"/>
      <w:marTop w:val="180"/>
      <w:marBottom w:val="180"/>
      <w:divBdr>
        <w:top w:val="none" w:sz="0" w:space="0" w:color="auto"/>
        <w:left w:val="none" w:sz="0" w:space="0" w:color="auto"/>
        <w:bottom w:val="none" w:sz="0" w:space="0" w:color="auto"/>
        <w:right w:val="none" w:sz="0" w:space="0" w:color="auto"/>
      </w:divBdr>
    </w:div>
    <w:div w:id="717555160">
      <w:marLeft w:val="0"/>
      <w:marRight w:val="0"/>
      <w:marTop w:val="100"/>
      <w:marBottom w:val="0"/>
      <w:divBdr>
        <w:top w:val="none" w:sz="0" w:space="0" w:color="auto"/>
        <w:left w:val="none" w:sz="0" w:space="0" w:color="auto"/>
        <w:bottom w:val="none" w:sz="0" w:space="0" w:color="auto"/>
        <w:right w:val="none" w:sz="0" w:space="0" w:color="auto"/>
      </w:divBdr>
      <w:divsChild>
        <w:div w:id="154731119">
          <w:marLeft w:val="0"/>
          <w:marRight w:val="0"/>
          <w:marTop w:val="0"/>
          <w:marBottom w:val="0"/>
          <w:divBdr>
            <w:top w:val="none" w:sz="0" w:space="0" w:color="auto"/>
            <w:left w:val="none" w:sz="0" w:space="0" w:color="auto"/>
            <w:bottom w:val="none" w:sz="0" w:space="0" w:color="auto"/>
            <w:right w:val="none" w:sz="0" w:space="0" w:color="auto"/>
          </w:divBdr>
        </w:div>
        <w:div w:id="1831093965">
          <w:marLeft w:val="0"/>
          <w:marRight w:val="0"/>
          <w:marTop w:val="0"/>
          <w:marBottom w:val="0"/>
          <w:divBdr>
            <w:top w:val="none" w:sz="0" w:space="0" w:color="auto"/>
            <w:left w:val="none" w:sz="0" w:space="0" w:color="auto"/>
            <w:bottom w:val="none" w:sz="0" w:space="0" w:color="auto"/>
            <w:right w:val="none" w:sz="0" w:space="0" w:color="auto"/>
          </w:divBdr>
        </w:div>
        <w:div w:id="1205947393">
          <w:marLeft w:val="0"/>
          <w:marRight w:val="0"/>
          <w:marTop w:val="0"/>
          <w:marBottom w:val="0"/>
          <w:divBdr>
            <w:top w:val="none" w:sz="0" w:space="0" w:color="auto"/>
            <w:left w:val="none" w:sz="0" w:space="0" w:color="auto"/>
            <w:bottom w:val="none" w:sz="0" w:space="0" w:color="auto"/>
            <w:right w:val="none" w:sz="0" w:space="0" w:color="auto"/>
          </w:divBdr>
        </w:div>
      </w:divsChild>
    </w:div>
    <w:div w:id="719209311">
      <w:marLeft w:val="0"/>
      <w:marRight w:val="0"/>
      <w:marTop w:val="0"/>
      <w:marBottom w:val="0"/>
      <w:divBdr>
        <w:top w:val="none" w:sz="0" w:space="0" w:color="auto"/>
        <w:left w:val="none" w:sz="0" w:space="0" w:color="auto"/>
        <w:bottom w:val="none" w:sz="0" w:space="0" w:color="auto"/>
        <w:right w:val="none" w:sz="0" w:space="0" w:color="auto"/>
      </w:divBdr>
      <w:divsChild>
        <w:div w:id="697775379">
          <w:marLeft w:val="0"/>
          <w:marRight w:val="0"/>
          <w:marTop w:val="0"/>
          <w:marBottom w:val="0"/>
          <w:divBdr>
            <w:top w:val="none" w:sz="0" w:space="0" w:color="auto"/>
            <w:left w:val="none" w:sz="0" w:space="0" w:color="auto"/>
            <w:bottom w:val="none" w:sz="0" w:space="0" w:color="auto"/>
            <w:right w:val="none" w:sz="0" w:space="0" w:color="auto"/>
          </w:divBdr>
          <w:divsChild>
            <w:div w:id="18597315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1250140">
      <w:marLeft w:val="0"/>
      <w:marRight w:val="0"/>
      <w:marTop w:val="60"/>
      <w:marBottom w:val="60"/>
      <w:divBdr>
        <w:top w:val="none" w:sz="0" w:space="0" w:color="auto"/>
        <w:left w:val="none" w:sz="0" w:space="0" w:color="auto"/>
        <w:bottom w:val="none" w:sz="0" w:space="0" w:color="auto"/>
        <w:right w:val="none" w:sz="0" w:space="0" w:color="auto"/>
      </w:divBdr>
    </w:div>
    <w:div w:id="722943619">
      <w:marLeft w:val="0"/>
      <w:marRight w:val="0"/>
      <w:marTop w:val="180"/>
      <w:marBottom w:val="180"/>
      <w:divBdr>
        <w:top w:val="none" w:sz="0" w:space="0" w:color="auto"/>
        <w:left w:val="none" w:sz="0" w:space="0" w:color="auto"/>
        <w:bottom w:val="none" w:sz="0" w:space="0" w:color="auto"/>
        <w:right w:val="none" w:sz="0" w:space="0" w:color="auto"/>
      </w:divBdr>
    </w:div>
    <w:div w:id="723482421">
      <w:marLeft w:val="0"/>
      <w:marRight w:val="0"/>
      <w:marTop w:val="60"/>
      <w:marBottom w:val="60"/>
      <w:divBdr>
        <w:top w:val="none" w:sz="0" w:space="0" w:color="auto"/>
        <w:left w:val="none" w:sz="0" w:space="0" w:color="auto"/>
        <w:bottom w:val="none" w:sz="0" w:space="0" w:color="auto"/>
        <w:right w:val="none" w:sz="0" w:space="0" w:color="auto"/>
      </w:divBdr>
    </w:div>
    <w:div w:id="723800011">
      <w:marLeft w:val="0"/>
      <w:marRight w:val="0"/>
      <w:marTop w:val="180"/>
      <w:marBottom w:val="180"/>
      <w:divBdr>
        <w:top w:val="none" w:sz="0" w:space="0" w:color="auto"/>
        <w:left w:val="none" w:sz="0" w:space="0" w:color="auto"/>
        <w:bottom w:val="none" w:sz="0" w:space="0" w:color="auto"/>
        <w:right w:val="none" w:sz="0" w:space="0" w:color="auto"/>
      </w:divBdr>
    </w:div>
    <w:div w:id="724765289">
      <w:marLeft w:val="0"/>
      <w:marRight w:val="0"/>
      <w:marTop w:val="60"/>
      <w:marBottom w:val="60"/>
      <w:divBdr>
        <w:top w:val="none" w:sz="0" w:space="0" w:color="auto"/>
        <w:left w:val="none" w:sz="0" w:space="0" w:color="auto"/>
        <w:bottom w:val="none" w:sz="0" w:space="0" w:color="auto"/>
        <w:right w:val="none" w:sz="0" w:space="0" w:color="auto"/>
      </w:divBdr>
    </w:div>
    <w:div w:id="726419238">
      <w:marLeft w:val="0"/>
      <w:marRight w:val="0"/>
      <w:marTop w:val="180"/>
      <w:marBottom w:val="180"/>
      <w:divBdr>
        <w:top w:val="none" w:sz="0" w:space="0" w:color="auto"/>
        <w:left w:val="none" w:sz="0" w:space="0" w:color="auto"/>
        <w:bottom w:val="none" w:sz="0" w:space="0" w:color="auto"/>
        <w:right w:val="none" w:sz="0" w:space="0" w:color="auto"/>
      </w:divBdr>
    </w:div>
    <w:div w:id="728771572">
      <w:marLeft w:val="0"/>
      <w:marRight w:val="0"/>
      <w:marTop w:val="60"/>
      <w:marBottom w:val="60"/>
      <w:divBdr>
        <w:top w:val="none" w:sz="0" w:space="0" w:color="auto"/>
        <w:left w:val="none" w:sz="0" w:space="0" w:color="auto"/>
        <w:bottom w:val="none" w:sz="0" w:space="0" w:color="auto"/>
        <w:right w:val="none" w:sz="0" w:space="0" w:color="auto"/>
      </w:divBdr>
    </w:div>
    <w:div w:id="729571997">
      <w:marLeft w:val="0"/>
      <w:marRight w:val="0"/>
      <w:marTop w:val="0"/>
      <w:marBottom w:val="0"/>
      <w:divBdr>
        <w:top w:val="none" w:sz="0" w:space="0" w:color="auto"/>
        <w:left w:val="none" w:sz="0" w:space="0" w:color="auto"/>
        <w:bottom w:val="none" w:sz="0" w:space="0" w:color="auto"/>
        <w:right w:val="none" w:sz="0" w:space="0" w:color="auto"/>
      </w:divBdr>
      <w:divsChild>
        <w:div w:id="301544279">
          <w:marLeft w:val="0"/>
          <w:marRight w:val="0"/>
          <w:marTop w:val="0"/>
          <w:marBottom w:val="0"/>
          <w:divBdr>
            <w:top w:val="none" w:sz="0" w:space="0" w:color="auto"/>
            <w:left w:val="none" w:sz="0" w:space="0" w:color="auto"/>
            <w:bottom w:val="none" w:sz="0" w:space="0" w:color="auto"/>
            <w:right w:val="none" w:sz="0" w:space="0" w:color="auto"/>
          </w:divBdr>
          <w:divsChild>
            <w:div w:id="11572626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9957819">
      <w:marLeft w:val="0"/>
      <w:marRight w:val="0"/>
      <w:marTop w:val="60"/>
      <w:marBottom w:val="60"/>
      <w:divBdr>
        <w:top w:val="none" w:sz="0" w:space="0" w:color="auto"/>
        <w:left w:val="none" w:sz="0" w:space="0" w:color="auto"/>
        <w:bottom w:val="none" w:sz="0" w:space="0" w:color="auto"/>
        <w:right w:val="none" w:sz="0" w:space="0" w:color="auto"/>
      </w:divBdr>
    </w:div>
    <w:div w:id="731005532">
      <w:marLeft w:val="0"/>
      <w:marRight w:val="0"/>
      <w:marTop w:val="60"/>
      <w:marBottom w:val="60"/>
      <w:divBdr>
        <w:top w:val="none" w:sz="0" w:space="0" w:color="auto"/>
        <w:left w:val="none" w:sz="0" w:space="0" w:color="auto"/>
        <w:bottom w:val="none" w:sz="0" w:space="0" w:color="auto"/>
        <w:right w:val="none" w:sz="0" w:space="0" w:color="auto"/>
      </w:divBdr>
    </w:div>
    <w:div w:id="732586608">
      <w:marLeft w:val="0"/>
      <w:marRight w:val="0"/>
      <w:marTop w:val="180"/>
      <w:marBottom w:val="180"/>
      <w:divBdr>
        <w:top w:val="none" w:sz="0" w:space="0" w:color="auto"/>
        <w:left w:val="none" w:sz="0" w:space="0" w:color="auto"/>
        <w:bottom w:val="none" w:sz="0" w:space="0" w:color="auto"/>
        <w:right w:val="none" w:sz="0" w:space="0" w:color="auto"/>
      </w:divBdr>
    </w:div>
    <w:div w:id="734277392">
      <w:marLeft w:val="0"/>
      <w:marRight w:val="0"/>
      <w:marTop w:val="0"/>
      <w:marBottom w:val="0"/>
      <w:divBdr>
        <w:top w:val="none" w:sz="0" w:space="0" w:color="auto"/>
        <w:left w:val="none" w:sz="0" w:space="0" w:color="auto"/>
        <w:bottom w:val="none" w:sz="0" w:space="0" w:color="auto"/>
        <w:right w:val="none" w:sz="0" w:space="0" w:color="auto"/>
      </w:divBdr>
    </w:div>
    <w:div w:id="734670707">
      <w:marLeft w:val="0"/>
      <w:marRight w:val="0"/>
      <w:marTop w:val="60"/>
      <w:marBottom w:val="60"/>
      <w:divBdr>
        <w:top w:val="none" w:sz="0" w:space="0" w:color="auto"/>
        <w:left w:val="none" w:sz="0" w:space="0" w:color="auto"/>
        <w:bottom w:val="none" w:sz="0" w:space="0" w:color="auto"/>
        <w:right w:val="none" w:sz="0" w:space="0" w:color="auto"/>
      </w:divBdr>
    </w:div>
    <w:div w:id="736056385">
      <w:marLeft w:val="0"/>
      <w:marRight w:val="0"/>
      <w:marTop w:val="180"/>
      <w:marBottom w:val="180"/>
      <w:divBdr>
        <w:top w:val="none" w:sz="0" w:space="0" w:color="auto"/>
        <w:left w:val="none" w:sz="0" w:space="0" w:color="auto"/>
        <w:bottom w:val="none" w:sz="0" w:space="0" w:color="auto"/>
        <w:right w:val="none" w:sz="0" w:space="0" w:color="auto"/>
      </w:divBdr>
    </w:div>
    <w:div w:id="736518416">
      <w:marLeft w:val="0"/>
      <w:marRight w:val="0"/>
      <w:marTop w:val="60"/>
      <w:marBottom w:val="60"/>
      <w:divBdr>
        <w:top w:val="none" w:sz="0" w:space="0" w:color="auto"/>
        <w:left w:val="none" w:sz="0" w:space="0" w:color="auto"/>
        <w:bottom w:val="none" w:sz="0" w:space="0" w:color="auto"/>
        <w:right w:val="none" w:sz="0" w:space="0" w:color="auto"/>
      </w:divBdr>
    </w:div>
    <w:div w:id="738987208">
      <w:marLeft w:val="0"/>
      <w:marRight w:val="0"/>
      <w:marTop w:val="180"/>
      <w:marBottom w:val="180"/>
      <w:divBdr>
        <w:top w:val="none" w:sz="0" w:space="0" w:color="auto"/>
        <w:left w:val="none" w:sz="0" w:space="0" w:color="auto"/>
        <w:bottom w:val="none" w:sz="0" w:space="0" w:color="auto"/>
        <w:right w:val="none" w:sz="0" w:space="0" w:color="auto"/>
      </w:divBdr>
    </w:div>
    <w:div w:id="740642482">
      <w:marLeft w:val="0"/>
      <w:marRight w:val="0"/>
      <w:marTop w:val="180"/>
      <w:marBottom w:val="180"/>
      <w:divBdr>
        <w:top w:val="none" w:sz="0" w:space="0" w:color="auto"/>
        <w:left w:val="none" w:sz="0" w:space="0" w:color="auto"/>
        <w:bottom w:val="none" w:sz="0" w:space="0" w:color="auto"/>
        <w:right w:val="none" w:sz="0" w:space="0" w:color="auto"/>
      </w:divBdr>
    </w:div>
    <w:div w:id="742526857">
      <w:marLeft w:val="0"/>
      <w:marRight w:val="0"/>
      <w:marTop w:val="180"/>
      <w:marBottom w:val="180"/>
      <w:divBdr>
        <w:top w:val="none" w:sz="0" w:space="0" w:color="auto"/>
        <w:left w:val="none" w:sz="0" w:space="0" w:color="auto"/>
        <w:bottom w:val="none" w:sz="0" w:space="0" w:color="auto"/>
        <w:right w:val="none" w:sz="0" w:space="0" w:color="auto"/>
      </w:divBdr>
    </w:div>
    <w:div w:id="744377623">
      <w:marLeft w:val="0"/>
      <w:marRight w:val="0"/>
      <w:marTop w:val="180"/>
      <w:marBottom w:val="60"/>
      <w:divBdr>
        <w:top w:val="none" w:sz="0" w:space="0" w:color="auto"/>
        <w:left w:val="none" w:sz="0" w:space="0" w:color="auto"/>
        <w:bottom w:val="none" w:sz="0" w:space="0" w:color="auto"/>
        <w:right w:val="none" w:sz="0" w:space="0" w:color="auto"/>
      </w:divBdr>
    </w:div>
    <w:div w:id="744452659">
      <w:marLeft w:val="0"/>
      <w:marRight w:val="0"/>
      <w:marTop w:val="180"/>
      <w:marBottom w:val="180"/>
      <w:divBdr>
        <w:top w:val="none" w:sz="0" w:space="0" w:color="auto"/>
        <w:left w:val="none" w:sz="0" w:space="0" w:color="auto"/>
        <w:bottom w:val="none" w:sz="0" w:space="0" w:color="auto"/>
        <w:right w:val="none" w:sz="0" w:space="0" w:color="auto"/>
      </w:divBdr>
    </w:div>
    <w:div w:id="750346369">
      <w:marLeft w:val="0"/>
      <w:marRight w:val="0"/>
      <w:marTop w:val="180"/>
      <w:marBottom w:val="180"/>
      <w:divBdr>
        <w:top w:val="none" w:sz="0" w:space="0" w:color="auto"/>
        <w:left w:val="none" w:sz="0" w:space="0" w:color="auto"/>
        <w:bottom w:val="none" w:sz="0" w:space="0" w:color="auto"/>
        <w:right w:val="none" w:sz="0" w:space="0" w:color="auto"/>
      </w:divBdr>
    </w:div>
    <w:div w:id="750614777">
      <w:marLeft w:val="0"/>
      <w:marRight w:val="0"/>
      <w:marTop w:val="0"/>
      <w:marBottom w:val="180"/>
      <w:divBdr>
        <w:top w:val="none" w:sz="0" w:space="0" w:color="auto"/>
        <w:left w:val="none" w:sz="0" w:space="0" w:color="auto"/>
        <w:bottom w:val="none" w:sz="0" w:space="0" w:color="auto"/>
        <w:right w:val="none" w:sz="0" w:space="0" w:color="auto"/>
      </w:divBdr>
    </w:div>
    <w:div w:id="751584721">
      <w:marLeft w:val="0"/>
      <w:marRight w:val="0"/>
      <w:marTop w:val="60"/>
      <w:marBottom w:val="60"/>
      <w:divBdr>
        <w:top w:val="none" w:sz="0" w:space="0" w:color="auto"/>
        <w:left w:val="none" w:sz="0" w:space="0" w:color="auto"/>
        <w:bottom w:val="none" w:sz="0" w:space="0" w:color="auto"/>
        <w:right w:val="none" w:sz="0" w:space="0" w:color="auto"/>
      </w:divBdr>
    </w:div>
    <w:div w:id="756705035">
      <w:marLeft w:val="0"/>
      <w:marRight w:val="0"/>
      <w:marTop w:val="180"/>
      <w:marBottom w:val="180"/>
      <w:divBdr>
        <w:top w:val="none" w:sz="0" w:space="0" w:color="auto"/>
        <w:left w:val="none" w:sz="0" w:space="0" w:color="auto"/>
        <w:bottom w:val="none" w:sz="0" w:space="0" w:color="auto"/>
        <w:right w:val="none" w:sz="0" w:space="0" w:color="auto"/>
      </w:divBdr>
    </w:div>
    <w:div w:id="760224712">
      <w:marLeft w:val="0"/>
      <w:marRight w:val="0"/>
      <w:marTop w:val="100"/>
      <w:marBottom w:val="0"/>
      <w:divBdr>
        <w:top w:val="none" w:sz="0" w:space="0" w:color="auto"/>
        <w:left w:val="none" w:sz="0" w:space="0" w:color="auto"/>
        <w:bottom w:val="none" w:sz="0" w:space="0" w:color="auto"/>
        <w:right w:val="none" w:sz="0" w:space="0" w:color="auto"/>
      </w:divBdr>
      <w:divsChild>
        <w:div w:id="2114937318">
          <w:marLeft w:val="0"/>
          <w:marRight w:val="0"/>
          <w:marTop w:val="0"/>
          <w:marBottom w:val="0"/>
          <w:divBdr>
            <w:top w:val="none" w:sz="0" w:space="0" w:color="auto"/>
            <w:left w:val="none" w:sz="0" w:space="0" w:color="auto"/>
            <w:bottom w:val="none" w:sz="0" w:space="0" w:color="auto"/>
            <w:right w:val="none" w:sz="0" w:space="0" w:color="auto"/>
          </w:divBdr>
        </w:div>
        <w:div w:id="1703900158">
          <w:marLeft w:val="0"/>
          <w:marRight w:val="0"/>
          <w:marTop w:val="0"/>
          <w:marBottom w:val="0"/>
          <w:divBdr>
            <w:top w:val="none" w:sz="0" w:space="0" w:color="auto"/>
            <w:left w:val="none" w:sz="0" w:space="0" w:color="auto"/>
            <w:bottom w:val="none" w:sz="0" w:space="0" w:color="auto"/>
            <w:right w:val="none" w:sz="0" w:space="0" w:color="auto"/>
          </w:divBdr>
        </w:div>
      </w:divsChild>
    </w:div>
    <w:div w:id="760760520">
      <w:marLeft w:val="0"/>
      <w:marRight w:val="0"/>
      <w:marTop w:val="0"/>
      <w:marBottom w:val="0"/>
      <w:divBdr>
        <w:top w:val="none" w:sz="0" w:space="0" w:color="auto"/>
        <w:left w:val="none" w:sz="0" w:space="0" w:color="auto"/>
        <w:bottom w:val="none" w:sz="0" w:space="0" w:color="auto"/>
        <w:right w:val="none" w:sz="0" w:space="0" w:color="auto"/>
      </w:divBdr>
    </w:div>
    <w:div w:id="761410304">
      <w:marLeft w:val="0"/>
      <w:marRight w:val="0"/>
      <w:marTop w:val="60"/>
      <w:marBottom w:val="60"/>
      <w:divBdr>
        <w:top w:val="none" w:sz="0" w:space="0" w:color="auto"/>
        <w:left w:val="none" w:sz="0" w:space="0" w:color="auto"/>
        <w:bottom w:val="none" w:sz="0" w:space="0" w:color="auto"/>
        <w:right w:val="none" w:sz="0" w:space="0" w:color="auto"/>
      </w:divBdr>
    </w:div>
    <w:div w:id="762340309">
      <w:marLeft w:val="0"/>
      <w:marRight w:val="0"/>
      <w:marTop w:val="180"/>
      <w:marBottom w:val="180"/>
      <w:divBdr>
        <w:top w:val="none" w:sz="0" w:space="0" w:color="auto"/>
        <w:left w:val="none" w:sz="0" w:space="0" w:color="auto"/>
        <w:bottom w:val="none" w:sz="0" w:space="0" w:color="auto"/>
        <w:right w:val="none" w:sz="0" w:space="0" w:color="auto"/>
      </w:divBdr>
    </w:div>
    <w:div w:id="762798982">
      <w:marLeft w:val="0"/>
      <w:marRight w:val="0"/>
      <w:marTop w:val="180"/>
      <w:marBottom w:val="180"/>
      <w:divBdr>
        <w:top w:val="none" w:sz="0" w:space="0" w:color="auto"/>
        <w:left w:val="none" w:sz="0" w:space="0" w:color="auto"/>
        <w:bottom w:val="none" w:sz="0" w:space="0" w:color="auto"/>
        <w:right w:val="none" w:sz="0" w:space="0" w:color="auto"/>
      </w:divBdr>
    </w:div>
    <w:div w:id="765730001">
      <w:marLeft w:val="0"/>
      <w:marRight w:val="0"/>
      <w:marTop w:val="60"/>
      <w:marBottom w:val="60"/>
      <w:divBdr>
        <w:top w:val="none" w:sz="0" w:space="0" w:color="auto"/>
        <w:left w:val="none" w:sz="0" w:space="0" w:color="auto"/>
        <w:bottom w:val="none" w:sz="0" w:space="0" w:color="auto"/>
        <w:right w:val="none" w:sz="0" w:space="0" w:color="auto"/>
      </w:divBdr>
    </w:div>
    <w:div w:id="769470303">
      <w:marLeft w:val="0"/>
      <w:marRight w:val="0"/>
      <w:marTop w:val="180"/>
      <w:marBottom w:val="180"/>
      <w:divBdr>
        <w:top w:val="none" w:sz="0" w:space="0" w:color="auto"/>
        <w:left w:val="none" w:sz="0" w:space="0" w:color="auto"/>
        <w:bottom w:val="none" w:sz="0" w:space="0" w:color="auto"/>
        <w:right w:val="none" w:sz="0" w:space="0" w:color="auto"/>
      </w:divBdr>
    </w:div>
    <w:div w:id="769542061">
      <w:marLeft w:val="0"/>
      <w:marRight w:val="0"/>
      <w:marTop w:val="180"/>
      <w:marBottom w:val="180"/>
      <w:divBdr>
        <w:top w:val="none" w:sz="0" w:space="0" w:color="auto"/>
        <w:left w:val="none" w:sz="0" w:space="0" w:color="auto"/>
        <w:bottom w:val="none" w:sz="0" w:space="0" w:color="auto"/>
        <w:right w:val="none" w:sz="0" w:space="0" w:color="auto"/>
      </w:divBdr>
    </w:div>
    <w:div w:id="770124785">
      <w:marLeft w:val="0"/>
      <w:marRight w:val="0"/>
      <w:marTop w:val="180"/>
      <w:marBottom w:val="180"/>
      <w:divBdr>
        <w:top w:val="none" w:sz="0" w:space="0" w:color="auto"/>
        <w:left w:val="none" w:sz="0" w:space="0" w:color="auto"/>
        <w:bottom w:val="none" w:sz="0" w:space="0" w:color="auto"/>
        <w:right w:val="none" w:sz="0" w:space="0" w:color="auto"/>
      </w:divBdr>
    </w:div>
    <w:div w:id="771441530">
      <w:marLeft w:val="0"/>
      <w:marRight w:val="0"/>
      <w:marTop w:val="180"/>
      <w:marBottom w:val="180"/>
      <w:divBdr>
        <w:top w:val="none" w:sz="0" w:space="0" w:color="auto"/>
        <w:left w:val="none" w:sz="0" w:space="0" w:color="auto"/>
        <w:bottom w:val="none" w:sz="0" w:space="0" w:color="auto"/>
        <w:right w:val="none" w:sz="0" w:space="0" w:color="auto"/>
      </w:divBdr>
    </w:div>
    <w:div w:id="774835086">
      <w:marLeft w:val="0"/>
      <w:marRight w:val="0"/>
      <w:marTop w:val="180"/>
      <w:marBottom w:val="180"/>
      <w:divBdr>
        <w:top w:val="none" w:sz="0" w:space="0" w:color="auto"/>
        <w:left w:val="none" w:sz="0" w:space="0" w:color="auto"/>
        <w:bottom w:val="none" w:sz="0" w:space="0" w:color="auto"/>
        <w:right w:val="none" w:sz="0" w:space="0" w:color="auto"/>
      </w:divBdr>
    </w:div>
    <w:div w:id="776867972">
      <w:marLeft w:val="0"/>
      <w:marRight w:val="0"/>
      <w:marTop w:val="60"/>
      <w:marBottom w:val="60"/>
      <w:divBdr>
        <w:top w:val="none" w:sz="0" w:space="0" w:color="auto"/>
        <w:left w:val="none" w:sz="0" w:space="0" w:color="auto"/>
        <w:bottom w:val="none" w:sz="0" w:space="0" w:color="auto"/>
        <w:right w:val="none" w:sz="0" w:space="0" w:color="auto"/>
      </w:divBdr>
    </w:div>
    <w:div w:id="777022263">
      <w:marLeft w:val="0"/>
      <w:marRight w:val="0"/>
      <w:marTop w:val="60"/>
      <w:marBottom w:val="60"/>
      <w:divBdr>
        <w:top w:val="none" w:sz="0" w:space="0" w:color="auto"/>
        <w:left w:val="none" w:sz="0" w:space="0" w:color="auto"/>
        <w:bottom w:val="none" w:sz="0" w:space="0" w:color="auto"/>
        <w:right w:val="none" w:sz="0" w:space="0" w:color="auto"/>
      </w:divBdr>
    </w:div>
    <w:div w:id="779030713">
      <w:marLeft w:val="0"/>
      <w:marRight w:val="0"/>
      <w:marTop w:val="180"/>
      <w:marBottom w:val="180"/>
      <w:divBdr>
        <w:top w:val="none" w:sz="0" w:space="0" w:color="auto"/>
        <w:left w:val="none" w:sz="0" w:space="0" w:color="auto"/>
        <w:bottom w:val="none" w:sz="0" w:space="0" w:color="auto"/>
        <w:right w:val="none" w:sz="0" w:space="0" w:color="auto"/>
      </w:divBdr>
    </w:div>
    <w:div w:id="780995593">
      <w:marLeft w:val="0"/>
      <w:marRight w:val="0"/>
      <w:marTop w:val="0"/>
      <w:marBottom w:val="15"/>
      <w:divBdr>
        <w:top w:val="none" w:sz="0" w:space="0" w:color="auto"/>
        <w:left w:val="none" w:sz="0" w:space="0" w:color="auto"/>
        <w:bottom w:val="none" w:sz="0" w:space="0" w:color="auto"/>
        <w:right w:val="none" w:sz="0" w:space="0" w:color="auto"/>
      </w:divBdr>
    </w:div>
    <w:div w:id="781144544">
      <w:marLeft w:val="0"/>
      <w:marRight w:val="0"/>
      <w:marTop w:val="180"/>
      <w:marBottom w:val="60"/>
      <w:divBdr>
        <w:top w:val="none" w:sz="0" w:space="0" w:color="auto"/>
        <w:left w:val="none" w:sz="0" w:space="0" w:color="auto"/>
        <w:bottom w:val="none" w:sz="0" w:space="0" w:color="auto"/>
        <w:right w:val="none" w:sz="0" w:space="0" w:color="auto"/>
      </w:divBdr>
    </w:div>
    <w:div w:id="787553491">
      <w:marLeft w:val="0"/>
      <w:marRight w:val="0"/>
      <w:marTop w:val="180"/>
      <w:marBottom w:val="180"/>
      <w:divBdr>
        <w:top w:val="none" w:sz="0" w:space="0" w:color="auto"/>
        <w:left w:val="none" w:sz="0" w:space="0" w:color="auto"/>
        <w:bottom w:val="none" w:sz="0" w:space="0" w:color="auto"/>
        <w:right w:val="none" w:sz="0" w:space="0" w:color="auto"/>
      </w:divBdr>
    </w:div>
    <w:div w:id="789669705">
      <w:marLeft w:val="0"/>
      <w:marRight w:val="0"/>
      <w:marTop w:val="180"/>
      <w:marBottom w:val="60"/>
      <w:divBdr>
        <w:top w:val="none" w:sz="0" w:space="0" w:color="auto"/>
        <w:left w:val="none" w:sz="0" w:space="0" w:color="auto"/>
        <w:bottom w:val="none" w:sz="0" w:space="0" w:color="auto"/>
        <w:right w:val="none" w:sz="0" w:space="0" w:color="auto"/>
      </w:divBdr>
    </w:div>
    <w:div w:id="789859207">
      <w:marLeft w:val="0"/>
      <w:marRight w:val="0"/>
      <w:marTop w:val="180"/>
      <w:marBottom w:val="180"/>
      <w:divBdr>
        <w:top w:val="none" w:sz="0" w:space="0" w:color="auto"/>
        <w:left w:val="none" w:sz="0" w:space="0" w:color="auto"/>
        <w:bottom w:val="none" w:sz="0" w:space="0" w:color="auto"/>
        <w:right w:val="none" w:sz="0" w:space="0" w:color="auto"/>
      </w:divBdr>
    </w:div>
    <w:div w:id="791169598">
      <w:marLeft w:val="0"/>
      <w:marRight w:val="0"/>
      <w:marTop w:val="180"/>
      <w:marBottom w:val="180"/>
      <w:divBdr>
        <w:top w:val="none" w:sz="0" w:space="0" w:color="auto"/>
        <w:left w:val="none" w:sz="0" w:space="0" w:color="auto"/>
        <w:bottom w:val="none" w:sz="0" w:space="0" w:color="auto"/>
        <w:right w:val="none" w:sz="0" w:space="0" w:color="auto"/>
      </w:divBdr>
    </w:div>
    <w:div w:id="791704788">
      <w:marLeft w:val="0"/>
      <w:marRight w:val="0"/>
      <w:marTop w:val="180"/>
      <w:marBottom w:val="180"/>
      <w:divBdr>
        <w:top w:val="none" w:sz="0" w:space="0" w:color="auto"/>
        <w:left w:val="none" w:sz="0" w:space="0" w:color="auto"/>
        <w:bottom w:val="none" w:sz="0" w:space="0" w:color="auto"/>
        <w:right w:val="none" w:sz="0" w:space="0" w:color="auto"/>
      </w:divBdr>
    </w:div>
    <w:div w:id="792556427">
      <w:marLeft w:val="0"/>
      <w:marRight w:val="0"/>
      <w:marTop w:val="0"/>
      <w:marBottom w:val="0"/>
      <w:divBdr>
        <w:top w:val="none" w:sz="0" w:space="0" w:color="auto"/>
        <w:left w:val="none" w:sz="0" w:space="0" w:color="auto"/>
        <w:bottom w:val="none" w:sz="0" w:space="0" w:color="auto"/>
        <w:right w:val="none" w:sz="0" w:space="0" w:color="auto"/>
      </w:divBdr>
      <w:divsChild>
        <w:div w:id="980770290">
          <w:marLeft w:val="0"/>
          <w:marRight w:val="0"/>
          <w:marTop w:val="60"/>
          <w:marBottom w:val="60"/>
          <w:divBdr>
            <w:top w:val="none" w:sz="0" w:space="0" w:color="auto"/>
            <w:left w:val="none" w:sz="0" w:space="0" w:color="auto"/>
            <w:bottom w:val="none" w:sz="0" w:space="0" w:color="auto"/>
            <w:right w:val="none" w:sz="0" w:space="0" w:color="auto"/>
          </w:divBdr>
        </w:div>
      </w:divsChild>
    </w:div>
    <w:div w:id="793644950">
      <w:marLeft w:val="0"/>
      <w:marRight w:val="0"/>
      <w:marTop w:val="180"/>
      <w:marBottom w:val="180"/>
      <w:divBdr>
        <w:top w:val="none" w:sz="0" w:space="0" w:color="auto"/>
        <w:left w:val="none" w:sz="0" w:space="0" w:color="auto"/>
        <w:bottom w:val="none" w:sz="0" w:space="0" w:color="auto"/>
        <w:right w:val="none" w:sz="0" w:space="0" w:color="auto"/>
      </w:divBdr>
    </w:div>
    <w:div w:id="793985944">
      <w:marLeft w:val="0"/>
      <w:marRight w:val="0"/>
      <w:marTop w:val="180"/>
      <w:marBottom w:val="180"/>
      <w:divBdr>
        <w:top w:val="none" w:sz="0" w:space="0" w:color="auto"/>
        <w:left w:val="none" w:sz="0" w:space="0" w:color="auto"/>
        <w:bottom w:val="none" w:sz="0" w:space="0" w:color="auto"/>
        <w:right w:val="none" w:sz="0" w:space="0" w:color="auto"/>
      </w:divBdr>
    </w:div>
    <w:div w:id="794104397">
      <w:marLeft w:val="0"/>
      <w:marRight w:val="0"/>
      <w:marTop w:val="100"/>
      <w:marBottom w:val="0"/>
      <w:divBdr>
        <w:top w:val="none" w:sz="0" w:space="0" w:color="auto"/>
        <w:left w:val="none" w:sz="0" w:space="0" w:color="auto"/>
        <w:bottom w:val="none" w:sz="0" w:space="0" w:color="auto"/>
        <w:right w:val="none" w:sz="0" w:space="0" w:color="auto"/>
      </w:divBdr>
      <w:divsChild>
        <w:div w:id="182130540">
          <w:marLeft w:val="0"/>
          <w:marRight w:val="0"/>
          <w:marTop w:val="0"/>
          <w:marBottom w:val="0"/>
          <w:divBdr>
            <w:top w:val="none" w:sz="0" w:space="0" w:color="auto"/>
            <w:left w:val="none" w:sz="0" w:space="0" w:color="auto"/>
            <w:bottom w:val="none" w:sz="0" w:space="0" w:color="auto"/>
            <w:right w:val="none" w:sz="0" w:space="0" w:color="auto"/>
          </w:divBdr>
        </w:div>
        <w:div w:id="402527321">
          <w:marLeft w:val="0"/>
          <w:marRight w:val="0"/>
          <w:marTop w:val="0"/>
          <w:marBottom w:val="0"/>
          <w:divBdr>
            <w:top w:val="none" w:sz="0" w:space="0" w:color="auto"/>
            <w:left w:val="none" w:sz="0" w:space="0" w:color="auto"/>
            <w:bottom w:val="none" w:sz="0" w:space="0" w:color="auto"/>
            <w:right w:val="none" w:sz="0" w:space="0" w:color="auto"/>
          </w:divBdr>
        </w:div>
      </w:divsChild>
    </w:div>
    <w:div w:id="795442106">
      <w:marLeft w:val="0"/>
      <w:marRight w:val="0"/>
      <w:marTop w:val="180"/>
      <w:marBottom w:val="180"/>
      <w:divBdr>
        <w:top w:val="none" w:sz="0" w:space="0" w:color="auto"/>
        <w:left w:val="none" w:sz="0" w:space="0" w:color="auto"/>
        <w:bottom w:val="none" w:sz="0" w:space="0" w:color="auto"/>
        <w:right w:val="none" w:sz="0" w:space="0" w:color="auto"/>
      </w:divBdr>
    </w:div>
    <w:div w:id="795488408">
      <w:marLeft w:val="0"/>
      <w:marRight w:val="0"/>
      <w:marTop w:val="180"/>
      <w:marBottom w:val="180"/>
      <w:divBdr>
        <w:top w:val="none" w:sz="0" w:space="0" w:color="auto"/>
        <w:left w:val="none" w:sz="0" w:space="0" w:color="auto"/>
        <w:bottom w:val="none" w:sz="0" w:space="0" w:color="auto"/>
        <w:right w:val="none" w:sz="0" w:space="0" w:color="auto"/>
      </w:divBdr>
    </w:div>
    <w:div w:id="796339420">
      <w:marLeft w:val="0"/>
      <w:marRight w:val="0"/>
      <w:marTop w:val="60"/>
      <w:marBottom w:val="60"/>
      <w:divBdr>
        <w:top w:val="none" w:sz="0" w:space="0" w:color="auto"/>
        <w:left w:val="none" w:sz="0" w:space="0" w:color="auto"/>
        <w:bottom w:val="none" w:sz="0" w:space="0" w:color="auto"/>
        <w:right w:val="none" w:sz="0" w:space="0" w:color="auto"/>
      </w:divBdr>
    </w:div>
    <w:div w:id="797070724">
      <w:marLeft w:val="0"/>
      <w:marRight w:val="0"/>
      <w:marTop w:val="180"/>
      <w:marBottom w:val="180"/>
      <w:divBdr>
        <w:top w:val="none" w:sz="0" w:space="0" w:color="auto"/>
        <w:left w:val="none" w:sz="0" w:space="0" w:color="auto"/>
        <w:bottom w:val="none" w:sz="0" w:space="0" w:color="auto"/>
        <w:right w:val="none" w:sz="0" w:space="0" w:color="auto"/>
      </w:divBdr>
    </w:div>
    <w:div w:id="800073415">
      <w:marLeft w:val="0"/>
      <w:marRight w:val="0"/>
      <w:marTop w:val="180"/>
      <w:marBottom w:val="180"/>
      <w:divBdr>
        <w:top w:val="none" w:sz="0" w:space="0" w:color="auto"/>
        <w:left w:val="none" w:sz="0" w:space="0" w:color="auto"/>
        <w:bottom w:val="none" w:sz="0" w:space="0" w:color="auto"/>
        <w:right w:val="none" w:sz="0" w:space="0" w:color="auto"/>
      </w:divBdr>
    </w:div>
    <w:div w:id="804859618">
      <w:marLeft w:val="0"/>
      <w:marRight w:val="0"/>
      <w:marTop w:val="180"/>
      <w:marBottom w:val="0"/>
      <w:divBdr>
        <w:top w:val="none" w:sz="0" w:space="0" w:color="auto"/>
        <w:left w:val="none" w:sz="0" w:space="0" w:color="auto"/>
        <w:bottom w:val="none" w:sz="0" w:space="0" w:color="auto"/>
        <w:right w:val="none" w:sz="0" w:space="0" w:color="auto"/>
      </w:divBdr>
    </w:div>
    <w:div w:id="805588472">
      <w:marLeft w:val="0"/>
      <w:marRight w:val="0"/>
      <w:marTop w:val="180"/>
      <w:marBottom w:val="180"/>
      <w:divBdr>
        <w:top w:val="none" w:sz="0" w:space="0" w:color="auto"/>
        <w:left w:val="none" w:sz="0" w:space="0" w:color="auto"/>
        <w:bottom w:val="none" w:sz="0" w:space="0" w:color="auto"/>
        <w:right w:val="none" w:sz="0" w:space="0" w:color="auto"/>
      </w:divBdr>
    </w:div>
    <w:div w:id="805778991">
      <w:marLeft w:val="0"/>
      <w:marRight w:val="0"/>
      <w:marTop w:val="0"/>
      <w:marBottom w:val="0"/>
      <w:divBdr>
        <w:top w:val="none" w:sz="0" w:space="0" w:color="auto"/>
        <w:left w:val="none" w:sz="0" w:space="0" w:color="auto"/>
        <w:bottom w:val="none" w:sz="0" w:space="0" w:color="auto"/>
        <w:right w:val="none" w:sz="0" w:space="0" w:color="auto"/>
      </w:divBdr>
      <w:divsChild>
        <w:div w:id="429736986">
          <w:marLeft w:val="0"/>
          <w:marRight w:val="0"/>
          <w:marTop w:val="60"/>
          <w:marBottom w:val="60"/>
          <w:divBdr>
            <w:top w:val="none" w:sz="0" w:space="0" w:color="auto"/>
            <w:left w:val="none" w:sz="0" w:space="0" w:color="auto"/>
            <w:bottom w:val="none" w:sz="0" w:space="0" w:color="auto"/>
            <w:right w:val="none" w:sz="0" w:space="0" w:color="auto"/>
          </w:divBdr>
        </w:div>
      </w:divsChild>
    </w:div>
    <w:div w:id="805969869">
      <w:marLeft w:val="0"/>
      <w:marRight w:val="0"/>
      <w:marTop w:val="180"/>
      <w:marBottom w:val="180"/>
      <w:divBdr>
        <w:top w:val="none" w:sz="0" w:space="0" w:color="auto"/>
        <w:left w:val="none" w:sz="0" w:space="0" w:color="auto"/>
        <w:bottom w:val="none" w:sz="0" w:space="0" w:color="auto"/>
        <w:right w:val="none" w:sz="0" w:space="0" w:color="auto"/>
      </w:divBdr>
    </w:div>
    <w:div w:id="808476436">
      <w:marLeft w:val="0"/>
      <w:marRight w:val="0"/>
      <w:marTop w:val="180"/>
      <w:marBottom w:val="180"/>
      <w:divBdr>
        <w:top w:val="none" w:sz="0" w:space="0" w:color="auto"/>
        <w:left w:val="none" w:sz="0" w:space="0" w:color="auto"/>
        <w:bottom w:val="none" w:sz="0" w:space="0" w:color="auto"/>
        <w:right w:val="none" w:sz="0" w:space="0" w:color="auto"/>
      </w:divBdr>
    </w:div>
    <w:div w:id="808547129">
      <w:marLeft w:val="0"/>
      <w:marRight w:val="0"/>
      <w:marTop w:val="0"/>
      <w:marBottom w:val="0"/>
      <w:divBdr>
        <w:top w:val="none" w:sz="0" w:space="0" w:color="auto"/>
        <w:left w:val="none" w:sz="0" w:space="0" w:color="auto"/>
        <w:bottom w:val="none" w:sz="0" w:space="0" w:color="auto"/>
        <w:right w:val="none" w:sz="0" w:space="0" w:color="auto"/>
      </w:divBdr>
    </w:div>
    <w:div w:id="809707696">
      <w:marLeft w:val="0"/>
      <w:marRight w:val="0"/>
      <w:marTop w:val="0"/>
      <w:marBottom w:val="0"/>
      <w:divBdr>
        <w:top w:val="none" w:sz="0" w:space="0" w:color="auto"/>
        <w:left w:val="none" w:sz="0" w:space="0" w:color="auto"/>
        <w:bottom w:val="none" w:sz="0" w:space="0" w:color="auto"/>
        <w:right w:val="none" w:sz="0" w:space="0" w:color="auto"/>
      </w:divBdr>
    </w:div>
    <w:div w:id="813833491">
      <w:marLeft w:val="0"/>
      <w:marRight w:val="0"/>
      <w:marTop w:val="0"/>
      <w:marBottom w:val="0"/>
      <w:divBdr>
        <w:top w:val="none" w:sz="0" w:space="0" w:color="auto"/>
        <w:left w:val="none" w:sz="0" w:space="0" w:color="auto"/>
        <w:bottom w:val="none" w:sz="0" w:space="0" w:color="auto"/>
        <w:right w:val="none" w:sz="0" w:space="0" w:color="auto"/>
      </w:divBdr>
    </w:div>
    <w:div w:id="814106849">
      <w:marLeft w:val="0"/>
      <w:marRight w:val="0"/>
      <w:marTop w:val="0"/>
      <w:marBottom w:val="0"/>
      <w:divBdr>
        <w:top w:val="none" w:sz="0" w:space="0" w:color="auto"/>
        <w:left w:val="none" w:sz="0" w:space="0" w:color="auto"/>
        <w:bottom w:val="none" w:sz="0" w:space="0" w:color="auto"/>
        <w:right w:val="none" w:sz="0" w:space="0" w:color="auto"/>
      </w:divBdr>
      <w:divsChild>
        <w:div w:id="1145859217">
          <w:marLeft w:val="0"/>
          <w:marRight w:val="0"/>
          <w:marTop w:val="60"/>
          <w:marBottom w:val="60"/>
          <w:divBdr>
            <w:top w:val="none" w:sz="0" w:space="0" w:color="auto"/>
            <w:left w:val="none" w:sz="0" w:space="0" w:color="auto"/>
            <w:bottom w:val="none" w:sz="0" w:space="0" w:color="auto"/>
            <w:right w:val="none" w:sz="0" w:space="0" w:color="auto"/>
          </w:divBdr>
        </w:div>
      </w:divsChild>
    </w:div>
    <w:div w:id="814952088">
      <w:marLeft w:val="0"/>
      <w:marRight w:val="0"/>
      <w:marTop w:val="180"/>
      <w:marBottom w:val="180"/>
      <w:divBdr>
        <w:top w:val="none" w:sz="0" w:space="0" w:color="auto"/>
        <w:left w:val="none" w:sz="0" w:space="0" w:color="auto"/>
        <w:bottom w:val="none" w:sz="0" w:space="0" w:color="auto"/>
        <w:right w:val="none" w:sz="0" w:space="0" w:color="auto"/>
      </w:divBdr>
    </w:div>
    <w:div w:id="815533077">
      <w:marLeft w:val="0"/>
      <w:marRight w:val="0"/>
      <w:marTop w:val="180"/>
      <w:marBottom w:val="180"/>
      <w:divBdr>
        <w:top w:val="none" w:sz="0" w:space="0" w:color="auto"/>
        <w:left w:val="none" w:sz="0" w:space="0" w:color="auto"/>
        <w:bottom w:val="none" w:sz="0" w:space="0" w:color="auto"/>
        <w:right w:val="none" w:sz="0" w:space="0" w:color="auto"/>
      </w:divBdr>
    </w:div>
    <w:div w:id="815538136">
      <w:marLeft w:val="0"/>
      <w:marRight w:val="0"/>
      <w:marTop w:val="180"/>
      <w:marBottom w:val="180"/>
      <w:divBdr>
        <w:top w:val="none" w:sz="0" w:space="0" w:color="auto"/>
        <w:left w:val="none" w:sz="0" w:space="0" w:color="auto"/>
        <w:bottom w:val="none" w:sz="0" w:space="0" w:color="auto"/>
        <w:right w:val="none" w:sz="0" w:space="0" w:color="auto"/>
      </w:divBdr>
    </w:div>
    <w:div w:id="816193130">
      <w:marLeft w:val="0"/>
      <w:marRight w:val="0"/>
      <w:marTop w:val="180"/>
      <w:marBottom w:val="180"/>
      <w:divBdr>
        <w:top w:val="none" w:sz="0" w:space="0" w:color="auto"/>
        <w:left w:val="none" w:sz="0" w:space="0" w:color="auto"/>
        <w:bottom w:val="none" w:sz="0" w:space="0" w:color="auto"/>
        <w:right w:val="none" w:sz="0" w:space="0" w:color="auto"/>
      </w:divBdr>
    </w:div>
    <w:div w:id="816651928">
      <w:marLeft w:val="0"/>
      <w:marRight w:val="0"/>
      <w:marTop w:val="180"/>
      <w:marBottom w:val="180"/>
      <w:divBdr>
        <w:top w:val="none" w:sz="0" w:space="0" w:color="auto"/>
        <w:left w:val="none" w:sz="0" w:space="0" w:color="auto"/>
        <w:bottom w:val="none" w:sz="0" w:space="0" w:color="auto"/>
        <w:right w:val="none" w:sz="0" w:space="0" w:color="auto"/>
      </w:divBdr>
    </w:div>
    <w:div w:id="816653258">
      <w:marLeft w:val="0"/>
      <w:marRight w:val="0"/>
      <w:marTop w:val="180"/>
      <w:marBottom w:val="180"/>
      <w:divBdr>
        <w:top w:val="none" w:sz="0" w:space="0" w:color="auto"/>
        <w:left w:val="none" w:sz="0" w:space="0" w:color="auto"/>
        <w:bottom w:val="none" w:sz="0" w:space="0" w:color="auto"/>
        <w:right w:val="none" w:sz="0" w:space="0" w:color="auto"/>
      </w:divBdr>
    </w:div>
    <w:div w:id="819272442">
      <w:marLeft w:val="0"/>
      <w:marRight w:val="0"/>
      <w:marTop w:val="60"/>
      <w:marBottom w:val="60"/>
      <w:divBdr>
        <w:top w:val="none" w:sz="0" w:space="0" w:color="auto"/>
        <w:left w:val="none" w:sz="0" w:space="0" w:color="auto"/>
        <w:bottom w:val="none" w:sz="0" w:space="0" w:color="auto"/>
        <w:right w:val="none" w:sz="0" w:space="0" w:color="auto"/>
      </w:divBdr>
    </w:div>
    <w:div w:id="822697724">
      <w:marLeft w:val="0"/>
      <w:marRight w:val="0"/>
      <w:marTop w:val="60"/>
      <w:marBottom w:val="60"/>
      <w:divBdr>
        <w:top w:val="none" w:sz="0" w:space="0" w:color="auto"/>
        <w:left w:val="none" w:sz="0" w:space="0" w:color="auto"/>
        <w:bottom w:val="none" w:sz="0" w:space="0" w:color="auto"/>
        <w:right w:val="none" w:sz="0" w:space="0" w:color="auto"/>
      </w:divBdr>
    </w:div>
    <w:div w:id="823014771">
      <w:marLeft w:val="0"/>
      <w:marRight w:val="0"/>
      <w:marTop w:val="0"/>
      <w:marBottom w:val="0"/>
      <w:divBdr>
        <w:top w:val="none" w:sz="0" w:space="0" w:color="auto"/>
        <w:left w:val="none" w:sz="0" w:space="0" w:color="auto"/>
        <w:bottom w:val="none" w:sz="0" w:space="0" w:color="auto"/>
        <w:right w:val="none" w:sz="0" w:space="0" w:color="auto"/>
      </w:divBdr>
      <w:divsChild>
        <w:div w:id="2092458169">
          <w:marLeft w:val="0"/>
          <w:marRight w:val="0"/>
          <w:marTop w:val="60"/>
          <w:marBottom w:val="60"/>
          <w:divBdr>
            <w:top w:val="none" w:sz="0" w:space="0" w:color="auto"/>
            <w:left w:val="none" w:sz="0" w:space="0" w:color="auto"/>
            <w:bottom w:val="none" w:sz="0" w:space="0" w:color="auto"/>
            <w:right w:val="none" w:sz="0" w:space="0" w:color="auto"/>
          </w:divBdr>
        </w:div>
      </w:divsChild>
    </w:div>
    <w:div w:id="824080027">
      <w:marLeft w:val="0"/>
      <w:marRight w:val="0"/>
      <w:marTop w:val="180"/>
      <w:marBottom w:val="180"/>
      <w:divBdr>
        <w:top w:val="none" w:sz="0" w:space="0" w:color="auto"/>
        <w:left w:val="none" w:sz="0" w:space="0" w:color="auto"/>
        <w:bottom w:val="none" w:sz="0" w:space="0" w:color="auto"/>
        <w:right w:val="none" w:sz="0" w:space="0" w:color="auto"/>
      </w:divBdr>
    </w:div>
    <w:div w:id="824081960">
      <w:marLeft w:val="0"/>
      <w:marRight w:val="0"/>
      <w:marTop w:val="180"/>
      <w:marBottom w:val="180"/>
      <w:divBdr>
        <w:top w:val="none" w:sz="0" w:space="0" w:color="auto"/>
        <w:left w:val="none" w:sz="0" w:space="0" w:color="auto"/>
        <w:bottom w:val="none" w:sz="0" w:space="0" w:color="auto"/>
        <w:right w:val="none" w:sz="0" w:space="0" w:color="auto"/>
      </w:divBdr>
    </w:div>
    <w:div w:id="826433054">
      <w:marLeft w:val="0"/>
      <w:marRight w:val="0"/>
      <w:marTop w:val="60"/>
      <w:marBottom w:val="60"/>
      <w:divBdr>
        <w:top w:val="none" w:sz="0" w:space="0" w:color="auto"/>
        <w:left w:val="none" w:sz="0" w:space="0" w:color="auto"/>
        <w:bottom w:val="none" w:sz="0" w:space="0" w:color="auto"/>
        <w:right w:val="none" w:sz="0" w:space="0" w:color="auto"/>
      </w:divBdr>
    </w:div>
    <w:div w:id="826476782">
      <w:marLeft w:val="0"/>
      <w:marRight w:val="0"/>
      <w:marTop w:val="0"/>
      <w:marBottom w:val="0"/>
      <w:divBdr>
        <w:top w:val="none" w:sz="0" w:space="0" w:color="auto"/>
        <w:left w:val="none" w:sz="0" w:space="0" w:color="auto"/>
        <w:bottom w:val="none" w:sz="0" w:space="0" w:color="auto"/>
        <w:right w:val="none" w:sz="0" w:space="0" w:color="auto"/>
      </w:divBdr>
    </w:div>
    <w:div w:id="831875971">
      <w:marLeft w:val="0"/>
      <w:marRight w:val="0"/>
      <w:marTop w:val="60"/>
      <w:marBottom w:val="60"/>
      <w:divBdr>
        <w:top w:val="none" w:sz="0" w:space="0" w:color="auto"/>
        <w:left w:val="none" w:sz="0" w:space="0" w:color="auto"/>
        <w:bottom w:val="none" w:sz="0" w:space="0" w:color="auto"/>
        <w:right w:val="none" w:sz="0" w:space="0" w:color="auto"/>
      </w:divBdr>
    </w:div>
    <w:div w:id="832061387">
      <w:marLeft w:val="0"/>
      <w:marRight w:val="0"/>
      <w:marTop w:val="60"/>
      <w:marBottom w:val="60"/>
      <w:divBdr>
        <w:top w:val="none" w:sz="0" w:space="0" w:color="auto"/>
        <w:left w:val="none" w:sz="0" w:space="0" w:color="auto"/>
        <w:bottom w:val="none" w:sz="0" w:space="0" w:color="auto"/>
        <w:right w:val="none" w:sz="0" w:space="0" w:color="auto"/>
      </w:divBdr>
    </w:div>
    <w:div w:id="833178782">
      <w:marLeft w:val="0"/>
      <w:marRight w:val="0"/>
      <w:marTop w:val="180"/>
      <w:marBottom w:val="180"/>
      <w:divBdr>
        <w:top w:val="none" w:sz="0" w:space="0" w:color="auto"/>
        <w:left w:val="none" w:sz="0" w:space="0" w:color="auto"/>
        <w:bottom w:val="none" w:sz="0" w:space="0" w:color="auto"/>
        <w:right w:val="none" w:sz="0" w:space="0" w:color="auto"/>
      </w:divBdr>
    </w:div>
    <w:div w:id="840044123">
      <w:marLeft w:val="0"/>
      <w:marRight w:val="0"/>
      <w:marTop w:val="180"/>
      <w:marBottom w:val="180"/>
      <w:divBdr>
        <w:top w:val="none" w:sz="0" w:space="0" w:color="auto"/>
        <w:left w:val="none" w:sz="0" w:space="0" w:color="auto"/>
        <w:bottom w:val="none" w:sz="0" w:space="0" w:color="auto"/>
        <w:right w:val="none" w:sz="0" w:space="0" w:color="auto"/>
      </w:divBdr>
    </w:div>
    <w:div w:id="841822896">
      <w:marLeft w:val="0"/>
      <w:marRight w:val="0"/>
      <w:marTop w:val="0"/>
      <w:marBottom w:val="0"/>
      <w:divBdr>
        <w:top w:val="none" w:sz="0" w:space="0" w:color="auto"/>
        <w:left w:val="none" w:sz="0" w:space="0" w:color="auto"/>
        <w:bottom w:val="none" w:sz="0" w:space="0" w:color="auto"/>
        <w:right w:val="none" w:sz="0" w:space="0" w:color="auto"/>
      </w:divBdr>
      <w:divsChild>
        <w:div w:id="1979258502">
          <w:marLeft w:val="0"/>
          <w:marRight w:val="0"/>
          <w:marTop w:val="60"/>
          <w:marBottom w:val="60"/>
          <w:divBdr>
            <w:top w:val="none" w:sz="0" w:space="0" w:color="auto"/>
            <w:left w:val="none" w:sz="0" w:space="0" w:color="auto"/>
            <w:bottom w:val="none" w:sz="0" w:space="0" w:color="auto"/>
            <w:right w:val="none" w:sz="0" w:space="0" w:color="auto"/>
          </w:divBdr>
        </w:div>
      </w:divsChild>
    </w:div>
    <w:div w:id="842282275">
      <w:marLeft w:val="0"/>
      <w:marRight w:val="0"/>
      <w:marTop w:val="180"/>
      <w:marBottom w:val="180"/>
      <w:divBdr>
        <w:top w:val="none" w:sz="0" w:space="0" w:color="auto"/>
        <w:left w:val="none" w:sz="0" w:space="0" w:color="auto"/>
        <w:bottom w:val="none" w:sz="0" w:space="0" w:color="auto"/>
        <w:right w:val="none" w:sz="0" w:space="0" w:color="auto"/>
      </w:divBdr>
    </w:div>
    <w:div w:id="846988634">
      <w:marLeft w:val="0"/>
      <w:marRight w:val="0"/>
      <w:marTop w:val="0"/>
      <w:marBottom w:val="0"/>
      <w:divBdr>
        <w:top w:val="none" w:sz="0" w:space="0" w:color="auto"/>
        <w:left w:val="none" w:sz="0" w:space="0" w:color="auto"/>
        <w:bottom w:val="none" w:sz="0" w:space="0" w:color="auto"/>
        <w:right w:val="none" w:sz="0" w:space="0" w:color="auto"/>
      </w:divBdr>
    </w:div>
    <w:div w:id="849494137">
      <w:marLeft w:val="0"/>
      <w:marRight w:val="0"/>
      <w:marTop w:val="60"/>
      <w:marBottom w:val="60"/>
      <w:divBdr>
        <w:top w:val="none" w:sz="0" w:space="0" w:color="auto"/>
        <w:left w:val="none" w:sz="0" w:space="0" w:color="auto"/>
        <w:bottom w:val="none" w:sz="0" w:space="0" w:color="auto"/>
        <w:right w:val="none" w:sz="0" w:space="0" w:color="auto"/>
      </w:divBdr>
    </w:div>
    <w:div w:id="851534111">
      <w:marLeft w:val="0"/>
      <w:marRight w:val="0"/>
      <w:marTop w:val="60"/>
      <w:marBottom w:val="60"/>
      <w:divBdr>
        <w:top w:val="none" w:sz="0" w:space="0" w:color="auto"/>
        <w:left w:val="none" w:sz="0" w:space="0" w:color="auto"/>
        <w:bottom w:val="none" w:sz="0" w:space="0" w:color="auto"/>
        <w:right w:val="none" w:sz="0" w:space="0" w:color="auto"/>
      </w:divBdr>
    </w:div>
    <w:div w:id="852913194">
      <w:marLeft w:val="0"/>
      <w:marRight w:val="0"/>
      <w:marTop w:val="60"/>
      <w:marBottom w:val="60"/>
      <w:divBdr>
        <w:top w:val="none" w:sz="0" w:space="0" w:color="auto"/>
        <w:left w:val="none" w:sz="0" w:space="0" w:color="auto"/>
        <w:bottom w:val="none" w:sz="0" w:space="0" w:color="auto"/>
        <w:right w:val="none" w:sz="0" w:space="0" w:color="auto"/>
      </w:divBdr>
    </w:div>
    <w:div w:id="854074497">
      <w:marLeft w:val="0"/>
      <w:marRight w:val="0"/>
      <w:marTop w:val="180"/>
      <w:marBottom w:val="180"/>
      <w:divBdr>
        <w:top w:val="none" w:sz="0" w:space="0" w:color="auto"/>
        <w:left w:val="none" w:sz="0" w:space="0" w:color="auto"/>
        <w:bottom w:val="none" w:sz="0" w:space="0" w:color="auto"/>
        <w:right w:val="none" w:sz="0" w:space="0" w:color="auto"/>
      </w:divBdr>
    </w:div>
    <w:div w:id="855268169">
      <w:marLeft w:val="0"/>
      <w:marRight w:val="0"/>
      <w:marTop w:val="180"/>
      <w:marBottom w:val="180"/>
      <w:divBdr>
        <w:top w:val="none" w:sz="0" w:space="0" w:color="auto"/>
        <w:left w:val="none" w:sz="0" w:space="0" w:color="auto"/>
        <w:bottom w:val="none" w:sz="0" w:space="0" w:color="auto"/>
        <w:right w:val="none" w:sz="0" w:space="0" w:color="auto"/>
      </w:divBdr>
    </w:div>
    <w:div w:id="857964464">
      <w:marLeft w:val="0"/>
      <w:marRight w:val="0"/>
      <w:marTop w:val="60"/>
      <w:marBottom w:val="60"/>
      <w:divBdr>
        <w:top w:val="none" w:sz="0" w:space="0" w:color="auto"/>
        <w:left w:val="none" w:sz="0" w:space="0" w:color="auto"/>
        <w:bottom w:val="none" w:sz="0" w:space="0" w:color="auto"/>
        <w:right w:val="none" w:sz="0" w:space="0" w:color="auto"/>
      </w:divBdr>
    </w:div>
    <w:div w:id="860165729">
      <w:marLeft w:val="0"/>
      <w:marRight w:val="0"/>
      <w:marTop w:val="100"/>
      <w:marBottom w:val="180"/>
      <w:divBdr>
        <w:top w:val="none" w:sz="0" w:space="0" w:color="auto"/>
        <w:left w:val="none" w:sz="0" w:space="0" w:color="auto"/>
        <w:bottom w:val="none" w:sz="0" w:space="0" w:color="auto"/>
        <w:right w:val="none" w:sz="0" w:space="0" w:color="auto"/>
      </w:divBdr>
    </w:div>
    <w:div w:id="861012453">
      <w:marLeft w:val="0"/>
      <w:marRight w:val="0"/>
      <w:marTop w:val="180"/>
      <w:marBottom w:val="180"/>
      <w:divBdr>
        <w:top w:val="none" w:sz="0" w:space="0" w:color="auto"/>
        <w:left w:val="none" w:sz="0" w:space="0" w:color="auto"/>
        <w:bottom w:val="none" w:sz="0" w:space="0" w:color="auto"/>
        <w:right w:val="none" w:sz="0" w:space="0" w:color="auto"/>
      </w:divBdr>
    </w:div>
    <w:div w:id="861866095">
      <w:marLeft w:val="0"/>
      <w:marRight w:val="0"/>
      <w:marTop w:val="100"/>
      <w:marBottom w:val="0"/>
      <w:divBdr>
        <w:top w:val="none" w:sz="0" w:space="0" w:color="auto"/>
        <w:left w:val="none" w:sz="0" w:space="0" w:color="auto"/>
        <w:bottom w:val="none" w:sz="0" w:space="0" w:color="auto"/>
        <w:right w:val="none" w:sz="0" w:space="0" w:color="auto"/>
      </w:divBdr>
      <w:divsChild>
        <w:div w:id="1505165529">
          <w:marLeft w:val="0"/>
          <w:marRight w:val="0"/>
          <w:marTop w:val="0"/>
          <w:marBottom w:val="0"/>
          <w:divBdr>
            <w:top w:val="none" w:sz="0" w:space="0" w:color="auto"/>
            <w:left w:val="none" w:sz="0" w:space="0" w:color="auto"/>
            <w:bottom w:val="none" w:sz="0" w:space="0" w:color="auto"/>
            <w:right w:val="none" w:sz="0" w:space="0" w:color="auto"/>
          </w:divBdr>
        </w:div>
      </w:divsChild>
    </w:div>
    <w:div w:id="863517707">
      <w:marLeft w:val="0"/>
      <w:marRight w:val="0"/>
      <w:marTop w:val="60"/>
      <w:marBottom w:val="60"/>
      <w:divBdr>
        <w:top w:val="none" w:sz="0" w:space="0" w:color="auto"/>
        <w:left w:val="none" w:sz="0" w:space="0" w:color="auto"/>
        <w:bottom w:val="none" w:sz="0" w:space="0" w:color="auto"/>
        <w:right w:val="none" w:sz="0" w:space="0" w:color="auto"/>
      </w:divBdr>
    </w:div>
    <w:div w:id="863858714">
      <w:marLeft w:val="0"/>
      <w:marRight w:val="0"/>
      <w:marTop w:val="60"/>
      <w:marBottom w:val="60"/>
      <w:divBdr>
        <w:top w:val="none" w:sz="0" w:space="0" w:color="auto"/>
        <w:left w:val="none" w:sz="0" w:space="0" w:color="auto"/>
        <w:bottom w:val="none" w:sz="0" w:space="0" w:color="auto"/>
        <w:right w:val="none" w:sz="0" w:space="0" w:color="auto"/>
      </w:divBdr>
    </w:div>
    <w:div w:id="864173477">
      <w:marLeft w:val="0"/>
      <w:marRight w:val="0"/>
      <w:marTop w:val="180"/>
      <w:marBottom w:val="0"/>
      <w:divBdr>
        <w:top w:val="none" w:sz="0" w:space="0" w:color="auto"/>
        <w:left w:val="none" w:sz="0" w:space="0" w:color="auto"/>
        <w:bottom w:val="none" w:sz="0" w:space="0" w:color="auto"/>
        <w:right w:val="none" w:sz="0" w:space="0" w:color="auto"/>
      </w:divBdr>
    </w:div>
    <w:div w:id="865826145">
      <w:marLeft w:val="0"/>
      <w:marRight w:val="0"/>
      <w:marTop w:val="180"/>
      <w:marBottom w:val="180"/>
      <w:divBdr>
        <w:top w:val="none" w:sz="0" w:space="0" w:color="auto"/>
        <w:left w:val="none" w:sz="0" w:space="0" w:color="auto"/>
        <w:bottom w:val="none" w:sz="0" w:space="0" w:color="auto"/>
        <w:right w:val="none" w:sz="0" w:space="0" w:color="auto"/>
      </w:divBdr>
    </w:div>
    <w:div w:id="870538016">
      <w:marLeft w:val="0"/>
      <w:marRight w:val="0"/>
      <w:marTop w:val="180"/>
      <w:marBottom w:val="180"/>
      <w:divBdr>
        <w:top w:val="none" w:sz="0" w:space="0" w:color="auto"/>
        <w:left w:val="none" w:sz="0" w:space="0" w:color="auto"/>
        <w:bottom w:val="none" w:sz="0" w:space="0" w:color="auto"/>
        <w:right w:val="none" w:sz="0" w:space="0" w:color="auto"/>
      </w:divBdr>
    </w:div>
    <w:div w:id="872227678">
      <w:marLeft w:val="0"/>
      <w:marRight w:val="0"/>
      <w:marTop w:val="0"/>
      <w:marBottom w:val="60"/>
      <w:divBdr>
        <w:top w:val="none" w:sz="0" w:space="0" w:color="auto"/>
        <w:left w:val="none" w:sz="0" w:space="0" w:color="auto"/>
        <w:bottom w:val="none" w:sz="0" w:space="0" w:color="auto"/>
        <w:right w:val="none" w:sz="0" w:space="0" w:color="auto"/>
      </w:divBdr>
    </w:div>
    <w:div w:id="873543086">
      <w:marLeft w:val="0"/>
      <w:marRight w:val="0"/>
      <w:marTop w:val="180"/>
      <w:marBottom w:val="180"/>
      <w:divBdr>
        <w:top w:val="none" w:sz="0" w:space="0" w:color="auto"/>
        <w:left w:val="none" w:sz="0" w:space="0" w:color="auto"/>
        <w:bottom w:val="none" w:sz="0" w:space="0" w:color="auto"/>
        <w:right w:val="none" w:sz="0" w:space="0" w:color="auto"/>
      </w:divBdr>
    </w:div>
    <w:div w:id="874581053">
      <w:marLeft w:val="0"/>
      <w:marRight w:val="0"/>
      <w:marTop w:val="120"/>
      <w:marBottom w:val="180"/>
      <w:divBdr>
        <w:top w:val="none" w:sz="0" w:space="0" w:color="auto"/>
        <w:left w:val="none" w:sz="0" w:space="0" w:color="auto"/>
        <w:bottom w:val="none" w:sz="0" w:space="0" w:color="auto"/>
        <w:right w:val="none" w:sz="0" w:space="0" w:color="auto"/>
      </w:divBdr>
    </w:div>
    <w:div w:id="875000190">
      <w:marLeft w:val="0"/>
      <w:marRight w:val="0"/>
      <w:marTop w:val="180"/>
      <w:marBottom w:val="180"/>
      <w:divBdr>
        <w:top w:val="none" w:sz="0" w:space="0" w:color="auto"/>
        <w:left w:val="none" w:sz="0" w:space="0" w:color="auto"/>
        <w:bottom w:val="none" w:sz="0" w:space="0" w:color="auto"/>
        <w:right w:val="none" w:sz="0" w:space="0" w:color="auto"/>
      </w:divBdr>
    </w:div>
    <w:div w:id="876507427">
      <w:marLeft w:val="0"/>
      <w:marRight w:val="0"/>
      <w:marTop w:val="180"/>
      <w:marBottom w:val="180"/>
      <w:divBdr>
        <w:top w:val="none" w:sz="0" w:space="0" w:color="auto"/>
        <w:left w:val="none" w:sz="0" w:space="0" w:color="auto"/>
        <w:bottom w:val="none" w:sz="0" w:space="0" w:color="auto"/>
        <w:right w:val="none" w:sz="0" w:space="0" w:color="auto"/>
      </w:divBdr>
    </w:div>
    <w:div w:id="879173710">
      <w:marLeft w:val="0"/>
      <w:marRight w:val="0"/>
      <w:marTop w:val="100"/>
      <w:marBottom w:val="0"/>
      <w:divBdr>
        <w:top w:val="none" w:sz="0" w:space="0" w:color="auto"/>
        <w:left w:val="none" w:sz="0" w:space="0" w:color="auto"/>
        <w:bottom w:val="none" w:sz="0" w:space="0" w:color="auto"/>
        <w:right w:val="none" w:sz="0" w:space="0" w:color="auto"/>
      </w:divBdr>
    </w:div>
    <w:div w:id="879826451">
      <w:marLeft w:val="0"/>
      <w:marRight w:val="0"/>
      <w:marTop w:val="0"/>
      <w:marBottom w:val="0"/>
      <w:divBdr>
        <w:top w:val="none" w:sz="0" w:space="0" w:color="auto"/>
        <w:left w:val="none" w:sz="0" w:space="0" w:color="auto"/>
        <w:bottom w:val="none" w:sz="0" w:space="0" w:color="auto"/>
        <w:right w:val="none" w:sz="0" w:space="0" w:color="auto"/>
      </w:divBdr>
      <w:divsChild>
        <w:div w:id="433794993">
          <w:marLeft w:val="0"/>
          <w:marRight w:val="0"/>
          <w:marTop w:val="0"/>
          <w:marBottom w:val="0"/>
          <w:divBdr>
            <w:top w:val="none" w:sz="0" w:space="0" w:color="auto"/>
            <w:left w:val="none" w:sz="0" w:space="0" w:color="auto"/>
            <w:bottom w:val="none" w:sz="0" w:space="0" w:color="auto"/>
            <w:right w:val="none" w:sz="0" w:space="0" w:color="auto"/>
          </w:divBdr>
          <w:divsChild>
            <w:div w:id="19296078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9829935">
      <w:marLeft w:val="0"/>
      <w:marRight w:val="0"/>
      <w:marTop w:val="180"/>
      <w:marBottom w:val="180"/>
      <w:divBdr>
        <w:top w:val="none" w:sz="0" w:space="0" w:color="auto"/>
        <w:left w:val="none" w:sz="0" w:space="0" w:color="auto"/>
        <w:bottom w:val="none" w:sz="0" w:space="0" w:color="auto"/>
        <w:right w:val="none" w:sz="0" w:space="0" w:color="auto"/>
      </w:divBdr>
    </w:div>
    <w:div w:id="880753189">
      <w:marLeft w:val="0"/>
      <w:marRight w:val="0"/>
      <w:marTop w:val="0"/>
      <w:marBottom w:val="0"/>
      <w:divBdr>
        <w:top w:val="none" w:sz="0" w:space="0" w:color="auto"/>
        <w:left w:val="none" w:sz="0" w:space="0" w:color="auto"/>
        <w:bottom w:val="none" w:sz="0" w:space="0" w:color="auto"/>
        <w:right w:val="none" w:sz="0" w:space="0" w:color="auto"/>
      </w:divBdr>
    </w:div>
    <w:div w:id="881795465">
      <w:marLeft w:val="0"/>
      <w:marRight w:val="0"/>
      <w:marTop w:val="0"/>
      <w:marBottom w:val="0"/>
      <w:divBdr>
        <w:top w:val="none" w:sz="0" w:space="0" w:color="auto"/>
        <w:left w:val="none" w:sz="0" w:space="0" w:color="auto"/>
        <w:bottom w:val="none" w:sz="0" w:space="0" w:color="auto"/>
        <w:right w:val="none" w:sz="0" w:space="0" w:color="auto"/>
      </w:divBdr>
      <w:divsChild>
        <w:div w:id="1104691012">
          <w:marLeft w:val="0"/>
          <w:marRight w:val="0"/>
          <w:marTop w:val="0"/>
          <w:marBottom w:val="0"/>
          <w:divBdr>
            <w:top w:val="none" w:sz="0" w:space="0" w:color="auto"/>
            <w:left w:val="none" w:sz="0" w:space="0" w:color="auto"/>
            <w:bottom w:val="none" w:sz="0" w:space="0" w:color="auto"/>
            <w:right w:val="none" w:sz="0" w:space="0" w:color="auto"/>
          </w:divBdr>
          <w:divsChild>
            <w:div w:id="1744648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2597839">
      <w:marLeft w:val="0"/>
      <w:marRight w:val="0"/>
      <w:marTop w:val="100"/>
      <w:marBottom w:val="0"/>
      <w:divBdr>
        <w:top w:val="none" w:sz="0" w:space="0" w:color="auto"/>
        <w:left w:val="none" w:sz="0" w:space="0" w:color="auto"/>
        <w:bottom w:val="none" w:sz="0" w:space="0" w:color="auto"/>
        <w:right w:val="none" w:sz="0" w:space="0" w:color="auto"/>
      </w:divBdr>
      <w:divsChild>
        <w:div w:id="810290712">
          <w:marLeft w:val="0"/>
          <w:marRight w:val="0"/>
          <w:marTop w:val="0"/>
          <w:marBottom w:val="0"/>
          <w:divBdr>
            <w:top w:val="none" w:sz="0" w:space="0" w:color="auto"/>
            <w:left w:val="none" w:sz="0" w:space="0" w:color="auto"/>
            <w:bottom w:val="none" w:sz="0" w:space="0" w:color="auto"/>
            <w:right w:val="none" w:sz="0" w:space="0" w:color="auto"/>
          </w:divBdr>
        </w:div>
        <w:div w:id="804466179">
          <w:marLeft w:val="0"/>
          <w:marRight w:val="0"/>
          <w:marTop w:val="0"/>
          <w:marBottom w:val="0"/>
          <w:divBdr>
            <w:top w:val="none" w:sz="0" w:space="0" w:color="auto"/>
            <w:left w:val="none" w:sz="0" w:space="0" w:color="auto"/>
            <w:bottom w:val="none" w:sz="0" w:space="0" w:color="auto"/>
            <w:right w:val="none" w:sz="0" w:space="0" w:color="auto"/>
          </w:divBdr>
        </w:div>
      </w:divsChild>
    </w:div>
    <w:div w:id="883832031">
      <w:marLeft w:val="0"/>
      <w:marRight w:val="0"/>
      <w:marTop w:val="0"/>
      <w:marBottom w:val="0"/>
      <w:divBdr>
        <w:top w:val="none" w:sz="0" w:space="0" w:color="auto"/>
        <w:left w:val="none" w:sz="0" w:space="0" w:color="auto"/>
        <w:bottom w:val="none" w:sz="0" w:space="0" w:color="auto"/>
        <w:right w:val="none" w:sz="0" w:space="0" w:color="auto"/>
      </w:divBdr>
      <w:divsChild>
        <w:div w:id="601105715">
          <w:marLeft w:val="0"/>
          <w:marRight w:val="0"/>
          <w:marTop w:val="0"/>
          <w:marBottom w:val="0"/>
          <w:divBdr>
            <w:top w:val="none" w:sz="0" w:space="0" w:color="auto"/>
            <w:left w:val="none" w:sz="0" w:space="0" w:color="auto"/>
            <w:bottom w:val="none" w:sz="0" w:space="0" w:color="auto"/>
            <w:right w:val="none" w:sz="0" w:space="0" w:color="auto"/>
          </w:divBdr>
          <w:divsChild>
            <w:div w:id="18747346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5024843">
      <w:marLeft w:val="0"/>
      <w:marRight w:val="0"/>
      <w:marTop w:val="0"/>
      <w:marBottom w:val="0"/>
      <w:divBdr>
        <w:top w:val="none" w:sz="0" w:space="0" w:color="auto"/>
        <w:left w:val="none" w:sz="0" w:space="0" w:color="auto"/>
        <w:bottom w:val="none" w:sz="0" w:space="0" w:color="auto"/>
        <w:right w:val="none" w:sz="0" w:space="0" w:color="auto"/>
      </w:divBdr>
      <w:divsChild>
        <w:div w:id="1269199451">
          <w:marLeft w:val="0"/>
          <w:marRight w:val="0"/>
          <w:marTop w:val="0"/>
          <w:marBottom w:val="0"/>
          <w:divBdr>
            <w:top w:val="none" w:sz="0" w:space="0" w:color="auto"/>
            <w:left w:val="none" w:sz="0" w:space="0" w:color="auto"/>
            <w:bottom w:val="none" w:sz="0" w:space="0" w:color="auto"/>
            <w:right w:val="none" w:sz="0" w:space="0" w:color="auto"/>
          </w:divBdr>
          <w:divsChild>
            <w:div w:id="99180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91621585">
      <w:marLeft w:val="0"/>
      <w:marRight w:val="0"/>
      <w:marTop w:val="180"/>
      <w:marBottom w:val="180"/>
      <w:divBdr>
        <w:top w:val="none" w:sz="0" w:space="0" w:color="auto"/>
        <w:left w:val="none" w:sz="0" w:space="0" w:color="auto"/>
        <w:bottom w:val="none" w:sz="0" w:space="0" w:color="auto"/>
        <w:right w:val="none" w:sz="0" w:space="0" w:color="auto"/>
      </w:divBdr>
    </w:div>
    <w:div w:id="892235005">
      <w:marLeft w:val="0"/>
      <w:marRight w:val="0"/>
      <w:marTop w:val="180"/>
      <w:marBottom w:val="180"/>
      <w:divBdr>
        <w:top w:val="none" w:sz="0" w:space="0" w:color="auto"/>
        <w:left w:val="none" w:sz="0" w:space="0" w:color="auto"/>
        <w:bottom w:val="none" w:sz="0" w:space="0" w:color="auto"/>
        <w:right w:val="none" w:sz="0" w:space="0" w:color="auto"/>
      </w:divBdr>
    </w:div>
    <w:div w:id="894656214">
      <w:marLeft w:val="0"/>
      <w:marRight w:val="0"/>
      <w:marTop w:val="60"/>
      <w:marBottom w:val="60"/>
      <w:divBdr>
        <w:top w:val="none" w:sz="0" w:space="0" w:color="auto"/>
        <w:left w:val="none" w:sz="0" w:space="0" w:color="auto"/>
        <w:bottom w:val="none" w:sz="0" w:space="0" w:color="auto"/>
        <w:right w:val="none" w:sz="0" w:space="0" w:color="auto"/>
      </w:divBdr>
    </w:div>
    <w:div w:id="895048214">
      <w:marLeft w:val="0"/>
      <w:marRight w:val="0"/>
      <w:marTop w:val="180"/>
      <w:marBottom w:val="180"/>
      <w:divBdr>
        <w:top w:val="none" w:sz="0" w:space="0" w:color="auto"/>
        <w:left w:val="none" w:sz="0" w:space="0" w:color="auto"/>
        <w:bottom w:val="none" w:sz="0" w:space="0" w:color="auto"/>
        <w:right w:val="none" w:sz="0" w:space="0" w:color="auto"/>
      </w:divBdr>
    </w:div>
    <w:div w:id="895433196">
      <w:marLeft w:val="0"/>
      <w:marRight w:val="0"/>
      <w:marTop w:val="180"/>
      <w:marBottom w:val="180"/>
      <w:divBdr>
        <w:top w:val="none" w:sz="0" w:space="0" w:color="auto"/>
        <w:left w:val="none" w:sz="0" w:space="0" w:color="auto"/>
        <w:bottom w:val="none" w:sz="0" w:space="0" w:color="auto"/>
        <w:right w:val="none" w:sz="0" w:space="0" w:color="auto"/>
      </w:divBdr>
    </w:div>
    <w:div w:id="897520987">
      <w:marLeft w:val="0"/>
      <w:marRight w:val="0"/>
      <w:marTop w:val="0"/>
      <w:marBottom w:val="0"/>
      <w:divBdr>
        <w:top w:val="none" w:sz="0" w:space="0" w:color="auto"/>
        <w:left w:val="none" w:sz="0" w:space="0" w:color="auto"/>
        <w:bottom w:val="none" w:sz="0" w:space="0" w:color="auto"/>
        <w:right w:val="none" w:sz="0" w:space="0" w:color="auto"/>
      </w:divBdr>
      <w:divsChild>
        <w:div w:id="1749691253">
          <w:marLeft w:val="0"/>
          <w:marRight w:val="0"/>
          <w:marTop w:val="60"/>
          <w:marBottom w:val="60"/>
          <w:divBdr>
            <w:top w:val="none" w:sz="0" w:space="0" w:color="auto"/>
            <w:left w:val="none" w:sz="0" w:space="0" w:color="auto"/>
            <w:bottom w:val="none" w:sz="0" w:space="0" w:color="auto"/>
            <w:right w:val="none" w:sz="0" w:space="0" w:color="auto"/>
          </w:divBdr>
        </w:div>
      </w:divsChild>
    </w:div>
    <w:div w:id="901257500">
      <w:marLeft w:val="0"/>
      <w:marRight w:val="0"/>
      <w:marTop w:val="180"/>
      <w:marBottom w:val="180"/>
      <w:divBdr>
        <w:top w:val="none" w:sz="0" w:space="0" w:color="auto"/>
        <w:left w:val="none" w:sz="0" w:space="0" w:color="auto"/>
        <w:bottom w:val="none" w:sz="0" w:space="0" w:color="auto"/>
        <w:right w:val="none" w:sz="0" w:space="0" w:color="auto"/>
      </w:divBdr>
    </w:div>
    <w:div w:id="903415336">
      <w:marLeft w:val="0"/>
      <w:marRight w:val="0"/>
      <w:marTop w:val="0"/>
      <w:marBottom w:val="180"/>
      <w:divBdr>
        <w:top w:val="none" w:sz="0" w:space="0" w:color="auto"/>
        <w:left w:val="none" w:sz="0" w:space="0" w:color="auto"/>
        <w:bottom w:val="none" w:sz="0" w:space="0" w:color="auto"/>
        <w:right w:val="none" w:sz="0" w:space="0" w:color="auto"/>
      </w:divBdr>
      <w:divsChild>
        <w:div w:id="2007786510">
          <w:marLeft w:val="0"/>
          <w:marRight w:val="0"/>
          <w:marTop w:val="0"/>
          <w:marBottom w:val="0"/>
          <w:divBdr>
            <w:top w:val="none" w:sz="0" w:space="0" w:color="auto"/>
            <w:left w:val="none" w:sz="0" w:space="0" w:color="auto"/>
            <w:bottom w:val="none" w:sz="0" w:space="0" w:color="auto"/>
            <w:right w:val="none" w:sz="0" w:space="0" w:color="auto"/>
          </w:divBdr>
        </w:div>
      </w:divsChild>
    </w:div>
    <w:div w:id="903836077">
      <w:marLeft w:val="0"/>
      <w:marRight w:val="0"/>
      <w:marTop w:val="180"/>
      <w:marBottom w:val="180"/>
      <w:divBdr>
        <w:top w:val="none" w:sz="0" w:space="0" w:color="auto"/>
        <w:left w:val="none" w:sz="0" w:space="0" w:color="auto"/>
        <w:bottom w:val="none" w:sz="0" w:space="0" w:color="auto"/>
        <w:right w:val="none" w:sz="0" w:space="0" w:color="auto"/>
      </w:divBdr>
    </w:div>
    <w:div w:id="905650512">
      <w:marLeft w:val="0"/>
      <w:marRight w:val="0"/>
      <w:marTop w:val="180"/>
      <w:marBottom w:val="180"/>
      <w:divBdr>
        <w:top w:val="none" w:sz="0" w:space="0" w:color="auto"/>
        <w:left w:val="none" w:sz="0" w:space="0" w:color="auto"/>
        <w:bottom w:val="none" w:sz="0" w:space="0" w:color="auto"/>
        <w:right w:val="none" w:sz="0" w:space="0" w:color="auto"/>
      </w:divBdr>
    </w:div>
    <w:div w:id="906918352">
      <w:marLeft w:val="0"/>
      <w:marRight w:val="0"/>
      <w:marTop w:val="0"/>
      <w:marBottom w:val="0"/>
      <w:divBdr>
        <w:top w:val="none" w:sz="0" w:space="0" w:color="auto"/>
        <w:left w:val="none" w:sz="0" w:space="0" w:color="auto"/>
        <w:bottom w:val="none" w:sz="0" w:space="0" w:color="auto"/>
        <w:right w:val="none" w:sz="0" w:space="0" w:color="auto"/>
      </w:divBdr>
    </w:div>
    <w:div w:id="909391240">
      <w:marLeft w:val="0"/>
      <w:marRight w:val="0"/>
      <w:marTop w:val="180"/>
      <w:marBottom w:val="60"/>
      <w:divBdr>
        <w:top w:val="none" w:sz="0" w:space="0" w:color="auto"/>
        <w:left w:val="none" w:sz="0" w:space="0" w:color="auto"/>
        <w:bottom w:val="none" w:sz="0" w:space="0" w:color="auto"/>
        <w:right w:val="none" w:sz="0" w:space="0" w:color="auto"/>
      </w:divBdr>
    </w:div>
    <w:div w:id="910432508">
      <w:marLeft w:val="0"/>
      <w:marRight w:val="0"/>
      <w:marTop w:val="180"/>
      <w:marBottom w:val="180"/>
      <w:divBdr>
        <w:top w:val="none" w:sz="0" w:space="0" w:color="auto"/>
        <w:left w:val="none" w:sz="0" w:space="0" w:color="auto"/>
        <w:bottom w:val="none" w:sz="0" w:space="0" w:color="auto"/>
        <w:right w:val="none" w:sz="0" w:space="0" w:color="auto"/>
      </w:divBdr>
    </w:div>
    <w:div w:id="910432639">
      <w:marLeft w:val="0"/>
      <w:marRight w:val="0"/>
      <w:marTop w:val="180"/>
      <w:marBottom w:val="180"/>
      <w:divBdr>
        <w:top w:val="none" w:sz="0" w:space="0" w:color="auto"/>
        <w:left w:val="none" w:sz="0" w:space="0" w:color="auto"/>
        <w:bottom w:val="none" w:sz="0" w:space="0" w:color="auto"/>
        <w:right w:val="none" w:sz="0" w:space="0" w:color="auto"/>
      </w:divBdr>
    </w:div>
    <w:div w:id="913466549">
      <w:marLeft w:val="0"/>
      <w:marRight w:val="0"/>
      <w:marTop w:val="180"/>
      <w:marBottom w:val="180"/>
      <w:divBdr>
        <w:top w:val="none" w:sz="0" w:space="0" w:color="auto"/>
        <w:left w:val="none" w:sz="0" w:space="0" w:color="auto"/>
        <w:bottom w:val="none" w:sz="0" w:space="0" w:color="auto"/>
        <w:right w:val="none" w:sz="0" w:space="0" w:color="auto"/>
      </w:divBdr>
    </w:div>
    <w:div w:id="913704684">
      <w:marLeft w:val="0"/>
      <w:marRight w:val="0"/>
      <w:marTop w:val="60"/>
      <w:marBottom w:val="60"/>
      <w:divBdr>
        <w:top w:val="none" w:sz="0" w:space="0" w:color="auto"/>
        <w:left w:val="none" w:sz="0" w:space="0" w:color="auto"/>
        <w:bottom w:val="none" w:sz="0" w:space="0" w:color="auto"/>
        <w:right w:val="none" w:sz="0" w:space="0" w:color="auto"/>
      </w:divBdr>
    </w:div>
    <w:div w:id="914585123">
      <w:marLeft w:val="0"/>
      <w:marRight w:val="0"/>
      <w:marTop w:val="180"/>
      <w:marBottom w:val="60"/>
      <w:divBdr>
        <w:top w:val="none" w:sz="0" w:space="0" w:color="auto"/>
        <w:left w:val="none" w:sz="0" w:space="0" w:color="auto"/>
        <w:bottom w:val="none" w:sz="0" w:space="0" w:color="auto"/>
        <w:right w:val="none" w:sz="0" w:space="0" w:color="auto"/>
      </w:divBdr>
    </w:div>
    <w:div w:id="915438209">
      <w:marLeft w:val="0"/>
      <w:marRight w:val="0"/>
      <w:marTop w:val="60"/>
      <w:marBottom w:val="60"/>
      <w:divBdr>
        <w:top w:val="none" w:sz="0" w:space="0" w:color="auto"/>
        <w:left w:val="none" w:sz="0" w:space="0" w:color="auto"/>
        <w:bottom w:val="none" w:sz="0" w:space="0" w:color="auto"/>
        <w:right w:val="none" w:sz="0" w:space="0" w:color="auto"/>
      </w:divBdr>
    </w:div>
    <w:div w:id="916982382">
      <w:marLeft w:val="0"/>
      <w:marRight w:val="0"/>
      <w:marTop w:val="180"/>
      <w:marBottom w:val="180"/>
      <w:divBdr>
        <w:top w:val="none" w:sz="0" w:space="0" w:color="auto"/>
        <w:left w:val="none" w:sz="0" w:space="0" w:color="auto"/>
        <w:bottom w:val="none" w:sz="0" w:space="0" w:color="auto"/>
        <w:right w:val="none" w:sz="0" w:space="0" w:color="auto"/>
      </w:divBdr>
    </w:div>
    <w:div w:id="917129638">
      <w:marLeft w:val="0"/>
      <w:marRight w:val="0"/>
      <w:marTop w:val="180"/>
      <w:marBottom w:val="180"/>
      <w:divBdr>
        <w:top w:val="none" w:sz="0" w:space="0" w:color="auto"/>
        <w:left w:val="none" w:sz="0" w:space="0" w:color="auto"/>
        <w:bottom w:val="none" w:sz="0" w:space="0" w:color="auto"/>
        <w:right w:val="none" w:sz="0" w:space="0" w:color="auto"/>
      </w:divBdr>
    </w:div>
    <w:div w:id="920063368">
      <w:marLeft w:val="0"/>
      <w:marRight w:val="0"/>
      <w:marTop w:val="180"/>
      <w:marBottom w:val="0"/>
      <w:divBdr>
        <w:top w:val="none" w:sz="0" w:space="0" w:color="auto"/>
        <w:left w:val="none" w:sz="0" w:space="0" w:color="auto"/>
        <w:bottom w:val="none" w:sz="0" w:space="0" w:color="auto"/>
        <w:right w:val="none" w:sz="0" w:space="0" w:color="auto"/>
      </w:divBdr>
    </w:div>
    <w:div w:id="920069802">
      <w:marLeft w:val="0"/>
      <w:marRight w:val="0"/>
      <w:marTop w:val="180"/>
      <w:marBottom w:val="180"/>
      <w:divBdr>
        <w:top w:val="none" w:sz="0" w:space="0" w:color="auto"/>
        <w:left w:val="none" w:sz="0" w:space="0" w:color="auto"/>
        <w:bottom w:val="none" w:sz="0" w:space="0" w:color="auto"/>
        <w:right w:val="none" w:sz="0" w:space="0" w:color="auto"/>
      </w:divBdr>
    </w:div>
    <w:div w:id="924385741">
      <w:marLeft w:val="0"/>
      <w:marRight w:val="0"/>
      <w:marTop w:val="60"/>
      <w:marBottom w:val="60"/>
      <w:divBdr>
        <w:top w:val="none" w:sz="0" w:space="0" w:color="auto"/>
        <w:left w:val="none" w:sz="0" w:space="0" w:color="auto"/>
        <w:bottom w:val="none" w:sz="0" w:space="0" w:color="auto"/>
        <w:right w:val="none" w:sz="0" w:space="0" w:color="auto"/>
      </w:divBdr>
    </w:div>
    <w:div w:id="926228398">
      <w:marLeft w:val="0"/>
      <w:marRight w:val="0"/>
      <w:marTop w:val="180"/>
      <w:marBottom w:val="180"/>
      <w:divBdr>
        <w:top w:val="none" w:sz="0" w:space="0" w:color="auto"/>
        <w:left w:val="none" w:sz="0" w:space="0" w:color="auto"/>
        <w:bottom w:val="none" w:sz="0" w:space="0" w:color="auto"/>
        <w:right w:val="none" w:sz="0" w:space="0" w:color="auto"/>
      </w:divBdr>
    </w:div>
    <w:div w:id="926309750">
      <w:marLeft w:val="0"/>
      <w:marRight w:val="0"/>
      <w:marTop w:val="0"/>
      <w:marBottom w:val="0"/>
      <w:divBdr>
        <w:top w:val="none" w:sz="0" w:space="0" w:color="auto"/>
        <w:left w:val="none" w:sz="0" w:space="0" w:color="auto"/>
        <w:bottom w:val="none" w:sz="0" w:space="0" w:color="auto"/>
        <w:right w:val="none" w:sz="0" w:space="0" w:color="auto"/>
      </w:divBdr>
      <w:divsChild>
        <w:div w:id="126320413">
          <w:marLeft w:val="0"/>
          <w:marRight w:val="0"/>
          <w:marTop w:val="0"/>
          <w:marBottom w:val="0"/>
          <w:divBdr>
            <w:top w:val="none" w:sz="0" w:space="0" w:color="auto"/>
            <w:left w:val="none" w:sz="0" w:space="0" w:color="auto"/>
            <w:bottom w:val="none" w:sz="0" w:space="0" w:color="auto"/>
            <w:right w:val="none" w:sz="0" w:space="0" w:color="auto"/>
          </w:divBdr>
          <w:divsChild>
            <w:div w:id="3736256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6425423">
      <w:marLeft w:val="0"/>
      <w:marRight w:val="0"/>
      <w:marTop w:val="0"/>
      <w:marBottom w:val="180"/>
      <w:divBdr>
        <w:top w:val="none" w:sz="0" w:space="0" w:color="auto"/>
        <w:left w:val="none" w:sz="0" w:space="0" w:color="auto"/>
        <w:bottom w:val="none" w:sz="0" w:space="0" w:color="auto"/>
        <w:right w:val="none" w:sz="0" w:space="0" w:color="auto"/>
      </w:divBdr>
    </w:div>
    <w:div w:id="930700262">
      <w:marLeft w:val="0"/>
      <w:marRight w:val="0"/>
      <w:marTop w:val="180"/>
      <w:marBottom w:val="180"/>
      <w:divBdr>
        <w:top w:val="none" w:sz="0" w:space="0" w:color="auto"/>
        <w:left w:val="none" w:sz="0" w:space="0" w:color="auto"/>
        <w:bottom w:val="none" w:sz="0" w:space="0" w:color="auto"/>
        <w:right w:val="none" w:sz="0" w:space="0" w:color="auto"/>
      </w:divBdr>
    </w:div>
    <w:div w:id="936519966">
      <w:marLeft w:val="0"/>
      <w:marRight w:val="0"/>
      <w:marTop w:val="180"/>
      <w:marBottom w:val="60"/>
      <w:divBdr>
        <w:top w:val="none" w:sz="0" w:space="0" w:color="auto"/>
        <w:left w:val="none" w:sz="0" w:space="0" w:color="auto"/>
        <w:bottom w:val="none" w:sz="0" w:space="0" w:color="auto"/>
        <w:right w:val="none" w:sz="0" w:space="0" w:color="auto"/>
      </w:divBdr>
    </w:div>
    <w:div w:id="937905105">
      <w:marLeft w:val="0"/>
      <w:marRight w:val="0"/>
      <w:marTop w:val="60"/>
      <w:marBottom w:val="60"/>
      <w:divBdr>
        <w:top w:val="none" w:sz="0" w:space="0" w:color="auto"/>
        <w:left w:val="none" w:sz="0" w:space="0" w:color="auto"/>
        <w:bottom w:val="none" w:sz="0" w:space="0" w:color="auto"/>
        <w:right w:val="none" w:sz="0" w:space="0" w:color="auto"/>
      </w:divBdr>
    </w:div>
    <w:div w:id="939485977">
      <w:marLeft w:val="0"/>
      <w:marRight w:val="0"/>
      <w:marTop w:val="0"/>
      <w:marBottom w:val="0"/>
      <w:divBdr>
        <w:top w:val="none" w:sz="0" w:space="0" w:color="auto"/>
        <w:left w:val="none" w:sz="0" w:space="0" w:color="auto"/>
        <w:bottom w:val="none" w:sz="0" w:space="0" w:color="auto"/>
        <w:right w:val="none" w:sz="0" w:space="0" w:color="auto"/>
      </w:divBdr>
    </w:div>
    <w:div w:id="940139420">
      <w:marLeft w:val="0"/>
      <w:marRight w:val="0"/>
      <w:marTop w:val="180"/>
      <w:marBottom w:val="180"/>
      <w:divBdr>
        <w:top w:val="none" w:sz="0" w:space="0" w:color="auto"/>
        <w:left w:val="none" w:sz="0" w:space="0" w:color="auto"/>
        <w:bottom w:val="none" w:sz="0" w:space="0" w:color="auto"/>
        <w:right w:val="none" w:sz="0" w:space="0" w:color="auto"/>
      </w:divBdr>
    </w:div>
    <w:div w:id="947273854">
      <w:marLeft w:val="0"/>
      <w:marRight w:val="0"/>
      <w:marTop w:val="60"/>
      <w:marBottom w:val="60"/>
      <w:divBdr>
        <w:top w:val="none" w:sz="0" w:space="0" w:color="auto"/>
        <w:left w:val="none" w:sz="0" w:space="0" w:color="auto"/>
        <w:bottom w:val="none" w:sz="0" w:space="0" w:color="auto"/>
        <w:right w:val="none" w:sz="0" w:space="0" w:color="auto"/>
      </w:divBdr>
    </w:div>
    <w:div w:id="949093129">
      <w:marLeft w:val="0"/>
      <w:marRight w:val="0"/>
      <w:marTop w:val="0"/>
      <w:marBottom w:val="0"/>
      <w:divBdr>
        <w:top w:val="none" w:sz="0" w:space="0" w:color="auto"/>
        <w:left w:val="none" w:sz="0" w:space="0" w:color="auto"/>
        <w:bottom w:val="none" w:sz="0" w:space="0" w:color="auto"/>
        <w:right w:val="none" w:sz="0" w:space="0" w:color="auto"/>
      </w:divBdr>
    </w:div>
    <w:div w:id="949241785">
      <w:marLeft w:val="0"/>
      <w:marRight w:val="0"/>
      <w:marTop w:val="0"/>
      <w:marBottom w:val="0"/>
      <w:divBdr>
        <w:top w:val="none" w:sz="0" w:space="0" w:color="auto"/>
        <w:left w:val="none" w:sz="0" w:space="0" w:color="auto"/>
        <w:bottom w:val="none" w:sz="0" w:space="0" w:color="auto"/>
        <w:right w:val="none" w:sz="0" w:space="0" w:color="auto"/>
      </w:divBdr>
    </w:div>
    <w:div w:id="949816971">
      <w:marLeft w:val="0"/>
      <w:marRight w:val="0"/>
      <w:marTop w:val="60"/>
      <w:marBottom w:val="60"/>
      <w:divBdr>
        <w:top w:val="none" w:sz="0" w:space="0" w:color="auto"/>
        <w:left w:val="none" w:sz="0" w:space="0" w:color="auto"/>
        <w:bottom w:val="none" w:sz="0" w:space="0" w:color="auto"/>
        <w:right w:val="none" w:sz="0" w:space="0" w:color="auto"/>
      </w:divBdr>
    </w:div>
    <w:div w:id="950894148">
      <w:marLeft w:val="0"/>
      <w:marRight w:val="0"/>
      <w:marTop w:val="60"/>
      <w:marBottom w:val="60"/>
      <w:divBdr>
        <w:top w:val="none" w:sz="0" w:space="0" w:color="auto"/>
        <w:left w:val="none" w:sz="0" w:space="0" w:color="auto"/>
        <w:bottom w:val="none" w:sz="0" w:space="0" w:color="auto"/>
        <w:right w:val="none" w:sz="0" w:space="0" w:color="auto"/>
      </w:divBdr>
    </w:div>
    <w:div w:id="955329530">
      <w:marLeft w:val="0"/>
      <w:marRight w:val="0"/>
      <w:marTop w:val="0"/>
      <w:marBottom w:val="0"/>
      <w:divBdr>
        <w:top w:val="none" w:sz="0" w:space="0" w:color="auto"/>
        <w:left w:val="none" w:sz="0" w:space="0" w:color="auto"/>
        <w:bottom w:val="none" w:sz="0" w:space="0" w:color="auto"/>
        <w:right w:val="none" w:sz="0" w:space="0" w:color="auto"/>
      </w:divBdr>
    </w:div>
    <w:div w:id="955870937">
      <w:marLeft w:val="0"/>
      <w:marRight w:val="0"/>
      <w:marTop w:val="180"/>
      <w:marBottom w:val="180"/>
      <w:divBdr>
        <w:top w:val="none" w:sz="0" w:space="0" w:color="auto"/>
        <w:left w:val="none" w:sz="0" w:space="0" w:color="auto"/>
        <w:bottom w:val="none" w:sz="0" w:space="0" w:color="auto"/>
        <w:right w:val="none" w:sz="0" w:space="0" w:color="auto"/>
      </w:divBdr>
    </w:div>
    <w:div w:id="958880600">
      <w:marLeft w:val="0"/>
      <w:marRight w:val="0"/>
      <w:marTop w:val="180"/>
      <w:marBottom w:val="180"/>
      <w:divBdr>
        <w:top w:val="none" w:sz="0" w:space="0" w:color="auto"/>
        <w:left w:val="none" w:sz="0" w:space="0" w:color="auto"/>
        <w:bottom w:val="none" w:sz="0" w:space="0" w:color="auto"/>
        <w:right w:val="none" w:sz="0" w:space="0" w:color="auto"/>
      </w:divBdr>
    </w:div>
    <w:div w:id="959461523">
      <w:marLeft w:val="0"/>
      <w:marRight w:val="0"/>
      <w:marTop w:val="180"/>
      <w:marBottom w:val="180"/>
      <w:divBdr>
        <w:top w:val="none" w:sz="0" w:space="0" w:color="auto"/>
        <w:left w:val="none" w:sz="0" w:space="0" w:color="auto"/>
        <w:bottom w:val="none" w:sz="0" w:space="0" w:color="auto"/>
        <w:right w:val="none" w:sz="0" w:space="0" w:color="auto"/>
      </w:divBdr>
    </w:div>
    <w:div w:id="959578734">
      <w:marLeft w:val="0"/>
      <w:marRight w:val="0"/>
      <w:marTop w:val="180"/>
      <w:marBottom w:val="180"/>
      <w:divBdr>
        <w:top w:val="none" w:sz="0" w:space="0" w:color="auto"/>
        <w:left w:val="none" w:sz="0" w:space="0" w:color="auto"/>
        <w:bottom w:val="none" w:sz="0" w:space="0" w:color="auto"/>
        <w:right w:val="none" w:sz="0" w:space="0" w:color="auto"/>
      </w:divBdr>
    </w:div>
    <w:div w:id="962149171">
      <w:marLeft w:val="0"/>
      <w:marRight w:val="0"/>
      <w:marTop w:val="0"/>
      <w:marBottom w:val="0"/>
      <w:divBdr>
        <w:top w:val="none" w:sz="0" w:space="0" w:color="auto"/>
        <w:left w:val="none" w:sz="0" w:space="0" w:color="auto"/>
        <w:bottom w:val="none" w:sz="0" w:space="0" w:color="auto"/>
        <w:right w:val="none" w:sz="0" w:space="0" w:color="auto"/>
      </w:divBdr>
    </w:div>
    <w:div w:id="962425319">
      <w:marLeft w:val="0"/>
      <w:marRight w:val="0"/>
      <w:marTop w:val="0"/>
      <w:marBottom w:val="60"/>
      <w:divBdr>
        <w:top w:val="none" w:sz="0" w:space="0" w:color="auto"/>
        <w:left w:val="none" w:sz="0" w:space="0" w:color="auto"/>
        <w:bottom w:val="none" w:sz="0" w:space="0" w:color="auto"/>
        <w:right w:val="none" w:sz="0" w:space="0" w:color="auto"/>
      </w:divBdr>
    </w:div>
    <w:div w:id="962660955">
      <w:marLeft w:val="0"/>
      <w:marRight w:val="0"/>
      <w:marTop w:val="180"/>
      <w:marBottom w:val="180"/>
      <w:divBdr>
        <w:top w:val="none" w:sz="0" w:space="0" w:color="auto"/>
        <w:left w:val="none" w:sz="0" w:space="0" w:color="auto"/>
        <w:bottom w:val="none" w:sz="0" w:space="0" w:color="auto"/>
        <w:right w:val="none" w:sz="0" w:space="0" w:color="auto"/>
      </w:divBdr>
    </w:div>
    <w:div w:id="963657243">
      <w:marLeft w:val="0"/>
      <w:marRight w:val="0"/>
      <w:marTop w:val="180"/>
      <w:marBottom w:val="180"/>
      <w:divBdr>
        <w:top w:val="none" w:sz="0" w:space="0" w:color="auto"/>
        <w:left w:val="none" w:sz="0" w:space="0" w:color="auto"/>
        <w:bottom w:val="none" w:sz="0" w:space="0" w:color="auto"/>
        <w:right w:val="none" w:sz="0" w:space="0" w:color="auto"/>
      </w:divBdr>
    </w:div>
    <w:div w:id="964964354">
      <w:marLeft w:val="0"/>
      <w:marRight w:val="0"/>
      <w:marTop w:val="60"/>
      <w:marBottom w:val="60"/>
      <w:divBdr>
        <w:top w:val="none" w:sz="0" w:space="0" w:color="auto"/>
        <w:left w:val="none" w:sz="0" w:space="0" w:color="auto"/>
        <w:bottom w:val="none" w:sz="0" w:space="0" w:color="auto"/>
        <w:right w:val="none" w:sz="0" w:space="0" w:color="auto"/>
      </w:divBdr>
    </w:div>
    <w:div w:id="967517151">
      <w:marLeft w:val="0"/>
      <w:marRight w:val="0"/>
      <w:marTop w:val="0"/>
      <w:marBottom w:val="0"/>
      <w:divBdr>
        <w:top w:val="none" w:sz="0" w:space="0" w:color="auto"/>
        <w:left w:val="none" w:sz="0" w:space="0" w:color="auto"/>
        <w:bottom w:val="none" w:sz="0" w:space="0" w:color="auto"/>
        <w:right w:val="none" w:sz="0" w:space="0" w:color="auto"/>
      </w:divBdr>
    </w:div>
    <w:div w:id="967777595">
      <w:marLeft w:val="0"/>
      <w:marRight w:val="0"/>
      <w:marTop w:val="60"/>
      <w:marBottom w:val="60"/>
      <w:divBdr>
        <w:top w:val="none" w:sz="0" w:space="0" w:color="auto"/>
        <w:left w:val="none" w:sz="0" w:space="0" w:color="auto"/>
        <w:bottom w:val="none" w:sz="0" w:space="0" w:color="auto"/>
        <w:right w:val="none" w:sz="0" w:space="0" w:color="auto"/>
      </w:divBdr>
    </w:div>
    <w:div w:id="972296307">
      <w:marLeft w:val="0"/>
      <w:marRight w:val="0"/>
      <w:marTop w:val="100"/>
      <w:marBottom w:val="0"/>
      <w:divBdr>
        <w:top w:val="none" w:sz="0" w:space="0" w:color="auto"/>
        <w:left w:val="none" w:sz="0" w:space="0" w:color="auto"/>
        <w:bottom w:val="none" w:sz="0" w:space="0" w:color="auto"/>
        <w:right w:val="none" w:sz="0" w:space="0" w:color="auto"/>
      </w:divBdr>
      <w:divsChild>
        <w:div w:id="2025744737">
          <w:marLeft w:val="0"/>
          <w:marRight w:val="0"/>
          <w:marTop w:val="0"/>
          <w:marBottom w:val="0"/>
          <w:divBdr>
            <w:top w:val="none" w:sz="0" w:space="0" w:color="auto"/>
            <w:left w:val="none" w:sz="0" w:space="0" w:color="auto"/>
            <w:bottom w:val="none" w:sz="0" w:space="0" w:color="auto"/>
            <w:right w:val="none" w:sz="0" w:space="0" w:color="auto"/>
          </w:divBdr>
        </w:div>
        <w:div w:id="1665428218">
          <w:marLeft w:val="0"/>
          <w:marRight w:val="0"/>
          <w:marTop w:val="0"/>
          <w:marBottom w:val="0"/>
          <w:divBdr>
            <w:top w:val="none" w:sz="0" w:space="0" w:color="auto"/>
            <w:left w:val="none" w:sz="0" w:space="0" w:color="auto"/>
            <w:bottom w:val="none" w:sz="0" w:space="0" w:color="auto"/>
            <w:right w:val="none" w:sz="0" w:space="0" w:color="auto"/>
          </w:divBdr>
        </w:div>
      </w:divsChild>
    </w:div>
    <w:div w:id="973102575">
      <w:marLeft w:val="0"/>
      <w:marRight w:val="0"/>
      <w:marTop w:val="60"/>
      <w:marBottom w:val="60"/>
      <w:divBdr>
        <w:top w:val="none" w:sz="0" w:space="0" w:color="auto"/>
        <w:left w:val="none" w:sz="0" w:space="0" w:color="auto"/>
        <w:bottom w:val="none" w:sz="0" w:space="0" w:color="auto"/>
        <w:right w:val="none" w:sz="0" w:space="0" w:color="auto"/>
      </w:divBdr>
    </w:div>
    <w:div w:id="973413297">
      <w:marLeft w:val="0"/>
      <w:marRight w:val="0"/>
      <w:marTop w:val="180"/>
      <w:marBottom w:val="180"/>
      <w:divBdr>
        <w:top w:val="none" w:sz="0" w:space="0" w:color="auto"/>
        <w:left w:val="none" w:sz="0" w:space="0" w:color="auto"/>
        <w:bottom w:val="none" w:sz="0" w:space="0" w:color="auto"/>
        <w:right w:val="none" w:sz="0" w:space="0" w:color="auto"/>
      </w:divBdr>
    </w:div>
    <w:div w:id="974987743">
      <w:marLeft w:val="0"/>
      <w:marRight w:val="0"/>
      <w:marTop w:val="60"/>
      <w:marBottom w:val="60"/>
      <w:divBdr>
        <w:top w:val="none" w:sz="0" w:space="0" w:color="auto"/>
        <w:left w:val="none" w:sz="0" w:space="0" w:color="auto"/>
        <w:bottom w:val="none" w:sz="0" w:space="0" w:color="auto"/>
        <w:right w:val="none" w:sz="0" w:space="0" w:color="auto"/>
      </w:divBdr>
    </w:div>
    <w:div w:id="976489406">
      <w:marLeft w:val="0"/>
      <w:marRight w:val="0"/>
      <w:marTop w:val="180"/>
      <w:marBottom w:val="180"/>
      <w:divBdr>
        <w:top w:val="none" w:sz="0" w:space="0" w:color="auto"/>
        <w:left w:val="none" w:sz="0" w:space="0" w:color="auto"/>
        <w:bottom w:val="none" w:sz="0" w:space="0" w:color="auto"/>
        <w:right w:val="none" w:sz="0" w:space="0" w:color="auto"/>
      </w:divBdr>
    </w:div>
    <w:div w:id="977422275">
      <w:marLeft w:val="0"/>
      <w:marRight w:val="0"/>
      <w:marTop w:val="180"/>
      <w:marBottom w:val="180"/>
      <w:divBdr>
        <w:top w:val="none" w:sz="0" w:space="0" w:color="auto"/>
        <w:left w:val="none" w:sz="0" w:space="0" w:color="auto"/>
        <w:bottom w:val="none" w:sz="0" w:space="0" w:color="auto"/>
        <w:right w:val="none" w:sz="0" w:space="0" w:color="auto"/>
      </w:divBdr>
    </w:div>
    <w:div w:id="980232150">
      <w:marLeft w:val="0"/>
      <w:marRight w:val="0"/>
      <w:marTop w:val="180"/>
      <w:marBottom w:val="180"/>
      <w:divBdr>
        <w:top w:val="none" w:sz="0" w:space="0" w:color="auto"/>
        <w:left w:val="none" w:sz="0" w:space="0" w:color="auto"/>
        <w:bottom w:val="none" w:sz="0" w:space="0" w:color="auto"/>
        <w:right w:val="none" w:sz="0" w:space="0" w:color="auto"/>
      </w:divBdr>
    </w:div>
    <w:div w:id="980840977">
      <w:marLeft w:val="0"/>
      <w:marRight w:val="0"/>
      <w:marTop w:val="0"/>
      <w:marBottom w:val="15"/>
      <w:divBdr>
        <w:top w:val="none" w:sz="0" w:space="0" w:color="auto"/>
        <w:left w:val="none" w:sz="0" w:space="0" w:color="auto"/>
        <w:bottom w:val="none" w:sz="0" w:space="0" w:color="auto"/>
        <w:right w:val="none" w:sz="0" w:space="0" w:color="auto"/>
      </w:divBdr>
    </w:div>
    <w:div w:id="983046730">
      <w:marLeft w:val="0"/>
      <w:marRight w:val="0"/>
      <w:marTop w:val="180"/>
      <w:marBottom w:val="0"/>
      <w:divBdr>
        <w:top w:val="none" w:sz="0" w:space="0" w:color="auto"/>
        <w:left w:val="none" w:sz="0" w:space="0" w:color="auto"/>
        <w:bottom w:val="none" w:sz="0" w:space="0" w:color="auto"/>
        <w:right w:val="none" w:sz="0" w:space="0" w:color="auto"/>
      </w:divBdr>
    </w:div>
    <w:div w:id="984238289">
      <w:marLeft w:val="0"/>
      <w:marRight w:val="0"/>
      <w:marTop w:val="0"/>
      <w:marBottom w:val="0"/>
      <w:divBdr>
        <w:top w:val="none" w:sz="0" w:space="0" w:color="auto"/>
        <w:left w:val="none" w:sz="0" w:space="0" w:color="auto"/>
        <w:bottom w:val="none" w:sz="0" w:space="0" w:color="auto"/>
        <w:right w:val="none" w:sz="0" w:space="0" w:color="auto"/>
      </w:divBdr>
    </w:div>
    <w:div w:id="985888734">
      <w:marLeft w:val="0"/>
      <w:marRight w:val="0"/>
      <w:marTop w:val="60"/>
      <w:marBottom w:val="0"/>
      <w:divBdr>
        <w:top w:val="none" w:sz="0" w:space="0" w:color="auto"/>
        <w:left w:val="none" w:sz="0" w:space="0" w:color="auto"/>
        <w:bottom w:val="none" w:sz="0" w:space="0" w:color="auto"/>
        <w:right w:val="none" w:sz="0" w:space="0" w:color="auto"/>
      </w:divBdr>
    </w:div>
    <w:div w:id="987786833">
      <w:marLeft w:val="0"/>
      <w:marRight w:val="0"/>
      <w:marTop w:val="60"/>
      <w:marBottom w:val="60"/>
      <w:divBdr>
        <w:top w:val="none" w:sz="0" w:space="0" w:color="auto"/>
        <w:left w:val="none" w:sz="0" w:space="0" w:color="auto"/>
        <w:bottom w:val="none" w:sz="0" w:space="0" w:color="auto"/>
        <w:right w:val="none" w:sz="0" w:space="0" w:color="auto"/>
      </w:divBdr>
    </w:div>
    <w:div w:id="989285943">
      <w:marLeft w:val="0"/>
      <w:marRight w:val="0"/>
      <w:marTop w:val="180"/>
      <w:marBottom w:val="180"/>
      <w:divBdr>
        <w:top w:val="none" w:sz="0" w:space="0" w:color="auto"/>
        <w:left w:val="none" w:sz="0" w:space="0" w:color="auto"/>
        <w:bottom w:val="none" w:sz="0" w:space="0" w:color="auto"/>
        <w:right w:val="none" w:sz="0" w:space="0" w:color="auto"/>
      </w:divBdr>
    </w:div>
    <w:div w:id="990057239">
      <w:marLeft w:val="0"/>
      <w:marRight w:val="0"/>
      <w:marTop w:val="60"/>
      <w:marBottom w:val="0"/>
      <w:divBdr>
        <w:top w:val="none" w:sz="0" w:space="0" w:color="auto"/>
        <w:left w:val="none" w:sz="0" w:space="0" w:color="auto"/>
        <w:bottom w:val="none" w:sz="0" w:space="0" w:color="auto"/>
        <w:right w:val="none" w:sz="0" w:space="0" w:color="auto"/>
      </w:divBdr>
    </w:div>
    <w:div w:id="993412969">
      <w:marLeft w:val="0"/>
      <w:marRight w:val="0"/>
      <w:marTop w:val="180"/>
      <w:marBottom w:val="180"/>
      <w:divBdr>
        <w:top w:val="none" w:sz="0" w:space="0" w:color="auto"/>
        <w:left w:val="none" w:sz="0" w:space="0" w:color="auto"/>
        <w:bottom w:val="none" w:sz="0" w:space="0" w:color="auto"/>
        <w:right w:val="none" w:sz="0" w:space="0" w:color="auto"/>
      </w:divBdr>
    </w:div>
    <w:div w:id="993679879">
      <w:marLeft w:val="0"/>
      <w:marRight w:val="0"/>
      <w:marTop w:val="180"/>
      <w:marBottom w:val="180"/>
      <w:divBdr>
        <w:top w:val="none" w:sz="0" w:space="0" w:color="auto"/>
        <w:left w:val="none" w:sz="0" w:space="0" w:color="auto"/>
        <w:bottom w:val="none" w:sz="0" w:space="0" w:color="auto"/>
        <w:right w:val="none" w:sz="0" w:space="0" w:color="auto"/>
      </w:divBdr>
    </w:div>
    <w:div w:id="993724004">
      <w:marLeft w:val="0"/>
      <w:marRight w:val="0"/>
      <w:marTop w:val="180"/>
      <w:marBottom w:val="0"/>
      <w:divBdr>
        <w:top w:val="none" w:sz="0" w:space="0" w:color="auto"/>
        <w:left w:val="none" w:sz="0" w:space="0" w:color="auto"/>
        <w:bottom w:val="none" w:sz="0" w:space="0" w:color="auto"/>
        <w:right w:val="none" w:sz="0" w:space="0" w:color="auto"/>
      </w:divBdr>
    </w:div>
    <w:div w:id="997071196">
      <w:marLeft w:val="0"/>
      <w:marRight w:val="0"/>
      <w:marTop w:val="180"/>
      <w:marBottom w:val="180"/>
      <w:divBdr>
        <w:top w:val="none" w:sz="0" w:space="0" w:color="auto"/>
        <w:left w:val="none" w:sz="0" w:space="0" w:color="auto"/>
        <w:bottom w:val="none" w:sz="0" w:space="0" w:color="auto"/>
        <w:right w:val="none" w:sz="0" w:space="0" w:color="auto"/>
      </w:divBdr>
    </w:div>
    <w:div w:id="998385097">
      <w:marLeft w:val="0"/>
      <w:marRight w:val="0"/>
      <w:marTop w:val="60"/>
      <w:marBottom w:val="60"/>
      <w:divBdr>
        <w:top w:val="none" w:sz="0" w:space="0" w:color="auto"/>
        <w:left w:val="none" w:sz="0" w:space="0" w:color="auto"/>
        <w:bottom w:val="none" w:sz="0" w:space="0" w:color="auto"/>
        <w:right w:val="none" w:sz="0" w:space="0" w:color="auto"/>
      </w:divBdr>
    </w:div>
    <w:div w:id="1000307292">
      <w:marLeft w:val="0"/>
      <w:marRight w:val="0"/>
      <w:marTop w:val="180"/>
      <w:marBottom w:val="180"/>
      <w:divBdr>
        <w:top w:val="none" w:sz="0" w:space="0" w:color="auto"/>
        <w:left w:val="none" w:sz="0" w:space="0" w:color="auto"/>
        <w:bottom w:val="none" w:sz="0" w:space="0" w:color="auto"/>
        <w:right w:val="none" w:sz="0" w:space="0" w:color="auto"/>
      </w:divBdr>
    </w:div>
    <w:div w:id="1003245727">
      <w:marLeft w:val="0"/>
      <w:marRight w:val="0"/>
      <w:marTop w:val="0"/>
      <w:marBottom w:val="0"/>
      <w:divBdr>
        <w:top w:val="none" w:sz="0" w:space="0" w:color="auto"/>
        <w:left w:val="none" w:sz="0" w:space="0" w:color="auto"/>
        <w:bottom w:val="none" w:sz="0" w:space="0" w:color="auto"/>
        <w:right w:val="none" w:sz="0" w:space="0" w:color="auto"/>
      </w:divBdr>
      <w:divsChild>
        <w:div w:id="1608078303">
          <w:marLeft w:val="0"/>
          <w:marRight w:val="0"/>
          <w:marTop w:val="0"/>
          <w:marBottom w:val="0"/>
          <w:divBdr>
            <w:top w:val="none" w:sz="0" w:space="0" w:color="auto"/>
            <w:left w:val="none" w:sz="0" w:space="0" w:color="auto"/>
            <w:bottom w:val="none" w:sz="0" w:space="0" w:color="auto"/>
            <w:right w:val="none" w:sz="0" w:space="0" w:color="auto"/>
          </w:divBdr>
          <w:divsChild>
            <w:div w:id="2162117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4631982">
      <w:marLeft w:val="0"/>
      <w:marRight w:val="0"/>
      <w:marTop w:val="0"/>
      <w:marBottom w:val="0"/>
      <w:divBdr>
        <w:top w:val="none" w:sz="0" w:space="0" w:color="auto"/>
        <w:left w:val="none" w:sz="0" w:space="0" w:color="auto"/>
        <w:bottom w:val="none" w:sz="0" w:space="0" w:color="auto"/>
        <w:right w:val="none" w:sz="0" w:space="0" w:color="auto"/>
      </w:divBdr>
      <w:divsChild>
        <w:div w:id="895319087">
          <w:marLeft w:val="0"/>
          <w:marRight w:val="0"/>
          <w:marTop w:val="60"/>
          <w:marBottom w:val="60"/>
          <w:divBdr>
            <w:top w:val="none" w:sz="0" w:space="0" w:color="auto"/>
            <w:left w:val="none" w:sz="0" w:space="0" w:color="auto"/>
            <w:bottom w:val="none" w:sz="0" w:space="0" w:color="auto"/>
            <w:right w:val="none" w:sz="0" w:space="0" w:color="auto"/>
          </w:divBdr>
        </w:div>
      </w:divsChild>
    </w:div>
    <w:div w:id="1004823131">
      <w:marLeft w:val="0"/>
      <w:marRight w:val="0"/>
      <w:marTop w:val="60"/>
      <w:marBottom w:val="60"/>
      <w:divBdr>
        <w:top w:val="none" w:sz="0" w:space="0" w:color="auto"/>
        <w:left w:val="none" w:sz="0" w:space="0" w:color="auto"/>
        <w:bottom w:val="none" w:sz="0" w:space="0" w:color="auto"/>
        <w:right w:val="none" w:sz="0" w:space="0" w:color="auto"/>
      </w:divBdr>
    </w:div>
    <w:div w:id="1007751698">
      <w:marLeft w:val="0"/>
      <w:marRight w:val="0"/>
      <w:marTop w:val="180"/>
      <w:marBottom w:val="180"/>
      <w:divBdr>
        <w:top w:val="none" w:sz="0" w:space="0" w:color="auto"/>
        <w:left w:val="none" w:sz="0" w:space="0" w:color="auto"/>
        <w:bottom w:val="none" w:sz="0" w:space="0" w:color="auto"/>
        <w:right w:val="none" w:sz="0" w:space="0" w:color="auto"/>
      </w:divBdr>
    </w:div>
    <w:div w:id="1011645188">
      <w:marLeft w:val="0"/>
      <w:marRight w:val="0"/>
      <w:marTop w:val="180"/>
      <w:marBottom w:val="180"/>
      <w:divBdr>
        <w:top w:val="none" w:sz="0" w:space="0" w:color="auto"/>
        <w:left w:val="none" w:sz="0" w:space="0" w:color="auto"/>
        <w:bottom w:val="none" w:sz="0" w:space="0" w:color="auto"/>
        <w:right w:val="none" w:sz="0" w:space="0" w:color="auto"/>
      </w:divBdr>
    </w:div>
    <w:div w:id="1011950630">
      <w:marLeft w:val="0"/>
      <w:marRight w:val="0"/>
      <w:marTop w:val="0"/>
      <w:marBottom w:val="0"/>
      <w:divBdr>
        <w:top w:val="none" w:sz="0" w:space="0" w:color="auto"/>
        <w:left w:val="none" w:sz="0" w:space="0" w:color="auto"/>
        <w:bottom w:val="none" w:sz="0" w:space="0" w:color="auto"/>
        <w:right w:val="none" w:sz="0" w:space="0" w:color="auto"/>
      </w:divBdr>
      <w:divsChild>
        <w:div w:id="1939289847">
          <w:marLeft w:val="0"/>
          <w:marRight w:val="0"/>
          <w:marTop w:val="60"/>
          <w:marBottom w:val="60"/>
          <w:divBdr>
            <w:top w:val="none" w:sz="0" w:space="0" w:color="auto"/>
            <w:left w:val="none" w:sz="0" w:space="0" w:color="auto"/>
            <w:bottom w:val="none" w:sz="0" w:space="0" w:color="auto"/>
            <w:right w:val="none" w:sz="0" w:space="0" w:color="auto"/>
          </w:divBdr>
        </w:div>
      </w:divsChild>
    </w:div>
    <w:div w:id="1012604513">
      <w:marLeft w:val="0"/>
      <w:marRight w:val="0"/>
      <w:marTop w:val="180"/>
      <w:marBottom w:val="180"/>
      <w:divBdr>
        <w:top w:val="none" w:sz="0" w:space="0" w:color="auto"/>
        <w:left w:val="none" w:sz="0" w:space="0" w:color="auto"/>
        <w:bottom w:val="none" w:sz="0" w:space="0" w:color="auto"/>
        <w:right w:val="none" w:sz="0" w:space="0" w:color="auto"/>
      </w:divBdr>
    </w:div>
    <w:div w:id="1012948053">
      <w:marLeft w:val="0"/>
      <w:marRight w:val="0"/>
      <w:marTop w:val="180"/>
      <w:marBottom w:val="180"/>
      <w:divBdr>
        <w:top w:val="none" w:sz="0" w:space="0" w:color="auto"/>
        <w:left w:val="none" w:sz="0" w:space="0" w:color="auto"/>
        <w:bottom w:val="none" w:sz="0" w:space="0" w:color="auto"/>
        <w:right w:val="none" w:sz="0" w:space="0" w:color="auto"/>
      </w:divBdr>
    </w:div>
    <w:div w:id="1012995933">
      <w:marLeft w:val="0"/>
      <w:marRight w:val="0"/>
      <w:marTop w:val="0"/>
      <w:marBottom w:val="0"/>
      <w:divBdr>
        <w:top w:val="none" w:sz="0" w:space="0" w:color="auto"/>
        <w:left w:val="none" w:sz="0" w:space="0" w:color="auto"/>
        <w:bottom w:val="none" w:sz="0" w:space="0" w:color="auto"/>
        <w:right w:val="none" w:sz="0" w:space="0" w:color="auto"/>
      </w:divBdr>
      <w:divsChild>
        <w:div w:id="1815416274">
          <w:marLeft w:val="0"/>
          <w:marRight w:val="0"/>
          <w:marTop w:val="60"/>
          <w:marBottom w:val="60"/>
          <w:divBdr>
            <w:top w:val="none" w:sz="0" w:space="0" w:color="auto"/>
            <w:left w:val="none" w:sz="0" w:space="0" w:color="auto"/>
            <w:bottom w:val="none" w:sz="0" w:space="0" w:color="auto"/>
            <w:right w:val="none" w:sz="0" w:space="0" w:color="auto"/>
          </w:divBdr>
        </w:div>
      </w:divsChild>
    </w:div>
    <w:div w:id="1013343715">
      <w:marLeft w:val="0"/>
      <w:marRight w:val="0"/>
      <w:marTop w:val="0"/>
      <w:marBottom w:val="0"/>
      <w:divBdr>
        <w:top w:val="none" w:sz="0" w:space="0" w:color="auto"/>
        <w:left w:val="none" w:sz="0" w:space="0" w:color="auto"/>
        <w:bottom w:val="none" w:sz="0" w:space="0" w:color="auto"/>
        <w:right w:val="none" w:sz="0" w:space="0" w:color="auto"/>
      </w:divBdr>
      <w:divsChild>
        <w:div w:id="72899028">
          <w:marLeft w:val="0"/>
          <w:marRight w:val="0"/>
          <w:marTop w:val="0"/>
          <w:marBottom w:val="0"/>
          <w:divBdr>
            <w:top w:val="none" w:sz="0" w:space="0" w:color="auto"/>
            <w:left w:val="none" w:sz="0" w:space="0" w:color="auto"/>
            <w:bottom w:val="none" w:sz="0" w:space="0" w:color="auto"/>
            <w:right w:val="none" w:sz="0" w:space="0" w:color="auto"/>
          </w:divBdr>
          <w:divsChild>
            <w:div w:id="9469343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3414878">
      <w:marLeft w:val="0"/>
      <w:marRight w:val="0"/>
      <w:marTop w:val="0"/>
      <w:marBottom w:val="0"/>
      <w:divBdr>
        <w:top w:val="none" w:sz="0" w:space="0" w:color="auto"/>
        <w:left w:val="none" w:sz="0" w:space="0" w:color="auto"/>
        <w:bottom w:val="none" w:sz="0" w:space="0" w:color="auto"/>
        <w:right w:val="none" w:sz="0" w:space="0" w:color="auto"/>
      </w:divBdr>
      <w:divsChild>
        <w:div w:id="1606618071">
          <w:marLeft w:val="0"/>
          <w:marRight w:val="0"/>
          <w:marTop w:val="0"/>
          <w:marBottom w:val="0"/>
          <w:divBdr>
            <w:top w:val="none" w:sz="0" w:space="0" w:color="auto"/>
            <w:left w:val="none" w:sz="0" w:space="0" w:color="auto"/>
            <w:bottom w:val="none" w:sz="0" w:space="0" w:color="auto"/>
            <w:right w:val="none" w:sz="0" w:space="0" w:color="auto"/>
          </w:divBdr>
          <w:divsChild>
            <w:div w:id="363999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4379574">
      <w:marLeft w:val="0"/>
      <w:marRight w:val="0"/>
      <w:marTop w:val="180"/>
      <w:marBottom w:val="60"/>
      <w:divBdr>
        <w:top w:val="none" w:sz="0" w:space="0" w:color="auto"/>
        <w:left w:val="none" w:sz="0" w:space="0" w:color="auto"/>
        <w:bottom w:val="none" w:sz="0" w:space="0" w:color="auto"/>
        <w:right w:val="none" w:sz="0" w:space="0" w:color="auto"/>
      </w:divBdr>
    </w:div>
    <w:div w:id="1014694354">
      <w:marLeft w:val="0"/>
      <w:marRight w:val="0"/>
      <w:marTop w:val="0"/>
      <w:marBottom w:val="0"/>
      <w:divBdr>
        <w:top w:val="none" w:sz="0" w:space="0" w:color="auto"/>
        <w:left w:val="none" w:sz="0" w:space="0" w:color="auto"/>
        <w:bottom w:val="none" w:sz="0" w:space="0" w:color="auto"/>
        <w:right w:val="none" w:sz="0" w:space="0" w:color="auto"/>
      </w:divBdr>
      <w:divsChild>
        <w:div w:id="2121952815">
          <w:marLeft w:val="0"/>
          <w:marRight w:val="0"/>
          <w:marTop w:val="0"/>
          <w:marBottom w:val="0"/>
          <w:divBdr>
            <w:top w:val="none" w:sz="0" w:space="0" w:color="auto"/>
            <w:left w:val="none" w:sz="0" w:space="0" w:color="auto"/>
            <w:bottom w:val="none" w:sz="0" w:space="0" w:color="auto"/>
            <w:right w:val="none" w:sz="0" w:space="0" w:color="auto"/>
          </w:divBdr>
          <w:divsChild>
            <w:div w:id="2090755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4697360">
      <w:marLeft w:val="0"/>
      <w:marRight w:val="0"/>
      <w:marTop w:val="100"/>
      <w:marBottom w:val="0"/>
      <w:divBdr>
        <w:top w:val="none" w:sz="0" w:space="0" w:color="auto"/>
        <w:left w:val="none" w:sz="0" w:space="0" w:color="auto"/>
        <w:bottom w:val="none" w:sz="0" w:space="0" w:color="auto"/>
        <w:right w:val="none" w:sz="0" w:space="0" w:color="auto"/>
      </w:divBdr>
      <w:divsChild>
        <w:div w:id="1286816126">
          <w:marLeft w:val="0"/>
          <w:marRight w:val="0"/>
          <w:marTop w:val="0"/>
          <w:marBottom w:val="0"/>
          <w:divBdr>
            <w:top w:val="none" w:sz="0" w:space="0" w:color="auto"/>
            <w:left w:val="none" w:sz="0" w:space="0" w:color="auto"/>
            <w:bottom w:val="none" w:sz="0" w:space="0" w:color="auto"/>
            <w:right w:val="none" w:sz="0" w:space="0" w:color="auto"/>
          </w:divBdr>
        </w:div>
        <w:div w:id="655693985">
          <w:marLeft w:val="0"/>
          <w:marRight w:val="0"/>
          <w:marTop w:val="0"/>
          <w:marBottom w:val="0"/>
          <w:divBdr>
            <w:top w:val="none" w:sz="0" w:space="0" w:color="auto"/>
            <w:left w:val="none" w:sz="0" w:space="0" w:color="auto"/>
            <w:bottom w:val="none" w:sz="0" w:space="0" w:color="auto"/>
            <w:right w:val="none" w:sz="0" w:space="0" w:color="auto"/>
          </w:divBdr>
        </w:div>
        <w:div w:id="1817650451">
          <w:marLeft w:val="0"/>
          <w:marRight w:val="0"/>
          <w:marTop w:val="0"/>
          <w:marBottom w:val="0"/>
          <w:divBdr>
            <w:top w:val="none" w:sz="0" w:space="0" w:color="auto"/>
            <w:left w:val="none" w:sz="0" w:space="0" w:color="auto"/>
            <w:bottom w:val="none" w:sz="0" w:space="0" w:color="auto"/>
            <w:right w:val="none" w:sz="0" w:space="0" w:color="auto"/>
          </w:divBdr>
        </w:div>
        <w:div w:id="1400250270">
          <w:marLeft w:val="0"/>
          <w:marRight w:val="0"/>
          <w:marTop w:val="0"/>
          <w:marBottom w:val="0"/>
          <w:divBdr>
            <w:top w:val="none" w:sz="0" w:space="0" w:color="auto"/>
            <w:left w:val="none" w:sz="0" w:space="0" w:color="auto"/>
            <w:bottom w:val="none" w:sz="0" w:space="0" w:color="auto"/>
            <w:right w:val="none" w:sz="0" w:space="0" w:color="auto"/>
          </w:divBdr>
        </w:div>
        <w:div w:id="204218261">
          <w:marLeft w:val="0"/>
          <w:marRight w:val="0"/>
          <w:marTop w:val="0"/>
          <w:marBottom w:val="0"/>
          <w:divBdr>
            <w:top w:val="none" w:sz="0" w:space="0" w:color="auto"/>
            <w:left w:val="none" w:sz="0" w:space="0" w:color="auto"/>
            <w:bottom w:val="none" w:sz="0" w:space="0" w:color="auto"/>
            <w:right w:val="none" w:sz="0" w:space="0" w:color="auto"/>
          </w:divBdr>
        </w:div>
      </w:divsChild>
    </w:div>
    <w:div w:id="1014920299">
      <w:marLeft w:val="0"/>
      <w:marRight w:val="0"/>
      <w:marTop w:val="0"/>
      <w:marBottom w:val="0"/>
      <w:divBdr>
        <w:top w:val="none" w:sz="0" w:space="0" w:color="auto"/>
        <w:left w:val="none" w:sz="0" w:space="0" w:color="auto"/>
        <w:bottom w:val="none" w:sz="0" w:space="0" w:color="auto"/>
        <w:right w:val="none" w:sz="0" w:space="0" w:color="auto"/>
      </w:divBdr>
    </w:div>
    <w:div w:id="1015041124">
      <w:marLeft w:val="0"/>
      <w:marRight w:val="0"/>
      <w:marTop w:val="0"/>
      <w:marBottom w:val="0"/>
      <w:divBdr>
        <w:top w:val="none" w:sz="0" w:space="0" w:color="auto"/>
        <w:left w:val="none" w:sz="0" w:space="0" w:color="auto"/>
        <w:bottom w:val="none" w:sz="0" w:space="0" w:color="auto"/>
        <w:right w:val="none" w:sz="0" w:space="0" w:color="auto"/>
      </w:divBdr>
      <w:divsChild>
        <w:div w:id="987169483">
          <w:marLeft w:val="0"/>
          <w:marRight w:val="0"/>
          <w:marTop w:val="0"/>
          <w:marBottom w:val="0"/>
          <w:divBdr>
            <w:top w:val="none" w:sz="0" w:space="0" w:color="auto"/>
            <w:left w:val="none" w:sz="0" w:space="0" w:color="auto"/>
            <w:bottom w:val="none" w:sz="0" w:space="0" w:color="auto"/>
            <w:right w:val="none" w:sz="0" w:space="0" w:color="auto"/>
          </w:divBdr>
          <w:divsChild>
            <w:div w:id="8361869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6926466">
      <w:marLeft w:val="0"/>
      <w:marRight w:val="0"/>
      <w:marTop w:val="180"/>
      <w:marBottom w:val="60"/>
      <w:divBdr>
        <w:top w:val="none" w:sz="0" w:space="0" w:color="auto"/>
        <w:left w:val="none" w:sz="0" w:space="0" w:color="auto"/>
        <w:bottom w:val="none" w:sz="0" w:space="0" w:color="auto"/>
        <w:right w:val="none" w:sz="0" w:space="0" w:color="auto"/>
      </w:divBdr>
    </w:div>
    <w:div w:id="1020351700">
      <w:marLeft w:val="0"/>
      <w:marRight w:val="0"/>
      <w:marTop w:val="180"/>
      <w:marBottom w:val="180"/>
      <w:divBdr>
        <w:top w:val="none" w:sz="0" w:space="0" w:color="auto"/>
        <w:left w:val="none" w:sz="0" w:space="0" w:color="auto"/>
        <w:bottom w:val="none" w:sz="0" w:space="0" w:color="auto"/>
        <w:right w:val="none" w:sz="0" w:space="0" w:color="auto"/>
      </w:divBdr>
    </w:div>
    <w:div w:id="1020618208">
      <w:marLeft w:val="0"/>
      <w:marRight w:val="0"/>
      <w:marTop w:val="180"/>
      <w:marBottom w:val="180"/>
      <w:divBdr>
        <w:top w:val="none" w:sz="0" w:space="0" w:color="auto"/>
        <w:left w:val="none" w:sz="0" w:space="0" w:color="auto"/>
        <w:bottom w:val="none" w:sz="0" w:space="0" w:color="auto"/>
        <w:right w:val="none" w:sz="0" w:space="0" w:color="auto"/>
      </w:divBdr>
    </w:div>
    <w:div w:id="1020858803">
      <w:marLeft w:val="0"/>
      <w:marRight w:val="0"/>
      <w:marTop w:val="60"/>
      <w:marBottom w:val="60"/>
      <w:divBdr>
        <w:top w:val="none" w:sz="0" w:space="0" w:color="auto"/>
        <w:left w:val="none" w:sz="0" w:space="0" w:color="auto"/>
        <w:bottom w:val="none" w:sz="0" w:space="0" w:color="auto"/>
        <w:right w:val="none" w:sz="0" w:space="0" w:color="auto"/>
      </w:divBdr>
    </w:div>
    <w:div w:id="1021006785">
      <w:marLeft w:val="0"/>
      <w:marRight w:val="0"/>
      <w:marTop w:val="60"/>
      <w:marBottom w:val="60"/>
      <w:divBdr>
        <w:top w:val="none" w:sz="0" w:space="0" w:color="auto"/>
        <w:left w:val="none" w:sz="0" w:space="0" w:color="auto"/>
        <w:bottom w:val="none" w:sz="0" w:space="0" w:color="auto"/>
        <w:right w:val="none" w:sz="0" w:space="0" w:color="auto"/>
      </w:divBdr>
    </w:div>
    <w:div w:id="1021736435">
      <w:marLeft w:val="0"/>
      <w:marRight w:val="0"/>
      <w:marTop w:val="0"/>
      <w:marBottom w:val="0"/>
      <w:divBdr>
        <w:top w:val="none" w:sz="0" w:space="0" w:color="auto"/>
        <w:left w:val="none" w:sz="0" w:space="0" w:color="auto"/>
        <w:bottom w:val="none" w:sz="0" w:space="0" w:color="auto"/>
        <w:right w:val="none" w:sz="0" w:space="0" w:color="auto"/>
      </w:divBdr>
    </w:div>
    <w:div w:id="1021928896">
      <w:marLeft w:val="0"/>
      <w:marRight w:val="0"/>
      <w:marTop w:val="60"/>
      <w:marBottom w:val="60"/>
      <w:divBdr>
        <w:top w:val="none" w:sz="0" w:space="0" w:color="auto"/>
        <w:left w:val="none" w:sz="0" w:space="0" w:color="auto"/>
        <w:bottom w:val="none" w:sz="0" w:space="0" w:color="auto"/>
        <w:right w:val="none" w:sz="0" w:space="0" w:color="auto"/>
      </w:divBdr>
    </w:div>
    <w:div w:id="1022973986">
      <w:marLeft w:val="0"/>
      <w:marRight w:val="0"/>
      <w:marTop w:val="60"/>
      <w:marBottom w:val="60"/>
      <w:divBdr>
        <w:top w:val="none" w:sz="0" w:space="0" w:color="auto"/>
        <w:left w:val="none" w:sz="0" w:space="0" w:color="auto"/>
        <w:bottom w:val="none" w:sz="0" w:space="0" w:color="auto"/>
        <w:right w:val="none" w:sz="0" w:space="0" w:color="auto"/>
      </w:divBdr>
    </w:div>
    <w:div w:id="1023167511">
      <w:marLeft w:val="0"/>
      <w:marRight w:val="0"/>
      <w:marTop w:val="180"/>
      <w:marBottom w:val="180"/>
      <w:divBdr>
        <w:top w:val="none" w:sz="0" w:space="0" w:color="auto"/>
        <w:left w:val="none" w:sz="0" w:space="0" w:color="auto"/>
        <w:bottom w:val="none" w:sz="0" w:space="0" w:color="auto"/>
        <w:right w:val="none" w:sz="0" w:space="0" w:color="auto"/>
      </w:divBdr>
    </w:div>
    <w:div w:id="1027025402">
      <w:marLeft w:val="0"/>
      <w:marRight w:val="0"/>
      <w:marTop w:val="180"/>
      <w:marBottom w:val="180"/>
      <w:divBdr>
        <w:top w:val="none" w:sz="0" w:space="0" w:color="auto"/>
        <w:left w:val="none" w:sz="0" w:space="0" w:color="auto"/>
        <w:bottom w:val="none" w:sz="0" w:space="0" w:color="auto"/>
        <w:right w:val="none" w:sz="0" w:space="0" w:color="auto"/>
      </w:divBdr>
      <w:divsChild>
        <w:div w:id="383606600">
          <w:marLeft w:val="0"/>
          <w:marRight w:val="0"/>
          <w:marTop w:val="0"/>
          <w:marBottom w:val="0"/>
          <w:divBdr>
            <w:top w:val="none" w:sz="0" w:space="0" w:color="auto"/>
            <w:left w:val="none" w:sz="0" w:space="0" w:color="auto"/>
            <w:bottom w:val="none" w:sz="0" w:space="0" w:color="auto"/>
            <w:right w:val="none" w:sz="0" w:space="0" w:color="auto"/>
          </w:divBdr>
        </w:div>
      </w:divsChild>
    </w:div>
    <w:div w:id="1027216186">
      <w:marLeft w:val="0"/>
      <w:marRight w:val="0"/>
      <w:marTop w:val="180"/>
      <w:marBottom w:val="60"/>
      <w:divBdr>
        <w:top w:val="none" w:sz="0" w:space="0" w:color="auto"/>
        <w:left w:val="none" w:sz="0" w:space="0" w:color="auto"/>
        <w:bottom w:val="none" w:sz="0" w:space="0" w:color="auto"/>
        <w:right w:val="none" w:sz="0" w:space="0" w:color="auto"/>
      </w:divBdr>
    </w:div>
    <w:div w:id="1029768319">
      <w:marLeft w:val="0"/>
      <w:marRight w:val="0"/>
      <w:marTop w:val="180"/>
      <w:marBottom w:val="180"/>
      <w:divBdr>
        <w:top w:val="none" w:sz="0" w:space="0" w:color="auto"/>
        <w:left w:val="none" w:sz="0" w:space="0" w:color="auto"/>
        <w:bottom w:val="none" w:sz="0" w:space="0" w:color="auto"/>
        <w:right w:val="none" w:sz="0" w:space="0" w:color="auto"/>
      </w:divBdr>
    </w:div>
    <w:div w:id="1034384383">
      <w:marLeft w:val="0"/>
      <w:marRight w:val="0"/>
      <w:marTop w:val="180"/>
      <w:marBottom w:val="180"/>
      <w:divBdr>
        <w:top w:val="none" w:sz="0" w:space="0" w:color="auto"/>
        <w:left w:val="none" w:sz="0" w:space="0" w:color="auto"/>
        <w:bottom w:val="none" w:sz="0" w:space="0" w:color="auto"/>
        <w:right w:val="none" w:sz="0" w:space="0" w:color="auto"/>
      </w:divBdr>
    </w:div>
    <w:div w:id="1034694917">
      <w:marLeft w:val="0"/>
      <w:marRight w:val="0"/>
      <w:marTop w:val="0"/>
      <w:marBottom w:val="0"/>
      <w:divBdr>
        <w:top w:val="none" w:sz="0" w:space="0" w:color="auto"/>
        <w:left w:val="none" w:sz="0" w:space="0" w:color="auto"/>
        <w:bottom w:val="none" w:sz="0" w:space="0" w:color="auto"/>
        <w:right w:val="none" w:sz="0" w:space="0" w:color="auto"/>
      </w:divBdr>
    </w:div>
    <w:div w:id="1034889846">
      <w:marLeft w:val="0"/>
      <w:marRight w:val="0"/>
      <w:marTop w:val="180"/>
      <w:marBottom w:val="60"/>
      <w:divBdr>
        <w:top w:val="none" w:sz="0" w:space="0" w:color="auto"/>
        <w:left w:val="none" w:sz="0" w:space="0" w:color="auto"/>
        <w:bottom w:val="none" w:sz="0" w:space="0" w:color="auto"/>
        <w:right w:val="none" w:sz="0" w:space="0" w:color="auto"/>
      </w:divBdr>
    </w:div>
    <w:div w:id="1034962609">
      <w:marLeft w:val="0"/>
      <w:marRight w:val="0"/>
      <w:marTop w:val="180"/>
      <w:marBottom w:val="180"/>
      <w:divBdr>
        <w:top w:val="none" w:sz="0" w:space="0" w:color="auto"/>
        <w:left w:val="none" w:sz="0" w:space="0" w:color="auto"/>
        <w:bottom w:val="none" w:sz="0" w:space="0" w:color="auto"/>
        <w:right w:val="none" w:sz="0" w:space="0" w:color="auto"/>
      </w:divBdr>
    </w:div>
    <w:div w:id="1035275301">
      <w:marLeft w:val="0"/>
      <w:marRight w:val="0"/>
      <w:marTop w:val="180"/>
      <w:marBottom w:val="180"/>
      <w:divBdr>
        <w:top w:val="none" w:sz="0" w:space="0" w:color="auto"/>
        <w:left w:val="none" w:sz="0" w:space="0" w:color="auto"/>
        <w:bottom w:val="none" w:sz="0" w:space="0" w:color="auto"/>
        <w:right w:val="none" w:sz="0" w:space="0" w:color="auto"/>
      </w:divBdr>
    </w:div>
    <w:div w:id="1035959416">
      <w:marLeft w:val="0"/>
      <w:marRight w:val="0"/>
      <w:marTop w:val="180"/>
      <w:marBottom w:val="180"/>
      <w:divBdr>
        <w:top w:val="none" w:sz="0" w:space="0" w:color="auto"/>
        <w:left w:val="none" w:sz="0" w:space="0" w:color="auto"/>
        <w:bottom w:val="none" w:sz="0" w:space="0" w:color="auto"/>
        <w:right w:val="none" w:sz="0" w:space="0" w:color="auto"/>
      </w:divBdr>
    </w:div>
    <w:div w:id="1036193896">
      <w:marLeft w:val="0"/>
      <w:marRight w:val="0"/>
      <w:marTop w:val="0"/>
      <w:marBottom w:val="15"/>
      <w:divBdr>
        <w:top w:val="none" w:sz="0" w:space="0" w:color="auto"/>
        <w:left w:val="none" w:sz="0" w:space="0" w:color="auto"/>
        <w:bottom w:val="none" w:sz="0" w:space="0" w:color="auto"/>
        <w:right w:val="none" w:sz="0" w:space="0" w:color="auto"/>
      </w:divBdr>
    </w:div>
    <w:div w:id="1036588135">
      <w:marLeft w:val="0"/>
      <w:marRight w:val="0"/>
      <w:marTop w:val="180"/>
      <w:marBottom w:val="180"/>
      <w:divBdr>
        <w:top w:val="none" w:sz="0" w:space="0" w:color="auto"/>
        <w:left w:val="none" w:sz="0" w:space="0" w:color="auto"/>
        <w:bottom w:val="none" w:sz="0" w:space="0" w:color="auto"/>
        <w:right w:val="none" w:sz="0" w:space="0" w:color="auto"/>
      </w:divBdr>
    </w:div>
    <w:div w:id="1038159982">
      <w:marLeft w:val="0"/>
      <w:marRight w:val="0"/>
      <w:marTop w:val="60"/>
      <w:marBottom w:val="60"/>
      <w:divBdr>
        <w:top w:val="none" w:sz="0" w:space="0" w:color="auto"/>
        <w:left w:val="none" w:sz="0" w:space="0" w:color="auto"/>
        <w:bottom w:val="none" w:sz="0" w:space="0" w:color="auto"/>
        <w:right w:val="none" w:sz="0" w:space="0" w:color="auto"/>
      </w:divBdr>
    </w:div>
    <w:div w:id="1038551151">
      <w:marLeft w:val="0"/>
      <w:marRight w:val="0"/>
      <w:marTop w:val="60"/>
      <w:marBottom w:val="60"/>
      <w:divBdr>
        <w:top w:val="none" w:sz="0" w:space="0" w:color="auto"/>
        <w:left w:val="none" w:sz="0" w:space="0" w:color="auto"/>
        <w:bottom w:val="none" w:sz="0" w:space="0" w:color="auto"/>
        <w:right w:val="none" w:sz="0" w:space="0" w:color="auto"/>
      </w:divBdr>
    </w:div>
    <w:div w:id="1038704453">
      <w:marLeft w:val="0"/>
      <w:marRight w:val="0"/>
      <w:marTop w:val="180"/>
      <w:marBottom w:val="180"/>
      <w:divBdr>
        <w:top w:val="none" w:sz="0" w:space="0" w:color="auto"/>
        <w:left w:val="none" w:sz="0" w:space="0" w:color="auto"/>
        <w:bottom w:val="none" w:sz="0" w:space="0" w:color="auto"/>
        <w:right w:val="none" w:sz="0" w:space="0" w:color="auto"/>
      </w:divBdr>
    </w:div>
    <w:div w:id="1042366545">
      <w:marLeft w:val="0"/>
      <w:marRight w:val="0"/>
      <w:marTop w:val="180"/>
      <w:marBottom w:val="180"/>
      <w:divBdr>
        <w:top w:val="none" w:sz="0" w:space="0" w:color="auto"/>
        <w:left w:val="none" w:sz="0" w:space="0" w:color="auto"/>
        <w:bottom w:val="none" w:sz="0" w:space="0" w:color="auto"/>
        <w:right w:val="none" w:sz="0" w:space="0" w:color="auto"/>
      </w:divBdr>
    </w:div>
    <w:div w:id="1043484170">
      <w:marLeft w:val="0"/>
      <w:marRight w:val="0"/>
      <w:marTop w:val="180"/>
      <w:marBottom w:val="180"/>
      <w:divBdr>
        <w:top w:val="none" w:sz="0" w:space="0" w:color="auto"/>
        <w:left w:val="none" w:sz="0" w:space="0" w:color="auto"/>
        <w:bottom w:val="none" w:sz="0" w:space="0" w:color="auto"/>
        <w:right w:val="none" w:sz="0" w:space="0" w:color="auto"/>
      </w:divBdr>
    </w:div>
    <w:div w:id="1044217151">
      <w:marLeft w:val="0"/>
      <w:marRight w:val="0"/>
      <w:marTop w:val="180"/>
      <w:marBottom w:val="180"/>
      <w:divBdr>
        <w:top w:val="none" w:sz="0" w:space="0" w:color="auto"/>
        <w:left w:val="none" w:sz="0" w:space="0" w:color="auto"/>
        <w:bottom w:val="none" w:sz="0" w:space="0" w:color="auto"/>
        <w:right w:val="none" w:sz="0" w:space="0" w:color="auto"/>
      </w:divBdr>
    </w:div>
    <w:div w:id="1047992750">
      <w:marLeft w:val="0"/>
      <w:marRight w:val="0"/>
      <w:marTop w:val="180"/>
      <w:marBottom w:val="180"/>
      <w:divBdr>
        <w:top w:val="none" w:sz="0" w:space="0" w:color="auto"/>
        <w:left w:val="none" w:sz="0" w:space="0" w:color="auto"/>
        <w:bottom w:val="none" w:sz="0" w:space="0" w:color="auto"/>
        <w:right w:val="none" w:sz="0" w:space="0" w:color="auto"/>
      </w:divBdr>
    </w:div>
    <w:div w:id="1048644979">
      <w:marLeft w:val="0"/>
      <w:marRight w:val="0"/>
      <w:marTop w:val="240"/>
      <w:marBottom w:val="180"/>
      <w:divBdr>
        <w:top w:val="none" w:sz="0" w:space="0" w:color="auto"/>
        <w:left w:val="none" w:sz="0" w:space="0" w:color="auto"/>
        <w:bottom w:val="none" w:sz="0" w:space="0" w:color="auto"/>
        <w:right w:val="none" w:sz="0" w:space="0" w:color="auto"/>
      </w:divBdr>
    </w:div>
    <w:div w:id="1049765752">
      <w:marLeft w:val="0"/>
      <w:marRight w:val="0"/>
      <w:marTop w:val="180"/>
      <w:marBottom w:val="180"/>
      <w:divBdr>
        <w:top w:val="none" w:sz="0" w:space="0" w:color="auto"/>
        <w:left w:val="none" w:sz="0" w:space="0" w:color="auto"/>
        <w:bottom w:val="none" w:sz="0" w:space="0" w:color="auto"/>
        <w:right w:val="none" w:sz="0" w:space="0" w:color="auto"/>
      </w:divBdr>
      <w:divsChild>
        <w:div w:id="600065069">
          <w:marLeft w:val="0"/>
          <w:marRight w:val="0"/>
          <w:marTop w:val="0"/>
          <w:marBottom w:val="0"/>
          <w:divBdr>
            <w:top w:val="none" w:sz="0" w:space="0" w:color="auto"/>
            <w:left w:val="none" w:sz="0" w:space="0" w:color="auto"/>
            <w:bottom w:val="none" w:sz="0" w:space="0" w:color="auto"/>
            <w:right w:val="none" w:sz="0" w:space="0" w:color="auto"/>
          </w:divBdr>
        </w:div>
        <w:div w:id="381056535">
          <w:marLeft w:val="0"/>
          <w:marRight w:val="0"/>
          <w:marTop w:val="0"/>
          <w:marBottom w:val="0"/>
          <w:divBdr>
            <w:top w:val="none" w:sz="0" w:space="0" w:color="auto"/>
            <w:left w:val="none" w:sz="0" w:space="0" w:color="auto"/>
            <w:bottom w:val="none" w:sz="0" w:space="0" w:color="auto"/>
            <w:right w:val="none" w:sz="0" w:space="0" w:color="auto"/>
          </w:divBdr>
        </w:div>
        <w:div w:id="1839730914">
          <w:marLeft w:val="0"/>
          <w:marRight w:val="0"/>
          <w:marTop w:val="0"/>
          <w:marBottom w:val="0"/>
          <w:divBdr>
            <w:top w:val="none" w:sz="0" w:space="0" w:color="auto"/>
            <w:left w:val="none" w:sz="0" w:space="0" w:color="auto"/>
            <w:bottom w:val="none" w:sz="0" w:space="0" w:color="auto"/>
            <w:right w:val="none" w:sz="0" w:space="0" w:color="auto"/>
          </w:divBdr>
        </w:div>
      </w:divsChild>
    </w:div>
    <w:div w:id="1052732257">
      <w:marLeft w:val="0"/>
      <w:marRight w:val="0"/>
      <w:marTop w:val="0"/>
      <w:marBottom w:val="0"/>
      <w:divBdr>
        <w:top w:val="none" w:sz="0" w:space="0" w:color="auto"/>
        <w:left w:val="none" w:sz="0" w:space="0" w:color="auto"/>
        <w:bottom w:val="none" w:sz="0" w:space="0" w:color="auto"/>
        <w:right w:val="none" w:sz="0" w:space="0" w:color="auto"/>
      </w:divBdr>
      <w:divsChild>
        <w:div w:id="521283578">
          <w:marLeft w:val="0"/>
          <w:marRight w:val="0"/>
          <w:marTop w:val="0"/>
          <w:marBottom w:val="0"/>
          <w:divBdr>
            <w:top w:val="none" w:sz="0" w:space="0" w:color="auto"/>
            <w:left w:val="none" w:sz="0" w:space="0" w:color="auto"/>
            <w:bottom w:val="none" w:sz="0" w:space="0" w:color="auto"/>
            <w:right w:val="none" w:sz="0" w:space="0" w:color="auto"/>
          </w:divBdr>
          <w:divsChild>
            <w:div w:id="11777656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53624170">
      <w:marLeft w:val="0"/>
      <w:marRight w:val="0"/>
      <w:marTop w:val="180"/>
      <w:marBottom w:val="180"/>
      <w:divBdr>
        <w:top w:val="none" w:sz="0" w:space="0" w:color="auto"/>
        <w:left w:val="none" w:sz="0" w:space="0" w:color="auto"/>
        <w:bottom w:val="none" w:sz="0" w:space="0" w:color="auto"/>
        <w:right w:val="none" w:sz="0" w:space="0" w:color="auto"/>
      </w:divBdr>
    </w:div>
    <w:div w:id="1053848405">
      <w:marLeft w:val="0"/>
      <w:marRight w:val="0"/>
      <w:marTop w:val="180"/>
      <w:marBottom w:val="180"/>
      <w:divBdr>
        <w:top w:val="none" w:sz="0" w:space="0" w:color="auto"/>
        <w:left w:val="none" w:sz="0" w:space="0" w:color="auto"/>
        <w:bottom w:val="none" w:sz="0" w:space="0" w:color="auto"/>
        <w:right w:val="none" w:sz="0" w:space="0" w:color="auto"/>
      </w:divBdr>
    </w:div>
    <w:div w:id="1054812524">
      <w:marLeft w:val="0"/>
      <w:marRight w:val="0"/>
      <w:marTop w:val="0"/>
      <w:marBottom w:val="0"/>
      <w:divBdr>
        <w:top w:val="none" w:sz="0" w:space="0" w:color="auto"/>
        <w:left w:val="none" w:sz="0" w:space="0" w:color="auto"/>
        <w:bottom w:val="none" w:sz="0" w:space="0" w:color="auto"/>
        <w:right w:val="none" w:sz="0" w:space="0" w:color="auto"/>
      </w:divBdr>
    </w:div>
    <w:div w:id="1059522955">
      <w:marLeft w:val="0"/>
      <w:marRight w:val="0"/>
      <w:marTop w:val="0"/>
      <w:marBottom w:val="0"/>
      <w:divBdr>
        <w:top w:val="none" w:sz="0" w:space="0" w:color="auto"/>
        <w:left w:val="none" w:sz="0" w:space="0" w:color="auto"/>
        <w:bottom w:val="none" w:sz="0" w:space="0" w:color="auto"/>
        <w:right w:val="none" w:sz="0" w:space="0" w:color="auto"/>
      </w:divBdr>
    </w:div>
    <w:div w:id="1059590767">
      <w:marLeft w:val="0"/>
      <w:marRight w:val="0"/>
      <w:marTop w:val="180"/>
      <w:marBottom w:val="60"/>
      <w:divBdr>
        <w:top w:val="none" w:sz="0" w:space="0" w:color="auto"/>
        <w:left w:val="none" w:sz="0" w:space="0" w:color="auto"/>
        <w:bottom w:val="none" w:sz="0" w:space="0" w:color="auto"/>
        <w:right w:val="none" w:sz="0" w:space="0" w:color="auto"/>
      </w:divBdr>
    </w:div>
    <w:div w:id="1059942824">
      <w:marLeft w:val="0"/>
      <w:marRight w:val="0"/>
      <w:marTop w:val="180"/>
      <w:marBottom w:val="180"/>
      <w:divBdr>
        <w:top w:val="none" w:sz="0" w:space="0" w:color="auto"/>
        <w:left w:val="none" w:sz="0" w:space="0" w:color="auto"/>
        <w:bottom w:val="none" w:sz="0" w:space="0" w:color="auto"/>
        <w:right w:val="none" w:sz="0" w:space="0" w:color="auto"/>
      </w:divBdr>
    </w:div>
    <w:div w:id="1063985927">
      <w:marLeft w:val="0"/>
      <w:marRight w:val="0"/>
      <w:marTop w:val="180"/>
      <w:marBottom w:val="180"/>
      <w:divBdr>
        <w:top w:val="none" w:sz="0" w:space="0" w:color="auto"/>
        <w:left w:val="none" w:sz="0" w:space="0" w:color="auto"/>
        <w:bottom w:val="none" w:sz="0" w:space="0" w:color="auto"/>
        <w:right w:val="none" w:sz="0" w:space="0" w:color="auto"/>
      </w:divBdr>
    </w:div>
    <w:div w:id="1064329712">
      <w:marLeft w:val="0"/>
      <w:marRight w:val="0"/>
      <w:marTop w:val="180"/>
      <w:marBottom w:val="180"/>
      <w:divBdr>
        <w:top w:val="none" w:sz="0" w:space="0" w:color="auto"/>
        <w:left w:val="none" w:sz="0" w:space="0" w:color="auto"/>
        <w:bottom w:val="none" w:sz="0" w:space="0" w:color="auto"/>
        <w:right w:val="none" w:sz="0" w:space="0" w:color="auto"/>
      </w:divBdr>
    </w:div>
    <w:div w:id="1064452164">
      <w:marLeft w:val="0"/>
      <w:marRight w:val="0"/>
      <w:marTop w:val="60"/>
      <w:marBottom w:val="60"/>
      <w:divBdr>
        <w:top w:val="none" w:sz="0" w:space="0" w:color="auto"/>
        <w:left w:val="none" w:sz="0" w:space="0" w:color="auto"/>
        <w:bottom w:val="none" w:sz="0" w:space="0" w:color="auto"/>
        <w:right w:val="none" w:sz="0" w:space="0" w:color="auto"/>
      </w:divBdr>
    </w:div>
    <w:div w:id="1071848586">
      <w:marLeft w:val="0"/>
      <w:marRight w:val="0"/>
      <w:marTop w:val="60"/>
      <w:marBottom w:val="60"/>
      <w:divBdr>
        <w:top w:val="none" w:sz="0" w:space="0" w:color="auto"/>
        <w:left w:val="none" w:sz="0" w:space="0" w:color="auto"/>
        <w:bottom w:val="none" w:sz="0" w:space="0" w:color="auto"/>
        <w:right w:val="none" w:sz="0" w:space="0" w:color="auto"/>
      </w:divBdr>
    </w:div>
    <w:div w:id="1073968357">
      <w:marLeft w:val="0"/>
      <w:marRight w:val="0"/>
      <w:marTop w:val="180"/>
      <w:marBottom w:val="180"/>
      <w:divBdr>
        <w:top w:val="none" w:sz="0" w:space="0" w:color="auto"/>
        <w:left w:val="none" w:sz="0" w:space="0" w:color="auto"/>
        <w:bottom w:val="none" w:sz="0" w:space="0" w:color="auto"/>
        <w:right w:val="none" w:sz="0" w:space="0" w:color="auto"/>
      </w:divBdr>
    </w:div>
    <w:div w:id="1075207007">
      <w:marLeft w:val="0"/>
      <w:marRight w:val="0"/>
      <w:marTop w:val="180"/>
      <w:marBottom w:val="60"/>
      <w:divBdr>
        <w:top w:val="none" w:sz="0" w:space="0" w:color="auto"/>
        <w:left w:val="none" w:sz="0" w:space="0" w:color="auto"/>
        <w:bottom w:val="none" w:sz="0" w:space="0" w:color="auto"/>
        <w:right w:val="none" w:sz="0" w:space="0" w:color="auto"/>
      </w:divBdr>
    </w:div>
    <w:div w:id="1079055497">
      <w:marLeft w:val="0"/>
      <w:marRight w:val="0"/>
      <w:marTop w:val="60"/>
      <w:marBottom w:val="60"/>
      <w:divBdr>
        <w:top w:val="none" w:sz="0" w:space="0" w:color="auto"/>
        <w:left w:val="none" w:sz="0" w:space="0" w:color="auto"/>
        <w:bottom w:val="none" w:sz="0" w:space="0" w:color="auto"/>
        <w:right w:val="none" w:sz="0" w:space="0" w:color="auto"/>
      </w:divBdr>
    </w:div>
    <w:div w:id="1082262112">
      <w:marLeft w:val="0"/>
      <w:marRight w:val="0"/>
      <w:marTop w:val="0"/>
      <w:marBottom w:val="0"/>
      <w:divBdr>
        <w:top w:val="none" w:sz="0" w:space="0" w:color="auto"/>
        <w:left w:val="none" w:sz="0" w:space="0" w:color="auto"/>
        <w:bottom w:val="none" w:sz="0" w:space="0" w:color="auto"/>
        <w:right w:val="none" w:sz="0" w:space="0" w:color="auto"/>
      </w:divBdr>
    </w:div>
    <w:div w:id="1084493147">
      <w:marLeft w:val="0"/>
      <w:marRight w:val="0"/>
      <w:marTop w:val="180"/>
      <w:marBottom w:val="60"/>
      <w:divBdr>
        <w:top w:val="none" w:sz="0" w:space="0" w:color="auto"/>
        <w:left w:val="none" w:sz="0" w:space="0" w:color="auto"/>
        <w:bottom w:val="none" w:sz="0" w:space="0" w:color="auto"/>
        <w:right w:val="none" w:sz="0" w:space="0" w:color="auto"/>
      </w:divBdr>
    </w:div>
    <w:div w:id="1086994825">
      <w:marLeft w:val="0"/>
      <w:marRight w:val="0"/>
      <w:marTop w:val="180"/>
      <w:marBottom w:val="180"/>
      <w:divBdr>
        <w:top w:val="none" w:sz="0" w:space="0" w:color="auto"/>
        <w:left w:val="none" w:sz="0" w:space="0" w:color="auto"/>
        <w:bottom w:val="none" w:sz="0" w:space="0" w:color="auto"/>
        <w:right w:val="none" w:sz="0" w:space="0" w:color="auto"/>
      </w:divBdr>
    </w:div>
    <w:div w:id="1087534288">
      <w:marLeft w:val="0"/>
      <w:marRight w:val="0"/>
      <w:marTop w:val="180"/>
      <w:marBottom w:val="180"/>
      <w:divBdr>
        <w:top w:val="none" w:sz="0" w:space="0" w:color="auto"/>
        <w:left w:val="none" w:sz="0" w:space="0" w:color="auto"/>
        <w:bottom w:val="none" w:sz="0" w:space="0" w:color="auto"/>
        <w:right w:val="none" w:sz="0" w:space="0" w:color="auto"/>
      </w:divBdr>
    </w:div>
    <w:div w:id="1087767273">
      <w:marLeft w:val="0"/>
      <w:marRight w:val="0"/>
      <w:marTop w:val="180"/>
      <w:marBottom w:val="180"/>
      <w:divBdr>
        <w:top w:val="none" w:sz="0" w:space="0" w:color="auto"/>
        <w:left w:val="none" w:sz="0" w:space="0" w:color="auto"/>
        <w:bottom w:val="none" w:sz="0" w:space="0" w:color="auto"/>
        <w:right w:val="none" w:sz="0" w:space="0" w:color="auto"/>
      </w:divBdr>
    </w:div>
    <w:div w:id="1089306492">
      <w:marLeft w:val="0"/>
      <w:marRight w:val="0"/>
      <w:marTop w:val="180"/>
      <w:marBottom w:val="180"/>
      <w:divBdr>
        <w:top w:val="none" w:sz="0" w:space="0" w:color="auto"/>
        <w:left w:val="none" w:sz="0" w:space="0" w:color="auto"/>
        <w:bottom w:val="none" w:sz="0" w:space="0" w:color="auto"/>
        <w:right w:val="none" w:sz="0" w:space="0" w:color="auto"/>
      </w:divBdr>
    </w:div>
    <w:div w:id="1090395596">
      <w:marLeft w:val="0"/>
      <w:marRight w:val="0"/>
      <w:marTop w:val="180"/>
      <w:marBottom w:val="180"/>
      <w:divBdr>
        <w:top w:val="none" w:sz="0" w:space="0" w:color="auto"/>
        <w:left w:val="none" w:sz="0" w:space="0" w:color="auto"/>
        <w:bottom w:val="none" w:sz="0" w:space="0" w:color="auto"/>
        <w:right w:val="none" w:sz="0" w:space="0" w:color="auto"/>
      </w:divBdr>
    </w:div>
    <w:div w:id="1090740928">
      <w:marLeft w:val="0"/>
      <w:marRight w:val="0"/>
      <w:marTop w:val="60"/>
      <w:marBottom w:val="60"/>
      <w:divBdr>
        <w:top w:val="none" w:sz="0" w:space="0" w:color="auto"/>
        <w:left w:val="none" w:sz="0" w:space="0" w:color="auto"/>
        <w:bottom w:val="none" w:sz="0" w:space="0" w:color="auto"/>
        <w:right w:val="none" w:sz="0" w:space="0" w:color="auto"/>
      </w:divBdr>
    </w:div>
    <w:div w:id="1090927387">
      <w:marLeft w:val="0"/>
      <w:marRight w:val="0"/>
      <w:marTop w:val="180"/>
      <w:marBottom w:val="180"/>
      <w:divBdr>
        <w:top w:val="none" w:sz="0" w:space="0" w:color="auto"/>
        <w:left w:val="none" w:sz="0" w:space="0" w:color="auto"/>
        <w:bottom w:val="none" w:sz="0" w:space="0" w:color="auto"/>
        <w:right w:val="none" w:sz="0" w:space="0" w:color="auto"/>
      </w:divBdr>
    </w:div>
    <w:div w:id="1091389507">
      <w:marLeft w:val="0"/>
      <w:marRight w:val="0"/>
      <w:marTop w:val="180"/>
      <w:marBottom w:val="180"/>
      <w:divBdr>
        <w:top w:val="none" w:sz="0" w:space="0" w:color="auto"/>
        <w:left w:val="none" w:sz="0" w:space="0" w:color="auto"/>
        <w:bottom w:val="none" w:sz="0" w:space="0" w:color="auto"/>
        <w:right w:val="none" w:sz="0" w:space="0" w:color="auto"/>
      </w:divBdr>
    </w:div>
    <w:div w:id="1092748742">
      <w:marLeft w:val="0"/>
      <w:marRight w:val="0"/>
      <w:marTop w:val="180"/>
      <w:marBottom w:val="180"/>
      <w:divBdr>
        <w:top w:val="none" w:sz="0" w:space="0" w:color="auto"/>
        <w:left w:val="none" w:sz="0" w:space="0" w:color="auto"/>
        <w:bottom w:val="none" w:sz="0" w:space="0" w:color="auto"/>
        <w:right w:val="none" w:sz="0" w:space="0" w:color="auto"/>
      </w:divBdr>
    </w:div>
    <w:div w:id="1094789596">
      <w:marLeft w:val="0"/>
      <w:marRight w:val="0"/>
      <w:marTop w:val="180"/>
      <w:marBottom w:val="60"/>
      <w:divBdr>
        <w:top w:val="none" w:sz="0" w:space="0" w:color="auto"/>
        <w:left w:val="none" w:sz="0" w:space="0" w:color="auto"/>
        <w:bottom w:val="none" w:sz="0" w:space="0" w:color="auto"/>
        <w:right w:val="none" w:sz="0" w:space="0" w:color="auto"/>
      </w:divBdr>
    </w:div>
    <w:div w:id="1096052703">
      <w:marLeft w:val="0"/>
      <w:marRight w:val="0"/>
      <w:marTop w:val="60"/>
      <w:marBottom w:val="60"/>
      <w:divBdr>
        <w:top w:val="none" w:sz="0" w:space="0" w:color="auto"/>
        <w:left w:val="none" w:sz="0" w:space="0" w:color="auto"/>
        <w:bottom w:val="none" w:sz="0" w:space="0" w:color="auto"/>
        <w:right w:val="none" w:sz="0" w:space="0" w:color="auto"/>
      </w:divBdr>
    </w:div>
    <w:div w:id="1100563360">
      <w:marLeft w:val="0"/>
      <w:marRight w:val="0"/>
      <w:marTop w:val="180"/>
      <w:marBottom w:val="180"/>
      <w:divBdr>
        <w:top w:val="none" w:sz="0" w:space="0" w:color="auto"/>
        <w:left w:val="none" w:sz="0" w:space="0" w:color="auto"/>
        <w:bottom w:val="none" w:sz="0" w:space="0" w:color="auto"/>
        <w:right w:val="none" w:sz="0" w:space="0" w:color="auto"/>
      </w:divBdr>
    </w:div>
    <w:div w:id="1100755994">
      <w:marLeft w:val="0"/>
      <w:marRight w:val="0"/>
      <w:marTop w:val="180"/>
      <w:marBottom w:val="180"/>
      <w:divBdr>
        <w:top w:val="none" w:sz="0" w:space="0" w:color="auto"/>
        <w:left w:val="none" w:sz="0" w:space="0" w:color="auto"/>
        <w:bottom w:val="none" w:sz="0" w:space="0" w:color="auto"/>
        <w:right w:val="none" w:sz="0" w:space="0" w:color="auto"/>
      </w:divBdr>
    </w:div>
    <w:div w:id="1101801516">
      <w:marLeft w:val="0"/>
      <w:marRight w:val="0"/>
      <w:marTop w:val="60"/>
      <w:marBottom w:val="60"/>
      <w:divBdr>
        <w:top w:val="none" w:sz="0" w:space="0" w:color="auto"/>
        <w:left w:val="none" w:sz="0" w:space="0" w:color="auto"/>
        <w:bottom w:val="none" w:sz="0" w:space="0" w:color="auto"/>
        <w:right w:val="none" w:sz="0" w:space="0" w:color="auto"/>
      </w:divBdr>
    </w:div>
    <w:div w:id="1105268166">
      <w:marLeft w:val="0"/>
      <w:marRight w:val="0"/>
      <w:marTop w:val="60"/>
      <w:marBottom w:val="60"/>
      <w:divBdr>
        <w:top w:val="none" w:sz="0" w:space="0" w:color="auto"/>
        <w:left w:val="none" w:sz="0" w:space="0" w:color="auto"/>
        <w:bottom w:val="none" w:sz="0" w:space="0" w:color="auto"/>
        <w:right w:val="none" w:sz="0" w:space="0" w:color="auto"/>
      </w:divBdr>
    </w:div>
    <w:div w:id="1105540585">
      <w:marLeft w:val="0"/>
      <w:marRight w:val="0"/>
      <w:marTop w:val="60"/>
      <w:marBottom w:val="60"/>
      <w:divBdr>
        <w:top w:val="none" w:sz="0" w:space="0" w:color="auto"/>
        <w:left w:val="none" w:sz="0" w:space="0" w:color="auto"/>
        <w:bottom w:val="none" w:sz="0" w:space="0" w:color="auto"/>
        <w:right w:val="none" w:sz="0" w:space="0" w:color="auto"/>
      </w:divBdr>
      <w:divsChild>
        <w:div w:id="521281241">
          <w:marLeft w:val="0"/>
          <w:marRight w:val="0"/>
          <w:marTop w:val="0"/>
          <w:marBottom w:val="0"/>
          <w:divBdr>
            <w:top w:val="none" w:sz="0" w:space="0" w:color="auto"/>
            <w:left w:val="none" w:sz="0" w:space="0" w:color="auto"/>
            <w:bottom w:val="none" w:sz="0" w:space="0" w:color="auto"/>
            <w:right w:val="none" w:sz="0" w:space="0" w:color="auto"/>
          </w:divBdr>
        </w:div>
        <w:div w:id="18883277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sChild>
    </w:div>
    <w:div w:id="1105855149">
      <w:marLeft w:val="0"/>
      <w:marRight w:val="0"/>
      <w:marTop w:val="0"/>
      <w:marBottom w:val="0"/>
      <w:divBdr>
        <w:top w:val="none" w:sz="0" w:space="0" w:color="auto"/>
        <w:left w:val="none" w:sz="0" w:space="0" w:color="auto"/>
        <w:bottom w:val="none" w:sz="0" w:space="0" w:color="auto"/>
        <w:right w:val="none" w:sz="0" w:space="0" w:color="auto"/>
      </w:divBdr>
      <w:divsChild>
        <w:div w:id="189031199">
          <w:marLeft w:val="0"/>
          <w:marRight w:val="0"/>
          <w:marTop w:val="60"/>
          <w:marBottom w:val="60"/>
          <w:divBdr>
            <w:top w:val="none" w:sz="0" w:space="0" w:color="auto"/>
            <w:left w:val="none" w:sz="0" w:space="0" w:color="auto"/>
            <w:bottom w:val="none" w:sz="0" w:space="0" w:color="auto"/>
            <w:right w:val="none" w:sz="0" w:space="0" w:color="auto"/>
          </w:divBdr>
        </w:div>
      </w:divsChild>
    </w:div>
    <w:div w:id="1106117437">
      <w:marLeft w:val="0"/>
      <w:marRight w:val="0"/>
      <w:marTop w:val="180"/>
      <w:marBottom w:val="180"/>
      <w:divBdr>
        <w:top w:val="none" w:sz="0" w:space="0" w:color="auto"/>
        <w:left w:val="none" w:sz="0" w:space="0" w:color="auto"/>
        <w:bottom w:val="none" w:sz="0" w:space="0" w:color="auto"/>
        <w:right w:val="none" w:sz="0" w:space="0" w:color="auto"/>
      </w:divBdr>
    </w:div>
    <w:div w:id="1106537493">
      <w:marLeft w:val="0"/>
      <w:marRight w:val="0"/>
      <w:marTop w:val="60"/>
      <w:marBottom w:val="60"/>
      <w:divBdr>
        <w:top w:val="none" w:sz="0" w:space="0" w:color="auto"/>
        <w:left w:val="none" w:sz="0" w:space="0" w:color="auto"/>
        <w:bottom w:val="none" w:sz="0" w:space="0" w:color="auto"/>
        <w:right w:val="none" w:sz="0" w:space="0" w:color="auto"/>
      </w:divBdr>
    </w:div>
    <w:div w:id="1106926327">
      <w:marLeft w:val="0"/>
      <w:marRight w:val="0"/>
      <w:marTop w:val="180"/>
      <w:marBottom w:val="180"/>
      <w:divBdr>
        <w:top w:val="none" w:sz="0" w:space="0" w:color="auto"/>
        <w:left w:val="none" w:sz="0" w:space="0" w:color="auto"/>
        <w:bottom w:val="none" w:sz="0" w:space="0" w:color="auto"/>
        <w:right w:val="none" w:sz="0" w:space="0" w:color="auto"/>
      </w:divBdr>
    </w:div>
    <w:div w:id="1107120476">
      <w:marLeft w:val="0"/>
      <w:marRight w:val="0"/>
      <w:marTop w:val="60"/>
      <w:marBottom w:val="60"/>
      <w:divBdr>
        <w:top w:val="none" w:sz="0" w:space="0" w:color="auto"/>
        <w:left w:val="none" w:sz="0" w:space="0" w:color="auto"/>
        <w:bottom w:val="none" w:sz="0" w:space="0" w:color="auto"/>
        <w:right w:val="none" w:sz="0" w:space="0" w:color="auto"/>
      </w:divBdr>
    </w:div>
    <w:div w:id="1107235792">
      <w:marLeft w:val="0"/>
      <w:marRight w:val="0"/>
      <w:marTop w:val="180"/>
      <w:marBottom w:val="180"/>
      <w:divBdr>
        <w:top w:val="none" w:sz="0" w:space="0" w:color="auto"/>
        <w:left w:val="none" w:sz="0" w:space="0" w:color="auto"/>
        <w:bottom w:val="none" w:sz="0" w:space="0" w:color="auto"/>
        <w:right w:val="none" w:sz="0" w:space="0" w:color="auto"/>
      </w:divBdr>
    </w:div>
    <w:div w:id="1107769261">
      <w:marLeft w:val="0"/>
      <w:marRight w:val="0"/>
      <w:marTop w:val="180"/>
      <w:marBottom w:val="60"/>
      <w:divBdr>
        <w:top w:val="none" w:sz="0" w:space="0" w:color="auto"/>
        <w:left w:val="none" w:sz="0" w:space="0" w:color="auto"/>
        <w:bottom w:val="none" w:sz="0" w:space="0" w:color="auto"/>
        <w:right w:val="none" w:sz="0" w:space="0" w:color="auto"/>
      </w:divBdr>
    </w:div>
    <w:div w:id="1111627416">
      <w:marLeft w:val="0"/>
      <w:marRight w:val="0"/>
      <w:marTop w:val="240"/>
      <w:marBottom w:val="180"/>
      <w:divBdr>
        <w:top w:val="none" w:sz="0" w:space="0" w:color="auto"/>
        <w:left w:val="none" w:sz="0" w:space="0" w:color="auto"/>
        <w:bottom w:val="none" w:sz="0" w:space="0" w:color="auto"/>
        <w:right w:val="none" w:sz="0" w:space="0" w:color="auto"/>
      </w:divBdr>
    </w:div>
    <w:div w:id="1111706561">
      <w:marLeft w:val="0"/>
      <w:marRight w:val="0"/>
      <w:marTop w:val="0"/>
      <w:marBottom w:val="0"/>
      <w:divBdr>
        <w:top w:val="none" w:sz="0" w:space="0" w:color="auto"/>
        <w:left w:val="none" w:sz="0" w:space="0" w:color="auto"/>
        <w:bottom w:val="none" w:sz="0" w:space="0" w:color="auto"/>
        <w:right w:val="none" w:sz="0" w:space="0" w:color="auto"/>
      </w:divBdr>
      <w:divsChild>
        <w:div w:id="619840310">
          <w:marLeft w:val="0"/>
          <w:marRight w:val="0"/>
          <w:marTop w:val="0"/>
          <w:marBottom w:val="0"/>
          <w:divBdr>
            <w:top w:val="none" w:sz="0" w:space="0" w:color="auto"/>
            <w:left w:val="none" w:sz="0" w:space="0" w:color="auto"/>
            <w:bottom w:val="none" w:sz="0" w:space="0" w:color="auto"/>
            <w:right w:val="none" w:sz="0" w:space="0" w:color="auto"/>
          </w:divBdr>
          <w:divsChild>
            <w:div w:id="20419776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4402035">
      <w:marLeft w:val="0"/>
      <w:marRight w:val="0"/>
      <w:marTop w:val="0"/>
      <w:marBottom w:val="0"/>
      <w:divBdr>
        <w:top w:val="none" w:sz="0" w:space="0" w:color="auto"/>
        <w:left w:val="none" w:sz="0" w:space="0" w:color="auto"/>
        <w:bottom w:val="none" w:sz="0" w:space="0" w:color="auto"/>
        <w:right w:val="none" w:sz="0" w:space="0" w:color="auto"/>
      </w:divBdr>
      <w:divsChild>
        <w:div w:id="1328023634">
          <w:marLeft w:val="0"/>
          <w:marRight w:val="0"/>
          <w:marTop w:val="60"/>
          <w:marBottom w:val="60"/>
          <w:divBdr>
            <w:top w:val="none" w:sz="0" w:space="0" w:color="auto"/>
            <w:left w:val="none" w:sz="0" w:space="0" w:color="auto"/>
            <w:bottom w:val="none" w:sz="0" w:space="0" w:color="auto"/>
            <w:right w:val="none" w:sz="0" w:space="0" w:color="auto"/>
          </w:divBdr>
        </w:div>
      </w:divsChild>
    </w:div>
    <w:div w:id="1114789382">
      <w:marLeft w:val="0"/>
      <w:marRight w:val="0"/>
      <w:marTop w:val="0"/>
      <w:marBottom w:val="0"/>
      <w:divBdr>
        <w:top w:val="none" w:sz="0" w:space="0" w:color="auto"/>
        <w:left w:val="none" w:sz="0" w:space="0" w:color="auto"/>
        <w:bottom w:val="none" w:sz="0" w:space="0" w:color="auto"/>
        <w:right w:val="none" w:sz="0" w:space="0" w:color="auto"/>
      </w:divBdr>
      <w:divsChild>
        <w:div w:id="988441022">
          <w:marLeft w:val="0"/>
          <w:marRight w:val="0"/>
          <w:marTop w:val="0"/>
          <w:marBottom w:val="0"/>
          <w:divBdr>
            <w:top w:val="none" w:sz="0" w:space="0" w:color="auto"/>
            <w:left w:val="none" w:sz="0" w:space="0" w:color="auto"/>
            <w:bottom w:val="none" w:sz="0" w:space="0" w:color="auto"/>
            <w:right w:val="none" w:sz="0" w:space="0" w:color="auto"/>
          </w:divBdr>
          <w:divsChild>
            <w:div w:id="9224519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4978165">
      <w:marLeft w:val="0"/>
      <w:marRight w:val="0"/>
      <w:marTop w:val="0"/>
      <w:marBottom w:val="0"/>
      <w:divBdr>
        <w:top w:val="none" w:sz="0" w:space="0" w:color="auto"/>
        <w:left w:val="none" w:sz="0" w:space="0" w:color="auto"/>
        <w:bottom w:val="none" w:sz="0" w:space="0" w:color="auto"/>
        <w:right w:val="none" w:sz="0" w:space="0" w:color="auto"/>
      </w:divBdr>
      <w:divsChild>
        <w:div w:id="1747803267">
          <w:marLeft w:val="0"/>
          <w:marRight w:val="0"/>
          <w:marTop w:val="0"/>
          <w:marBottom w:val="0"/>
          <w:divBdr>
            <w:top w:val="none" w:sz="0" w:space="0" w:color="auto"/>
            <w:left w:val="none" w:sz="0" w:space="0" w:color="auto"/>
            <w:bottom w:val="none" w:sz="0" w:space="0" w:color="auto"/>
            <w:right w:val="none" w:sz="0" w:space="0" w:color="auto"/>
          </w:divBdr>
          <w:divsChild>
            <w:div w:id="19021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8142039">
      <w:marLeft w:val="0"/>
      <w:marRight w:val="0"/>
      <w:marTop w:val="180"/>
      <w:marBottom w:val="180"/>
      <w:divBdr>
        <w:top w:val="none" w:sz="0" w:space="0" w:color="auto"/>
        <w:left w:val="none" w:sz="0" w:space="0" w:color="auto"/>
        <w:bottom w:val="none" w:sz="0" w:space="0" w:color="auto"/>
        <w:right w:val="none" w:sz="0" w:space="0" w:color="auto"/>
      </w:divBdr>
    </w:div>
    <w:div w:id="1122306196">
      <w:marLeft w:val="0"/>
      <w:marRight w:val="0"/>
      <w:marTop w:val="180"/>
      <w:marBottom w:val="180"/>
      <w:divBdr>
        <w:top w:val="none" w:sz="0" w:space="0" w:color="auto"/>
        <w:left w:val="none" w:sz="0" w:space="0" w:color="auto"/>
        <w:bottom w:val="none" w:sz="0" w:space="0" w:color="auto"/>
        <w:right w:val="none" w:sz="0" w:space="0" w:color="auto"/>
      </w:divBdr>
    </w:div>
    <w:div w:id="1123959900">
      <w:marLeft w:val="0"/>
      <w:marRight w:val="0"/>
      <w:marTop w:val="180"/>
      <w:marBottom w:val="60"/>
      <w:divBdr>
        <w:top w:val="none" w:sz="0" w:space="0" w:color="auto"/>
        <w:left w:val="none" w:sz="0" w:space="0" w:color="auto"/>
        <w:bottom w:val="none" w:sz="0" w:space="0" w:color="auto"/>
        <w:right w:val="none" w:sz="0" w:space="0" w:color="auto"/>
      </w:divBdr>
    </w:div>
    <w:div w:id="1125465698">
      <w:marLeft w:val="0"/>
      <w:marRight w:val="0"/>
      <w:marTop w:val="180"/>
      <w:marBottom w:val="180"/>
      <w:divBdr>
        <w:top w:val="none" w:sz="0" w:space="0" w:color="auto"/>
        <w:left w:val="none" w:sz="0" w:space="0" w:color="auto"/>
        <w:bottom w:val="none" w:sz="0" w:space="0" w:color="auto"/>
        <w:right w:val="none" w:sz="0" w:space="0" w:color="auto"/>
      </w:divBdr>
    </w:div>
    <w:div w:id="1126854841">
      <w:marLeft w:val="0"/>
      <w:marRight w:val="0"/>
      <w:marTop w:val="180"/>
      <w:marBottom w:val="180"/>
      <w:divBdr>
        <w:top w:val="none" w:sz="0" w:space="0" w:color="auto"/>
        <w:left w:val="none" w:sz="0" w:space="0" w:color="auto"/>
        <w:bottom w:val="none" w:sz="0" w:space="0" w:color="auto"/>
        <w:right w:val="none" w:sz="0" w:space="0" w:color="auto"/>
      </w:divBdr>
    </w:div>
    <w:div w:id="1127771353">
      <w:marLeft w:val="0"/>
      <w:marRight w:val="0"/>
      <w:marTop w:val="0"/>
      <w:marBottom w:val="0"/>
      <w:divBdr>
        <w:top w:val="none" w:sz="0" w:space="0" w:color="auto"/>
        <w:left w:val="none" w:sz="0" w:space="0" w:color="auto"/>
        <w:bottom w:val="none" w:sz="0" w:space="0" w:color="auto"/>
        <w:right w:val="none" w:sz="0" w:space="0" w:color="auto"/>
      </w:divBdr>
      <w:divsChild>
        <w:div w:id="1270358050">
          <w:marLeft w:val="0"/>
          <w:marRight w:val="0"/>
          <w:marTop w:val="60"/>
          <w:marBottom w:val="60"/>
          <w:divBdr>
            <w:top w:val="none" w:sz="0" w:space="0" w:color="auto"/>
            <w:left w:val="none" w:sz="0" w:space="0" w:color="auto"/>
            <w:bottom w:val="none" w:sz="0" w:space="0" w:color="auto"/>
            <w:right w:val="none" w:sz="0" w:space="0" w:color="auto"/>
          </w:divBdr>
        </w:div>
      </w:divsChild>
    </w:div>
    <w:div w:id="1129319767">
      <w:marLeft w:val="0"/>
      <w:marRight w:val="0"/>
      <w:marTop w:val="0"/>
      <w:marBottom w:val="0"/>
      <w:divBdr>
        <w:top w:val="none" w:sz="0" w:space="0" w:color="auto"/>
        <w:left w:val="none" w:sz="0" w:space="0" w:color="auto"/>
        <w:bottom w:val="none" w:sz="0" w:space="0" w:color="auto"/>
        <w:right w:val="none" w:sz="0" w:space="0" w:color="auto"/>
      </w:divBdr>
      <w:divsChild>
        <w:div w:id="841897908">
          <w:marLeft w:val="0"/>
          <w:marRight w:val="0"/>
          <w:marTop w:val="0"/>
          <w:marBottom w:val="0"/>
          <w:divBdr>
            <w:top w:val="none" w:sz="0" w:space="0" w:color="auto"/>
            <w:left w:val="none" w:sz="0" w:space="0" w:color="auto"/>
            <w:bottom w:val="none" w:sz="0" w:space="0" w:color="auto"/>
            <w:right w:val="none" w:sz="0" w:space="0" w:color="auto"/>
          </w:divBdr>
          <w:divsChild>
            <w:div w:id="5324293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32940361">
      <w:marLeft w:val="0"/>
      <w:marRight w:val="0"/>
      <w:marTop w:val="100"/>
      <w:marBottom w:val="0"/>
      <w:divBdr>
        <w:top w:val="none" w:sz="0" w:space="0" w:color="auto"/>
        <w:left w:val="none" w:sz="0" w:space="0" w:color="auto"/>
        <w:bottom w:val="none" w:sz="0" w:space="0" w:color="auto"/>
        <w:right w:val="none" w:sz="0" w:space="0" w:color="auto"/>
      </w:divBdr>
      <w:divsChild>
        <w:div w:id="365179439">
          <w:marLeft w:val="0"/>
          <w:marRight w:val="0"/>
          <w:marTop w:val="0"/>
          <w:marBottom w:val="0"/>
          <w:divBdr>
            <w:top w:val="none" w:sz="0" w:space="0" w:color="auto"/>
            <w:left w:val="none" w:sz="0" w:space="0" w:color="auto"/>
            <w:bottom w:val="none" w:sz="0" w:space="0" w:color="auto"/>
            <w:right w:val="none" w:sz="0" w:space="0" w:color="auto"/>
          </w:divBdr>
        </w:div>
        <w:div w:id="1283078961">
          <w:marLeft w:val="0"/>
          <w:marRight w:val="0"/>
          <w:marTop w:val="0"/>
          <w:marBottom w:val="0"/>
          <w:divBdr>
            <w:top w:val="none" w:sz="0" w:space="0" w:color="auto"/>
            <w:left w:val="none" w:sz="0" w:space="0" w:color="auto"/>
            <w:bottom w:val="none" w:sz="0" w:space="0" w:color="auto"/>
            <w:right w:val="none" w:sz="0" w:space="0" w:color="auto"/>
          </w:divBdr>
        </w:div>
        <w:div w:id="1320646818">
          <w:marLeft w:val="0"/>
          <w:marRight w:val="0"/>
          <w:marTop w:val="0"/>
          <w:marBottom w:val="0"/>
          <w:divBdr>
            <w:top w:val="none" w:sz="0" w:space="0" w:color="auto"/>
            <w:left w:val="none" w:sz="0" w:space="0" w:color="auto"/>
            <w:bottom w:val="none" w:sz="0" w:space="0" w:color="auto"/>
            <w:right w:val="none" w:sz="0" w:space="0" w:color="auto"/>
          </w:divBdr>
        </w:div>
        <w:div w:id="87242716">
          <w:marLeft w:val="0"/>
          <w:marRight w:val="0"/>
          <w:marTop w:val="0"/>
          <w:marBottom w:val="0"/>
          <w:divBdr>
            <w:top w:val="none" w:sz="0" w:space="0" w:color="auto"/>
            <w:left w:val="none" w:sz="0" w:space="0" w:color="auto"/>
            <w:bottom w:val="none" w:sz="0" w:space="0" w:color="auto"/>
            <w:right w:val="none" w:sz="0" w:space="0" w:color="auto"/>
          </w:divBdr>
        </w:div>
        <w:div w:id="406465565">
          <w:marLeft w:val="0"/>
          <w:marRight w:val="0"/>
          <w:marTop w:val="0"/>
          <w:marBottom w:val="0"/>
          <w:divBdr>
            <w:top w:val="none" w:sz="0" w:space="0" w:color="auto"/>
            <w:left w:val="none" w:sz="0" w:space="0" w:color="auto"/>
            <w:bottom w:val="none" w:sz="0" w:space="0" w:color="auto"/>
            <w:right w:val="none" w:sz="0" w:space="0" w:color="auto"/>
          </w:divBdr>
        </w:div>
        <w:div w:id="2001275574">
          <w:marLeft w:val="0"/>
          <w:marRight w:val="0"/>
          <w:marTop w:val="0"/>
          <w:marBottom w:val="0"/>
          <w:divBdr>
            <w:top w:val="none" w:sz="0" w:space="0" w:color="auto"/>
            <w:left w:val="none" w:sz="0" w:space="0" w:color="auto"/>
            <w:bottom w:val="none" w:sz="0" w:space="0" w:color="auto"/>
            <w:right w:val="none" w:sz="0" w:space="0" w:color="auto"/>
          </w:divBdr>
        </w:div>
        <w:div w:id="1869443885">
          <w:marLeft w:val="0"/>
          <w:marRight w:val="0"/>
          <w:marTop w:val="0"/>
          <w:marBottom w:val="0"/>
          <w:divBdr>
            <w:top w:val="none" w:sz="0" w:space="0" w:color="auto"/>
            <w:left w:val="none" w:sz="0" w:space="0" w:color="auto"/>
            <w:bottom w:val="none" w:sz="0" w:space="0" w:color="auto"/>
            <w:right w:val="none" w:sz="0" w:space="0" w:color="auto"/>
          </w:divBdr>
        </w:div>
        <w:div w:id="643202465">
          <w:marLeft w:val="0"/>
          <w:marRight w:val="0"/>
          <w:marTop w:val="0"/>
          <w:marBottom w:val="0"/>
          <w:divBdr>
            <w:top w:val="none" w:sz="0" w:space="0" w:color="auto"/>
            <w:left w:val="none" w:sz="0" w:space="0" w:color="auto"/>
            <w:bottom w:val="none" w:sz="0" w:space="0" w:color="auto"/>
            <w:right w:val="none" w:sz="0" w:space="0" w:color="auto"/>
          </w:divBdr>
        </w:div>
        <w:div w:id="1179662061">
          <w:marLeft w:val="0"/>
          <w:marRight w:val="0"/>
          <w:marTop w:val="0"/>
          <w:marBottom w:val="0"/>
          <w:divBdr>
            <w:top w:val="none" w:sz="0" w:space="0" w:color="auto"/>
            <w:left w:val="none" w:sz="0" w:space="0" w:color="auto"/>
            <w:bottom w:val="none" w:sz="0" w:space="0" w:color="auto"/>
            <w:right w:val="none" w:sz="0" w:space="0" w:color="auto"/>
          </w:divBdr>
        </w:div>
        <w:div w:id="759957783">
          <w:marLeft w:val="0"/>
          <w:marRight w:val="0"/>
          <w:marTop w:val="0"/>
          <w:marBottom w:val="0"/>
          <w:divBdr>
            <w:top w:val="none" w:sz="0" w:space="0" w:color="auto"/>
            <w:left w:val="none" w:sz="0" w:space="0" w:color="auto"/>
            <w:bottom w:val="none" w:sz="0" w:space="0" w:color="auto"/>
            <w:right w:val="none" w:sz="0" w:space="0" w:color="auto"/>
          </w:divBdr>
        </w:div>
        <w:div w:id="805245293">
          <w:marLeft w:val="0"/>
          <w:marRight w:val="0"/>
          <w:marTop w:val="0"/>
          <w:marBottom w:val="0"/>
          <w:divBdr>
            <w:top w:val="none" w:sz="0" w:space="0" w:color="auto"/>
            <w:left w:val="none" w:sz="0" w:space="0" w:color="auto"/>
            <w:bottom w:val="none" w:sz="0" w:space="0" w:color="auto"/>
            <w:right w:val="none" w:sz="0" w:space="0" w:color="auto"/>
          </w:divBdr>
        </w:div>
        <w:div w:id="26222987">
          <w:marLeft w:val="0"/>
          <w:marRight w:val="0"/>
          <w:marTop w:val="0"/>
          <w:marBottom w:val="0"/>
          <w:divBdr>
            <w:top w:val="none" w:sz="0" w:space="0" w:color="auto"/>
            <w:left w:val="none" w:sz="0" w:space="0" w:color="auto"/>
            <w:bottom w:val="none" w:sz="0" w:space="0" w:color="auto"/>
            <w:right w:val="none" w:sz="0" w:space="0" w:color="auto"/>
          </w:divBdr>
        </w:div>
        <w:div w:id="1622416559">
          <w:marLeft w:val="0"/>
          <w:marRight w:val="0"/>
          <w:marTop w:val="0"/>
          <w:marBottom w:val="0"/>
          <w:divBdr>
            <w:top w:val="none" w:sz="0" w:space="0" w:color="auto"/>
            <w:left w:val="none" w:sz="0" w:space="0" w:color="auto"/>
            <w:bottom w:val="none" w:sz="0" w:space="0" w:color="auto"/>
            <w:right w:val="none" w:sz="0" w:space="0" w:color="auto"/>
          </w:divBdr>
        </w:div>
        <w:div w:id="2119332060">
          <w:marLeft w:val="0"/>
          <w:marRight w:val="0"/>
          <w:marTop w:val="0"/>
          <w:marBottom w:val="0"/>
          <w:divBdr>
            <w:top w:val="none" w:sz="0" w:space="0" w:color="auto"/>
            <w:left w:val="none" w:sz="0" w:space="0" w:color="auto"/>
            <w:bottom w:val="none" w:sz="0" w:space="0" w:color="auto"/>
            <w:right w:val="none" w:sz="0" w:space="0" w:color="auto"/>
          </w:divBdr>
        </w:div>
        <w:div w:id="1075274141">
          <w:marLeft w:val="0"/>
          <w:marRight w:val="0"/>
          <w:marTop w:val="0"/>
          <w:marBottom w:val="0"/>
          <w:divBdr>
            <w:top w:val="none" w:sz="0" w:space="0" w:color="auto"/>
            <w:left w:val="none" w:sz="0" w:space="0" w:color="auto"/>
            <w:bottom w:val="none" w:sz="0" w:space="0" w:color="auto"/>
            <w:right w:val="none" w:sz="0" w:space="0" w:color="auto"/>
          </w:divBdr>
        </w:div>
      </w:divsChild>
    </w:div>
    <w:div w:id="1134257646">
      <w:marLeft w:val="0"/>
      <w:marRight w:val="0"/>
      <w:marTop w:val="0"/>
      <w:marBottom w:val="0"/>
      <w:divBdr>
        <w:top w:val="none" w:sz="0" w:space="0" w:color="auto"/>
        <w:left w:val="none" w:sz="0" w:space="0" w:color="auto"/>
        <w:bottom w:val="none" w:sz="0" w:space="0" w:color="auto"/>
        <w:right w:val="none" w:sz="0" w:space="0" w:color="auto"/>
      </w:divBdr>
      <w:divsChild>
        <w:div w:id="2106534263">
          <w:marLeft w:val="0"/>
          <w:marRight w:val="0"/>
          <w:marTop w:val="0"/>
          <w:marBottom w:val="0"/>
          <w:divBdr>
            <w:top w:val="none" w:sz="0" w:space="0" w:color="auto"/>
            <w:left w:val="none" w:sz="0" w:space="0" w:color="auto"/>
            <w:bottom w:val="none" w:sz="0" w:space="0" w:color="auto"/>
            <w:right w:val="none" w:sz="0" w:space="0" w:color="auto"/>
          </w:divBdr>
          <w:divsChild>
            <w:div w:id="9348297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37844009">
      <w:marLeft w:val="0"/>
      <w:marRight w:val="0"/>
      <w:marTop w:val="0"/>
      <w:marBottom w:val="0"/>
      <w:divBdr>
        <w:top w:val="none" w:sz="0" w:space="0" w:color="auto"/>
        <w:left w:val="none" w:sz="0" w:space="0" w:color="auto"/>
        <w:bottom w:val="none" w:sz="0" w:space="0" w:color="auto"/>
        <w:right w:val="none" w:sz="0" w:space="0" w:color="auto"/>
      </w:divBdr>
      <w:divsChild>
        <w:div w:id="798840633">
          <w:marLeft w:val="0"/>
          <w:marRight w:val="0"/>
          <w:marTop w:val="60"/>
          <w:marBottom w:val="60"/>
          <w:divBdr>
            <w:top w:val="none" w:sz="0" w:space="0" w:color="auto"/>
            <w:left w:val="none" w:sz="0" w:space="0" w:color="auto"/>
            <w:bottom w:val="none" w:sz="0" w:space="0" w:color="auto"/>
            <w:right w:val="none" w:sz="0" w:space="0" w:color="auto"/>
          </w:divBdr>
        </w:div>
      </w:divsChild>
    </w:div>
    <w:div w:id="1138303225">
      <w:marLeft w:val="0"/>
      <w:marRight w:val="0"/>
      <w:marTop w:val="180"/>
      <w:marBottom w:val="180"/>
      <w:divBdr>
        <w:top w:val="none" w:sz="0" w:space="0" w:color="auto"/>
        <w:left w:val="none" w:sz="0" w:space="0" w:color="auto"/>
        <w:bottom w:val="none" w:sz="0" w:space="0" w:color="auto"/>
        <w:right w:val="none" w:sz="0" w:space="0" w:color="auto"/>
      </w:divBdr>
    </w:div>
    <w:div w:id="1139499693">
      <w:marLeft w:val="0"/>
      <w:marRight w:val="0"/>
      <w:marTop w:val="180"/>
      <w:marBottom w:val="0"/>
      <w:divBdr>
        <w:top w:val="none" w:sz="0" w:space="0" w:color="auto"/>
        <w:left w:val="none" w:sz="0" w:space="0" w:color="auto"/>
        <w:bottom w:val="none" w:sz="0" w:space="0" w:color="auto"/>
        <w:right w:val="none" w:sz="0" w:space="0" w:color="auto"/>
      </w:divBdr>
    </w:div>
    <w:div w:id="1139802557">
      <w:marLeft w:val="0"/>
      <w:marRight w:val="0"/>
      <w:marTop w:val="180"/>
      <w:marBottom w:val="180"/>
      <w:divBdr>
        <w:top w:val="none" w:sz="0" w:space="0" w:color="auto"/>
        <w:left w:val="none" w:sz="0" w:space="0" w:color="auto"/>
        <w:bottom w:val="none" w:sz="0" w:space="0" w:color="auto"/>
        <w:right w:val="none" w:sz="0" w:space="0" w:color="auto"/>
      </w:divBdr>
    </w:div>
    <w:div w:id="1144348031">
      <w:marLeft w:val="0"/>
      <w:marRight w:val="0"/>
      <w:marTop w:val="180"/>
      <w:marBottom w:val="180"/>
      <w:divBdr>
        <w:top w:val="none" w:sz="0" w:space="0" w:color="auto"/>
        <w:left w:val="none" w:sz="0" w:space="0" w:color="auto"/>
        <w:bottom w:val="none" w:sz="0" w:space="0" w:color="auto"/>
        <w:right w:val="none" w:sz="0" w:space="0" w:color="auto"/>
      </w:divBdr>
    </w:div>
    <w:div w:id="1153835013">
      <w:marLeft w:val="0"/>
      <w:marRight w:val="0"/>
      <w:marTop w:val="0"/>
      <w:marBottom w:val="0"/>
      <w:divBdr>
        <w:top w:val="none" w:sz="0" w:space="0" w:color="auto"/>
        <w:left w:val="none" w:sz="0" w:space="0" w:color="auto"/>
        <w:bottom w:val="none" w:sz="0" w:space="0" w:color="auto"/>
        <w:right w:val="none" w:sz="0" w:space="0" w:color="auto"/>
      </w:divBdr>
    </w:div>
    <w:div w:id="1154448180">
      <w:marLeft w:val="0"/>
      <w:marRight w:val="0"/>
      <w:marTop w:val="180"/>
      <w:marBottom w:val="180"/>
      <w:divBdr>
        <w:top w:val="none" w:sz="0" w:space="0" w:color="auto"/>
        <w:left w:val="none" w:sz="0" w:space="0" w:color="auto"/>
        <w:bottom w:val="none" w:sz="0" w:space="0" w:color="auto"/>
        <w:right w:val="none" w:sz="0" w:space="0" w:color="auto"/>
      </w:divBdr>
    </w:div>
    <w:div w:id="1154950310">
      <w:marLeft w:val="0"/>
      <w:marRight w:val="0"/>
      <w:marTop w:val="0"/>
      <w:marBottom w:val="0"/>
      <w:divBdr>
        <w:top w:val="none" w:sz="0" w:space="0" w:color="auto"/>
        <w:left w:val="none" w:sz="0" w:space="0" w:color="auto"/>
        <w:bottom w:val="none" w:sz="0" w:space="0" w:color="auto"/>
        <w:right w:val="none" w:sz="0" w:space="0" w:color="auto"/>
      </w:divBdr>
    </w:div>
    <w:div w:id="1155337600">
      <w:marLeft w:val="0"/>
      <w:marRight w:val="0"/>
      <w:marTop w:val="60"/>
      <w:marBottom w:val="60"/>
      <w:divBdr>
        <w:top w:val="none" w:sz="0" w:space="0" w:color="auto"/>
        <w:left w:val="none" w:sz="0" w:space="0" w:color="auto"/>
        <w:bottom w:val="none" w:sz="0" w:space="0" w:color="auto"/>
        <w:right w:val="none" w:sz="0" w:space="0" w:color="auto"/>
      </w:divBdr>
    </w:div>
    <w:div w:id="1156148145">
      <w:marLeft w:val="0"/>
      <w:marRight w:val="0"/>
      <w:marTop w:val="0"/>
      <w:marBottom w:val="0"/>
      <w:divBdr>
        <w:top w:val="none" w:sz="0" w:space="0" w:color="auto"/>
        <w:left w:val="none" w:sz="0" w:space="0" w:color="auto"/>
        <w:bottom w:val="none" w:sz="0" w:space="0" w:color="auto"/>
        <w:right w:val="none" w:sz="0" w:space="0" w:color="auto"/>
      </w:divBdr>
      <w:divsChild>
        <w:div w:id="1106727440">
          <w:marLeft w:val="0"/>
          <w:marRight w:val="0"/>
          <w:marTop w:val="0"/>
          <w:marBottom w:val="0"/>
          <w:divBdr>
            <w:top w:val="none" w:sz="0" w:space="0" w:color="auto"/>
            <w:left w:val="none" w:sz="0" w:space="0" w:color="auto"/>
            <w:bottom w:val="none" w:sz="0" w:space="0" w:color="auto"/>
            <w:right w:val="none" w:sz="0" w:space="0" w:color="auto"/>
          </w:divBdr>
          <w:divsChild>
            <w:div w:id="791840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8231752">
      <w:marLeft w:val="0"/>
      <w:marRight w:val="0"/>
      <w:marTop w:val="180"/>
      <w:marBottom w:val="180"/>
      <w:divBdr>
        <w:top w:val="none" w:sz="0" w:space="0" w:color="auto"/>
        <w:left w:val="none" w:sz="0" w:space="0" w:color="auto"/>
        <w:bottom w:val="none" w:sz="0" w:space="0" w:color="auto"/>
        <w:right w:val="none" w:sz="0" w:space="0" w:color="auto"/>
      </w:divBdr>
    </w:div>
    <w:div w:id="1158613448">
      <w:marLeft w:val="0"/>
      <w:marRight w:val="0"/>
      <w:marTop w:val="180"/>
      <w:marBottom w:val="180"/>
      <w:divBdr>
        <w:top w:val="none" w:sz="0" w:space="0" w:color="auto"/>
        <w:left w:val="none" w:sz="0" w:space="0" w:color="auto"/>
        <w:bottom w:val="none" w:sz="0" w:space="0" w:color="auto"/>
        <w:right w:val="none" w:sz="0" w:space="0" w:color="auto"/>
      </w:divBdr>
    </w:div>
    <w:div w:id="1162160660">
      <w:marLeft w:val="0"/>
      <w:marRight w:val="0"/>
      <w:marTop w:val="0"/>
      <w:marBottom w:val="0"/>
      <w:divBdr>
        <w:top w:val="none" w:sz="0" w:space="0" w:color="auto"/>
        <w:left w:val="none" w:sz="0" w:space="0" w:color="auto"/>
        <w:bottom w:val="none" w:sz="0" w:space="0" w:color="auto"/>
        <w:right w:val="none" w:sz="0" w:space="0" w:color="auto"/>
      </w:divBdr>
      <w:divsChild>
        <w:div w:id="25253355">
          <w:marLeft w:val="0"/>
          <w:marRight w:val="0"/>
          <w:marTop w:val="0"/>
          <w:marBottom w:val="0"/>
          <w:divBdr>
            <w:top w:val="none" w:sz="0" w:space="0" w:color="auto"/>
            <w:left w:val="none" w:sz="0" w:space="0" w:color="auto"/>
            <w:bottom w:val="none" w:sz="0" w:space="0" w:color="auto"/>
            <w:right w:val="none" w:sz="0" w:space="0" w:color="auto"/>
          </w:divBdr>
          <w:divsChild>
            <w:div w:id="15386628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3550509">
      <w:marLeft w:val="0"/>
      <w:marRight w:val="0"/>
      <w:marTop w:val="0"/>
      <w:marBottom w:val="0"/>
      <w:divBdr>
        <w:top w:val="none" w:sz="0" w:space="0" w:color="auto"/>
        <w:left w:val="none" w:sz="0" w:space="0" w:color="auto"/>
        <w:bottom w:val="none" w:sz="0" w:space="0" w:color="auto"/>
        <w:right w:val="none" w:sz="0" w:space="0" w:color="auto"/>
      </w:divBdr>
    </w:div>
    <w:div w:id="1164392701">
      <w:marLeft w:val="0"/>
      <w:marRight w:val="0"/>
      <w:marTop w:val="60"/>
      <w:marBottom w:val="60"/>
      <w:divBdr>
        <w:top w:val="none" w:sz="0" w:space="0" w:color="auto"/>
        <w:left w:val="none" w:sz="0" w:space="0" w:color="auto"/>
        <w:bottom w:val="none" w:sz="0" w:space="0" w:color="auto"/>
        <w:right w:val="none" w:sz="0" w:space="0" w:color="auto"/>
      </w:divBdr>
    </w:div>
    <w:div w:id="1165125291">
      <w:marLeft w:val="0"/>
      <w:marRight w:val="0"/>
      <w:marTop w:val="180"/>
      <w:marBottom w:val="180"/>
      <w:divBdr>
        <w:top w:val="none" w:sz="0" w:space="0" w:color="auto"/>
        <w:left w:val="none" w:sz="0" w:space="0" w:color="auto"/>
        <w:bottom w:val="none" w:sz="0" w:space="0" w:color="auto"/>
        <w:right w:val="none" w:sz="0" w:space="0" w:color="auto"/>
      </w:divBdr>
    </w:div>
    <w:div w:id="1165320494">
      <w:marLeft w:val="0"/>
      <w:marRight w:val="0"/>
      <w:marTop w:val="0"/>
      <w:marBottom w:val="0"/>
      <w:divBdr>
        <w:top w:val="none" w:sz="0" w:space="0" w:color="auto"/>
        <w:left w:val="none" w:sz="0" w:space="0" w:color="auto"/>
        <w:bottom w:val="none" w:sz="0" w:space="0" w:color="auto"/>
        <w:right w:val="none" w:sz="0" w:space="0" w:color="auto"/>
      </w:divBdr>
      <w:divsChild>
        <w:div w:id="351423005">
          <w:marLeft w:val="0"/>
          <w:marRight w:val="0"/>
          <w:marTop w:val="0"/>
          <w:marBottom w:val="0"/>
          <w:divBdr>
            <w:top w:val="none" w:sz="0" w:space="0" w:color="auto"/>
            <w:left w:val="none" w:sz="0" w:space="0" w:color="auto"/>
            <w:bottom w:val="none" w:sz="0" w:space="0" w:color="auto"/>
            <w:right w:val="none" w:sz="0" w:space="0" w:color="auto"/>
          </w:divBdr>
          <w:divsChild>
            <w:div w:id="8888079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5633561">
      <w:marLeft w:val="0"/>
      <w:marRight w:val="0"/>
      <w:marTop w:val="60"/>
      <w:marBottom w:val="60"/>
      <w:divBdr>
        <w:top w:val="none" w:sz="0" w:space="0" w:color="auto"/>
        <w:left w:val="none" w:sz="0" w:space="0" w:color="auto"/>
        <w:bottom w:val="none" w:sz="0" w:space="0" w:color="auto"/>
        <w:right w:val="none" w:sz="0" w:space="0" w:color="auto"/>
      </w:divBdr>
    </w:div>
    <w:div w:id="1167668092">
      <w:marLeft w:val="0"/>
      <w:marRight w:val="0"/>
      <w:marTop w:val="180"/>
      <w:marBottom w:val="180"/>
      <w:divBdr>
        <w:top w:val="none" w:sz="0" w:space="0" w:color="auto"/>
        <w:left w:val="none" w:sz="0" w:space="0" w:color="auto"/>
        <w:bottom w:val="none" w:sz="0" w:space="0" w:color="auto"/>
        <w:right w:val="none" w:sz="0" w:space="0" w:color="auto"/>
      </w:divBdr>
    </w:div>
    <w:div w:id="1169557752">
      <w:marLeft w:val="0"/>
      <w:marRight w:val="0"/>
      <w:marTop w:val="60"/>
      <w:marBottom w:val="60"/>
      <w:divBdr>
        <w:top w:val="none" w:sz="0" w:space="0" w:color="auto"/>
        <w:left w:val="none" w:sz="0" w:space="0" w:color="auto"/>
        <w:bottom w:val="none" w:sz="0" w:space="0" w:color="auto"/>
        <w:right w:val="none" w:sz="0" w:space="0" w:color="auto"/>
      </w:divBdr>
    </w:div>
    <w:div w:id="1173764686">
      <w:marLeft w:val="0"/>
      <w:marRight w:val="0"/>
      <w:marTop w:val="180"/>
      <w:marBottom w:val="60"/>
      <w:divBdr>
        <w:top w:val="none" w:sz="0" w:space="0" w:color="auto"/>
        <w:left w:val="none" w:sz="0" w:space="0" w:color="auto"/>
        <w:bottom w:val="none" w:sz="0" w:space="0" w:color="auto"/>
        <w:right w:val="none" w:sz="0" w:space="0" w:color="auto"/>
      </w:divBdr>
    </w:div>
    <w:div w:id="1174340450">
      <w:marLeft w:val="0"/>
      <w:marRight w:val="0"/>
      <w:marTop w:val="100"/>
      <w:marBottom w:val="0"/>
      <w:divBdr>
        <w:top w:val="none" w:sz="0" w:space="0" w:color="auto"/>
        <w:left w:val="none" w:sz="0" w:space="0" w:color="auto"/>
        <w:bottom w:val="none" w:sz="0" w:space="0" w:color="auto"/>
        <w:right w:val="none" w:sz="0" w:space="0" w:color="auto"/>
      </w:divBdr>
      <w:divsChild>
        <w:div w:id="1343706911">
          <w:marLeft w:val="0"/>
          <w:marRight w:val="0"/>
          <w:marTop w:val="0"/>
          <w:marBottom w:val="0"/>
          <w:divBdr>
            <w:top w:val="none" w:sz="0" w:space="0" w:color="auto"/>
            <w:left w:val="none" w:sz="0" w:space="0" w:color="auto"/>
            <w:bottom w:val="none" w:sz="0" w:space="0" w:color="auto"/>
            <w:right w:val="none" w:sz="0" w:space="0" w:color="auto"/>
          </w:divBdr>
        </w:div>
        <w:div w:id="1817986921">
          <w:marLeft w:val="0"/>
          <w:marRight w:val="0"/>
          <w:marTop w:val="0"/>
          <w:marBottom w:val="0"/>
          <w:divBdr>
            <w:top w:val="none" w:sz="0" w:space="0" w:color="auto"/>
            <w:left w:val="none" w:sz="0" w:space="0" w:color="auto"/>
            <w:bottom w:val="none" w:sz="0" w:space="0" w:color="auto"/>
            <w:right w:val="none" w:sz="0" w:space="0" w:color="auto"/>
          </w:divBdr>
        </w:div>
      </w:divsChild>
    </w:div>
    <w:div w:id="1183590000">
      <w:marLeft w:val="0"/>
      <w:marRight w:val="0"/>
      <w:marTop w:val="60"/>
      <w:marBottom w:val="60"/>
      <w:divBdr>
        <w:top w:val="none" w:sz="0" w:space="0" w:color="auto"/>
        <w:left w:val="none" w:sz="0" w:space="0" w:color="auto"/>
        <w:bottom w:val="none" w:sz="0" w:space="0" w:color="auto"/>
        <w:right w:val="none" w:sz="0" w:space="0" w:color="auto"/>
      </w:divBdr>
    </w:div>
    <w:div w:id="1185166268">
      <w:marLeft w:val="0"/>
      <w:marRight w:val="0"/>
      <w:marTop w:val="180"/>
      <w:marBottom w:val="180"/>
      <w:divBdr>
        <w:top w:val="none" w:sz="0" w:space="0" w:color="auto"/>
        <w:left w:val="none" w:sz="0" w:space="0" w:color="auto"/>
        <w:bottom w:val="none" w:sz="0" w:space="0" w:color="auto"/>
        <w:right w:val="none" w:sz="0" w:space="0" w:color="auto"/>
      </w:divBdr>
    </w:div>
    <w:div w:id="1185900756">
      <w:marLeft w:val="0"/>
      <w:marRight w:val="0"/>
      <w:marTop w:val="0"/>
      <w:marBottom w:val="0"/>
      <w:divBdr>
        <w:top w:val="none" w:sz="0" w:space="0" w:color="auto"/>
        <w:left w:val="none" w:sz="0" w:space="0" w:color="auto"/>
        <w:bottom w:val="none" w:sz="0" w:space="0" w:color="auto"/>
        <w:right w:val="none" w:sz="0" w:space="0" w:color="auto"/>
      </w:divBdr>
    </w:div>
    <w:div w:id="1186212776">
      <w:marLeft w:val="0"/>
      <w:marRight w:val="0"/>
      <w:marTop w:val="100"/>
      <w:marBottom w:val="0"/>
      <w:divBdr>
        <w:top w:val="none" w:sz="0" w:space="0" w:color="auto"/>
        <w:left w:val="none" w:sz="0" w:space="0" w:color="auto"/>
        <w:bottom w:val="none" w:sz="0" w:space="0" w:color="auto"/>
        <w:right w:val="none" w:sz="0" w:space="0" w:color="auto"/>
      </w:divBdr>
      <w:divsChild>
        <w:div w:id="1053043359">
          <w:marLeft w:val="0"/>
          <w:marRight w:val="0"/>
          <w:marTop w:val="0"/>
          <w:marBottom w:val="0"/>
          <w:divBdr>
            <w:top w:val="none" w:sz="0" w:space="0" w:color="auto"/>
            <w:left w:val="none" w:sz="0" w:space="0" w:color="auto"/>
            <w:bottom w:val="none" w:sz="0" w:space="0" w:color="auto"/>
            <w:right w:val="none" w:sz="0" w:space="0" w:color="auto"/>
          </w:divBdr>
        </w:div>
        <w:div w:id="906568918">
          <w:marLeft w:val="0"/>
          <w:marRight w:val="0"/>
          <w:marTop w:val="0"/>
          <w:marBottom w:val="0"/>
          <w:divBdr>
            <w:top w:val="none" w:sz="0" w:space="0" w:color="auto"/>
            <w:left w:val="none" w:sz="0" w:space="0" w:color="auto"/>
            <w:bottom w:val="none" w:sz="0" w:space="0" w:color="auto"/>
            <w:right w:val="none" w:sz="0" w:space="0" w:color="auto"/>
          </w:divBdr>
        </w:div>
        <w:div w:id="1086422206">
          <w:marLeft w:val="0"/>
          <w:marRight w:val="0"/>
          <w:marTop w:val="0"/>
          <w:marBottom w:val="0"/>
          <w:divBdr>
            <w:top w:val="none" w:sz="0" w:space="0" w:color="auto"/>
            <w:left w:val="none" w:sz="0" w:space="0" w:color="auto"/>
            <w:bottom w:val="none" w:sz="0" w:space="0" w:color="auto"/>
            <w:right w:val="none" w:sz="0" w:space="0" w:color="auto"/>
          </w:divBdr>
        </w:div>
      </w:divsChild>
    </w:div>
    <w:div w:id="1187207386">
      <w:marLeft w:val="0"/>
      <w:marRight w:val="0"/>
      <w:marTop w:val="100"/>
      <w:marBottom w:val="20"/>
      <w:divBdr>
        <w:top w:val="none" w:sz="0" w:space="0" w:color="auto"/>
        <w:left w:val="none" w:sz="0" w:space="0" w:color="auto"/>
        <w:bottom w:val="none" w:sz="0" w:space="0" w:color="auto"/>
        <w:right w:val="none" w:sz="0" w:space="0" w:color="auto"/>
      </w:divBdr>
    </w:div>
    <w:div w:id="1189828840">
      <w:marLeft w:val="0"/>
      <w:marRight w:val="0"/>
      <w:marTop w:val="180"/>
      <w:marBottom w:val="0"/>
      <w:divBdr>
        <w:top w:val="none" w:sz="0" w:space="0" w:color="auto"/>
        <w:left w:val="none" w:sz="0" w:space="0" w:color="auto"/>
        <w:bottom w:val="none" w:sz="0" w:space="0" w:color="auto"/>
        <w:right w:val="none" w:sz="0" w:space="0" w:color="auto"/>
      </w:divBdr>
      <w:divsChild>
        <w:div w:id="608970502">
          <w:marLeft w:val="0"/>
          <w:marRight w:val="0"/>
          <w:marTop w:val="0"/>
          <w:marBottom w:val="0"/>
          <w:divBdr>
            <w:top w:val="none" w:sz="0" w:space="0" w:color="auto"/>
            <w:left w:val="none" w:sz="0" w:space="0" w:color="auto"/>
            <w:bottom w:val="none" w:sz="0" w:space="0" w:color="auto"/>
            <w:right w:val="none" w:sz="0" w:space="0" w:color="auto"/>
          </w:divBdr>
        </w:div>
      </w:divsChild>
    </w:div>
    <w:div w:id="1190266932">
      <w:marLeft w:val="0"/>
      <w:marRight w:val="0"/>
      <w:marTop w:val="180"/>
      <w:marBottom w:val="180"/>
      <w:divBdr>
        <w:top w:val="none" w:sz="0" w:space="0" w:color="auto"/>
        <w:left w:val="none" w:sz="0" w:space="0" w:color="auto"/>
        <w:bottom w:val="none" w:sz="0" w:space="0" w:color="auto"/>
        <w:right w:val="none" w:sz="0" w:space="0" w:color="auto"/>
      </w:divBdr>
    </w:div>
    <w:div w:id="1191183830">
      <w:marLeft w:val="0"/>
      <w:marRight w:val="0"/>
      <w:marTop w:val="180"/>
      <w:marBottom w:val="60"/>
      <w:divBdr>
        <w:top w:val="none" w:sz="0" w:space="0" w:color="auto"/>
        <w:left w:val="none" w:sz="0" w:space="0" w:color="auto"/>
        <w:bottom w:val="none" w:sz="0" w:space="0" w:color="auto"/>
        <w:right w:val="none" w:sz="0" w:space="0" w:color="auto"/>
      </w:divBdr>
      <w:divsChild>
        <w:div w:id="1164513263">
          <w:marLeft w:val="0"/>
          <w:marRight w:val="0"/>
          <w:marTop w:val="0"/>
          <w:marBottom w:val="0"/>
          <w:divBdr>
            <w:top w:val="none" w:sz="0" w:space="0" w:color="auto"/>
            <w:left w:val="none" w:sz="0" w:space="0" w:color="auto"/>
            <w:bottom w:val="none" w:sz="0" w:space="0" w:color="auto"/>
            <w:right w:val="none" w:sz="0" w:space="0" w:color="auto"/>
          </w:divBdr>
        </w:div>
      </w:divsChild>
    </w:div>
    <w:div w:id="1192062584">
      <w:marLeft w:val="0"/>
      <w:marRight w:val="0"/>
      <w:marTop w:val="60"/>
      <w:marBottom w:val="60"/>
      <w:divBdr>
        <w:top w:val="none" w:sz="0" w:space="0" w:color="auto"/>
        <w:left w:val="none" w:sz="0" w:space="0" w:color="auto"/>
        <w:bottom w:val="none" w:sz="0" w:space="0" w:color="auto"/>
        <w:right w:val="none" w:sz="0" w:space="0" w:color="auto"/>
      </w:divBdr>
    </w:div>
    <w:div w:id="1192064326">
      <w:marLeft w:val="0"/>
      <w:marRight w:val="0"/>
      <w:marTop w:val="60"/>
      <w:marBottom w:val="60"/>
      <w:divBdr>
        <w:top w:val="none" w:sz="0" w:space="0" w:color="auto"/>
        <w:left w:val="none" w:sz="0" w:space="0" w:color="auto"/>
        <w:bottom w:val="none" w:sz="0" w:space="0" w:color="auto"/>
        <w:right w:val="none" w:sz="0" w:space="0" w:color="auto"/>
      </w:divBdr>
    </w:div>
    <w:div w:id="1196311326">
      <w:marLeft w:val="0"/>
      <w:marRight w:val="0"/>
      <w:marTop w:val="180"/>
      <w:marBottom w:val="180"/>
      <w:divBdr>
        <w:top w:val="none" w:sz="0" w:space="0" w:color="auto"/>
        <w:left w:val="none" w:sz="0" w:space="0" w:color="auto"/>
        <w:bottom w:val="none" w:sz="0" w:space="0" w:color="auto"/>
        <w:right w:val="none" w:sz="0" w:space="0" w:color="auto"/>
      </w:divBdr>
    </w:div>
    <w:div w:id="1198160334">
      <w:marLeft w:val="0"/>
      <w:marRight w:val="0"/>
      <w:marTop w:val="180"/>
      <w:marBottom w:val="180"/>
      <w:divBdr>
        <w:top w:val="none" w:sz="0" w:space="0" w:color="auto"/>
        <w:left w:val="none" w:sz="0" w:space="0" w:color="auto"/>
        <w:bottom w:val="none" w:sz="0" w:space="0" w:color="auto"/>
        <w:right w:val="none" w:sz="0" w:space="0" w:color="auto"/>
      </w:divBdr>
    </w:div>
    <w:div w:id="1198353244">
      <w:marLeft w:val="0"/>
      <w:marRight w:val="0"/>
      <w:marTop w:val="60"/>
      <w:marBottom w:val="60"/>
      <w:divBdr>
        <w:top w:val="none" w:sz="0" w:space="0" w:color="auto"/>
        <w:left w:val="none" w:sz="0" w:space="0" w:color="auto"/>
        <w:bottom w:val="none" w:sz="0" w:space="0" w:color="auto"/>
        <w:right w:val="none" w:sz="0" w:space="0" w:color="auto"/>
      </w:divBdr>
    </w:div>
    <w:div w:id="1199928267">
      <w:marLeft w:val="0"/>
      <w:marRight w:val="0"/>
      <w:marTop w:val="60"/>
      <w:marBottom w:val="60"/>
      <w:divBdr>
        <w:top w:val="none" w:sz="0" w:space="0" w:color="auto"/>
        <w:left w:val="none" w:sz="0" w:space="0" w:color="auto"/>
        <w:bottom w:val="none" w:sz="0" w:space="0" w:color="auto"/>
        <w:right w:val="none" w:sz="0" w:space="0" w:color="auto"/>
      </w:divBdr>
    </w:div>
    <w:div w:id="1202936362">
      <w:marLeft w:val="0"/>
      <w:marRight w:val="0"/>
      <w:marTop w:val="180"/>
      <w:marBottom w:val="60"/>
      <w:divBdr>
        <w:top w:val="none" w:sz="0" w:space="0" w:color="auto"/>
        <w:left w:val="none" w:sz="0" w:space="0" w:color="auto"/>
        <w:bottom w:val="none" w:sz="0" w:space="0" w:color="auto"/>
        <w:right w:val="none" w:sz="0" w:space="0" w:color="auto"/>
      </w:divBdr>
    </w:div>
    <w:div w:id="1207520804">
      <w:marLeft w:val="0"/>
      <w:marRight w:val="0"/>
      <w:marTop w:val="60"/>
      <w:marBottom w:val="60"/>
      <w:divBdr>
        <w:top w:val="none" w:sz="0" w:space="0" w:color="auto"/>
        <w:left w:val="none" w:sz="0" w:space="0" w:color="auto"/>
        <w:bottom w:val="none" w:sz="0" w:space="0" w:color="auto"/>
        <w:right w:val="none" w:sz="0" w:space="0" w:color="auto"/>
      </w:divBdr>
    </w:div>
    <w:div w:id="1208026639">
      <w:marLeft w:val="0"/>
      <w:marRight w:val="0"/>
      <w:marTop w:val="180"/>
      <w:marBottom w:val="180"/>
      <w:divBdr>
        <w:top w:val="none" w:sz="0" w:space="0" w:color="auto"/>
        <w:left w:val="none" w:sz="0" w:space="0" w:color="auto"/>
        <w:bottom w:val="none" w:sz="0" w:space="0" w:color="auto"/>
        <w:right w:val="none" w:sz="0" w:space="0" w:color="auto"/>
      </w:divBdr>
    </w:div>
    <w:div w:id="1208763139">
      <w:marLeft w:val="0"/>
      <w:marRight w:val="0"/>
      <w:marTop w:val="0"/>
      <w:marBottom w:val="0"/>
      <w:divBdr>
        <w:top w:val="none" w:sz="0" w:space="0" w:color="auto"/>
        <w:left w:val="none" w:sz="0" w:space="0" w:color="auto"/>
        <w:bottom w:val="none" w:sz="0" w:space="0" w:color="auto"/>
        <w:right w:val="none" w:sz="0" w:space="0" w:color="auto"/>
      </w:divBdr>
    </w:div>
    <w:div w:id="1213343521">
      <w:marLeft w:val="0"/>
      <w:marRight w:val="0"/>
      <w:marTop w:val="180"/>
      <w:marBottom w:val="180"/>
      <w:divBdr>
        <w:top w:val="none" w:sz="0" w:space="0" w:color="auto"/>
        <w:left w:val="none" w:sz="0" w:space="0" w:color="auto"/>
        <w:bottom w:val="none" w:sz="0" w:space="0" w:color="auto"/>
        <w:right w:val="none" w:sz="0" w:space="0" w:color="auto"/>
      </w:divBdr>
    </w:div>
    <w:div w:id="1213691248">
      <w:marLeft w:val="0"/>
      <w:marRight w:val="0"/>
      <w:marTop w:val="180"/>
      <w:marBottom w:val="60"/>
      <w:divBdr>
        <w:top w:val="none" w:sz="0" w:space="0" w:color="auto"/>
        <w:left w:val="none" w:sz="0" w:space="0" w:color="auto"/>
        <w:bottom w:val="none" w:sz="0" w:space="0" w:color="auto"/>
        <w:right w:val="none" w:sz="0" w:space="0" w:color="auto"/>
      </w:divBdr>
    </w:div>
    <w:div w:id="1215002088">
      <w:marLeft w:val="0"/>
      <w:marRight w:val="0"/>
      <w:marTop w:val="180"/>
      <w:marBottom w:val="60"/>
      <w:divBdr>
        <w:top w:val="none" w:sz="0" w:space="0" w:color="auto"/>
        <w:left w:val="none" w:sz="0" w:space="0" w:color="auto"/>
        <w:bottom w:val="none" w:sz="0" w:space="0" w:color="auto"/>
        <w:right w:val="none" w:sz="0" w:space="0" w:color="auto"/>
      </w:divBdr>
    </w:div>
    <w:div w:id="1219246553">
      <w:marLeft w:val="0"/>
      <w:marRight w:val="0"/>
      <w:marTop w:val="180"/>
      <w:marBottom w:val="180"/>
      <w:divBdr>
        <w:top w:val="none" w:sz="0" w:space="0" w:color="auto"/>
        <w:left w:val="none" w:sz="0" w:space="0" w:color="auto"/>
        <w:bottom w:val="none" w:sz="0" w:space="0" w:color="auto"/>
        <w:right w:val="none" w:sz="0" w:space="0" w:color="auto"/>
      </w:divBdr>
    </w:div>
    <w:div w:id="1221093715">
      <w:marLeft w:val="0"/>
      <w:marRight w:val="0"/>
      <w:marTop w:val="180"/>
      <w:marBottom w:val="60"/>
      <w:divBdr>
        <w:top w:val="none" w:sz="0" w:space="0" w:color="auto"/>
        <w:left w:val="none" w:sz="0" w:space="0" w:color="auto"/>
        <w:bottom w:val="none" w:sz="0" w:space="0" w:color="auto"/>
        <w:right w:val="none" w:sz="0" w:space="0" w:color="auto"/>
      </w:divBdr>
    </w:div>
    <w:div w:id="1223905539">
      <w:marLeft w:val="0"/>
      <w:marRight w:val="0"/>
      <w:marTop w:val="180"/>
      <w:marBottom w:val="180"/>
      <w:divBdr>
        <w:top w:val="none" w:sz="0" w:space="0" w:color="auto"/>
        <w:left w:val="none" w:sz="0" w:space="0" w:color="auto"/>
        <w:bottom w:val="none" w:sz="0" w:space="0" w:color="auto"/>
        <w:right w:val="none" w:sz="0" w:space="0" w:color="auto"/>
      </w:divBdr>
    </w:div>
    <w:div w:id="1224564896">
      <w:marLeft w:val="0"/>
      <w:marRight w:val="0"/>
      <w:marTop w:val="0"/>
      <w:marBottom w:val="0"/>
      <w:divBdr>
        <w:top w:val="none" w:sz="0" w:space="0" w:color="auto"/>
        <w:left w:val="none" w:sz="0" w:space="0" w:color="auto"/>
        <w:bottom w:val="none" w:sz="0" w:space="0" w:color="auto"/>
        <w:right w:val="none" w:sz="0" w:space="0" w:color="auto"/>
      </w:divBdr>
      <w:divsChild>
        <w:div w:id="456460727">
          <w:marLeft w:val="0"/>
          <w:marRight w:val="0"/>
          <w:marTop w:val="0"/>
          <w:marBottom w:val="0"/>
          <w:divBdr>
            <w:top w:val="none" w:sz="0" w:space="0" w:color="auto"/>
            <w:left w:val="none" w:sz="0" w:space="0" w:color="auto"/>
            <w:bottom w:val="none" w:sz="0" w:space="0" w:color="auto"/>
            <w:right w:val="none" w:sz="0" w:space="0" w:color="auto"/>
          </w:divBdr>
          <w:divsChild>
            <w:div w:id="12937047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0191676">
      <w:marLeft w:val="0"/>
      <w:marRight w:val="0"/>
      <w:marTop w:val="60"/>
      <w:marBottom w:val="60"/>
      <w:divBdr>
        <w:top w:val="none" w:sz="0" w:space="0" w:color="auto"/>
        <w:left w:val="none" w:sz="0" w:space="0" w:color="auto"/>
        <w:bottom w:val="none" w:sz="0" w:space="0" w:color="auto"/>
        <w:right w:val="none" w:sz="0" w:space="0" w:color="auto"/>
      </w:divBdr>
    </w:div>
    <w:div w:id="1232235733">
      <w:marLeft w:val="0"/>
      <w:marRight w:val="0"/>
      <w:marTop w:val="0"/>
      <w:marBottom w:val="0"/>
      <w:divBdr>
        <w:top w:val="none" w:sz="0" w:space="0" w:color="auto"/>
        <w:left w:val="none" w:sz="0" w:space="0" w:color="auto"/>
        <w:bottom w:val="none" w:sz="0" w:space="0" w:color="auto"/>
        <w:right w:val="none" w:sz="0" w:space="0" w:color="auto"/>
      </w:divBdr>
      <w:divsChild>
        <w:div w:id="444497167">
          <w:marLeft w:val="0"/>
          <w:marRight w:val="0"/>
          <w:marTop w:val="0"/>
          <w:marBottom w:val="0"/>
          <w:divBdr>
            <w:top w:val="none" w:sz="0" w:space="0" w:color="auto"/>
            <w:left w:val="none" w:sz="0" w:space="0" w:color="auto"/>
            <w:bottom w:val="none" w:sz="0" w:space="0" w:color="auto"/>
            <w:right w:val="none" w:sz="0" w:space="0" w:color="auto"/>
          </w:divBdr>
          <w:divsChild>
            <w:div w:id="19089575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2430200">
      <w:marLeft w:val="0"/>
      <w:marRight w:val="0"/>
      <w:marTop w:val="0"/>
      <w:marBottom w:val="0"/>
      <w:divBdr>
        <w:top w:val="none" w:sz="0" w:space="0" w:color="auto"/>
        <w:left w:val="none" w:sz="0" w:space="0" w:color="auto"/>
        <w:bottom w:val="none" w:sz="0" w:space="0" w:color="auto"/>
        <w:right w:val="none" w:sz="0" w:space="0" w:color="auto"/>
      </w:divBdr>
      <w:divsChild>
        <w:div w:id="1553033839">
          <w:marLeft w:val="0"/>
          <w:marRight w:val="0"/>
          <w:marTop w:val="60"/>
          <w:marBottom w:val="60"/>
          <w:divBdr>
            <w:top w:val="none" w:sz="0" w:space="0" w:color="auto"/>
            <w:left w:val="none" w:sz="0" w:space="0" w:color="auto"/>
            <w:bottom w:val="none" w:sz="0" w:space="0" w:color="auto"/>
            <w:right w:val="none" w:sz="0" w:space="0" w:color="auto"/>
          </w:divBdr>
        </w:div>
      </w:divsChild>
    </w:div>
    <w:div w:id="1234201709">
      <w:marLeft w:val="0"/>
      <w:marRight w:val="0"/>
      <w:marTop w:val="60"/>
      <w:marBottom w:val="60"/>
      <w:divBdr>
        <w:top w:val="none" w:sz="0" w:space="0" w:color="auto"/>
        <w:left w:val="none" w:sz="0" w:space="0" w:color="auto"/>
        <w:bottom w:val="none" w:sz="0" w:space="0" w:color="auto"/>
        <w:right w:val="none" w:sz="0" w:space="0" w:color="auto"/>
      </w:divBdr>
    </w:div>
    <w:div w:id="1234856176">
      <w:marLeft w:val="0"/>
      <w:marRight w:val="0"/>
      <w:marTop w:val="180"/>
      <w:marBottom w:val="180"/>
      <w:divBdr>
        <w:top w:val="none" w:sz="0" w:space="0" w:color="auto"/>
        <w:left w:val="none" w:sz="0" w:space="0" w:color="auto"/>
        <w:bottom w:val="none" w:sz="0" w:space="0" w:color="auto"/>
        <w:right w:val="none" w:sz="0" w:space="0" w:color="auto"/>
      </w:divBdr>
    </w:div>
    <w:div w:id="1236550293">
      <w:marLeft w:val="0"/>
      <w:marRight w:val="0"/>
      <w:marTop w:val="60"/>
      <w:marBottom w:val="60"/>
      <w:divBdr>
        <w:top w:val="none" w:sz="0" w:space="0" w:color="auto"/>
        <w:left w:val="none" w:sz="0" w:space="0" w:color="auto"/>
        <w:bottom w:val="none" w:sz="0" w:space="0" w:color="auto"/>
        <w:right w:val="none" w:sz="0" w:space="0" w:color="auto"/>
      </w:divBdr>
    </w:div>
    <w:div w:id="1237007479">
      <w:marLeft w:val="0"/>
      <w:marRight w:val="0"/>
      <w:marTop w:val="100"/>
      <w:marBottom w:val="0"/>
      <w:divBdr>
        <w:top w:val="none" w:sz="0" w:space="0" w:color="auto"/>
        <w:left w:val="none" w:sz="0" w:space="0" w:color="auto"/>
        <w:bottom w:val="none" w:sz="0" w:space="0" w:color="auto"/>
        <w:right w:val="none" w:sz="0" w:space="0" w:color="auto"/>
      </w:divBdr>
      <w:divsChild>
        <w:div w:id="130172332">
          <w:marLeft w:val="0"/>
          <w:marRight w:val="0"/>
          <w:marTop w:val="0"/>
          <w:marBottom w:val="0"/>
          <w:divBdr>
            <w:top w:val="none" w:sz="0" w:space="0" w:color="auto"/>
            <w:left w:val="none" w:sz="0" w:space="0" w:color="auto"/>
            <w:bottom w:val="none" w:sz="0" w:space="0" w:color="auto"/>
            <w:right w:val="none" w:sz="0" w:space="0" w:color="auto"/>
          </w:divBdr>
        </w:div>
        <w:div w:id="101191572">
          <w:marLeft w:val="0"/>
          <w:marRight w:val="0"/>
          <w:marTop w:val="0"/>
          <w:marBottom w:val="0"/>
          <w:divBdr>
            <w:top w:val="none" w:sz="0" w:space="0" w:color="auto"/>
            <w:left w:val="none" w:sz="0" w:space="0" w:color="auto"/>
            <w:bottom w:val="none" w:sz="0" w:space="0" w:color="auto"/>
            <w:right w:val="none" w:sz="0" w:space="0" w:color="auto"/>
          </w:divBdr>
        </w:div>
      </w:divsChild>
    </w:div>
    <w:div w:id="1239250318">
      <w:marLeft w:val="0"/>
      <w:marRight w:val="0"/>
      <w:marTop w:val="0"/>
      <w:marBottom w:val="0"/>
      <w:divBdr>
        <w:top w:val="none" w:sz="0" w:space="0" w:color="auto"/>
        <w:left w:val="none" w:sz="0" w:space="0" w:color="auto"/>
        <w:bottom w:val="none" w:sz="0" w:space="0" w:color="auto"/>
        <w:right w:val="none" w:sz="0" w:space="0" w:color="auto"/>
      </w:divBdr>
    </w:div>
    <w:div w:id="1239829481">
      <w:marLeft w:val="0"/>
      <w:marRight w:val="0"/>
      <w:marTop w:val="180"/>
      <w:marBottom w:val="180"/>
      <w:divBdr>
        <w:top w:val="none" w:sz="0" w:space="0" w:color="auto"/>
        <w:left w:val="none" w:sz="0" w:space="0" w:color="auto"/>
        <w:bottom w:val="none" w:sz="0" w:space="0" w:color="auto"/>
        <w:right w:val="none" w:sz="0" w:space="0" w:color="auto"/>
      </w:divBdr>
    </w:div>
    <w:div w:id="1240865537">
      <w:marLeft w:val="0"/>
      <w:marRight w:val="0"/>
      <w:marTop w:val="100"/>
      <w:marBottom w:val="100"/>
      <w:divBdr>
        <w:top w:val="none" w:sz="0" w:space="0" w:color="auto"/>
        <w:left w:val="none" w:sz="0" w:space="0" w:color="auto"/>
        <w:bottom w:val="none" w:sz="0" w:space="0" w:color="auto"/>
        <w:right w:val="none" w:sz="0" w:space="0" w:color="auto"/>
      </w:divBdr>
      <w:divsChild>
        <w:div w:id="1135368505">
          <w:marLeft w:val="0"/>
          <w:marRight w:val="0"/>
          <w:marTop w:val="0"/>
          <w:marBottom w:val="0"/>
          <w:divBdr>
            <w:top w:val="none" w:sz="0" w:space="0" w:color="auto"/>
            <w:left w:val="none" w:sz="0" w:space="0" w:color="auto"/>
            <w:bottom w:val="none" w:sz="0" w:space="0" w:color="auto"/>
            <w:right w:val="none" w:sz="0" w:space="0" w:color="auto"/>
          </w:divBdr>
        </w:div>
        <w:div w:id="71971237">
          <w:marLeft w:val="0"/>
          <w:marRight w:val="0"/>
          <w:marTop w:val="0"/>
          <w:marBottom w:val="0"/>
          <w:divBdr>
            <w:top w:val="none" w:sz="0" w:space="0" w:color="auto"/>
            <w:left w:val="none" w:sz="0" w:space="0" w:color="auto"/>
            <w:bottom w:val="none" w:sz="0" w:space="0" w:color="auto"/>
            <w:right w:val="none" w:sz="0" w:space="0" w:color="auto"/>
          </w:divBdr>
        </w:div>
        <w:div w:id="269362719">
          <w:marLeft w:val="0"/>
          <w:marRight w:val="0"/>
          <w:marTop w:val="0"/>
          <w:marBottom w:val="0"/>
          <w:divBdr>
            <w:top w:val="none" w:sz="0" w:space="0" w:color="auto"/>
            <w:left w:val="none" w:sz="0" w:space="0" w:color="auto"/>
            <w:bottom w:val="none" w:sz="0" w:space="0" w:color="auto"/>
            <w:right w:val="none" w:sz="0" w:space="0" w:color="auto"/>
          </w:divBdr>
        </w:div>
      </w:divsChild>
    </w:div>
    <w:div w:id="1243560218">
      <w:marLeft w:val="0"/>
      <w:marRight w:val="0"/>
      <w:marTop w:val="60"/>
      <w:marBottom w:val="60"/>
      <w:divBdr>
        <w:top w:val="none" w:sz="0" w:space="0" w:color="auto"/>
        <w:left w:val="none" w:sz="0" w:space="0" w:color="auto"/>
        <w:bottom w:val="none" w:sz="0" w:space="0" w:color="auto"/>
        <w:right w:val="none" w:sz="0" w:space="0" w:color="auto"/>
      </w:divBdr>
    </w:div>
    <w:div w:id="1243879068">
      <w:marLeft w:val="0"/>
      <w:marRight w:val="0"/>
      <w:marTop w:val="180"/>
      <w:marBottom w:val="180"/>
      <w:divBdr>
        <w:top w:val="none" w:sz="0" w:space="0" w:color="auto"/>
        <w:left w:val="none" w:sz="0" w:space="0" w:color="auto"/>
        <w:bottom w:val="none" w:sz="0" w:space="0" w:color="auto"/>
        <w:right w:val="none" w:sz="0" w:space="0" w:color="auto"/>
      </w:divBdr>
    </w:div>
    <w:div w:id="1244222748">
      <w:marLeft w:val="0"/>
      <w:marRight w:val="0"/>
      <w:marTop w:val="180"/>
      <w:marBottom w:val="180"/>
      <w:divBdr>
        <w:top w:val="none" w:sz="0" w:space="0" w:color="auto"/>
        <w:left w:val="none" w:sz="0" w:space="0" w:color="auto"/>
        <w:bottom w:val="none" w:sz="0" w:space="0" w:color="auto"/>
        <w:right w:val="none" w:sz="0" w:space="0" w:color="auto"/>
      </w:divBdr>
    </w:div>
    <w:div w:id="1245650750">
      <w:marLeft w:val="0"/>
      <w:marRight w:val="0"/>
      <w:marTop w:val="0"/>
      <w:marBottom w:val="0"/>
      <w:divBdr>
        <w:top w:val="none" w:sz="0" w:space="0" w:color="auto"/>
        <w:left w:val="none" w:sz="0" w:space="0" w:color="auto"/>
        <w:bottom w:val="none" w:sz="0" w:space="0" w:color="auto"/>
        <w:right w:val="none" w:sz="0" w:space="0" w:color="auto"/>
      </w:divBdr>
      <w:divsChild>
        <w:div w:id="1830243228">
          <w:marLeft w:val="0"/>
          <w:marRight w:val="0"/>
          <w:marTop w:val="0"/>
          <w:marBottom w:val="0"/>
          <w:divBdr>
            <w:top w:val="none" w:sz="0" w:space="0" w:color="auto"/>
            <w:left w:val="none" w:sz="0" w:space="0" w:color="auto"/>
            <w:bottom w:val="none" w:sz="0" w:space="0" w:color="auto"/>
            <w:right w:val="none" w:sz="0" w:space="0" w:color="auto"/>
          </w:divBdr>
          <w:divsChild>
            <w:div w:id="16918324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6257917">
      <w:marLeft w:val="0"/>
      <w:marRight w:val="0"/>
      <w:marTop w:val="60"/>
      <w:marBottom w:val="60"/>
      <w:divBdr>
        <w:top w:val="none" w:sz="0" w:space="0" w:color="auto"/>
        <w:left w:val="none" w:sz="0" w:space="0" w:color="auto"/>
        <w:bottom w:val="none" w:sz="0" w:space="0" w:color="auto"/>
        <w:right w:val="none" w:sz="0" w:space="0" w:color="auto"/>
      </w:divBdr>
    </w:div>
    <w:div w:id="1246959813">
      <w:marLeft w:val="0"/>
      <w:marRight w:val="0"/>
      <w:marTop w:val="60"/>
      <w:marBottom w:val="60"/>
      <w:divBdr>
        <w:top w:val="none" w:sz="0" w:space="0" w:color="auto"/>
        <w:left w:val="none" w:sz="0" w:space="0" w:color="auto"/>
        <w:bottom w:val="none" w:sz="0" w:space="0" w:color="auto"/>
        <w:right w:val="none" w:sz="0" w:space="0" w:color="auto"/>
      </w:divBdr>
    </w:div>
    <w:div w:id="1247419487">
      <w:marLeft w:val="0"/>
      <w:marRight w:val="0"/>
      <w:marTop w:val="180"/>
      <w:marBottom w:val="180"/>
      <w:divBdr>
        <w:top w:val="none" w:sz="0" w:space="0" w:color="auto"/>
        <w:left w:val="none" w:sz="0" w:space="0" w:color="auto"/>
        <w:bottom w:val="none" w:sz="0" w:space="0" w:color="auto"/>
        <w:right w:val="none" w:sz="0" w:space="0" w:color="auto"/>
      </w:divBdr>
    </w:div>
    <w:div w:id="1247569220">
      <w:marLeft w:val="0"/>
      <w:marRight w:val="0"/>
      <w:marTop w:val="180"/>
      <w:marBottom w:val="180"/>
      <w:divBdr>
        <w:top w:val="none" w:sz="0" w:space="0" w:color="auto"/>
        <w:left w:val="none" w:sz="0" w:space="0" w:color="auto"/>
        <w:bottom w:val="none" w:sz="0" w:space="0" w:color="auto"/>
        <w:right w:val="none" w:sz="0" w:space="0" w:color="auto"/>
      </w:divBdr>
    </w:div>
    <w:div w:id="1247835979">
      <w:marLeft w:val="0"/>
      <w:marRight w:val="0"/>
      <w:marTop w:val="60"/>
      <w:marBottom w:val="60"/>
      <w:divBdr>
        <w:top w:val="none" w:sz="0" w:space="0" w:color="auto"/>
        <w:left w:val="none" w:sz="0" w:space="0" w:color="auto"/>
        <w:bottom w:val="none" w:sz="0" w:space="0" w:color="auto"/>
        <w:right w:val="none" w:sz="0" w:space="0" w:color="auto"/>
      </w:divBdr>
    </w:div>
    <w:div w:id="1249189612">
      <w:marLeft w:val="0"/>
      <w:marRight w:val="0"/>
      <w:marTop w:val="60"/>
      <w:marBottom w:val="60"/>
      <w:divBdr>
        <w:top w:val="none" w:sz="0" w:space="0" w:color="auto"/>
        <w:left w:val="none" w:sz="0" w:space="0" w:color="auto"/>
        <w:bottom w:val="none" w:sz="0" w:space="0" w:color="auto"/>
        <w:right w:val="none" w:sz="0" w:space="0" w:color="auto"/>
      </w:divBdr>
      <w:divsChild>
        <w:div w:id="917328585">
          <w:marLeft w:val="0"/>
          <w:marRight w:val="0"/>
          <w:marTop w:val="0"/>
          <w:marBottom w:val="0"/>
          <w:divBdr>
            <w:top w:val="none" w:sz="0" w:space="0" w:color="auto"/>
            <w:left w:val="none" w:sz="0" w:space="0" w:color="auto"/>
            <w:bottom w:val="none" w:sz="0" w:space="0" w:color="auto"/>
            <w:right w:val="none" w:sz="0" w:space="0" w:color="auto"/>
          </w:divBdr>
        </w:div>
        <w:div w:id="293215668">
          <w:marLeft w:val="0"/>
          <w:marRight w:val="0"/>
          <w:marTop w:val="0"/>
          <w:marBottom w:val="0"/>
          <w:divBdr>
            <w:top w:val="none" w:sz="0" w:space="0" w:color="auto"/>
            <w:left w:val="none" w:sz="0" w:space="0" w:color="auto"/>
            <w:bottom w:val="none" w:sz="0" w:space="0" w:color="auto"/>
            <w:right w:val="none" w:sz="0" w:space="0" w:color="auto"/>
          </w:divBdr>
        </w:div>
        <w:div w:id="347294802">
          <w:marLeft w:val="0"/>
          <w:marRight w:val="0"/>
          <w:marTop w:val="0"/>
          <w:marBottom w:val="0"/>
          <w:divBdr>
            <w:top w:val="none" w:sz="0" w:space="0" w:color="auto"/>
            <w:left w:val="none" w:sz="0" w:space="0" w:color="auto"/>
            <w:bottom w:val="none" w:sz="0" w:space="0" w:color="auto"/>
            <w:right w:val="none" w:sz="0" w:space="0" w:color="auto"/>
          </w:divBdr>
        </w:div>
        <w:div w:id="229468449">
          <w:marLeft w:val="0"/>
          <w:marRight w:val="0"/>
          <w:marTop w:val="0"/>
          <w:marBottom w:val="0"/>
          <w:divBdr>
            <w:top w:val="none" w:sz="0" w:space="0" w:color="auto"/>
            <w:left w:val="none" w:sz="0" w:space="0" w:color="auto"/>
            <w:bottom w:val="none" w:sz="0" w:space="0" w:color="auto"/>
            <w:right w:val="none" w:sz="0" w:space="0" w:color="auto"/>
          </w:divBdr>
        </w:div>
        <w:div w:id="876351381">
          <w:marLeft w:val="0"/>
          <w:marRight w:val="0"/>
          <w:marTop w:val="0"/>
          <w:marBottom w:val="0"/>
          <w:divBdr>
            <w:top w:val="none" w:sz="0" w:space="0" w:color="auto"/>
            <w:left w:val="none" w:sz="0" w:space="0" w:color="auto"/>
            <w:bottom w:val="none" w:sz="0" w:space="0" w:color="auto"/>
            <w:right w:val="none" w:sz="0" w:space="0" w:color="auto"/>
          </w:divBdr>
        </w:div>
        <w:div w:id="1251744043">
          <w:marLeft w:val="0"/>
          <w:marRight w:val="0"/>
          <w:marTop w:val="0"/>
          <w:marBottom w:val="0"/>
          <w:divBdr>
            <w:top w:val="none" w:sz="0" w:space="0" w:color="auto"/>
            <w:left w:val="none" w:sz="0" w:space="0" w:color="auto"/>
            <w:bottom w:val="none" w:sz="0" w:space="0" w:color="auto"/>
            <w:right w:val="none" w:sz="0" w:space="0" w:color="auto"/>
          </w:divBdr>
        </w:div>
      </w:divsChild>
    </w:div>
    <w:div w:id="1249579471">
      <w:marLeft w:val="0"/>
      <w:marRight w:val="0"/>
      <w:marTop w:val="180"/>
      <w:marBottom w:val="180"/>
      <w:divBdr>
        <w:top w:val="none" w:sz="0" w:space="0" w:color="auto"/>
        <w:left w:val="none" w:sz="0" w:space="0" w:color="auto"/>
        <w:bottom w:val="none" w:sz="0" w:space="0" w:color="auto"/>
        <w:right w:val="none" w:sz="0" w:space="0" w:color="auto"/>
      </w:divBdr>
    </w:div>
    <w:div w:id="1254432724">
      <w:marLeft w:val="0"/>
      <w:marRight w:val="0"/>
      <w:marTop w:val="180"/>
      <w:marBottom w:val="180"/>
      <w:divBdr>
        <w:top w:val="none" w:sz="0" w:space="0" w:color="auto"/>
        <w:left w:val="none" w:sz="0" w:space="0" w:color="auto"/>
        <w:bottom w:val="none" w:sz="0" w:space="0" w:color="auto"/>
        <w:right w:val="none" w:sz="0" w:space="0" w:color="auto"/>
      </w:divBdr>
    </w:div>
    <w:div w:id="1259412427">
      <w:marLeft w:val="0"/>
      <w:marRight w:val="0"/>
      <w:marTop w:val="0"/>
      <w:marBottom w:val="0"/>
      <w:divBdr>
        <w:top w:val="none" w:sz="0" w:space="0" w:color="auto"/>
        <w:left w:val="none" w:sz="0" w:space="0" w:color="auto"/>
        <w:bottom w:val="none" w:sz="0" w:space="0" w:color="auto"/>
        <w:right w:val="none" w:sz="0" w:space="0" w:color="auto"/>
      </w:divBdr>
    </w:div>
    <w:div w:id="1261332679">
      <w:marLeft w:val="0"/>
      <w:marRight w:val="0"/>
      <w:marTop w:val="180"/>
      <w:marBottom w:val="180"/>
      <w:divBdr>
        <w:top w:val="none" w:sz="0" w:space="0" w:color="auto"/>
        <w:left w:val="none" w:sz="0" w:space="0" w:color="auto"/>
        <w:bottom w:val="none" w:sz="0" w:space="0" w:color="auto"/>
        <w:right w:val="none" w:sz="0" w:space="0" w:color="auto"/>
      </w:divBdr>
    </w:div>
    <w:div w:id="1262491062">
      <w:marLeft w:val="0"/>
      <w:marRight w:val="0"/>
      <w:marTop w:val="180"/>
      <w:marBottom w:val="180"/>
      <w:divBdr>
        <w:top w:val="none" w:sz="0" w:space="0" w:color="auto"/>
        <w:left w:val="none" w:sz="0" w:space="0" w:color="auto"/>
        <w:bottom w:val="none" w:sz="0" w:space="0" w:color="auto"/>
        <w:right w:val="none" w:sz="0" w:space="0" w:color="auto"/>
      </w:divBdr>
    </w:div>
    <w:div w:id="1262759667">
      <w:marLeft w:val="0"/>
      <w:marRight w:val="0"/>
      <w:marTop w:val="180"/>
      <w:marBottom w:val="180"/>
      <w:divBdr>
        <w:top w:val="none" w:sz="0" w:space="0" w:color="auto"/>
        <w:left w:val="none" w:sz="0" w:space="0" w:color="auto"/>
        <w:bottom w:val="none" w:sz="0" w:space="0" w:color="auto"/>
        <w:right w:val="none" w:sz="0" w:space="0" w:color="auto"/>
      </w:divBdr>
    </w:div>
    <w:div w:id="1263294613">
      <w:marLeft w:val="0"/>
      <w:marRight w:val="0"/>
      <w:marTop w:val="180"/>
      <w:marBottom w:val="0"/>
      <w:divBdr>
        <w:top w:val="none" w:sz="0" w:space="0" w:color="auto"/>
        <w:left w:val="none" w:sz="0" w:space="0" w:color="auto"/>
        <w:bottom w:val="none" w:sz="0" w:space="0" w:color="auto"/>
        <w:right w:val="none" w:sz="0" w:space="0" w:color="auto"/>
      </w:divBdr>
      <w:divsChild>
        <w:div w:id="1004672039">
          <w:marLeft w:val="0"/>
          <w:marRight w:val="0"/>
          <w:marTop w:val="0"/>
          <w:marBottom w:val="0"/>
          <w:divBdr>
            <w:top w:val="none" w:sz="0" w:space="0" w:color="auto"/>
            <w:left w:val="none" w:sz="0" w:space="0" w:color="auto"/>
            <w:bottom w:val="none" w:sz="0" w:space="0" w:color="auto"/>
            <w:right w:val="none" w:sz="0" w:space="0" w:color="auto"/>
          </w:divBdr>
        </w:div>
        <w:div w:id="435172218">
          <w:marLeft w:val="0"/>
          <w:marRight w:val="0"/>
          <w:marTop w:val="0"/>
          <w:marBottom w:val="0"/>
          <w:divBdr>
            <w:top w:val="none" w:sz="0" w:space="0" w:color="auto"/>
            <w:left w:val="none" w:sz="0" w:space="0" w:color="auto"/>
            <w:bottom w:val="none" w:sz="0" w:space="0" w:color="auto"/>
            <w:right w:val="none" w:sz="0" w:space="0" w:color="auto"/>
          </w:divBdr>
        </w:div>
      </w:divsChild>
    </w:div>
    <w:div w:id="1263369974">
      <w:marLeft w:val="0"/>
      <w:marRight w:val="0"/>
      <w:marTop w:val="60"/>
      <w:marBottom w:val="60"/>
      <w:divBdr>
        <w:top w:val="none" w:sz="0" w:space="0" w:color="auto"/>
        <w:left w:val="none" w:sz="0" w:space="0" w:color="auto"/>
        <w:bottom w:val="none" w:sz="0" w:space="0" w:color="auto"/>
        <w:right w:val="none" w:sz="0" w:space="0" w:color="auto"/>
      </w:divBdr>
    </w:div>
    <w:div w:id="1267352690">
      <w:marLeft w:val="0"/>
      <w:marRight w:val="0"/>
      <w:marTop w:val="180"/>
      <w:marBottom w:val="180"/>
      <w:divBdr>
        <w:top w:val="none" w:sz="0" w:space="0" w:color="auto"/>
        <w:left w:val="none" w:sz="0" w:space="0" w:color="auto"/>
        <w:bottom w:val="none" w:sz="0" w:space="0" w:color="auto"/>
        <w:right w:val="none" w:sz="0" w:space="0" w:color="auto"/>
      </w:divBdr>
    </w:div>
    <w:div w:id="1267613725">
      <w:marLeft w:val="0"/>
      <w:marRight w:val="0"/>
      <w:marTop w:val="180"/>
      <w:marBottom w:val="180"/>
      <w:divBdr>
        <w:top w:val="none" w:sz="0" w:space="0" w:color="auto"/>
        <w:left w:val="none" w:sz="0" w:space="0" w:color="auto"/>
        <w:bottom w:val="none" w:sz="0" w:space="0" w:color="auto"/>
        <w:right w:val="none" w:sz="0" w:space="0" w:color="auto"/>
      </w:divBdr>
    </w:div>
    <w:div w:id="1268778989">
      <w:marLeft w:val="0"/>
      <w:marRight w:val="0"/>
      <w:marTop w:val="0"/>
      <w:marBottom w:val="0"/>
      <w:divBdr>
        <w:top w:val="none" w:sz="0" w:space="0" w:color="auto"/>
        <w:left w:val="none" w:sz="0" w:space="0" w:color="auto"/>
        <w:bottom w:val="none" w:sz="0" w:space="0" w:color="auto"/>
        <w:right w:val="none" w:sz="0" w:space="0" w:color="auto"/>
      </w:divBdr>
      <w:divsChild>
        <w:div w:id="1296521104">
          <w:marLeft w:val="0"/>
          <w:marRight w:val="0"/>
          <w:marTop w:val="0"/>
          <w:marBottom w:val="0"/>
          <w:divBdr>
            <w:top w:val="none" w:sz="0" w:space="0" w:color="auto"/>
            <w:left w:val="none" w:sz="0" w:space="0" w:color="auto"/>
            <w:bottom w:val="none" w:sz="0" w:space="0" w:color="auto"/>
            <w:right w:val="none" w:sz="0" w:space="0" w:color="auto"/>
          </w:divBdr>
          <w:divsChild>
            <w:div w:id="13657932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70895560">
      <w:marLeft w:val="0"/>
      <w:marRight w:val="0"/>
      <w:marTop w:val="180"/>
      <w:marBottom w:val="180"/>
      <w:divBdr>
        <w:top w:val="none" w:sz="0" w:space="0" w:color="auto"/>
        <w:left w:val="none" w:sz="0" w:space="0" w:color="auto"/>
        <w:bottom w:val="none" w:sz="0" w:space="0" w:color="auto"/>
        <w:right w:val="none" w:sz="0" w:space="0" w:color="auto"/>
      </w:divBdr>
    </w:div>
    <w:div w:id="1272401013">
      <w:marLeft w:val="0"/>
      <w:marRight w:val="0"/>
      <w:marTop w:val="180"/>
      <w:marBottom w:val="180"/>
      <w:divBdr>
        <w:top w:val="none" w:sz="0" w:space="0" w:color="auto"/>
        <w:left w:val="none" w:sz="0" w:space="0" w:color="auto"/>
        <w:bottom w:val="none" w:sz="0" w:space="0" w:color="auto"/>
        <w:right w:val="none" w:sz="0" w:space="0" w:color="auto"/>
      </w:divBdr>
    </w:div>
    <w:div w:id="1274050892">
      <w:marLeft w:val="0"/>
      <w:marRight w:val="0"/>
      <w:marTop w:val="180"/>
      <w:marBottom w:val="180"/>
      <w:divBdr>
        <w:top w:val="none" w:sz="0" w:space="0" w:color="auto"/>
        <w:left w:val="none" w:sz="0" w:space="0" w:color="auto"/>
        <w:bottom w:val="none" w:sz="0" w:space="0" w:color="auto"/>
        <w:right w:val="none" w:sz="0" w:space="0" w:color="auto"/>
      </w:divBdr>
    </w:div>
    <w:div w:id="1274092679">
      <w:marLeft w:val="0"/>
      <w:marRight w:val="0"/>
      <w:marTop w:val="0"/>
      <w:marBottom w:val="0"/>
      <w:divBdr>
        <w:top w:val="none" w:sz="0" w:space="0" w:color="auto"/>
        <w:left w:val="none" w:sz="0" w:space="0" w:color="auto"/>
        <w:bottom w:val="none" w:sz="0" w:space="0" w:color="auto"/>
        <w:right w:val="none" w:sz="0" w:space="0" w:color="auto"/>
      </w:divBdr>
    </w:div>
    <w:div w:id="1277710759">
      <w:marLeft w:val="0"/>
      <w:marRight w:val="0"/>
      <w:marTop w:val="180"/>
      <w:marBottom w:val="60"/>
      <w:divBdr>
        <w:top w:val="none" w:sz="0" w:space="0" w:color="auto"/>
        <w:left w:val="none" w:sz="0" w:space="0" w:color="auto"/>
        <w:bottom w:val="none" w:sz="0" w:space="0" w:color="auto"/>
        <w:right w:val="none" w:sz="0" w:space="0" w:color="auto"/>
      </w:divBdr>
    </w:div>
    <w:div w:id="1285575965">
      <w:marLeft w:val="0"/>
      <w:marRight w:val="0"/>
      <w:marTop w:val="180"/>
      <w:marBottom w:val="180"/>
      <w:divBdr>
        <w:top w:val="none" w:sz="0" w:space="0" w:color="auto"/>
        <w:left w:val="none" w:sz="0" w:space="0" w:color="auto"/>
        <w:bottom w:val="none" w:sz="0" w:space="0" w:color="auto"/>
        <w:right w:val="none" w:sz="0" w:space="0" w:color="auto"/>
      </w:divBdr>
    </w:div>
    <w:div w:id="1287201897">
      <w:marLeft w:val="0"/>
      <w:marRight w:val="0"/>
      <w:marTop w:val="60"/>
      <w:marBottom w:val="60"/>
      <w:divBdr>
        <w:top w:val="none" w:sz="0" w:space="0" w:color="auto"/>
        <w:left w:val="none" w:sz="0" w:space="0" w:color="auto"/>
        <w:bottom w:val="none" w:sz="0" w:space="0" w:color="auto"/>
        <w:right w:val="none" w:sz="0" w:space="0" w:color="auto"/>
      </w:divBdr>
    </w:div>
    <w:div w:id="1288121204">
      <w:marLeft w:val="0"/>
      <w:marRight w:val="0"/>
      <w:marTop w:val="180"/>
      <w:marBottom w:val="180"/>
      <w:divBdr>
        <w:top w:val="none" w:sz="0" w:space="0" w:color="auto"/>
        <w:left w:val="none" w:sz="0" w:space="0" w:color="auto"/>
        <w:bottom w:val="none" w:sz="0" w:space="0" w:color="auto"/>
        <w:right w:val="none" w:sz="0" w:space="0" w:color="auto"/>
      </w:divBdr>
    </w:div>
    <w:div w:id="1292900636">
      <w:marLeft w:val="0"/>
      <w:marRight w:val="0"/>
      <w:marTop w:val="180"/>
      <w:marBottom w:val="180"/>
      <w:divBdr>
        <w:top w:val="none" w:sz="0" w:space="0" w:color="auto"/>
        <w:left w:val="none" w:sz="0" w:space="0" w:color="auto"/>
        <w:bottom w:val="none" w:sz="0" w:space="0" w:color="auto"/>
        <w:right w:val="none" w:sz="0" w:space="0" w:color="auto"/>
      </w:divBdr>
    </w:div>
    <w:div w:id="1293057098">
      <w:marLeft w:val="0"/>
      <w:marRight w:val="0"/>
      <w:marTop w:val="60"/>
      <w:marBottom w:val="60"/>
      <w:divBdr>
        <w:top w:val="none" w:sz="0" w:space="0" w:color="auto"/>
        <w:left w:val="none" w:sz="0" w:space="0" w:color="auto"/>
        <w:bottom w:val="none" w:sz="0" w:space="0" w:color="auto"/>
        <w:right w:val="none" w:sz="0" w:space="0" w:color="auto"/>
      </w:divBdr>
    </w:div>
    <w:div w:id="1294168375">
      <w:marLeft w:val="0"/>
      <w:marRight w:val="0"/>
      <w:marTop w:val="0"/>
      <w:marBottom w:val="0"/>
      <w:divBdr>
        <w:top w:val="none" w:sz="0" w:space="0" w:color="auto"/>
        <w:left w:val="none" w:sz="0" w:space="0" w:color="auto"/>
        <w:bottom w:val="none" w:sz="0" w:space="0" w:color="auto"/>
        <w:right w:val="none" w:sz="0" w:space="0" w:color="auto"/>
      </w:divBdr>
    </w:div>
    <w:div w:id="1295909231">
      <w:marLeft w:val="0"/>
      <w:marRight w:val="0"/>
      <w:marTop w:val="0"/>
      <w:marBottom w:val="0"/>
      <w:divBdr>
        <w:top w:val="none" w:sz="0" w:space="0" w:color="auto"/>
        <w:left w:val="none" w:sz="0" w:space="0" w:color="auto"/>
        <w:bottom w:val="none" w:sz="0" w:space="0" w:color="auto"/>
        <w:right w:val="none" w:sz="0" w:space="0" w:color="auto"/>
      </w:divBdr>
    </w:div>
    <w:div w:id="1295983960">
      <w:marLeft w:val="0"/>
      <w:marRight w:val="0"/>
      <w:marTop w:val="180"/>
      <w:marBottom w:val="180"/>
      <w:divBdr>
        <w:top w:val="none" w:sz="0" w:space="0" w:color="auto"/>
        <w:left w:val="none" w:sz="0" w:space="0" w:color="auto"/>
        <w:bottom w:val="none" w:sz="0" w:space="0" w:color="auto"/>
        <w:right w:val="none" w:sz="0" w:space="0" w:color="auto"/>
      </w:divBdr>
    </w:div>
    <w:div w:id="1298494378">
      <w:marLeft w:val="0"/>
      <w:marRight w:val="0"/>
      <w:marTop w:val="180"/>
      <w:marBottom w:val="180"/>
      <w:divBdr>
        <w:top w:val="none" w:sz="0" w:space="0" w:color="auto"/>
        <w:left w:val="none" w:sz="0" w:space="0" w:color="auto"/>
        <w:bottom w:val="none" w:sz="0" w:space="0" w:color="auto"/>
        <w:right w:val="none" w:sz="0" w:space="0" w:color="auto"/>
      </w:divBdr>
    </w:div>
    <w:div w:id="1298947852">
      <w:marLeft w:val="0"/>
      <w:marRight w:val="0"/>
      <w:marTop w:val="180"/>
      <w:marBottom w:val="180"/>
      <w:divBdr>
        <w:top w:val="none" w:sz="0" w:space="0" w:color="auto"/>
        <w:left w:val="none" w:sz="0" w:space="0" w:color="auto"/>
        <w:bottom w:val="none" w:sz="0" w:space="0" w:color="auto"/>
        <w:right w:val="none" w:sz="0" w:space="0" w:color="auto"/>
      </w:divBdr>
    </w:div>
    <w:div w:id="1300067251">
      <w:marLeft w:val="0"/>
      <w:marRight w:val="0"/>
      <w:marTop w:val="0"/>
      <w:marBottom w:val="0"/>
      <w:divBdr>
        <w:top w:val="none" w:sz="0" w:space="0" w:color="auto"/>
        <w:left w:val="none" w:sz="0" w:space="0" w:color="auto"/>
        <w:bottom w:val="none" w:sz="0" w:space="0" w:color="auto"/>
        <w:right w:val="none" w:sz="0" w:space="0" w:color="auto"/>
      </w:divBdr>
    </w:div>
    <w:div w:id="1300649300">
      <w:marLeft w:val="0"/>
      <w:marRight w:val="0"/>
      <w:marTop w:val="180"/>
      <w:marBottom w:val="180"/>
      <w:divBdr>
        <w:top w:val="none" w:sz="0" w:space="0" w:color="auto"/>
        <w:left w:val="none" w:sz="0" w:space="0" w:color="auto"/>
        <w:bottom w:val="none" w:sz="0" w:space="0" w:color="auto"/>
        <w:right w:val="none" w:sz="0" w:space="0" w:color="auto"/>
      </w:divBdr>
    </w:div>
    <w:div w:id="1301576671">
      <w:marLeft w:val="0"/>
      <w:marRight w:val="0"/>
      <w:marTop w:val="0"/>
      <w:marBottom w:val="0"/>
      <w:divBdr>
        <w:top w:val="none" w:sz="0" w:space="0" w:color="auto"/>
        <w:left w:val="none" w:sz="0" w:space="0" w:color="auto"/>
        <w:bottom w:val="none" w:sz="0" w:space="0" w:color="auto"/>
        <w:right w:val="none" w:sz="0" w:space="0" w:color="auto"/>
      </w:divBdr>
    </w:div>
    <w:div w:id="1303927821">
      <w:marLeft w:val="0"/>
      <w:marRight w:val="0"/>
      <w:marTop w:val="60"/>
      <w:marBottom w:val="60"/>
      <w:divBdr>
        <w:top w:val="none" w:sz="0" w:space="0" w:color="auto"/>
        <w:left w:val="none" w:sz="0" w:space="0" w:color="auto"/>
        <w:bottom w:val="none" w:sz="0" w:space="0" w:color="auto"/>
        <w:right w:val="none" w:sz="0" w:space="0" w:color="auto"/>
      </w:divBdr>
    </w:div>
    <w:div w:id="1304964847">
      <w:marLeft w:val="0"/>
      <w:marRight w:val="0"/>
      <w:marTop w:val="60"/>
      <w:marBottom w:val="60"/>
      <w:divBdr>
        <w:top w:val="none" w:sz="0" w:space="0" w:color="auto"/>
        <w:left w:val="none" w:sz="0" w:space="0" w:color="auto"/>
        <w:bottom w:val="none" w:sz="0" w:space="0" w:color="auto"/>
        <w:right w:val="none" w:sz="0" w:space="0" w:color="auto"/>
      </w:divBdr>
    </w:div>
    <w:div w:id="1305113302">
      <w:marLeft w:val="0"/>
      <w:marRight w:val="0"/>
      <w:marTop w:val="180"/>
      <w:marBottom w:val="180"/>
      <w:divBdr>
        <w:top w:val="none" w:sz="0" w:space="0" w:color="auto"/>
        <w:left w:val="none" w:sz="0" w:space="0" w:color="auto"/>
        <w:bottom w:val="none" w:sz="0" w:space="0" w:color="auto"/>
        <w:right w:val="none" w:sz="0" w:space="0" w:color="auto"/>
      </w:divBdr>
    </w:div>
    <w:div w:id="1306668830">
      <w:marLeft w:val="0"/>
      <w:marRight w:val="0"/>
      <w:marTop w:val="180"/>
      <w:marBottom w:val="180"/>
      <w:divBdr>
        <w:top w:val="none" w:sz="0" w:space="0" w:color="auto"/>
        <w:left w:val="none" w:sz="0" w:space="0" w:color="auto"/>
        <w:bottom w:val="none" w:sz="0" w:space="0" w:color="auto"/>
        <w:right w:val="none" w:sz="0" w:space="0" w:color="auto"/>
      </w:divBdr>
    </w:div>
    <w:div w:id="1307934593">
      <w:marLeft w:val="0"/>
      <w:marRight w:val="0"/>
      <w:marTop w:val="60"/>
      <w:marBottom w:val="60"/>
      <w:divBdr>
        <w:top w:val="none" w:sz="0" w:space="0" w:color="auto"/>
        <w:left w:val="none" w:sz="0" w:space="0" w:color="auto"/>
        <w:bottom w:val="none" w:sz="0" w:space="0" w:color="auto"/>
        <w:right w:val="none" w:sz="0" w:space="0" w:color="auto"/>
      </w:divBdr>
    </w:div>
    <w:div w:id="1308582755">
      <w:marLeft w:val="0"/>
      <w:marRight w:val="0"/>
      <w:marTop w:val="180"/>
      <w:marBottom w:val="180"/>
      <w:divBdr>
        <w:top w:val="none" w:sz="0" w:space="0" w:color="auto"/>
        <w:left w:val="none" w:sz="0" w:space="0" w:color="auto"/>
        <w:bottom w:val="none" w:sz="0" w:space="0" w:color="auto"/>
        <w:right w:val="none" w:sz="0" w:space="0" w:color="auto"/>
      </w:divBdr>
    </w:div>
    <w:div w:id="1309818454">
      <w:marLeft w:val="0"/>
      <w:marRight w:val="0"/>
      <w:marTop w:val="180"/>
      <w:marBottom w:val="180"/>
      <w:divBdr>
        <w:top w:val="none" w:sz="0" w:space="0" w:color="auto"/>
        <w:left w:val="none" w:sz="0" w:space="0" w:color="auto"/>
        <w:bottom w:val="none" w:sz="0" w:space="0" w:color="auto"/>
        <w:right w:val="none" w:sz="0" w:space="0" w:color="auto"/>
      </w:divBdr>
    </w:div>
    <w:div w:id="1310090173">
      <w:marLeft w:val="0"/>
      <w:marRight w:val="0"/>
      <w:marTop w:val="60"/>
      <w:marBottom w:val="0"/>
      <w:divBdr>
        <w:top w:val="none" w:sz="0" w:space="0" w:color="auto"/>
        <w:left w:val="none" w:sz="0" w:space="0" w:color="auto"/>
        <w:bottom w:val="none" w:sz="0" w:space="0" w:color="auto"/>
        <w:right w:val="none" w:sz="0" w:space="0" w:color="auto"/>
      </w:divBdr>
      <w:divsChild>
        <w:div w:id="123279707">
          <w:marLeft w:val="0"/>
          <w:marRight w:val="0"/>
          <w:marTop w:val="0"/>
          <w:marBottom w:val="0"/>
          <w:divBdr>
            <w:top w:val="none" w:sz="0" w:space="0" w:color="auto"/>
            <w:left w:val="none" w:sz="0" w:space="0" w:color="auto"/>
            <w:bottom w:val="none" w:sz="0" w:space="0" w:color="auto"/>
            <w:right w:val="none" w:sz="0" w:space="0" w:color="auto"/>
          </w:divBdr>
        </w:div>
        <w:div w:id="1439835540">
          <w:marLeft w:val="0"/>
          <w:marRight w:val="0"/>
          <w:marTop w:val="0"/>
          <w:marBottom w:val="0"/>
          <w:divBdr>
            <w:top w:val="none" w:sz="0" w:space="0" w:color="auto"/>
            <w:left w:val="none" w:sz="0" w:space="0" w:color="auto"/>
            <w:bottom w:val="none" w:sz="0" w:space="0" w:color="auto"/>
            <w:right w:val="none" w:sz="0" w:space="0" w:color="auto"/>
          </w:divBdr>
        </w:div>
        <w:div w:id="765199445">
          <w:marLeft w:val="0"/>
          <w:marRight w:val="0"/>
          <w:marTop w:val="0"/>
          <w:marBottom w:val="0"/>
          <w:divBdr>
            <w:top w:val="none" w:sz="0" w:space="0" w:color="auto"/>
            <w:left w:val="none" w:sz="0" w:space="0" w:color="auto"/>
            <w:bottom w:val="none" w:sz="0" w:space="0" w:color="auto"/>
            <w:right w:val="none" w:sz="0" w:space="0" w:color="auto"/>
          </w:divBdr>
        </w:div>
      </w:divsChild>
    </w:div>
    <w:div w:id="1310405217">
      <w:marLeft w:val="0"/>
      <w:marRight w:val="0"/>
      <w:marTop w:val="180"/>
      <w:marBottom w:val="180"/>
      <w:divBdr>
        <w:top w:val="none" w:sz="0" w:space="0" w:color="auto"/>
        <w:left w:val="none" w:sz="0" w:space="0" w:color="auto"/>
        <w:bottom w:val="none" w:sz="0" w:space="0" w:color="auto"/>
        <w:right w:val="none" w:sz="0" w:space="0" w:color="auto"/>
      </w:divBdr>
    </w:div>
    <w:div w:id="1312177931">
      <w:marLeft w:val="0"/>
      <w:marRight w:val="0"/>
      <w:marTop w:val="180"/>
      <w:marBottom w:val="180"/>
      <w:divBdr>
        <w:top w:val="none" w:sz="0" w:space="0" w:color="auto"/>
        <w:left w:val="none" w:sz="0" w:space="0" w:color="auto"/>
        <w:bottom w:val="none" w:sz="0" w:space="0" w:color="auto"/>
        <w:right w:val="none" w:sz="0" w:space="0" w:color="auto"/>
      </w:divBdr>
    </w:div>
    <w:div w:id="1312562123">
      <w:marLeft w:val="0"/>
      <w:marRight w:val="0"/>
      <w:marTop w:val="180"/>
      <w:marBottom w:val="180"/>
      <w:divBdr>
        <w:top w:val="none" w:sz="0" w:space="0" w:color="auto"/>
        <w:left w:val="none" w:sz="0" w:space="0" w:color="auto"/>
        <w:bottom w:val="none" w:sz="0" w:space="0" w:color="auto"/>
        <w:right w:val="none" w:sz="0" w:space="0" w:color="auto"/>
      </w:divBdr>
    </w:div>
    <w:div w:id="1313565264">
      <w:marLeft w:val="0"/>
      <w:marRight w:val="0"/>
      <w:marTop w:val="180"/>
      <w:marBottom w:val="180"/>
      <w:divBdr>
        <w:top w:val="none" w:sz="0" w:space="0" w:color="auto"/>
        <w:left w:val="none" w:sz="0" w:space="0" w:color="auto"/>
        <w:bottom w:val="none" w:sz="0" w:space="0" w:color="auto"/>
        <w:right w:val="none" w:sz="0" w:space="0" w:color="auto"/>
      </w:divBdr>
    </w:div>
    <w:div w:id="1316683870">
      <w:marLeft w:val="0"/>
      <w:marRight w:val="0"/>
      <w:marTop w:val="60"/>
      <w:marBottom w:val="60"/>
      <w:divBdr>
        <w:top w:val="none" w:sz="0" w:space="0" w:color="auto"/>
        <w:left w:val="none" w:sz="0" w:space="0" w:color="auto"/>
        <w:bottom w:val="none" w:sz="0" w:space="0" w:color="auto"/>
        <w:right w:val="none" w:sz="0" w:space="0" w:color="auto"/>
      </w:divBdr>
    </w:div>
    <w:div w:id="1317538375">
      <w:marLeft w:val="0"/>
      <w:marRight w:val="0"/>
      <w:marTop w:val="180"/>
      <w:marBottom w:val="0"/>
      <w:divBdr>
        <w:top w:val="none" w:sz="0" w:space="0" w:color="auto"/>
        <w:left w:val="none" w:sz="0" w:space="0" w:color="auto"/>
        <w:bottom w:val="none" w:sz="0" w:space="0" w:color="auto"/>
        <w:right w:val="none" w:sz="0" w:space="0" w:color="auto"/>
      </w:divBdr>
    </w:div>
    <w:div w:id="1318417777">
      <w:marLeft w:val="0"/>
      <w:marRight w:val="0"/>
      <w:marTop w:val="180"/>
      <w:marBottom w:val="180"/>
      <w:divBdr>
        <w:top w:val="none" w:sz="0" w:space="0" w:color="auto"/>
        <w:left w:val="none" w:sz="0" w:space="0" w:color="auto"/>
        <w:bottom w:val="none" w:sz="0" w:space="0" w:color="auto"/>
        <w:right w:val="none" w:sz="0" w:space="0" w:color="auto"/>
      </w:divBdr>
    </w:div>
    <w:div w:id="1319765604">
      <w:marLeft w:val="0"/>
      <w:marRight w:val="0"/>
      <w:marTop w:val="60"/>
      <w:marBottom w:val="60"/>
      <w:divBdr>
        <w:top w:val="none" w:sz="0" w:space="0" w:color="auto"/>
        <w:left w:val="none" w:sz="0" w:space="0" w:color="auto"/>
        <w:bottom w:val="none" w:sz="0" w:space="0" w:color="auto"/>
        <w:right w:val="none" w:sz="0" w:space="0" w:color="auto"/>
      </w:divBdr>
    </w:div>
    <w:div w:id="1319766662">
      <w:marLeft w:val="0"/>
      <w:marRight w:val="0"/>
      <w:marTop w:val="180"/>
      <w:marBottom w:val="180"/>
      <w:divBdr>
        <w:top w:val="none" w:sz="0" w:space="0" w:color="auto"/>
        <w:left w:val="none" w:sz="0" w:space="0" w:color="auto"/>
        <w:bottom w:val="none" w:sz="0" w:space="0" w:color="auto"/>
        <w:right w:val="none" w:sz="0" w:space="0" w:color="auto"/>
      </w:divBdr>
    </w:div>
    <w:div w:id="1320693715">
      <w:marLeft w:val="0"/>
      <w:marRight w:val="0"/>
      <w:marTop w:val="180"/>
      <w:marBottom w:val="60"/>
      <w:divBdr>
        <w:top w:val="none" w:sz="0" w:space="0" w:color="auto"/>
        <w:left w:val="none" w:sz="0" w:space="0" w:color="auto"/>
        <w:bottom w:val="none" w:sz="0" w:space="0" w:color="auto"/>
        <w:right w:val="none" w:sz="0" w:space="0" w:color="auto"/>
      </w:divBdr>
    </w:div>
    <w:div w:id="1321232316">
      <w:marLeft w:val="0"/>
      <w:marRight w:val="0"/>
      <w:marTop w:val="180"/>
      <w:marBottom w:val="180"/>
      <w:divBdr>
        <w:top w:val="none" w:sz="0" w:space="0" w:color="auto"/>
        <w:left w:val="none" w:sz="0" w:space="0" w:color="auto"/>
        <w:bottom w:val="none" w:sz="0" w:space="0" w:color="auto"/>
        <w:right w:val="none" w:sz="0" w:space="0" w:color="auto"/>
      </w:divBdr>
    </w:div>
    <w:div w:id="1324695731">
      <w:marLeft w:val="0"/>
      <w:marRight w:val="0"/>
      <w:marTop w:val="180"/>
      <w:marBottom w:val="180"/>
      <w:divBdr>
        <w:top w:val="none" w:sz="0" w:space="0" w:color="auto"/>
        <w:left w:val="none" w:sz="0" w:space="0" w:color="auto"/>
        <w:bottom w:val="none" w:sz="0" w:space="0" w:color="auto"/>
        <w:right w:val="none" w:sz="0" w:space="0" w:color="auto"/>
      </w:divBdr>
    </w:div>
    <w:div w:id="1325358066">
      <w:marLeft w:val="0"/>
      <w:marRight w:val="0"/>
      <w:marTop w:val="180"/>
      <w:marBottom w:val="180"/>
      <w:divBdr>
        <w:top w:val="none" w:sz="0" w:space="0" w:color="auto"/>
        <w:left w:val="none" w:sz="0" w:space="0" w:color="auto"/>
        <w:bottom w:val="none" w:sz="0" w:space="0" w:color="auto"/>
        <w:right w:val="none" w:sz="0" w:space="0" w:color="auto"/>
      </w:divBdr>
    </w:div>
    <w:div w:id="1325939305">
      <w:marLeft w:val="0"/>
      <w:marRight w:val="0"/>
      <w:marTop w:val="0"/>
      <w:marBottom w:val="0"/>
      <w:divBdr>
        <w:top w:val="none" w:sz="0" w:space="0" w:color="auto"/>
        <w:left w:val="none" w:sz="0" w:space="0" w:color="auto"/>
        <w:bottom w:val="none" w:sz="0" w:space="0" w:color="auto"/>
        <w:right w:val="none" w:sz="0" w:space="0" w:color="auto"/>
      </w:divBdr>
    </w:div>
    <w:div w:id="1328678233">
      <w:marLeft w:val="0"/>
      <w:marRight w:val="0"/>
      <w:marTop w:val="180"/>
      <w:marBottom w:val="180"/>
      <w:divBdr>
        <w:top w:val="none" w:sz="0" w:space="0" w:color="auto"/>
        <w:left w:val="none" w:sz="0" w:space="0" w:color="auto"/>
        <w:bottom w:val="none" w:sz="0" w:space="0" w:color="auto"/>
        <w:right w:val="none" w:sz="0" w:space="0" w:color="auto"/>
      </w:divBdr>
    </w:div>
    <w:div w:id="1329284319">
      <w:marLeft w:val="0"/>
      <w:marRight w:val="0"/>
      <w:marTop w:val="180"/>
      <w:marBottom w:val="180"/>
      <w:divBdr>
        <w:top w:val="none" w:sz="0" w:space="0" w:color="auto"/>
        <w:left w:val="none" w:sz="0" w:space="0" w:color="auto"/>
        <w:bottom w:val="none" w:sz="0" w:space="0" w:color="auto"/>
        <w:right w:val="none" w:sz="0" w:space="0" w:color="auto"/>
      </w:divBdr>
    </w:div>
    <w:div w:id="1330521489">
      <w:marLeft w:val="0"/>
      <w:marRight w:val="0"/>
      <w:marTop w:val="180"/>
      <w:marBottom w:val="180"/>
      <w:divBdr>
        <w:top w:val="none" w:sz="0" w:space="0" w:color="auto"/>
        <w:left w:val="none" w:sz="0" w:space="0" w:color="auto"/>
        <w:bottom w:val="none" w:sz="0" w:space="0" w:color="auto"/>
        <w:right w:val="none" w:sz="0" w:space="0" w:color="auto"/>
      </w:divBdr>
    </w:div>
    <w:div w:id="1331106667">
      <w:marLeft w:val="0"/>
      <w:marRight w:val="0"/>
      <w:marTop w:val="100"/>
      <w:marBottom w:val="0"/>
      <w:divBdr>
        <w:top w:val="none" w:sz="0" w:space="0" w:color="auto"/>
        <w:left w:val="none" w:sz="0" w:space="0" w:color="auto"/>
        <w:bottom w:val="none" w:sz="0" w:space="0" w:color="auto"/>
        <w:right w:val="none" w:sz="0" w:space="0" w:color="auto"/>
      </w:divBdr>
      <w:divsChild>
        <w:div w:id="451749302">
          <w:marLeft w:val="0"/>
          <w:marRight w:val="0"/>
          <w:marTop w:val="0"/>
          <w:marBottom w:val="0"/>
          <w:divBdr>
            <w:top w:val="none" w:sz="0" w:space="0" w:color="auto"/>
            <w:left w:val="none" w:sz="0" w:space="0" w:color="auto"/>
            <w:bottom w:val="none" w:sz="0" w:space="0" w:color="auto"/>
            <w:right w:val="none" w:sz="0" w:space="0" w:color="auto"/>
          </w:divBdr>
        </w:div>
        <w:div w:id="1076434027">
          <w:marLeft w:val="0"/>
          <w:marRight w:val="0"/>
          <w:marTop w:val="0"/>
          <w:marBottom w:val="0"/>
          <w:divBdr>
            <w:top w:val="none" w:sz="0" w:space="0" w:color="auto"/>
            <w:left w:val="none" w:sz="0" w:space="0" w:color="auto"/>
            <w:bottom w:val="none" w:sz="0" w:space="0" w:color="auto"/>
            <w:right w:val="none" w:sz="0" w:space="0" w:color="auto"/>
          </w:divBdr>
        </w:div>
        <w:div w:id="1682467948">
          <w:marLeft w:val="0"/>
          <w:marRight w:val="0"/>
          <w:marTop w:val="0"/>
          <w:marBottom w:val="0"/>
          <w:divBdr>
            <w:top w:val="none" w:sz="0" w:space="0" w:color="auto"/>
            <w:left w:val="none" w:sz="0" w:space="0" w:color="auto"/>
            <w:bottom w:val="none" w:sz="0" w:space="0" w:color="auto"/>
            <w:right w:val="none" w:sz="0" w:space="0" w:color="auto"/>
          </w:divBdr>
        </w:div>
        <w:div w:id="144931119">
          <w:marLeft w:val="0"/>
          <w:marRight w:val="0"/>
          <w:marTop w:val="0"/>
          <w:marBottom w:val="0"/>
          <w:divBdr>
            <w:top w:val="none" w:sz="0" w:space="0" w:color="auto"/>
            <w:left w:val="none" w:sz="0" w:space="0" w:color="auto"/>
            <w:bottom w:val="none" w:sz="0" w:space="0" w:color="auto"/>
            <w:right w:val="none" w:sz="0" w:space="0" w:color="auto"/>
          </w:divBdr>
        </w:div>
      </w:divsChild>
    </w:div>
    <w:div w:id="1335455089">
      <w:marLeft w:val="0"/>
      <w:marRight w:val="0"/>
      <w:marTop w:val="180"/>
      <w:marBottom w:val="180"/>
      <w:divBdr>
        <w:top w:val="none" w:sz="0" w:space="0" w:color="auto"/>
        <w:left w:val="none" w:sz="0" w:space="0" w:color="auto"/>
        <w:bottom w:val="none" w:sz="0" w:space="0" w:color="auto"/>
        <w:right w:val="none" w:sz="0" w:space="0" w:color="auto"/>
      </w:divBdr>
    </w:div>
    <w:div w:id="1335719939">
      <w:marLeft w:val="0"/>
      <w:marRight w:val="0"/>
      <w:marTop w:val="180"/>
      <w:marBottom w:val="180"/>
      <w:divBdr>
        <w:top w:val="none" w:sz="0" w:space="0" w:color="auto"/>
        <w:left w:val="none" w:sz="0" w:space="0" w:color="auto"/>
        <w:bottom w:val="none" w:sz="0" w:space="0" w:color="auto"/>
        <w:right w:val="none" w:sz="0" w:space="0" w:color="auto"/>
      </w:divBdr>
    </w:div>
    <w:div w:id="1336423446">
      <w:marLeft w:val="0"/>
      <w:marRight w:val="0"/>
      <w:marTop w:val="180"/>
      <w:marBottom w:val="180"/>
      <w:divBdr>
        <w:top w:val="none" w:sz="0" w:space="0" w:color="auto"/>
        <w:left w:val="none" w:sz="0" w:space="0" w:color="auto"/>
        <w:bottom w:val="none" w:sz="0" w:space="0" w:color="auto"/>
        <w:right w:val="none" w:sz="0" w:space="0" w:color="auto"/>
      </w:divBdr>
    </w:div>
    <w:div w:id="1342315661">
      <w:marLeft w:val="0"/>
      <w:marRight w:val="0"/>
      <w:marTop w:val="60"/>
      <w:marBottom w:val="60"/>
      <w:divBdr>
        <w:top w:val="none" w:sz="0" w:space="0" w:color="auto"/>
        <w:left w:val="none" w:sz="0" w:space="0" w:color="auto"/>
        <w:bottom w:val="none" w:sz="0" w:space="0" w:color="auto"/>
        <w:right w:val="none" w:sz="0" w:space="0" w:color="auto"/>
      </w:divBdr>
    </w:div>
    <w:div w:id="1342972769">
      <w:marLeft w:val="0"/>
      <w:marRight w:val="0"/>
      <w:marTop w:val="180"/>
      <w:marBottom w:val="180"/>
      <w:divBdr>
        <w:top w:val="none" w:sz="0" w:space="0" w:color="auto"/>
        <w:left w:val="none" w:sz="0" w:space="0" w:color="auto"/>
        <w:bottom w:val="none" w:sz="0" w:space="0" w:color="auto"/>
        <w:right w:val="none" w:sz="0" w:space="0" w:color="auto"/>
      </w:divBdr>
    </w:div>
    <w:div w:id="1344627566">
      <w:marLeft w:val="0"/>
      <w:marRight w:val="0"/>
      <w:marTop w:val="0"/>
      <w:marBottom w:val="0"/>
      <w:divBdr>
        <w:top w:val="none" w:sz="0" w:space="0" w:color="auto"/>
        <w:left w:val="none" w:sz="0" w:space="0" w:color="auto"/>
        <w:bottom w:val="none" w:sz="0" w:space="0" w:color="auto"/>
        <w:right w:val="none" w:sz="0" w:space="0" w:color="auto"/>
      </w:divBdr>
      <w:divsChild>
        <w:div w:id="889614279">
          <w:marLeft w:val="0"/>
          <w:marRight w:val="0"/>
          <w:marTop w:val="0"/>
          <w:marBottom w:val="0"/>
          <w:divBdr>
            <w:top w:val="none" w:sz="0" w:space="0" w:color="auto"/>
            <w:left w:val="none" w:sz="0" w:space="0" w:color="auto"/>
            <w:bottom w:val="none" w:sz="0" w:space="0" w:color="auto"/>
            <w:right w:val="none" w:sz="0" w:space="0" w:color="auto"/>
          </w:divBdr>
          <w:divsChild>
            <w:div w:id="4990800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5285426">
      <w:marLeft w:val="0"/>
      <w:marRight w:val="0"/>
      <w:marTop w:val="60"/>
      <w:marBottom w:val="60"/>
      <w:divBdr>
        <w:top w:val="none" w:sz="0" w:space="0" w:color="auto"/>
        <w:left w:val="none" w:sz="0" w:space="0" w:color="auto"/>
        <w:bottom w:val="none" w:sz="0" w:space="0" w:color="auto"/>
        <w:right w:val="none" w:sz="0" w:space="0" w:color="auto"/>
      </w:divBdr>
    </w:div>
    <w:div w:id="1345286915">
      <w:marLeft w:val="0"/>
      <w:marRight w:val="0"/>
      <w:marTop w:val="160"/>
      <w:marBottom w:val="0"/>
      <w:divBdr>
        <w:top w:val="none" w:sz="0" w:space="0" w:color="auto"/>
        <w:left w:val="none" w:sz="0" w:space="0" w:color="auto"/>
        <w:bottom w:val="none" w:sz="0" w:space="0" w:color="auto"/>
        <w:right w:val="none" w:sz="0" w:space="0" w:color="auto"/>
      </w:divBdr>
    </w:div>
    <w:div w:id="1345595594">
      <w:marLeft w:val="0"/>
      <w:marRight w:val="0"/>
      <w:marTop w:val="180"/>
      <w:marBottom w:val="180"/>
      <w:divBdr>
        <w:top w:val="none" w:sz="0" w:space="0" w:color="auto"/>
        <w:left w:val="none" w:sz="0" w:space="0" w:color="auto"/>
        <w:bottom w:val="none" w:sz="0" w:space="0" w:color="auto"/>
        <w:right w:val="none" w:sz="0" w:space="0" w:color="auto"/>
      </w:divBdr>
    </w:div>
    <w:div w:id="1349214885">
      <w:marLeft w:val="0"/>
      <w:marRight w:val="0"/>
      <w:marTop w:val="180"/>
      <w:marBottom w:val="180"/>
      <w:divBdr>
        <w:top w:val="none" w:sz="0" w:space="0" w:color="auto"/>
        <w:left w:val="none" w:sz="0" w:space="0" w:color="auto"/>
        <w:bottom w:val="none" w:sz="0" w:space="0" w:color="auto"/>
        <w:right w:val="none" w:sz="0" w:space="0" w:color="auto"/>
      </w:divBdr>
    </w:div>
    <w:div w:id="1351492625">
      <w:marLeft w:val="0"/>
      <w:marRight w:val="0"/>
      <w:marTop w:val="0"/>
      <w:marBottom w:val="0"/>
      <w:divBdr>
        <w:top w:val="none" w:sz="0" w:space="0" w:color="auto"/>
        <w:left w:val="none" w:sz="0" w:space="0" w:color="auto"/>
        <w:bottom w:val="none" w:sz="0" w:space="0" w:color="auto"/>
        <w:right w:val="none" w:sz="0" w:space="0" w:color="auto"/>
      </w:divBdr>
      <w:divsChild>
        <w:div w:id="1082028906">
          <w:marLeft w:val="0"/>
          <w:marRight w:val="0"/>
          <w:marTop w:val="60"/>
          <w:marBottom w:val="60"/>
          <w:divBdr>
            <w:top w:val="none" w:sz="0" w:space="0" w:color="auto"/>
            <w:left w:val="none" w:sz="0" w:space="0" w:color="auto"/>
            <w:bottom w:val="none" w:sz="0" w:space="0" w:color="auto"/>
            <w:right w:val="none" w:sz="0" w:space="0" w:color="auto"/>
          </w:divBdr>
        </w:div>
      </w:divsChild>
    </w:div>
    <w:div w:id="1353145280">
      <w:marLeft w:val="0"/>
      <w:marRight w:val="0"/>
      <w:marTop w:val="180"/>
      <w:marBottom w:val="60"/>
      <w:divBdr>
        <w:top w:val="none" w:sz="0" w:space="0" w:color="auto"/>
        <w:left w:val="none" w:sz="0" w:space="0" w:color="auto"/>
        <w:bottom w:val="none" w:sz="0" w:space="0" w:color="auto"/>
        <w:right w:val="none" w:sz="0" w:space="0" w:color="auto"/>
      </w:divBdr>
    </w:div>
    <w:div w:id="1355304341">
      <w:marLeft w:val="0"/>
      <w:marRight w:val="0"/>
      <w:marTop w:val="60"/>
      <w:marBottom w:val="60"/>
      <w:divBdr>
        <w:top w:val="none" w:sz="0" w:space="0" w:color="auto"/>
        <w:left w:val="none" w:sz="0" w:space="0" w:color="auto"/>
        <w:bottom w:val="none" w:sz="0" w:space="0" w:color="auto"/>
        <w:right w:val="none" w:sz="0" w:space="0" w:color="auto"/>
      </w:divBdr>
    </w:div>
    <w:div w:id="1355886392">
      <w:marLeft w:val="0"/>
      <w:marRight w:val="0"/>
      <w:marTop w:val="60"/>
      <w:marBottom w:val="60"/>
      <w:divBdr>
        <w:top w:val="none" w:sz="0" w:space="0" w:color="auto"/>
        <w:left w:val="none" w:sz="0" w:space="0" w:color="auto"/>
        <w:bottom w:val="none" w:sz="0" w:space="0" w:color="auto"/>
        <w:right w:val="none" w:sz="0" w:space="0" w:color="auto"/>
      </w:divBdr>
    </w:div>
    <w:div w:id="1357925333">
      <w:marLeft w:val="0"/>
      <w:marRight w:val="0"/>
      <w:marTop w:val="100"/>
      <w:marBottom w:val="0"/>
      <w:divBdr>
        <w:top w:val="none" w:sz="0" w:space="0" w:color="auto"/>
        <w:left w:val="none" w:sz="0" w:space="0" w:color="auto"/>
        <w:bottom w:val="none" w:sz="0" w:space="0" w:color="auto"/>
        <w:right w:val="none" w:sz="0" w:space="0" w:color="auto"/>
      </w:divBdr>
      <w:divsChild>
        <w:div w:id="167214548">
          <w:marLeft w:val="0"/>
          <w:marRight w:val="0"/>
          <w:marTop w:val="0"/>
          <w:marBottom w:val="0"/>
          <w:divBdr>
            <w:top w:val="none" w:sz="0" w:space="0" w:color="auto"/>
            <w:left w:val="none" w:sz="0" w:space="0" w:color="auto"/>
            <w:bottom w:val="none" w:sz="0" w:space="0" w:color="auto"/>
            <w:right w:val="none" w:sz="0" w:space="0" w:color="auto"/>
          </w:divBdr>
        </w:div>
        <w:div w:id="1449474102">
          <w:marLeft w:val="0"/>
          <w:marRight w:val="0"/>
          <w:marTop w:val="0"/>
          <w:marBottom w:val="0"/>
          <w:divBdr>
            <w:top w:val="none" w:sz="0" w:space="0" w:color="auto"/>
            <w:left w:val="none" w:sz="0" w:space="0" w:color="auto"/>
            <w:bottom w:val="none" w:sz="0" w:space="0" w:color="auto"/>
            <w:right w:val="none" w:sz="0" w:space="0" w:color="auto"/>
          </w:divBdr>
        </w:div>
      </w:divsChild>
    </w:div>
    <w:div w:id="1358656638">
      <w:marLeft w:val="0"/>
      <w:marRight w:val="0"/>
      <w:marTop w:val="60"/>
      <w:marBottom w:val="60"/>
      <w:divBdr>
        <w:top w:val="none" w:sz="0" w:space="0" w:color="auto"/>
        <w:left w:val="none" w:sz="0" w:space="0" w:color="auto"/>
        <w:bottom w:val="none" w:sz="0" w:space="0" w:color="auto"/>
        <w:right w:val="none" w:sz="0" w:space="0" w:color="auto"/>
      </w:divBdr>
    </w:div>
    <w:div w:id="1360357823">
      <w:marLeft w:val="0"/>
      <w:marRight w:val="0"/>
      <w:marTop w:val="60"/>
      <w:marBottom w:val="60"/>
      <w:divBdr>
        <w:top w:val="none" w:sz="0" w:space="0" w:color="auto"/>
        <w:left w:val="none" w:sz="0" w:space="0" w:color="auto"/>
        <w:bottom w:val="none" w:sz="0" w:space="0" w:color="auto"/>
        <w:right w:val="none" w:sz="0" w:space="0" w:color="auto"/>
      </w:divBdr>
    </w:div>
    <w:div w:id="1361398023">
      <w:marLeft w:val="0"/>
      <w:marRight w:val="0"/>
      <w:marTop w:val="0"/>
      <w:marBottom w:val="180"/>
      <w:divBdr>
        <w:top w:val="none" w:sz="0" w:space="0" w:color="auto"/>
        <w:left w:val="none" w:sz="0" w:space="0" w:color="auto"/>
        <w:bottom w:val="none" w:sz="0" w:space="0" w:color="auto"/>
        <w:right w:val="none" w:sz="0" w:space="0" w:color="auto"/>
      </w:divBdr>
    </w:div>
    <w:div w:id="1363631978">
      <w:marLeft w:val="0"/>
      <w:marRight w:val="0"/>
      <w:marTop w:val="180"/>
      <w:marBottom w:val="180"/>
      <w:divBdr>
        <w:top w:val="none" w:sz="0" w:space="0" w:color="auto"/>
        <w:left w:val="none" w:sz="0" w:space="0" w:color="auto"/>
        <w:bottom w:val="none" w:sz="0" w:space="0" w:color="auto"/>
        <w:right w:val="none" w:sz="0" w:space="0" w:color="auto"/>
      </w:divBdr>
    </w:div>
    <w:div w:id="1365405152">
      <w:marLeft w:val="0"/>
      <w:marRight w:val="0"/>
      <w:marTop w:val="0"/>
      <w:marBottom w:val="180"/>
      <w:divBdr>
        <w:top w:val="none" w:sz="0" w:space="0" w:color="auto"/>
        <w:left w:val="none" w:sz="0" w:space="0" w:color="auto"/>
        <w:bottom w:val="none" w:sz="0" w:space="0" w:color="auto"/>
        <w:right w:val="none" w:sz="0" w:space="0" w:color="auto"/>
      </w:divBdr>
    </w:div>
    <w:div w:id="1365790304">
      <w:marLeft w:val="0"/>
      <w:marRight w:val="0"/>
      <w:marTop w:val="180"/>
      <w:marBottom w:val="180"/>
      <w:divBdr>
        <w:top w:val="none" w:sz="0" w:space="0" w:color="auto"/>
        <w:left w:val="none" w:sz="0" w:space="0" w:color="auto"/>
        <w:bottom w:val="none" w:sz="0" w:space="0" w:color="auto"/>
        <w:right w:val="none" w:sz="0" w:space="0" w:color="auto"/>
      </w:divBdr>
    </w:div>
    <w:div w:id="1369835881">
      <w:marLeft w:val="0"/>
      <w:marRight w:val="0"/>
      <w:marTop w:val="180"/>
      <w:marBottom w:val="180"/>
      <w:divBdr>
        <w:top w:val="none" w:sz="0" w:space="0" w:color="auto"/>
        <w:left w:val="none" w:sz="0" w:space="0" w:color="auto"/>
        <w:bottom w:val="none" w:sz="0" w:space="0" w:color="auto"/>
        <w:right w:val="none" w:sz="0" w:space="0" w:color="auto"/>
      </w:divBdr>
    </w:div>
    <w:div w:id="1374305363">
      <w:marLeft w:val="0"/>
      <w:marRight w:val="0"/>
      <w:marTop w:val="60"/>
      <w:marBottom w:val="60"/>
      <w:divBdr>
        <w:top w:val="none" w:sz="0" w:space="0" w:color="auto"/>
        <w:left w:val="none" w:sz="0" w:space="0" w:color="auto"/>
        <w:bottom w:val="none" w:sz="0" w:space="0" w:color="auto"/>
        <w:right w:val="none" w:sz="0" w:space="0" w:color="auto"/>
      </w:divBdr>
    </w:div>
    <w:div w:id="1374964319">
      <w:marLeft w:val="0"/>
      <w:marRight w:val="0"/>
      <w:marTop w:val="0"/>
      <w:marBottom w:val="0"/>
      <w:divBdr>
        <w:top w:val="none" w:sz="0" w:space="0" w:color="auto"/>
        <w:left w:val="none" w:sz="0" w:space="0" w:color="auto"/>
        <w:bottom w:val="none" w:sz="0" w:space="0" w:color="auto"/>
        <w:right w:val="none" w:sz="0" w:space="0" w:color="auto"/>
      </w:divBdr>
    </w:div>
    <w:div w:id="1377509843">
      <w:marLeft w:val="0"/>
      <w:marRight w:val="0"/>
      <w:marTop w:val="180"/>
      <w:marBottom w:val="180"/>
      <w:divBdr>
        <w:top w:val="none" w:sz="0" w:space="0" w:color="auto"/>
        <w:left w:val="none" w:sz="0" w:space="0" w:color="auto"/>
        <w:bottom w:val="none" w:sz="0" w:space="0" w:color="auto"/>
        <w:right w:val="none" w:sz="0" w:space="0" w:color="auto"/>
      </w:divBdr>
    </w:div>
    <w:div w:id="1379236580">
      <w:marLeft w:val="0"/>
      <w:marRight w:val="0"/>
      <w:marTop w:val="180"/>
      <w:marBottom w:val="180"/>
      <w:divBdr>
        <w:top w:val="none" w:sz="0" w:space="0" w:color="auto"/>
        <w:left w:val="none" w:sz="0" w:space="0" w:color="auto"/>
        <w:bottom w:val="none" w:sz="0" w:space="0" w:color="auto"/>
        <w:right w:val="none" w:sz="0" w:space="0" w:color="auto"/>
      </w:divBdr>
    </w:div>
    <w:div w:id="1379938064">
      <w:marLeft w:val="0"/>
      <w:marRight w:val="0"/>
      <w:marTop w:val="180"/>
      <w:marBottom w:val="180"/>
      <w:divBdr>
        <w:top w:val="none" w:sz="0" w:space="0" w:color="auto"/>
        <w:left w:val="none" w:sz="0" w:space="0" w:color="auto"/>
        <w:bottom w:val="none" w:sz="0" w:space="0" w:color="auto"/>
        <w:right w:val="none" w:sz="0" w:space="0" w:color="auto"/>
      </w:divBdr>
    </w:div>
    <w:div w:id="1380935925">
      <w:marLeft w:val="0"/>
      <w:marRight w:val="0"/>
      <w:marTop w:val="180"/>
      <w:marBottom w:val="180"/>
      <w:divBdr>
        <w:top w:val="none" w:sz="0" w:space="0" w:color="auto"/>
        <w:left w:val="none" w:sz="0" w:space="0" w:color="auto"/>
        <w:bottom w:val="none" w:sz="0" w:space="0" w:color="auto"/>
        <w:right w:val="none" w:sz="0" w:space="0" w:color="auto"/>
      </w:divBdr>
    </w:div>
    <w:div w:id="1385064551">
      <w:marLeft w:val="0"/>
      <w:marRight w:val="0"/>
      <w:marTop w:val="60"/>
      <w:marBottom w:val="60"/>
      <w:divBdr>
        <w:top w:val="none" w:sz="0" w:space="0" w:color="auto"/>
        <w:left w:val="none" w:sz="0" w:space="0" w:color="auto"/>
        <w:bottom w:val="none" w:sz="0" w:space="0" w:color="auto"/>
        <w:right w:val="none" w:sz="0" w:space="0" w:color="auto"/>
      </w:divBdr>
    </w:div>
    <w:div w:id="1385519029">
      <w:marLeft w:val="0"/>
      <w:marRight w:val="0"/>
      <w:marTop w:val="180"/>
      <w:marBottom w:val="180"/>
      <w:divBdr>
        <w:top w:val="none" w:sz="0" w:space="0" w:color="auto"/>
        <w:left w:val="none" w:sz="0" w:space="0" w:color="auto"/>
        <w:bottom w:val="none" w:sz="0" w:space="0" w:color="auto"/>
        <w:right w:val="none" w:sz="0" w:space="0" w:color="auto"/>
      </w:divBdr>
    </w:div>
    <w:div w:id="1385635609">
      <w:marLeft w:val="0"/>
      <w:marRight w:val="0"/>
      <w:marTop w:val="60"/>
      <w:marBottom w:val="60"/>
      <w:divBdr>
        <w:top w:val="none" w:sz="0" w:space="0" w:color="auto"/>
        <w:left w:val="none" w:sz="0" w:space="0" w:color="auto"/>
        <w:bottom w:val="none" w:sz="0" w:space="0" w:color="auto"/>
        <w:right w:val="none" w:sz="0" w:space="0" w:color="auto"/>
      </w:divBdr>
      <w:divsChild>
        <w:div w:id="312374097">
          <w:marLeft w:val="0"/>
          <w:marRight w:val="0"/>
          <w:marTop w:val="0"/>
          <w:marBottom w:val="0"/>
          <w:divBdr>
            <w:top w:val="none" w:sz="0" w:space="0" w:color="auto"/>
            <w:left w:val="none" w:sz="0" w:space="0" w:color="auto"/>
            <w:bottom w:val="none" w:sz="0" w:space="0" w:color="auto"/>
            <w:right w:val="none" w:sz="0" w:space="0" w:color="auto"/>
          </w:divBdr>
        </w:div>
        <w:div w:id="578102588">
          <w:marLeft w:val="0"/>
          <w:marRight w:val="0"/>
          <w:marTop w:val="0"/>
          <w:marBottom w:val="0"/>
          <w:divBdr>
            <w:top w:val="none" w:sz="0" w:space="0" w:color="auto"/>
            <w:left w:val="none" w:sz="0" w:space="0" w:color="auto"/>
            <w:bottom w:val="none" w:sz="0" w:space="0" w:color="auto"/>
            <w:right w:val="none" w:sz="0" w:space="0" w:color="auto"/>
          </w:divBdr>
        </w:div>
      </w:divsChild>
    </w:div>
    <w:div w:id="1385912622">
      <w:marLeft w:val="0"/>
      <w:marRight w:val="0"/>
      <w:marTop w:val="0"/>
      <w:marBottom w:val="0"/>
      <w:divBdr>
        <w:top w:val="none" w:sz="0" w:space="0" w:color="auto"/>
        <w:left w:val="none" w:sz="0" w:space="0" w:color="auto"/>
        <w:bottom w:val="none" w:sz="0" w:space="0" w:color="auto"/>
        <w:right w:val="none" w:sz="0" w:space="0" w:color="auto"/>
      </w:divBdr>
      <w:divsChild>
        <w:div w:id="626006010">
          <w:marLeft w:val="0"/>
          <w:marRight w:val="0"/>
          <w:marTop w:val="0"/>
          <w:marBottom w:val="0"/>
          <w:divBdr>
            <w:top w:val="none" w:sz="0" w:space="0" w:color="auto"/>
            <w:left w:val="none" w:sz="0" w:space="0" w:color="auto"/>
            <w:bottom w:val="none" w:sz="0" w:space="0" w:color="auto"/>
            <w:right w:val="none" w:sz="0" w:space="0" w:color="auto"/>
          </w:divBdr>
          <w:divsChild>
            <w:div w:id="2079015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5986274">
      <w:marLeft w:val="0"/>
      <w:marRight w:val="0"/>
      <w:marTop w:val="0"/>
      <w:marBottom w:val="0"/>
      <w:divBdr>
        <w:top w:val="none" w:sz="0" w:space="0" w:color="auto"/>
        <w:left w:val="none" w:sz="0" w:space="0" w:color="auto"/>
        <w:bottom w:val="none" w:sz="0" w:space="0" w:color="auto"/>
        <w:right w:val="none" w:sz="0" w:space="0" w:color="auto"/>
      </w:divBdr>
    </w:div>
    <w:div w:id="1386370784">
      <w:marLeft w:val="0"/>
      <w:marRight w:val="0"/>
      <w:marTop w:val="180"/>
      <w:marBottom w:val="180"/>
      <w:divBdr>
        <w:top w:val="none" w:sz="0" w:space="0" w:color="auto"/>
        <w:left w:val="none" w:sz="0" w:space="0" w:color="auto"/>
        <w:bottom w:val="none" w:sz="0" w:space="0" w:color="auto"/>
        <w:right w:val="none" w:sz="0" w:space="0" w:color="auto"/>
      </w:divBdr>
    </w:div>
    <w:div w:id="1387684446">
      <w:marLeft w:val="0"/>
      <w:marRight w:val="0"/>
      <w:marTop w:val="180"/>
      <w:marBottom w:val="180"/>
      <w:divBdr>
        <w:top w:val="none" w:sz="0" w:space="0" w:color="auto"/>
        <w:left w:val="none" w:sz="0" w:space="0" w:color="auto"/>
        <w:bottom w:val="none" w:sz="0" w:space="0" w:color="auto"/>
        <w:right w:val="none" w:sz="0" w:space="0" w:color="auto"/>
      </w:divBdr>
    </w:div>
    <w:div w:id="1388992440">
      <w:marLeft w:val="0"/>
      <w:marRight w:val="0"/>
      <w:marTop w:val="60"/>
      <w:marBottom w:val="0"/>
      <w:divBdr>
        <w:top w:val="none" w:sz="0" w:space="0" w:color="auto"/>
        <w:left w:val="none" w:sz="0" w:space="0" w:color="auto"/>
        <w:bottom w:val="none" w:sz="0" w:space="0" w:color="auto"/>
        <w:right w:val="none" w:sz="0" w:space="0" w:color="auto"/>
      </w:divBdr>
      <w:divsChild>
        <w:div w:id="178475275">
          <w:marLeft w:val="0"/>
          <w:marRight w:val="0"/>
          <w:marTop w:val="0"/>
          <w:marBottom w:val="0"/>
          <w:divBdr>
            <w:top w:val="none" w:sz="0" w:space="0" w:color="auto"/>
            <w:left w:val="none" w:sz="0" w:space="0" w:color="auto"/>
            <w:bottom w:val="none" w:sz="0" w:space="0" w:color="auto"/>
            <w:right w:val="none" w:sz="0" w:space="0" w:color="auto"/>
          </w:divBdr>
        </w:div>
        <w:div w:id="767969293">
          <w:marLeft w:val="0"/>
          <w:marRight w:val="0"/>
          <w:marTop w:val="0"/>
          <w:marBottom w:val="0"/>
          <w:divBdr>
            <w:top w:val="none" w:sz="0" w:space="0" w:color="auto"/>
            <w:left w:val="none" w:sz="0" w:space="0" w:color="auto"/>
            <w:bottom w:val="none" w:sz="0" w:space="0" w:color="auto"/>
            <w:right w:val="none" w:sz="0" w:space="0" w:color="auto"/>
          </w:divBdr>
        </w:div>
      </w:divsChild>
    </w:div>
    <w:div w:id="1390493990">
      <w:marLeft w:val="0"/>
      <w:marRight w:val="0"/>
      <w:marTop w:val="0"/>
      <w:marBottom w:val="0"/>
      <w:divBdr>
        <w:top w:val="none" w:sz="0" w:space="0" w:color="auto"/>
        <w:left w:val="none" w:sz="0" w:space="0" w:color="auto"/>
        <w:bottom w:val="none" w:sz="0" w:space="0" w:color="auto"/>
        <w:right w:val="none" w:sz="0" w:space="0" w:color="auto"/>
      </w:divBdr>
      <w:divsChild>
        <w:div w:id="1528716373">
          <w:marLeft w:val="0"/>
          <w:marRight w:val="0"/>
          <w:marTop w:val="0"/>
          <w:marBottom w:val="0"/>
          <w:divBdr>
            <w:top w:val="none" w:sz="0" w:space="0" w:color="auto"/>
            <w:left w:val="none" w:sz="0" w:space="0" w:color="auto"/>
            <w:bottom w:val="none" w:sz="0" w:space="0" w:color="auto"/>
            <w:right w:val="none" w:sz="0" w:space="0" w:color="auto"/>
          </w:divBdr>
          <w:divsChild>
            <w:div w:id="7962918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91617579">
      <w:marLeft w:val="0"/>
      <w:marRight w:val="0"/>
      <w:marTop w:val="180"/>
      <w:marBottom w:val="180"/>
      <w:divBdr>
        <w:top w:val="none" w:sz="0" w:space="0" w:color="auto"/>
        <w:left w:val="none" w:sz="0" w:space="0" w:color="auto"/>
        <w:bottom w:val="none" w:sz="0" w:space="0" w:color="auto"/>
        <w:right w:val="none" w:sz="0" w:space="0" w:color="auto"/>
      </w:divBdr>
    </w:div>
    <w:div w:id="1391728374">
      <w:marLeft w:val="0"/>
      <w:marRight w:val="0"/>
      <w:marTop w:val="180"/>
      <w:marBottom w:val="180"/>
      <w:divBdr>
        <w:top w:val="none" w:sz="0" w:space="0" w:color="auto"/>
        <w:left w:val="none" w:sz="0" w:space="0" w:color="auto"/>
        <w:bottom w:val="none" w:sz="0" w:space="0" w:color="auto"/>
        <w:right w:val="none" w:sz="0" w:space="0" w:color="auto"/>
      </w:divBdr>
      <w:divsChild>
        <w:div w:id="465707194">
          <w:marLeft w:val="0"/>
          <w:marRight w:val="0"/>
          <w:marTop w:val="0"/>
          <w:marBottom w:val="0"/>
          <w:divBdr>
            <w:top w:val="none" w:sz="0" w:space="0" w:color="auto"/>
            <w:left w:val="none" w:sz="0" w:space="0" w:color="auto"/>
            <w:bottom w:val="none" w:sz="0" w:space="0" w:color="auto"/>
            <w:right w:val="none" w:sz="0" w:space="0" w:color="auto"/>
          </w:divBdr>
        </w:div>
        <w:div w:id="116415253">
          <w:marLeft w:val="0"/>
          <w:marRight w:val="0"/>
          <w:marTop w:val="0"/>
          <w:marBottom w:val="0"/>
          <w:divBdr>
            <w:top w:val="none" w:sz="0" w:space="0" w:color="auto"/>
            <w:left w:val="none" w:sz="0" w:space="0" w:color="auto"/>
            <w:bottom w:val="none" w:sz="0" w:space="0" w:color="auto"/>
            <w:right w:val="none" w:sz="0" w:space="0" w:color="auto"/>
          </w:divBdr>
        </w:div>
        <w:div w:id="1543051275">
          <w:marLeft w:val="0"/>
          <w:marRight w:val="0"/>
          <w:marTop w:val="0"/>
          <w:marBottom w:val="0"/>
          <w:divBdr>
            <w:top w:val="none" w:sz="0" w:space="0" w:color="auto"/>
            <w:left w:val="none" w:sz="0" w:space="0" w:color="auto"/>
            <w:bottom w:val="none" w:sz="0" w:space="0" w:color="auto"/>
            <w:right w:val="none" w:sz="0" w:space="0" w:color="auto"/>
          </w:divBdr>
        </w:div>
      </w:divsChild>
    </w:div>
    <w:div w:id="1394041484">
      <w:marLeft w:val="0"/>
      <w:marRight w:val="0"/>
      <w:marTop w:val="180"/>
      <w:marBottom w:val="180"/>
      <w:divBdr>
        <w:top w:val="none" w:sz="0" w:space="0" w:color="auto"/>
        <w:left w:val="none" w:sz="0" w:space="0" w:color="auto"/>
        <w:bottom w:val="none" w:sz="0" w:space="0" w:color="auto"/>
        <w:right w:val="none" w:sz="0" w:space="0" w:color="auto"/>
      </w:divBdr>
      <w:divsChild>
        <w:div w:id="683048899">
          <w:marLeft w:val="0"/>
          <w:marRight w:val="0"/>
          <w:marTop w:val="0"/>
          <w:marBottom w:val="0"/>
          <w:divBdr>
            <w:top w:val="none" w:sz="0" w:space="0" w:color="auto"/>
            <w:left w:val="none" w:sz="0" w:space="0" w:color="auto"/>
            <w:bottom w:val="none" w:sz="0" w:space="0" w:color="auto"/>
            <w:right w:val="none" w:sz="0" w:space="0" w:color="auto"/>
          </w:divBdr>
        </w:div>
        <w:div w:id="377125550">
          <w:marLeft w:val="0"/>
          <w:marRight w:val="0"/>
          <w:marTop w:val="0"/>
          <w:marBottom w:val="0"/>
          <w:divBdr>
            <w:top w:val="none" w:sz="0" w:space="0" w:color="auto"/>
            <w:left w:val="none" w:sz="0" w:space="0" w:color="auto"/>
            <w:bottom w:val="none" w:sz="0" w:space="0" w:color="auto"/>
            <w:right w:val="none" w:sz="0" w:space="0" w:color="auto"/>
          </w:divBdr>
        </w:div>
      </w:divsChild>
    </w:div>
    <w:div w:id="1394084565">
      <w:marLeft w:val="0"/>
      <w:marRight w:val="0"/>
      <w:marTop w:val="60"/>
      <w:marBottom w:val="60"/>
      <w:divBdr>
        <w:top w:val="none" w:sz="0" w:space="0" w:color="auto"/>
        <w:left w:val="none" w:sz="0" w:space="0" w:color="auto"/>
        <w:bottom w:val="none" w:sz="0" w:space="0" w:color="auto"/>
        <w:right w:val="none" w:sz="0" w:space="0" w:color="auto"/>
      </w:divBdr>
    </w:div>
    <w:div w:id="1394965108">
      <w:marLeft w:val="0"/>
      <w:marRight w:val="0"/>
      <w:marTop w:val="0"/>
      <w:marBottom w:val="0"/>
      <w:divBdr>
        <w:top w:val="none" w:sz="0" w:space="0" w:color="auto"/>
        <w:left w:val="none" w:sz="0" w:space="0" w:color="auto"/>
        <w:bottom w:val="none" w:sz="0" w:space="0" w:color="auto"/>
        <w:right w:val="none" w:sz="0" w:space="0" w:color="auto"/>
      </w:divBdr>
      <w:divsChild>
        <w:div w:id="1950700405">
          <w:marLeft w:val="0"/>
          <w:marRight w:val="0"/>
          <w:marTop w:val="180"/>
          <w:marBottom w:val="180"/>
          <w:divBdr>
            <w:top w:val="none" w:sz="0" w:space="0" w:color="auto"/>
            <w:left w:val="none" w:sz="0" w:space="0" w:color="auto"/>
            <w:bottom w:val="none" w:sz="0" w:space="0" w:color="auto"/>
            <w:right w:val="none" w:sz="0" w:space="0" w:color="auto"/>
          </w:divBdr>
        </w:div>
      </w:divsChild>
    </w:div>
    <w:div w:id="1397777773">
      <w:marLeft w:val="0"/>
      <w:marRight w:val="0"/>
      <w:marTop w:val="100"/>
      <w:marBottom w:val="0"/>
      <w:divBdr>
        <w:top w:val="none" w:sz="0" w:space="0" w:color="auto"/>
        <w:left w:val="none" w:sz="0" w:space="0" w:color="auto"/>
        <w:bottom w:val="none" w:sz="0" w:space="0" w:color="auto"/>
        <w:right w:val="none" w:sz="0" w:space="0" w:color="auto"/>
      </w:divBdr>
    </w:div>
    <w:div w:id="1398481654">
      <w:marLeft w:val="0"/>
      <w:marRight w:val="0"/>
      <w:marTop w:val="180"/>
      <w:marBottom w:val="180"/>
      <w:divBdr>
        <w:top w:val="none" w:sz="0" w:space="0" w:color="auto"/>
        <w:left w:val="none" w:sz="0" w:space="0" w:color="auto"/>
        <w:bottom w:val="none" w:sz="0" w:space="0" w:color="auto"/>
        <w:right w:val="none" w:sz="0" w:space="0" w:color="auto"/>
      </w:divBdr>
    </w:div>
    <w:div w:id="1398740907">
      <w:marLeft w:val="0"/>
      <w:marRight w:val="0"/>
      <w:marTop w:val="0"/>
      <w:marBottom w:val="0"/>
      <w:divBdr>
        <w:top w:val="none" w:sz="0" w:space="0" w:color="auto"/>
        <w:left w:val="none" w:sz="0" w:space="0" w:color="auto"/>
        <w:bottom w:val="none" w:sz="0" w:space="0" w:color="auto"/>
        <w:right w:val="none" w:sz="0" w:space="0" w:color="auto"/>
      </w:divBdr>
      <w:divsChild>
        <w:div w:id="411854560">
          <w:marLeft w:val="0"/>
          <w:marRight w:val="0"/>
          <w:marTop w:val="0"/>
          <w:marBottom w:val="0"/>
          <w:divBdr>
            <w:top w:val="none" w:sz="0" w:space="0" w:color="auto"/>
            <w:left w:val="none" w:sz="0" w:space="0" w:color="auto"/>
            <w:bottom w:val="none" w:sz="0" w:space="0" w:color="auto"/>
            <w:right w:val="none" w:sz="0" w:space="0" w:color="auto"/>
          </w:divBdr>
          <w:divsChild>
            <w:div w:id="8200794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99285610">
      <w:marLeft w:val="0"/>
      <w:marRight w:val="0"/>
      <w:marTop w:val="0"/>
      <w:marBottom w:val="0"/>
      <w:divBdr>
        <w:top w:val="none" w:sz="0" w:space="0" w:color="auto"/>
        <w:left w:val="none" w:sz="0" w:space="0" w:color="auto"/>
        <w:bottom w:val="none" w:sz="0" w:space="0" w:color="auto"/>
        <w:right w:val="none" w:sz="0" w:space="0" w:color="auto"/>
      </w:divBdr>
      <w:divsChild>
        <w:div w:id="936251869">
          <w:marLeft w:val="0"/>
          <w:marRight w:val="0"/>
          <w:marTop w:val="60"/>
          <w:marBottom w:val="60"/>
          <w:divBdr>
            <w:top w:val="none" w:sz="0" w:space="0" w:color="auto"/>
            <w:left w:val="none" w:sz="0" w:space="0" w:color="auto"/>
            <w:bottom w:val="none" w:sz="0" w:space="0" w:color="auto"/>
            <w:right w:val="none" w:sz="0" w:space="0" w:color="auto"/>
          </w:divBdr>
        </w:div>
      </w:divsChild>
    </w:div>
    <w:div w:id="1399478039">
      <w:marLeft w:val="0"/>
      <w:marRight w:val="0"/>
      <w:marTop w:val="60"/>
      <w:marBottom w:val="60"/>
      <w:divBdr>
        <w:top w:val="none" w:sz="0" w:space="0" w:color="auto"/>
        <w:left w:val="none" w:sz="0" w:space="0" w:color="auto"/>
        <w:bottom w:val="none" w:sz="0" w:space="0" w:color="auto"/>
        <w:right w:val="none" w:sz="0" w:space="0" w:color="auto"/>
      </w:divBdr>
    </w:div>
    <w:div w:id="1400396844">
      <w:marLeft w:val="0"/>
      <w:marRight w:val="0"/>
      <w:marTop w:val="60"/>
      <w:marBottom w:val="60"/>
      <w:divBdr>
        <w:top w:val="none" w:sz="0" w:space="0" w:color="auto"/>
        <w:left w:val="none" w:sz="0" w:space="0" w:color="auto"/>
        <w:bottom w:val="none" w:sz="0" w:space="0" w:color="auto"/>
        <w:right w:val="none" w:sz="0" w:space="0" w:color="auto"/>
      </w:divBdr>
    </w:div>
    <w:div w:id="1400445395">
      <w:marLeft w:val="0"/>
      <w:marRight w:val="0"/>
      <w:marTop w:val="180"/>
      <w:marBottom w:val="180"/>
      <w:divBdr>
        <w:top w:val="none" w:sz="0" w:space="0" w:color="auto"/>
        <w:left w:val="none" w:sz="0" w:space="0" w:color="auto"/>
        <w:bottom w:val="none" w:sz="0" w:space="0" w:color="auto"/>
        <w:right w:val="none" w:sz="0" w:space="0" w:color="auto"/>
      </w:divBdr>
    </w:div>
    <w:div w:id="1402673399">
      <w:marLeft w:val="0"/>
      <w:marRight w:val="0"/>
      <w:marTop w:val="0"/>
      <w:marBottom w:val="0"/>
      <w:divBdr>
        <w:top w:val="none" w:sz="0" w:space="0" w:color="auto"/>
        <w:left w:val="none" w:sz="0" w:space="0" w:color="auto"/>
        <w:bottom w:val="none" w:sz="0" w:space="0" w:color="auto"/>
        <w:right w:val="none" w:sz="0" w:space="0" w:color="auto"/>
      </w:divBdr>
    </w:div>
    <w:div w:id="1403328491">
      <w:marLeft w:val="0"/>
      <w:marRight w:val="0"/>
      <w:marTop w:val="0"/>
      <w:marBottom w:val="15"/>
      <w:divBdr>
        <w:top w:val="none" w:sz="0" w:space="0" w:color="auto"/>
        <w:left w:val="none" w:sz="0" w:space="0" w:color="auto"/>
        <w:bottom w:val="none" w:sz="0" w:space="0" w:color="auto"/>
        <w:right w:val="none" w:sz="0" w:space="0" w:color="auto"/>
      </w:divBdr>
    </w:div>
    <w:div w:id="1404715572">
      <w:marLeft w:val="0"/>
      <w:marRight w:val="0"/>
      <w:marTop w:val="180"/>
      <w:marBottom w:val="180"/>
      <w:divBdr>
        <w:top w:val="none" w:sz="0" w:space="0" w:color="auto"/>
        <w:left w:val="none" w:sz="0" w:space="0" w:color="auto"/>
        <w:bottom w:val="none" w:sz="0" w:space="0" w:color="auto"/>
        <w:right w:val="none" w:sz="0" w:space="0" w:color="auto"/>
      </w:divBdr>
    </w:div>
    <w:div w:id="1406027355">
      <w:marLeft w:val="0"/>
      <w:marRight w:val="0"/>
      <w:marTop w:val="180"/>
      <w:marBottom w:val="180"/>
      <w:divBdr>
        <w:top w:val="none" w:sz="0" w:space="0" w:color="auto"/>
        <w:left w:val="none" w:sz="0" w:space="0" w:color="auto"/>
        <w:bottom w:val="none" w:sz="0" w:space="0" w:color="auto"/>
        <w:right w:val="none" w:sz="0" w:space="0" w:color="auto"/>
      </w:divBdr>
    </w:div>
    <w:div w:id="1410615157">
      <w:marLeft w:val="0"/>
      <w:marRight w:val="0"/>
      <w:marTop w:val="180"/>
      <w:marBottom w:val="180"/>
      <w:divBdr>
        <w:top w:val="none" w:sz="0" w:space="0" w:color="auto"/>
        <w:left w:val="none" w:sz="0" w:space="0" w:color="auto"/>
        <w:bottom w:val="none" w:sz="0" w:space="0" w:color="auto"/>
        <w:right w:val="none" w:sz="0" w:space="0" w:color="auto"/>
      </w:divBdr>
    </w:div>
    <w:div w:id="1411929433">
      <w:marLeft w:val="0"/>
      <w:marRight w:val="0"/>
      <w:marTop w:val="180"/>
      <w:marBottom w:val="0"/>
      <w:divBdr>
        <w:top w:val="none" w:sz="0" w:space="0" w:color="auto"/>
        <w:left w:val="none" w:sz="0" w:space="0" w:color="auto"/>
        <w:bottom w:val="none" w:sz="0" w:space="0" w:color="auto"/>
        <w:right w:val="none" w:sz="0" w:space="0" w:color="auto"/>
      </w:divBdr>
      <w:divsChild>
        <w:div w:id="1951164082">
          <w:marLeft w:val="0"/>
          <w:marRight w:val="0"/>
          <w:marTop w:val="0"/>
          <w:marBottom w:val="0"/>
          <w:divBdr>
            <w:top w:val="none" w:sz="0" w:space="0" w:color="auto"/>
            <w:left w:val="none" w:sz="0" w:space="0" w:color="auto"/>
            <w:bottom w:val="none" w:sz="0" w:space="0" w:color="auto"/>
            <w:right w:val="none" w:sz="0" w:space="0" w:color="auto"/>
          </w:divBdr>
        </w:div>
        <w:div w:id="1780369523">
          <w:marLeft w:val="0"/>
          <w:marRight w:val="0"/>
          <w:marTop w:val="0"/>
          <w:marBottom w:val="0"/>
          <w:divBdr>
            <w:top w:val="none" w:sz="0" w:space="0" w:color="auto"/>
            <w:left w:val="none" w:sz="0" w:space="0" w:color="auto"/>
            <w:bottom w:val="none" w:sz="0" w:space="0" w:color="auto"/>
            <w:right w:val="none" w:sz="0" w:space="0" w:color="auto"/>
          </w:divBdr>
        </w:div>
      </w:divsChild>
    </w:div>
    <w:div w:id="1412267027">
      <w:marLeft w:val="0"/>
      <w:marRight w:val="0"/>
      <w:marTop w:val="180"/>
      <w:marBottom w:val="180"/>
      <w:divBdr>
        <w:top w:val="none" w:sz="0" w:space="0" w:color="auto"/>
        <w:left w:val="none" w:sz="0" w:space="0" w:color="auto"/>
        <w:bottom w:val="none" w:sz="0" w:space="0" w:color="auto"/>
        <w:right w:val="none" w:sz="0" w:space="0" w:color="auto"/>
      </w:divBdr>
    </w:div>
    <w:div w:id="1413965858">
      <w:marLeft w:val="0"/>
      <w:marRight w:val="0"/>
      <w:marTop w:val="0"/>
      <w:marBottom w:val="0"/>
      <w:divBdr>
        <w:top w:val="none" w:sz="0" w:space="0" w:color="auto"/>
        <w:left w:val="none" w:sz="0" w:space="0" w:color="auto"/>
        <w:bottom w:val="none" w:sz="0" w:space="0" w:color="auto"/>
        <w:right w:val="none" w:sz="0" w:space="0" w:color="auto"/>
      </w:divBdr>
      <w:divsChild>
        <w:div w:id="767627784">
          <w:marLeft w:val="0"/>
          <w:marRight w:val="0"/>
          <w:marTop w:val="0"/>
          <w:marBottom w:val="0"/>
          <w:divBdr>
            <w:top w:val="none" w:sz="0" w:space="0" w:color="auto"/>
            <w:left w:val="none" w:sz="0" w:space="0" w:color="auto"/>
            <w:bottom w:val="none" w:sz="0" w:space="0" w:color="auto"/>
            <w:right w:val="none" w:sz="0" w:space="0" w:color="auto"/>
          </w:divBdr>
          <w:divsChild>
            <w:div w:id="6940365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3966586">
      <w:marLeft w:val="0"/>
      <w:marRight w:val="0"/>
      <w:marTop w:val="180"/>
      <w:marBottom w:val="180"/>
      <w:divBdr>
        <w:top w:val="none" w:sz="0" w:space="0" w:color="auto"/>
        <w:left w:val="none" w:sz="0" w:space="0" w:color="auto"/>
        <w:bottom w:val="none" w:sz="0" w:space="0" w:color="auto"/>
        <w:right w:val="none" w:sz="0" w:space="0" w:color="auto"/>
      </w:divBdr>
    </w:div>
    <w:div w:id="1414349949">
      <w:marLeft w:val="0"/>
      <w:marRight w:val="0"/>
      <w:marTop w:val="0"/>
      <w:marBottom w:val="0"/>
      <w:divBdr>
        <w:top w:val="none" w:sz="0" w:space="0" w:color="auto"/>
        <w:left w:val="none" w:sz="0" w:space="0" w:color="auto"/>
        <w:bottom w:val="none" w:sz="0" w:space="0" w:color="auto"/>
        <w:right w:val="none" w:sz="0" w:space="0" w:color="auto"/>
      </w:divBdr>
      <w:divsChild>
        <w:div w:id="1046372538">
          <w:marLeft w:val="0"/>
          <w:marRight w:val="0"/>
          <w:marTop w:val="180"/>
          <w:marBottom w:val="180"/>
          <w:divBdr>
            <w:top w:val="none" w:sz="0" w:space="0" w:color="auto"/>
            <w:left w:val="none" w:sz="0" w:space="0" w:color="auto"/>
            <w:bottom w:val="none" w:sz="0" w:space="0" w:color="auto"/>
            <w:right w:val="none" w:sz="0" w:space="0" w:color="auto"/>
          </w:divBdr>
        </w:div>
      </w:divsChild>
    </w:div>
    <w:div w:id="1415010768">
      <w:marLeft w:val="0"/>
      <w:marRight w:val="0"/>
      <w:marTop w:val="0"/>
      <w:marBottom w:val="0"/>
      <w:divBdr>
        <w:top w:val="none" w:sz="0" w:space="0" w:color="auto"/>
        <w:left w:val="none" w:sz="0" w:space="0" w:color="auto"/>
        <w:bottom w:val="none" w:sz="0" w:space="0" w:color="auto"/>
        <w:right w:val="none" w:sz="0" w:space="0" w:color="auto"/>
      </w:divBdr>
    </w:div>
    <w:div w:id="1416588529">
      <w:marLeft w:val="0"/>
      <w:marRight w:val="0"/>
      <w:marTop w:val="0"/>
      <w:marBottom w:val="0"/>
      <w:divBdr>
        <w:top w:val="none" w:sz="0" w:space="0" w:color="auto"/>
        <w:left w:val="none" w:sz="0" w:space="0" w:color="auto"/>
        <w:bottom w:val="none" w:sz="0" w:space="0" w:color="auto"/>
        <w:right w:val="none" w:sz="0" w:space="0" w:color="auto"/>
      </w:divBdr>
    </w:div>
    <w:div w:id="1419406820">
      <w:marLeft w:val="0"/>
      <w:marRight w:val="0"/>
      <w:marTop w:val="60"/>
      <w:marBottom w:val="60"/>
      <w:divBdr>
        <w:top w:val="none" w:sz="0" w:space="0" w:color="auto"/>
        <w:left w:val="none" w:sz="0" w:space="0" w:color="auto"/>
        <w:bottom w:val="none" w:sz="0" w:space="0" w:color="auto"/>
        <w:right w:val="none" w:sz="0" w:space="0" w:color="auto"/>
      </w:divBdr>
    </w:div>
    <w:div w:id="1432775142">
      <w:marLeft w:val="0"/>
      <w:marRight w:val="0"/>
      <w:marTop w:val="60"/>
      <w:marBottom w:val="60"/>
      <w:divBdr>
        <w:top w:val="none" w:sz="0" w:space="0" w:color="auto"/>
        <w:left w:val="none" w:sz="0" w:space="0" w:color="auto"/>
        <w:bottom w:val="none" w:sz="0" w:space="0" w:color="auto"/>
        <w:right w:val="none" w:sz="0" w:space="0" w:color="auto"/>
      </w:divBdr>
    </w:div>
    <w:div w:id="1433667325">
      <w:marLeft w:val="0"/>
      <w:marRight w:val="0"/>
      <w:marTop w:val="180"/>
      <w:marBottom w:val="0"/>
      <w:divBdr>
        <w:top w:val="none" w:sz="0" w:space="0" w:color="auto"/>
        <w:left w:val="none" w:sz="0" w:space="0" w:color="auto"/>
        <w:bottom w:val="none" w:sz="0" w:space="0" w:color="auto"/>
        <w:right w:val="none" w:sz="0" w:space="0" w:color="auto"/>
      </w:divBdr>
      <w:divsChild>
        <w:div w:id="313340285">
          <w:marLeft w:val="0"/>
          <w:marRight w:val="0"/>
          <w:marTop w:val="0"/>
          <w:marBottom w:val="0"/>
          <w:divBdr>
            <w:top w:val="none" w:sz="0" w:space="0" w:color="auto"/>
            <w:left w:val="none" w:sz="0" w:space="0" w:color="auto"/>
            <w:bottom w:val="none" w:sz="0" w:space="0" w:color="auto"/>
            <w:right w:val="none" w:sz="0" w:space="0" w:color="auto"/>
          </w:divBdr>
        </w:div>
        <w:div w:id="376510808">
          <w:marLeft w:val="0"/>
          <w:marRight w:val="0"/>
          <w:marTop w:val="0"/>
          <w:marBottom w:val="0"/>
          <w:divBdr>
            <w:top w:val="none" w:sz="0" w:space="0" w:color="auto"/>
            <w:left w:val="none" w:sz="0" w:space="0" w:color="auto"/>
            <w:bottom w:val="none" w:sz="0" w:space="0" w:color="auto"/>
            <w:right w:val="none" w:sz="0" w:space="0" w:color="auto"/>
          </w:divBdr>
        </w:div>
        <w:div w:id="1662076618">
          <w:marLeft w:val="0"/>
          <w:marRight w:val="0"/>
          <w:marTop w:val="0"/>
          <w:marBottom w:val="0"/>
          <w:divBdr>
            <w:top w:val="none" w:sz="0" w:space="0" w:color="auto"/>
            <w:left w:val="none" w:sz="0" w:space="0" w:color="auto"/>
            <w:bottom w:val="none" w:sz="0" w:space="0" w:color="auto"/>
            <w:right w:val="none" w:sz="0" w:space="0" w:color="auto"/>
          </w:divBdr>
        </w:div>
        <w:div w:id="1162430777">
          <w:marLeft w:val="0"/>
          <w:marRight w:val="0"/>
          <w:marTop w:val="0"/>
          <w:marBottom w:val="0"/>
          <w:divBdr>
            <w:top w:val="none" w:sz="0" w:space="0" w:color="auto"/>
            <w:left w:val="none" w:sz="0" w:space="0" w:color="auto"/>
            <w:bottom w:val="none" w:sz="0" w:space="0" w:color="auto"/>
            <w:right w:val="none" w:sz="0" w:space="0" w:color="auto"/>
          </w:divBdr>
        </w:div>
        <w:div w:id="643313516">
          <w:marLeft w:val="0"/>
          <w:marRight w:val="0"/>
          <w:marTop w:val="0"/>
          <w:marBottom w:val="0"/>
          <w:divBdr>
            <w:top w:val="none" w:sz="0" w:space="0" w:color="auto"/>
            <w:left w:val="none" w:sz="0" w:space="0" w:color="auto"/>
            <w:bottom w:val="none" w:sz="0" w:space="0" w:color="auto"/>
            <w:right w:val="none" w:sz="0" w:space="0" w:color="auto"/>
          </w:divBdr>
        </w:div>
      </w:divsChild>
    </w:div>
    <w:div w:id="1435444159">
      <w:marLeft w:val="0"/>
      <w:marRight w:val="0"/>
      <w:marTop w:val="100"/>
      <w:marBottom w:val="0"/>
      <w:divBdr>
        <w:top w:val="none" w:sz="0" w:space="0" w:color="auto"/>
        <w:left w:val="none" w:sz="0" w:space="0" w:color="auto"/>
        <w:bottom w:val="none" w:sz="0" w:space="0" w:color="auto"/>
        <w:right w:val="none" w:sz="0" w:space="0" w:color="auto"/>
      </w:divBdr>
      <w:divsChild>
        <w:div w:id="2085715911">
          <w:marLeft w:val="0"/>
          <w:marRight w:val="0"/>
          <w:marTop w:val="0"/>
          <w:marBottom w:val="0"/>
          <w:divBdr>
            <w:top w:val="none" w:sz="0" w:space="0" w:color="auto"/>
            <w:left w:val="none" w:sz="0" w:space="0" w:color="auto"/>
            <w:bottom w:val="none" w:sz="0" w:space="0" w:color="auto"/>
            <w:right w:val="none" w:sz="0" w:space="0" w:color="auto"/>
          </w:divBdr>
        </w:div>
      </w:divsChild>
    </w:div>
    <w:div w:id="1436291912">
      <w:marLeft w:val="0"/>
      <w:marRight w:val="0"/>
      <w:marTop w:val="180"/>
      <w:marBottom w:val="180"/>
      <w:divBdr>
        <w:top w:val="none" w:sz="0" w:space="0" w:color="auto"/>
        <w:left w:val="none" w:sz="0" w:space="0" w:color="auto"/>
        <w:bottom w:val="none" w:sz="0" w:space="0" w:color="auto"/>
        <w:right w:val="none" w:sz="0" w:space="0" w:color="auto"/>
      </w:divBdr>
    </w:div>
    <w:div w:id="1436511528">
      <w:marLeft w:val="0"/>
      <w:marRight w:val="0"/>
      <w:marTop w:val="180"/>
      <w:marBottom w:val="180"/>
      <w:divBdr>
        <w:top w:val="none" w:sz="0" w:space="0" w:color="auto"/>
        <w:left w:val="none" w:sz="0" w:space="0" w:color="auto"/>
        <w:bottom w:val="none" w:sz="0" w:space="0" w:color="auto"/>
        <w:right w:val="none" w:sz="0" w:space="0" w:color="auto"/>
      </w:divBdr>
    </w:div>
    <w:div w:id="1439566935">
      <w:marLeft w:val="0"/>
      <w:marRight w:val="0"/>
      <w:marTop w:val="100"/>
      <w:marBottom w:val="0"/>
      <w:divBdr>
        <w:top w:val="none" w:sz="0" w:space="0" w:color="auto"/>
        <w:left w:val="none" w:sz="0" w:space="0" w:color="auto"/>
        <w:bottom w:val="none" w:sz="0" w:space="0" w:color="auto"/>
        <w:right w:val="none" w:sz="0" w:space="0" w:color="auto"/>
      </w:divBdr>
    </w:div>
    <w:div w:id="1440904401">
      <w:marLeft w:val="0"/>
      <w:marRight w:val="0"/>
      <w:marTop w:val="180"/>
      <w:marBottom w:val="180"/>
      <w:divBdr>
        <w:top w:val="none" w:sz="0" w:space="0" w:color="auto"/>
        <w:left w:val="none" w:sz="0" w:space="0" w:color="auto"/>
        <w:bottom w:val="none" w:sz="0" w:space="0" w:color="auto"/>
        <w:right w:val="none" w:sz="0" w:space="0" w:color="auto"/>
      </w:divBdr>
    </w:div>
    <w:div w:id="1443381939">
      <w:marLeft w:val="0"/>
      <w:marRight w:val="0"/>
      <w:marTop w:val="180"/>
      <w:marBottom w:val="180"/>
      <w:divBdr>
        <w:top w:val="none" w:sz="0" w:space="0" w:color="auto"/>
        <w:left w:val="none" w:sz="0" w:space="0" w:color="auto"/>
        <w:bottom w:val="none" w:sz="0" w:space="0" w:color="auto"/>
        <w:right w:val="none" w:sz="0" w:space="0" w:color="auto"/>
      </w:divBdr>
    </w:div>
    <w:div w:id="1443916145">
      <w:marLeft w:val="0"/>
      <w:marRight w:val="0"/>
      <w:marTop w:val="0"/>
      <w:marBottom w:val="0"/>
      <w:divBdr>
        <w:top w:val="none" w:sz="0" w:space="0" w:color="auto"/>
        <w:left w:val="none" w:sz="0" w:space="0" w:color="auto"/>
        <w:bottom w:val="none" w:sz="0" w:space="0" w:color="auto"/>
        <w:right w:val="none" w:sz="0" w:space="0" w:color="auto"/>
      </w:divBdr>
    </w:div>
    <w:div w:id="1445227028">
      <w:marLeft w:val="0"/>
      <w:marRight w:val="0"/>
      <w:marTop w:val="180"/>
      <w:marBottom w:val="180"/>
      <w:divBdr>
        <w:top w:val="none" w:sz="0" w:space="0" w:color="auto"/>
        <w:left w:val="none" w:sz="0" w:space="0" w:color="auto"/>
        <w:bottom w:val="none" w:sz="0" w:space="0" w:color="auto"/>
        <w:right w:val="none" w:sz="0" w:space="0" w:color="auto"/>
      </w:divBdr>
    </w:div>
    <w:div w:id="1445921372">
      <w:marLeft w:val="0"/>
      <w:marRight w:val="0"/>
      <w:marTop w:val="180"/>
      <w:marBottom w:val="180"/>
      <w:divBdr>
        <w:top w:val="none" w:sz="0" w:space="0" w:color="auto"/>
        <w:left w:val="none" w:sz="0" w:space="0" w:color="auto"/>
        <w:bottom w:val="none" w:sz="0" w:space="0" w:color="auto"/>
        <w:right w:val="none" w:sz="0" w:space="0" w:color="auto"/>
      </w:divBdr>
    </w:div>
    <w:div w:id="1446853478">
      <w:marLeft w:val="0"/>
      <w:marRight w:val="0"/>
      <w:marTop w:val="100"/>
      <w:marBottom w:val="0"/>
      <w:divBdr>
        <w:top w:val="none" w:sz="0" w:space="0" w:color="auto"/>
        <w:left w:val="none" w:sz="0" w:space="0" w:color="auto"/>
        <w:bottom w:val="none" w:sz="0" w:space="0" w:color="auto"/>
        <w:right w:val="none" w:sz="0" w:space="0" w:color="auto"/>
      </w:divBdr>
      <w:divsChild>
        <w:div w:id="1817796500">
          <w:marLeft w:val="0"/>
          <w:marRight w:val="0"/>
          <w:marTop w:val="0"/>
          <w:marBottom w:val="0"/>
          <w:divBdr>
            <w:top w:val="none" w:sz="0" w:space="0" w:color="auto"/>
            <w:left w:val="none" w:sz="0" w:space="0" w:color="auto"/>
            <w:bottom w:val="none" w:sz="0" w:space="0" w:color="auto"/>
            <w:right w:val="none" w:sz="0" w:space="0" w:color="auto"/>
          </w:divBdr>
        </w:div>
        <w:div w:id="1277954758">
          <w:marLeft w:val="0"/>
          <w:marRight w:val="0"/>
          <w:marTop w:val="0"/>
          <w:marBottom w:val="0"/>
          <w:divBdr>
            <w:top w:val="none" w:sz="0" w:space="0" w:color="auto"/>
            <w:left w:val="none" w:sz="0" w:space="0" w:color="auto"/>
            <w:bottom w:val="none" w:sz="0" w:space="0" w:color="auto"/>
            <w:right w:val="none" w:sz="0" w:space="0" w:color="auto"/>
          </w:divBdr>
        </w:div>
        <w:div w:id="1349139319">
          <w:marLeft w:val="0"/>
          <w:marRight w:val="0"/>
          <w:marTop w:val="0"/>
          <w:marBottom w:val="0"/>
          <w:divBdr>
            <w:top w:val="none" w:sz="0" w:space="0" w:color="auto"/>
            <w:left w:val="none" w:sz="0" w:space="0" w:color="auto"/>
            <w:bottom w:val="none" w:sz="0" w:space="0" w:color="auto"/>
            <w:right w:val="none" w:sz="0" w:space="0" w:color="auto"/>
          </w:divBdr>
        </w:div>
      </w:divsChild>
    </w:div>
    <w:div w:id="1449079906">
      <w:marLeft w:val="0"/>
      <w:marRight w:val="0"/>
      <w:marTop w:val="180"/>
      <w:marBottom w:val="180"/>
      <w:divBdr>
        <w:top w:val="none" w:sz="0" w:space="0" w:color="auto"/>
        <w:left w:val="none" w:sz="0" w:space="0" w:color="auto"/>
        <w:bottom w:val="none" w:sz="0" w:space="0" w:color="auto"/>
        <w:right w:val="none" w:sz="0" w:space="0" w:color="auto"/>
      </w:divBdr>
    </w:div>
    <w:div w:id="1451819578">
      <w:marLeft w:val="0"/>
      <w:marRight w:val="0"/>
      <w:marTop w:val="0"/>
      <w:marBottom w:val="0"/>
      <w:divBdr>
        <w:top w:val="none" w:sz="0" w:space="0" w:color="auto"/>
        <w:left w:val="none" w:sz="0" w:space="0" w:color="auto"/>
        <w:bottom w:val="none" w:sz="0" w:space="0" w:color="auto"/>
        <w:right w:val="none" w:sz="0" w:space="0" w:color="auto"/>
      </w:divBdr>
      <w:divsChild>
        <w:div w:id="1831480709">
          <w:marLeft w:val="0"/>
          <w:marRight w:val="0"/>
          <w:marTop w:val="0"/>
          <w:marBottom w:val="0"/>
          <w:divBdr>
            <w:top w:val="none" w:sz="0" w:space="0" w:color="auto"/>
            <w:left w:val="none" w:sz="0" w:space="0" w:color="auto"/>
            <w:bottom w:val="none" w:sz="0" w:space="0" w:color="auto"/>
            <w:right w:val="none" w:sz="0" w:space="0" w:color="auto"/>
          </w:divBdr>
          <w:divsChild>
            <w:div w:id="6346803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52086496">
      <w:marLeft w:val="0"/>
      <w:marRight w:val="0"/>
      <w:marTop w:val="180"/>
      <w:marBottom w:val="180"/>
      <w:divBdr>
        <w:top w:val="none" w:sz="0" w:space="0" w:color="auto"/>
        <w:left w:val="none" w:sz="0" w:space="0" w:color="auto"/>
        <w:bottom w:val="none" w:sz="0" w:space="0" w:color="auto"/>
        <w:right w:val="none" w:sz="0" w:space="0" w:color="auto"/>
      </w:divBdr>
    </w:div>
    <w:div w:id="1453016761">
      <w:marLeft w:val="0"/>
      <w:marRight w:val="0"/>
      <w:marTop w:val="0"/>
      <w:marBottom w:val="0"/>
      <w:divBdr>
        <w:top w:val="none" w:sz="0" w:space="0" w:color="auto"/>
        <w:left w:val="none" w:sz="0" w:space="0" w:color="auto"/>
        <w:bottom w:val="none" w:sz="0" w:space="0" w:color="auto"/>
        <w:right w:val="none" w:sz="0" w:space="0" w:color="auto"/>
      </w:divBdr>
      <w:divsChild>
        <w:div w:id="342169323">
          <w:marLeft w:val="0"/>
          <w:marRight w:val="0"/>
          <w:marTop w:val="180"/>
          <w:marBottom w:val="180"/>
          <w:divBdr>
            <w:top w:val="none" w:sz="0" w:space="0" w:color="auto"/>
            <w:left w:val="none" w:sz="0" w:space="0" w:color="auto"/>
            <w:bottom w:val="none" w:sz="0" w:space="0" w:color="auto"/>
            <w:right w:val="none" w:sz="0" w:space="0" w:color="auto"/>
          </w:divBdr>
        </w:div>
      </w:divsChild>
    </w:div>
    <w:div w:id="1453327459">
      <w:marLeft w:val="0"/>
      <w:marRight w:val="0"/>
      <w:marTop w:val="180"/>
      <w:marBottom w:val="180"/>
      <w:divBdr>
        <w:top w:val="none" w:sz="0" w:space="0" w:color="auto"/>
        <w:left w:val="none" w:sz="0" w:space="0" w:color="auto"/>
        <w:bottom w:val="none" w:sz="0" w:space="0" w:color="auto"/>
        <w:right w:val="none" w:sz="0" w:space="0" w:color="auto"/>
      </w:divBdr>
    </w:div>
    <w:div w:id="1454861926">
      <w:marLeft w:val="0"/>
      <w:marRight w:val="0"/>
      <w:marTop w:val="0"/>
      <w:marBottom w:val="0"/>
      <w:divBdr>
        <w:top w:val="none" w:sz="0" w:space="0" w:color="auto"/>
        <w:left w:val="none" w:sz="0" w:space="0" w:color="auto"/>
        <w:bottom w:val="none" w:sz="0" w:space="0" w:color="auto"/>
        <w:right w:val="none" w:sz="0" w:space="0" w:color="auto"/>
      </w:divBdr>
      <w:divsChild>
        <w:div w:id="1382561304">
          <w:marLeft w:val="0"/>
          <w:marRight w:val="0"/>
          <w:marTop w:val="0"/>
          <w:marBottom w:val="0"/>
          <w:divBdr>
            <w:top w:val="none" w:sz="0" w:space="0" w:color="auto"/>
            <w:left w:val="none" w:sz="0" w:space="0" w:color="auto"/>
            <w:bottom w:val="none" w:sz="0" w:space="0" w:color="auto"/>
            <w:right w:val="none" w:sz="0" w:space="0" w:color="auto"/>
          </w:divBdr>
          <w:divsChild>
            <w:div w:id="7057615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55057138">
      <w:marLeft w:val="0"/>
      <w:marRight w:val="0"/>
      <w:marTop w:val="180"/>
      <w:marBottom w:val="180"/>
      <w:divBdr>
        <w:top w:val="none" w:sz="0" w:space="0" w:color="auto"/>
        <w:left w:val="none" w:sz="0" w:space="0" w:color="auto"/>
        <w:bottom w:val="none" w:sz="0" w:space="0" w:color="auto"/>
        <w:right w:val="none" w:sz="0" w:space="0" w:color="auto"/>
      </w:divBdr>
    </w:div>
    <w:div w:id="1456867849">
      <w:marLeft w:val="0"/>
      <w:marRight w:val="0"/>
      <w:marTop w:val="180"/>
      <w:marBottom w:val="180"/>
      <w:divBdr>
        <w:top w:val="none" w:sz="0" w:space="0" w:color="auto"/>
        <w:left w:val="none" w:sz="0" w:space="0" w:color="auto"/>
        <w:bottom w:val="none" w:sz="0" w:space="0" w:color="auto"/>
        <w:right w:val="none" w:sz="0" w:space="0" w:color="auto"/>
      </w:divBdr>
    </w:div>
    <w:div w:id="1457064034">
      <w:marLeft w:val="0"/>
      <w:marRight w:val="0"/>
      <w:marTop w:val="180"/>
      <w:marBottom w:val="180"/>
      <w:divBdr>
        <w:top w:val="none" w:sz="0" w:space="0" w:color="auto"/>
        <w:left w:val="none" w:sz="0" w:space="0" w:color="auto"/>
        <w:bottom w:val="none" w:sz="0" w:space="0" w:color="auto"/>
        <w:right w:val="none" w:sz="0" w:space="0" w:color="auto"/>
      </w:divBdr>
    </w:div>
    <w:div w:id="1457679933">
      <w:marLeft w:val="0"/>
      <w:marRight w:val="0"/>
      <w:marTop w:val="180"/>
      <w:marBottom w:val="180"/>
      <w:divBdr>
        <w:top w:val="none" w:sz="0" w:space="0" w:color="auto"/>
        <w:left w:val="none" w:sz="0" w:space="0" w:color="auto"/>
        <w:bottom w:val="none" w:sz="0" w:space="0" w:color="auto"/>
        <w:right w:val="none" w:sz="0" w:space="0" w:color="auto"/>
      </w:divBdr>
    </w:div>
    <w:div w:id="1457791125">
      <w:marLeft w:val="0"/>
      <w:marRight w:val="0"/>
      <w:marTop w:val="60"/>
      <w:marBottom w:val="60"/>
      <w:divBdr>
        <w:top w:val="none" w:sz="0" w:space="0" w:color="auto"/>
        <w:left w:val="none" w:sz="0" w:space="0" w:color="auto"/>
        <w:bottom w:val="none" w:sz="0" w:space="0" w:color="auto"/>
        <w:right w:val="none" w:sz="0" w:space="0" w:color="auto"/>
      </w:divBdr>
    </w:div>
    <w:div w:id="1459685839">
      <w:marLeft w:val="0"/>
      <w:marRight w:val="0"/>
      <w:marTop w:val="180"/>
      <w:marBottom w:val="180"/>
      <w:divBdr>
        <w:top w:val="none" w:sz="0" w:space="0" w:color="auto"/>
        <w:left w:val="none" w:sz="0" w:space="0" w:color="auto"/>
        <w:bottom w:val="none" w:sz="0" w:space="0" w:color="auto"/>
        <w:right w:val="none" w:sz="0" w:space="0" w:color="auto"/>
      </w:divBdr>
    </w:div>
    <w:div w:id="1460340017">
      <w:marLeft w:val="0"/>
      <w:marRight w:val="0"/>
      <w:marTop w:val="180"/>
      <w:marBottom w:val="180"/>
      <w:divBdr>
        <w:top w:val="none" w:sz="0" w:space="0" w:color="auto"/>
        <w:left w:val="none" w:sz="0" w:space="0" w:color="auto"/>
        <w:bottom w:val="none" w:sz="0" w:space="0" w:color="auto"/>
        <w:right w:val="none" w:sz="0" w:space="0" w:color="auto"/>
      </w:divBdr>
    </w:div>
    <w:div w:id="1460420021">
      <w:marLeft w:val="0"/>
      <w:marRight w:val="0"/>
      <w:marTop w:val="180"/>
      <w:marBottom w:val="180"/>
      <w:divBdr>
        <w:top w:val="none" w:sz="0" w:space="0" w:color="auto"/>
        <w:left w:val="none" w:sz="0" w:space="0" w:color="auto"/>
        <w:bottom w:val="none" w:sz="0" w:space="0" w:color="auto"/>
        <w:right w:val="none" w:sz="0" w:space="0" w:color="auto"/>
      </w:divBdr>
    </w:div>
    <w:div w:id="1462071672">
      <w:marLeft w:val="0"/>
      <w:marRight w:val="0"/>
      <w:marTop w:val="0"/>
      <w:marBottom w:val="0"/>
      <w:divBdr>
        <w:top w:val="none" w:sz="0" w:space="0" w:color="auto"/>
        <w:left w:val="none" w:sz="0" w:space="0" w:color="auto"/>
        <w:bottom w:val="none" w:sz="0" w:space="0" w:color="auto"/>
        <w:right w:val="none" w:sz="0" w:space="0" w:color="auto"/>
      </w:divBdr>
      <w:divsChild>
        <w:div w:id="1285960820">
          <w:marLeft w:val="0"/>
          <w:marRight w:val="0"/>
          <w:marTop w:val="60"/>
          <w:marBottom w:val="60"/>
          <w:divBdr>
            <w:top w:val="none" w:sz="0" w:space="0" w:color="auto"/>
            <w:left w:val="none" w:sz="0" w:space="0" w:color="auto"/>
            <w:bottom w:val="none" w:sz="0" w:space="0" w:color="auto"/>
            <w:right w:val="none" w:sz="0" w:space="0" w:color="auto"/>
          </w:divBdr>
        </w:div>
      </w:divsChild>
    </w:div>
    <w:div w:id="1466847947">
      <w:marLeft w:val="0"/>
      <w:marRight w:val="0"/>
      <w:marTop w:val="60"/>
      <w:marBottom w:val="60"/>
      <w:divBdr>
        <w:top w:val="none" w:sz="0" w:space="0" w:color="auto"/>
        <w:left w:val="none" w:sz="0" w:space="0" w:color="auto"/>
        <w:bottom w:val="none" w:sz="0" w:space="0" w:color="auto"/>
        <w:right w:val="none" w:sz="0" w:space="0" w:color="auto"/>
      </w:divBdr>
    </w:div>
    <w:div w:id="1470510843">
      <w:marLeft w:val="0"/>
      <w:marRight w:val="0"/>
      <w:marTop w:val="60"/>
      <w:marBottom w:val="60"/>
      <w:divBdr>
        <w:top w:val="none" w:sz="0" w:space="0" w:color="auto"/>
        <w:left w:val="none" w:sz="0" w:space="0" w:color="auto"/>
        <w:bottom w:val="none" w:sz="0" w:space="0" w:color="auto"/>
        <w:right w:val="none" w:sz="0" w:space="0" w:color="auto"/>
      </w:divBdr>
    </w:div>
    <w:div w:id="1473137647">
      <w:marLeft w:val="0"/>
      <w:marRight w:val="0"/>
      <w:marTop w:val="180"/>
      <w:marBottom w:val="180"/>
      <w:divBdr>
        <w:top w:val="none" w:sz="0" w:space="0" w:color="auto"/>
        <w:left w:val="none" w:sz="0" w:space="0" w:color="auto"/>
        <w:bottom w:val="none" w:sz="0" w:space="0" w:color="auto"/>
        <w:right w:val="none" w:sz="0" w:space="0" w:color="auto"/>
      </w:divBdr>
    </w:div>
    <w:div w:id="1473249787">
      <w:marLeft w:val="0"/>
      <w:marRight w:val="0"/>
      <w:marTop w:val="60"/>
      <w:marBottom w:val="60"/>
      <w:divBdr>
        <w:top w:val="none" w:sz="0" w:space="0" w:color="auto"/>
        <w:left w:val="none" w:sz="0" w:space="0" w:color="auto"/>
        <w:bottom w:val="none" w:sz="0" w:space="0" w:color="auto"/>
        <w:right w:val="none" w:sz="0" w:space="0" w:color="auto"/>
      </w:divBdr>
    </w:div>
    <w:div w:id="1474449491">
      <w:marLeft w:val="0"/>
      <w:marRight w:val="0"/>
      <w:marTop w:val="180"/>
      <w:marBottom w:val="180"/>
      <w:divBdr>
        <w:top w:val="none" w:sz="0" w:space="0" w:color="auto"/>
        <w:left w:val="none" w:sz="0" w:space="0" w:color="auto"/>
        <w:bottom w:val="none" w:sz="0" w:space="0" w:color="auto"/>
        <w:right w:val="none" w:sz="0" w:space="0" w:color="auto"/>
      </w:divBdr>
    </w:div>
    <w:div w:id="1475222944">
      <w:marLeft w:val="0"/>
      <w:marRight w:val="0"/>
      <w:marTop w:val="180"/>
      <w:marBottom w:val="180"/>
      <w:divBdr>
        <w:top w:val="none" w:sz="0" w:space="0" w:color="auto"/>
        <w:left w:val="none" w:sz="0" w:space="0" w:color="auto"/>
        <w:bottom w:val="none" w:sz="0" w:space="0" w:color="auto"/>
        <w:right w:val="none" w:sz="0" w:space="0" w:color="auto"/>
      </w:divBdr>
    </w:div>
    <w:div w:id="1475294286">
      <w:marLeft w:val="0"/>
      <w:marRight w:val="0"/>
      <w:marTop w:val="0"/>
      <w:marBottom w:val="0"/>
      <w:divBdr>
        <w:top w:val="none" w:sz="0" w:space="0" w:color="auto"/>
        <w:left w:val="none" w:sz="0" w:space="0" w:color="auto"/>
        <w:bottom w:val="none" w:sz="0" w:space="0" w:color="auto"/>
        <w:right w:val="none" w:sz="0" w:space="0" w:color="auto"/>
      </w:divBdr>
      <w:divsChild>
        <w:div w:id="1014384831">
          <w:marLeft w:val="0"/>
          <w:marRight w:val="0"/>
          <w:marTop w:val="0"/>
          <w:marBottom w:val="0"/>
          <w:divBdr>
            <w:top w:val="none" w:sz="0" w:space="0" w:color="auto"/>
            <w:left w:val="none" w:sz="0" w:space="0" w:color="auto"/>
            <w:bottom w:val="none" w:sz="0" w:space="0" w:color="auto"/>
            <w:right w:val="none" w:sz="0" w:space="0" w:color="auto"/>
          </w:divBdr>
          <w:divsChild>
            <w:div w:id="6982388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6332442">
      <w:marLeft w:val="0"/>
      <w:marRight w:val="0"/>
      <w:marTop w:val="0"/>
      <w:marBottom w:val="0"/>
      <w:divBdr>
        <w:top w:val="none" w:sz="0" w:space="0" w:color="auto"/>
        <w:left w:val="none" w:sz="0" w:space="0" w:color="auto"/>
        <w:bottom w:val="none" w:sz="0" w:space="0" w:color="auto"/>
        <w:right w:val="none" w:sz="0" w:space="0" w:color="auto"/>
      </w:divBdr>
    </w:div>
    <w:div w:id="1477448899">
      <w:marLeft w:val="0"/>
      <w:marRight w:val="0"/>
      <w:marTop w:val="60"/>
      <w:marBottom w:val="60"/>
      <w:divBdr>
        <w:top w:val="none" w:sz="0" w:space="0" w:color="auto"/>
        <w:left w:val="none" w:sz="0" w:space="0" w:color="auto"/>
        <w:bottom w:val="none" w:sz="0" w:space="0" w:color="auto"/>
        <w:right w:val="none" w:sz="0" w:space="0" w:color="auto"/>
      </w:divBdr>
    </w:div>
    <w:div w:id="1477453090">
      <w:marLeft w:val="0"/>
      <w:marRight w:val="0"/>
      <w:marTop w:val="180"/>
      <w:marBottom w:val="60"/>
      <w:divBdr>
        <w:top w:val="none" w:sz="0" w:space="0" w:color="auto"/>
        <w:left w:val="none" w:sz="0" w:space="0" w:color="auto"/>
        <w:bottom w:val="none" w:sz="0" w:space="0" w:color="auto"/>
        <w:right w:val="none" w:sz="0" w:space="0" w:color="auto"/>
      </w:divBdr>
    </w:div>
    <w:div w:id="1477722658">
      <w:marLeft w:val="0"/>
      <w:marRight w:val="0"/>
      <w:marTop w:val="60"/>
      <w:marBottom w:val="60"/>
      <w:divBdr>
        <w:top w:val="none" w:sz="0" w:space="0" w:color="auto"/>
        <w:left w:val="none" w:sz="0" w:space="0" w:color="auto"/>
        <w:bottom w:val="none" w:sz="0" w:space="0" w:color="auto"/>
        <w:right w:val="none" w:sz="0" w:space="0" w:color="auto"/>
      </w:divBdr>
    </w:div>
    <w:div w:id="1479028555">
      <w:marLeft w:val="0"/>
      <w:marRight w:val="0"/>
      <w:marTop w:val="180"/>
      <w:marBottom w:val="180"/>
      <w:divBdr>
        <w:top w:val="none" w:sz="0" w:space="0" w:color="auto"/>
        <w:left w:val="none" w:sz="0" w:space="0" w:color="auto"/>
        <w:bottom w:val="none" w:sz="0" w:space="0" w:color="auto"/>
        <w:right w:val="none" w:sz="0" w:space="0" w:color="auto"/>
      </w:divBdr>
    </w:div>
    <w:div w:id="1482304145">
      <w:marLeft w:val="0"/>
      <w:marRight w:val="0"/>
      <w:marTop w:val="180"/>
      <w:marBottom w:val="180"/>
      <w:divBdr>
        <w:top w:val="none" w:sz="0" w:space="0" w:color="auto"/>
        <w:left w:val="none" w:sz="0" w:space="0" w:color="auto"/>
        <w:bottom w:val="none" w:sz="0" w:space="0" w:color="auto"/>
        <w:right w:val="none" w:sz="0" w:space="0" w:color="auto"/>
      </w:divBdr>
    </w:div>
    <w:div w:id="1482385952">
      <w:marLeft w:val="0"/>
      <w:marRight w:val="0"/>
      <w:marTop w:val="180"/>
      <w:marBottom w:val="180"/>
      <w:divBdr>
        <w:top w:val="none" w:sz="0" w:space="0" w:color="auto"/>
        <w:left w:val="none" w:sz="0" w:space="0" w:color="auto"/>
        <w:bottom w:val="none" w:sz="0" w:space="0" w:color="auto"/>
        <w:right w:val="none" w:sz="0" w:space="0" w:color="auto"/>
      </w:divBdr>
    </w:div>
    <w:div w:id="1482573216">
      <w:marLeft w:val="0"/>
      <w:marRight w:val="0"/>
      <w:marTop w:val="180"/>
      <w:marBottom w:val="180"/>
      <w:divBdr>
        <w:top w:val="none" w:sz="0" w:space="0" w:color="auto"/>
        <w:left w:val="none" w:sz="0" w:space="0" w:color="auto"/>
        <w:bottom w:val="none" w:sz="0" w:space="0" w:color="auto"/>
        <w:right w:val="none" w:sz="0" w:space="0" w:color="auto"/>
      </w:divBdr>
      <w:divsChild>
        <w:div w:id="1735591368">
          <w:marLeft w:val="0"/>
          <w:marRight w:val="0"/>
          <w:marTop w:val="0"/>
          <w:marBottom w:val="0"/>
          <w:divBdr>
            <w:top w:val="none" w:sz="0" w:space="0" w:color="auto"/>
            <w:left w:val="none" w:sz="0" w:space="0" w:color="auto"/>
            <w:bottom w:val="none" w:sz="0" w:space="0" w:color="auto"/>
            <w:right w:val="none" w:sz="0" w:space="0" w:color="auto"/>
          </w:divBdr>
        </w:div>
      </w:divsChild>
    </w:div>
    <w:div w:id="1484469127">
      <w:marLeft w:val="0"/>
      <w:marRight w:val="0"/>
      <w:marTop w:val="180"/>
      <w:marBottom w:val="0"/>
      <w:divBdr>
        <w:top w:val="none" w:sz="0" w:space="0" w:color="auto"/>
        <w:left w:val="none" w:sz="0" w:space="0" w:color="auto"/>
        <w:bottom w:val="none" w:sz="0" w:space="0" w:color="auto"/>
        <w:right w:val="none" w:sz="0" w:space="0" w:color="auto"/>
      </w:divBdr>
    </w:div>
    <w:div w:id="1484660842">
      <w:marLeft w:val="0"/>
      <w:marRight w:val="0"/>
      <w:marTop w:val="180"/>
      <w:marBottom w:val="180"/>
      <w:divBdr>
        <w:top w:val="none" w:sz="0" w:space="0" w:color="auto"/>
        <w:left w:val="none" w:sz="0" w:space="0" w:color="auto"/>
        <w:bottom w:val="none" w:sz="0" w:space="0" w:color="auto"/>
        <w:right w:val="none" w:sz="0" w:space="0" w:color="auto"/>
      </w:divBdr>
      <w:divsChild>
        <w:div w:id="74405687">
          <w:marLeft w:val="0"/>
          <w:marRight w:val="0"/>
          <w:marTop w:val="0"/>
          <w:marBottom w:val="0"/>
          <w:divBdr>
            <w:top w:val="none" w:sz="0" w:space="0" w:color="auto"/>
            <w:left w:val="none" w:sz="0" w:space="0" w:color="auto"/>
            <w:bottom w:val="none" w:sz="0" w:space="0" w:color="auto"/>
            <w:right w:val="none" w:sz="0" w:space="0" w:color="auto"/>
          </w:divBdr>
        </w:div>
        <w:div w:id="113986042">
          <w:marLeft w:val="0"/>
          <w:marRight w:val="0"/>
          <w:marTop w:val="0"/>
          <w:marBottom w:val="0"/>
          <w:divBdr>
            <w:top w:val="none" w:sz="0" w:space="0" w:color="auto"/>
            <w:left w:val="none" w:sz="0" w:space="0" w:color="auto"/>
            <w:bottom w:val="none" w:sz="0" w:space="0" w:color="auto"/>
            <w:right w:val="none" w:sz="0" w:space="0" w:color="auto"/>
          </w:divBdr>
        </w:div>
      </w:divsChild>
    </w:div>
    <w:div w:id="1489983614">
      <w:marLeft w:val="0"/>
      <w:marRight w:val="0"/>
      <w:marTop w:val="180"/>
      <w:marBottom w:val="180"/>
      <w:divBdr>
        <w:top w:val="none" w:sz="0" w:space="0" w:color="auto"/>
        <w:left w:val="none" w:sz="0" w:space="0" w:color="auto"/>
        <w:bottom w:val="none" w:sz="0" w:space="0" w:color="auto"/>
        <w:right w:val="none" w:sz="0" w:space="0" w:color="auto"/>
      </w:divBdr>
    </w:div>
    <w:div w:id="1491559721">
      <w:marLeft w:val="0"/>
      <w:marRight w:val="0"/>
      <w:marTop w:val="0"/>
      <w:marBottom w:val="0"/>
      <w:divBdr>
        <w:top w:val="none" w:sz="0" w:space="0" w:color="auto"/>
        <w:left w:val="none" w:sz="0" w:space="0" w:color="auto"/>
        <w:bottom w:val="none" w:sz="0" w:space="0" w:color="auto"/>
        <w:right w:val="none" w:sz="0" w:space="0" w:color="auto"/>
      </w:divBdr>
    </w:div>
    <w:div w:id="1496187232">
      <w:marLeft w:val="0"/>
      <w:marRight w:val="0"/>
      <w:marTop w:val="180"/>
      <w:marBottom w:val="180"/>
      <w:divBdr>
        <w:top w:val="none" w:sz="0" w:space="0" w:color="auto"/>
        <w:left w:val="none" w:sz="0" w:space="0" w:color="auto"/>
        <w:bottom w:val="none" w:sz="0" w:space="0" w:color="auto"/>
        <w:right w:val="none" w:sz="0" w:space="0" w:color="auto"/>
      </w:divBdr>
    </w:div>
    <w:div w:id="1498570495">
      <w:marLeft w:val="0"/>
      <w:marRight w:val="0"/>
      <w:marTop w:val="0"/>
      <w:marBottom w:val="0"/>
      <w:divBdr>
        <w:top w:val="none" w:sz="0" w:space="0" w:color="auto"/>
        <w:left w:val="none" w:sz="0" w:space="0" w:color="auto"/>
        <w:bottom w:val="none" w:sz="0" w:space="0" w:color="auto"/>
        <w:right w:val="none" w:sz="0" w:space="0" w:color="auto"/>
      </w:divBdr>
    </w:div>
    <w:div w:id="1501433235">
      <w:marLeft w:val="0"/>
      <w:marRight w:val="0"/>
      <w:marTop w:val="180"/>
      <w:marBottom w:val="180"/>
      <w:divBdr>
        <w:top w:val="none" w:sz="0" w:space="0" w:color="auto"/>
        <w:left w:val="none" w:sz="0" w:space="0" w:color="auto"/>
        <w:bottom w:val="none" w:sz="0" w:space="0" w:color="auto"/>
        <w:right w:val="none" w:sz="0" w:space="0" w:color="auto"/>
      </w:divBdr>
    </w:div>
    <w:div w:id="1503162144">
      <w:marLeft w:val="0"/>
      <w:marRight w:val="0"/>
      <w:marTop w:val="0"/>
      <w:marBottom w:val="0"/>
      <w:divBdr>
        <w:top w:val="none" w:sz="0" w:space="0" w:color="auto"/>
        <w:left w:val="none" w:sz="0" w:space="0" w:color="auto"/>
        <w:bottom w:val="none" w:sz="0" w:space="0" w:color="auto"/>
        <w:right w:val="none" w:sz="0" w:space="0" w:color="auto"/>
      </w:divBdr>
      <w:divsChild>
        <w:div w:id="1466922258">
          <w:marLeft w:val="0"/>
          <w:marRight w:val="0"/>
          <w:marTop w:val="60"/>
          <w:marBottom w:val="60"/>
          <w:divBdr>
            <w:top w:val="none" w:sz="0" w:space="0" w:color="auto"/>
            <w:left w:val="none" w:sz="0" w:space="0" w:color="auto"/>
            <w:bottom w:val="none" w:sz="0" w:space="0" w:color="auto"/>
            <w:right w:val="none" w:sz="0" w:space="0" w:color="auto"/>
          </w:divBdr>
        </w:div>
      </w:divsChild>
    </w:div>
    <w:div w:id="1503932970">
      <w:marLeft w:val="0"/>
      <w:marRight w:val="0"/>
      <w:marTop w:val="240"/>
      <w:marBottom w:val="180"/>
      <w:divBdr>
        <w:top w:val="none" w:sz="0" w:space="0" w:color="auto"/>
        <w:left w:val="none" w:sz="0" w:space="0" w:color="auto"/>
        <w:bottom w:val="none" w:sz="0" w:space="0" w:color="auto"/>
        <w:right w:val="none" w:sz="0" w:space="0" w:color="auto"/>
      </w:divBdr>
    </w:div>
    <w:div w:id="1504663250">
      <w:marLeft w:val="0"/>
      <w:marRight w:val="0"/>
      <w:marTop w:val="60"/>
      <w:marBottom w:val="60"/>
      <w:divBdr>
        <w:top w:val="none" w:sz="0" w:space="0" w:color="auto"/>
        <w:left w:val="none" w:sz="0" w:space="0" w:color="auto"/>
        <w:bottom w:val="none" w:sz="0" w:space="0" w:color="auto"/>
        <w:right w:val="none" w:sz="0" w:space="0" w:color="auto"/>
      </w:divBdr>
    </w:div>
    <w:div w:id="1504857022">
      <w:marLeft w:val="0"/>
      <w:marRight w:val="0"/>
      <w:marTop w:val="180"/>
      <w:marBottom w:val="180"/>
      <w:divBdr>
        <w:top w:val="none" w:sz="0" w:space="0" w:color="auto"/>
        <w:left w:val="none" w:sz="0" w:space="0" w:color="auto"/>
        <w:bottom w:val="none" w:sz="0" w:space="0" w:color="auto"/>
        <w:right w:val="none" w:sz="0" w:space="0" w:color="auto"/>
      </w:divBdr>
    </w:div>
    <w:div w:id="1507791539">
      <w:marLeft w:val="0"/>
      <w:marRight w:val="0"/>
      <w:marTop w:val="0"/>
      <w:marBottom w:val="0"/>
      <w:divBdr>
        <w:top w:val="none" w:sz="0" w:space="0" w:color="auto"/>
        <w:left w:val="none" w:sz="0" w:space="0" w:color="auto"/>
        <w:bottom w:val="none" w:sz="0" w:space="0" w:color="auto"/>
        <w:right w:val="none" w:sz="0" w:space="0" w:color="auto"/>
      </w:divBdr>
      <w:divsChild>
        <w:div w:id="515920804">
          <w:marLeft w:val="0"/>
          <w:marRight w:val="0"/>
          <w:marTop w:val="0"/>
          <w:marBottom w:val="0"/>
          <w:divBdr>
            <w:top w:val="none" w:sz="0" w:space="0" w:color="auto"/>
            <w:left w:val="none" w:sz="0" w:space="0" w:color="auto"/>
            <w:bottom w:val="none" w:sz="0" w:space="0" w:color="auto"/>
            <w:right w:val="none" w:sz="0" w:space="0" w:color="auto"/>
          </w:divBdr>
          <w:divsChild>
            <w:div w:id="7739834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09178655">
      <w:marLeft w:val="0"/>
      <w:marRight w:val="0"/>
      <w:marTop w:val="180"/>
      <w:marBottom w:val="180"/>
      <w:divBdr>
        <w:top w:val="none" w:sz="0" w:space="0" w:color="auto"/>
        <w:left w:val="none" w:sz="0" w:space="0" w:color="auto"/>
        <w:bottom w:val="none" w:sz="0" w:space="0" w:color="auto"/>
        <w:right w:val="none" w:sz="0" w:space="0" w:color="auto"/>
      </w:divBdr>
    </w:div>
    <w:div w:id="1509562248">
      <w:marLeft w:val="0"/>
      <w:marRight w:val="0"/>
      <w:marTop w:val="0"/>
      <w:marBottom w:val="0"/>
      <w:divBdr>
        <w:top w:val="none" w:sz="0" w:space="0" w:color="auto"/>
        <w:left w:val="none" w:sz="0" w:space="0" w:color="auto"/>
        <w:bottom w:val="none" w:sz="0" w:space="0" w:color="auto"/>
        <w:right w:val="none" w:sz="0" w:space="0" w:color="auto"/>
      </w:divBdr>
      <w:divsChild>
        <w:div w:id="1136335189">
          <w:marLeft w:val="0"/>
          <w:marRight w:val="0"/>
          <w:marTop w:val="0"/>
          <w:marBottom w:val="0"/>
          <w:divBdr>
            <w:top w:val="none" w:sz="0" w:space="0" w:color="auto"/>
            <w:left w:val="none" w:sz="0" w:space="0" w:color="auto"/>
            <w:bottom w:val="none" w:sz="0" w:space="0" w:color="auto"/>
            <w:right w:val="none" w:sz="0" w:space="0" w:color="auto"/>
          </w:divBdr>
          <w:divsChild>
            <w:div w:id="8112112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0103720">
      <w:marLeft w:val="0"/>
      <w:marRight w:val="0"/>
      <w:marTop w:val="60"/>
      <w:marBottom w:val="60"/>
      <w:divBdr>
        <w:top w:val="none" w:sz="0" w:space="0" w:color="auto"/>
        <w:left w:val="none" w:sz="0" w:space="0" w:color="auto"/>
        <w:bottom w:val="none" w:sz="0" w:space="0" w:color="auto"/>
        <w:right w:val="none" w:sz="0" w:space="0" w:color="auto"/>
      </w:divBdr>
    </w:div>
    <w:div w:id="1511023728">
      <w:marLeft w:val="0"/>
      <w:marRight w:val="0"/>
      <w:marTop w:val="180"/>
      <w:marBottom w:val="180"/>
      <w:divBdr>
        <w:top w:val="none" w:sz="0" w:space="0" w:color="auto"/>
        <w:left w:val="none" w:sz="0" w:space="0" w:color="auto"/>
        <w:bottom w:val="none" w:sz="0" w:space="0" w:color="auto"/>
        <w:right w:val="none" w:sz="0" w:space="0" w:color="auto"/>
      </w:divBdr>
    </w:div>
    <w:div w:id="1511093381">
      <w:marLeft w:val="0"/>
      <w:marRight w:val="0"/>
      <w:marTop w:val="60"/>
      <w:marBottom w:val="60"/>
      <w:divBdr>
        <w:top w:val="none" w:sz="0" w:space="0" w:color="auto"/>
        <w:left w:val="none" w:sz="0" w:space="0" w:color="auto"/>
        <w:bottom w:val="none" w:sz="0" w:space="0" w:color="auto"/>
        <w:right w:val="none" w:sz="0" w:space="0" w:color="auto"/>
      </w:divBdr>
    </w:div>
    <w:div w:id="1511411438">
      <w:marLeft w:val="0"/>
      <w:marRight w:val="0"/>
      <w:marTop w:val="180"/>
      <w:marBottom w:val="180"/>
      <w:divBdr>
        <w:top w:val="none" w:sz="0" w:space="0" w:color="auto"/>
        <w:left w:val="none" w:sz="0" w:space="0" w:color="auto"/>
        <w:bottom w:val="none" w:sz="0" w:space="0" w:color="auto"/>
        <w:right w:val="none" w:sz="0" w:space="0" w:color="auto"/>
      </w:divBdr>
    </w:div>
    <w:div w:id="1511749091">
      <w:marLeft w:val="0"/>
      <w:marRight w:val="0"/>
      <w:marTop w:val="60"/>
      <w:marBottom w:val="60"/>
      <w:divBdr>
        <w:top w:val="none" w:sz="0" w:space="0" w:color="auto"/>
        <w:left w:val="none" w:sz="0" w:space="0" w:color="auto"/>
        <w:bottom w:val="none" w:sz="0" w:space="0" w:color="auto"/>
        <w:right w:val="none" w:sz="0" w:space="0" w:color="auto"/>
      </w:divBdr>
    </w:div>
    <w:div w:id="1512064255">
      <w:marLeft w:val="0"/>
      <w:marRight w:val="0"/>
      <w:marTop w:val="60"/>
      <w:marBottom w:val="0"/>
      <w:divBdr>
        <w:top w:val="none" w:sz="0" w:space="0" w:color="auto"/>
        <w:left w:val="none" w:sz="0" w:space="0" w:color="auto"/>
        <w:bottom w:val="none" w:sz="0" w:space="0" w:color="auto"/>
        <w:right w:val="none" w:sz="0" w:space="0" w:color="auto"/>
      </w:divBdr>
      <w:divsChild>
        <w:div w:id="458961904">
          <w:marLeft w:val="0"/>
          <w:marRight w:val="0"/>
          <w:marTop w:val="0"/>
          <w:marBottom w:val="0"/>
          <w:divBdr>
            <w:top w:val="none" w:sz="0" w:space="0" w:color="auto"/>
            <w:left w:val="none" w:sz="0" w:space="0" w:color="auto"/>
            <w:bottom w:val="none" w:sz="0" w:space="0" w:color="auto"/>
            <w:right w:val="none" w:sz="0" w:space="0" w:color="auto"/>
          </w:divBdr>
        </w:div>
      </w:divsChild>
    </w:div>
    <w:div w:id="1515533077">
      <w:marLeft w:val="0"/>
      <w:marRight w:val="0"/>
      <w:marTop w:val="60"/>
      <w:marBottom w:val="60"/>
      <w:divBdr>
        <w:top w:val="none" w:sz="0" w:space="0" w:color="auto"/>
        <w:left w:val="none" w:sz="0" w:space="0" w:color="auto"/>
        <w:bottom w:val="none" w:sz="0" w:space="0" w:color="auto"/>
        <w:right w:val="none" w:sz="0" w:space="0" w:color="auto"/>
      </w:divBdr>
    </w:div>
    <w:div w:id="1515606251">
      <w:marLeft w:val="0"/>
      <w:marRight w:val="0"/>
      <w:marTop w:val="0"/>
      <w:marBottom w:val="0"/>
      <w:divBdr>
        <w:top w:val="none" w:sz="0" w:space="0" w:color="auto"/>
        <w:left w:val="none" w:sz="0" w:space="0" w:color="auto"/>
        <w:bottom w:val="none" w:sz="0" w:space="0" w:color="auto"/>
        <w:right w:val="none" w:sz="0" w:space="0" w:color="auto"/>
      </w:divBdr>
      <w:divsChild>
        <w:div w:id="2144998667">
          <w:marLeft w:val="0"/>
          <w:marRight w:val="0"/>
          <w:marTop w:val="0"/>
          <w:marBottom w:val="0"/>
          <w:divBdr>
            <w:top w:val="none" w:sz="0" w:space="0" w:color="auto"/>
            <w:left w:val="none" w:sz="0" w:space="0" w:color="auto"/>
            <w:bottom w:val="none" w:sz="0" w:space="0" w:color="auto"/>
            <w:right w:val="none" w:sz="0" w:space="0" w:color="auto"/>
          </w:divBdr>
          <w:divsChild>
            <w:div w:id="3972147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5807862">
      <w:marLeft w:val="0"/>
      <w:marRight w:val="0"/>
      <w:marTop w:val="180"/>
      <w:marBottom w:val="180"/>
      <w:divBdr>
        <w:top w:val="none" w:sz="0" w:space="0" w:color="auto"/>
        <w:left w:val="none" w:sz="0" w:space="0" w:color="auto"/>
        <w:bottom w:val="none" w:sz="0" w:space="0" w:color="auto"/>
        <w:right w:val="none" w:sz="0" w:space="0" w:color="auto"/>
      </w:divBdr>
    </w:div>
    <w:div w:id="1518301497">
      <w:marLeft w:val="0"/>
      <w:marRight w:val="0"/>
      <w:marTop w:val="180"/>
      <w:marBottom w:val="180"/>
      <w:divBdr>
        <w:top w:val="none" w:sz="0" w:space="0" w:color="auto"/>
        <w:left w:val="none" w:sz="0" w:space="0" w:color="auto"/>
        <w:bottom w:val="none" w:sz="0" w:space="0" w:color="auto"/>
        <w:right w:val="none" w:sz="0" w:space="0" w:color="auto"/>
      </w:divBdr>
      <w:divsChild>
        <w:div w:id="459494022">
          <w:marLeft w:val="0"/>
          <w:marRight w:val="0"/>
          <w:marTop w:val="0"/>
          <w:marBottom w:val="0"/>
          <w:divBdr>
            <w:top w:val="none" w:sz="0" w:space="0" w:color="auto"/>
            <w:left w:val="none" w:sz="0" w:space="0" w:color="auto"/>
            <w:bottom w:val="none" w:sz="0" w:space="0" w:color="auto"/>
            <w:right w:val="none" w:sz="0" w:space="0" w:color="auto"/>
          </w:divBdr>
        </w:div>
        <w:div w:id="1943340668">
          <w:marLeft w:val="0"/>
          <w:marRight w:val="0"/>
          <w:marTop w:val="0"/>
          <w:marBottom w:val="0"/>
          <w:divBdr>
            <w:top w:val="none" w:sz="0" w:space="0" w:color="auto"/>
            <w:left w:val="none" w:sz="0" w:space="0" w:color="auto"/>
            <w:bottom w:val="none" w:sz="0" w:space="0" w:color="auto"/>
            <w:right w:val="none" w:sz="0" w:space="0" w:color="auto"/>
          </w:divBdr>
        </w:div>
        <w:div w:id="1449201727">
          <w:marLeft w:val="0"/>
          <w:marRight w:val="0"/>
          <w:marTop w:val="0"/>
          <w:marBottom w:val="0"/>
          <w:divBdr>
            <w:top w:val="none" w:sz="0" w:space="0" w:color="auto"/>
            <w:left w:val="none" w:sz="0" w:space="0" w:color="auto"/>
            <w:bottom w:val="none" w:sz="0" w:space="0" w:color="auto"/>
            <w:right w:val="none" w:sz="0" w:space="0" w:color="auto"/>
          </w:divBdr>
        </w:div>
        <w:div w:id="1614441910">
          <w:marLeft w:val="0"/>
          <w:marRight w:val="0"/>
          <w:marTop w:val="0"/>
          <w:marBottom w:val="0"/>
          <w:divBdr>
            <w:top w:val="none" w:sz="0" w:space="0" w:color="auto"/>
            <w:left w:val="none" w:sz="0" w:space="0" w:color="auto"/>
            <w:bottom w:val="none" w:sz="0" w:space="0" w:color="auto"/>
            <w:right w:val="none" w:sz="0" w:space="0" w:color="auto"/>
          </w:divBdr>
        </w:div>
        <w:div w:id="75323227">
          <w:marLeft w:val="0"/>
          <w:marRight w:val="0"/>
          <w:marTop w:val="0"/>
          <w:marBottom w:val="0"/>
          <w:divBdr>
            <w:top w:val="none" w:sz="0" w:space="0" w:color="auto"/>
            <w:left w:val="none" w:sz="0" w:space="0" w:color="auto"/>
            <w:bottom w:val="none" w:sz="0" w:space="0" w:color="auto"/>
            <w:right w:val="none" w:sz="0" w:space="0" w:color="auto"/>
          </w:divBdr>
        </w:div>
        <w:div w:id="1786730450">
          <w:marLeft w:val="0"/>
          <w:marRight w:val="0"/>
          <w:marTop w:val="0"/>
          <w:marBottom w:val="0"/>
          <w:divBdr>
            <w:top w:val="none" w:sz="0" w:space="0" w:color="auto"/>
            <w:left w:val="none" w:sz="0" w:space="0" w:color="auto"/>
            <w:bottom w:val="none" w:sz="0" w:space="0" w:color="auto"/>
            <w:right w:val="none" w:sz="0" w:space="0" w:color="auto"/>
          </w:divBdr>
        </w:div>
      </w:divsChild>
    </w:div>
    <w:div w:id="1520461270">
      <w:marLeft w:val="0"/>
      <w:marRight w:val="0"/>
      <w:marTop w:val="180"/>
      <w:marBottom w:val="180"/>
      <w:divBdr>
        <w:top w:val="none" w:sz="0" w:space="0" w:color="auto"/>
        <w:left w:val="none" w:sz="0" w:space="0" w:color="auto"/>
        <w:bottom w:val="none" w:sz="0" w:space="0" w:color="auto"/>
        <w:right w:val="none" w:sz="0" w:space="0" w:color="auto"/>
      </w:divBdr>
    </w:div>
    <w:div w:id="1522014713">
      <w:marLeft w:val="0"/>
      <w:marRight w:val="0"/>
      <w:marTop w:val="180"/>
      <w:marBottom w:val="180"/>
      <w:divBdr>
        <w:top w:val="none" w:sz="0" w:space="0" w:color="auto"/>
        <w:left w:val="none" w:sz="0" w:space="0" w:color="auto"/>
        <w:bottom w:val="none" w:sz="0" w:space="0" w:color="auto"/>
        <w:right w:val="none" w:sz="0" w:space="0" w:color="auto"/>
      </w:divBdr>
    </w:div>
    <w:div w:id="1526210482">
      <w:marLeft w:val="0"/>
      <w:marRight w:val="0"/>
      <w:marTop w:val="180"/>
      <w:marBottom w:val="180"/>
      <w:divBdr>
        <w:top w:val="none" w:sz="0" w:space="0" w:color="auto"/>
        <w:left w:val="none" w:sz="0" w:space="0" w:color="auto"/>
        <w:bottom w:val="none" w:sz="0" w:space="0" w:color="auto"/>
        <w:right w:val="none" w:sz="0" w:space="0" w:color="auto"/>
      </w:divBdr>
    </w:div>
    <w:div w:id="1527719289">
      <w:marLeft w:val="0"/>
      <w:marRight w:val="0"/>
      <w:marTop w:val="180"/>
      <w:marBottom w:val="180"/>
      <w:divBdr>
        <w:top w:val="none" w:sz="0" w:space="0" w:color="auto"/>
        <w:left w:val="none" w:sz="0" w:space="0" w:color="auto"/>
        <w:bottom w:val="none" w:sz="0" w:space="0" w:color="auto"/>
        <w:right w:val="none" w:sz="0" w:space="0" w:color="auto"/>
      </w:divBdr>
    </w:div>
    <w:div w:id="1534422905">
      <w:marLeft w:val="0"/>
      <w:marRight w:val="0"/>
      <w:marTop w:val="180"/>
      <w:marBottom w:val="180"/>
      <w:divBdr>
        <w:top w:val="none" w:sz="0" w:space="0" w:color="auto"/>
        <w:left w:val="none" w:sz="0" w:space="0" w:color="auto"/>
        <w:bottom w:val="none" w:sz="0" w:space="0" w:color="auto"/>
        <w:right w:val="none" w:sz="0" w:space="0" w:color="auto"/>
      </w:divBdr>
    </w:div>
    <w:div w:id="1536426497">
      <w:marLeft w:val="0"/>
      <w:marRight w:val="0"/>
      <w:marTop w:val="180"/>
      <w:marBottom w:val="60"/>
      <w:divBdr>
        <w:top w:val="none" w:sz="0" w:space="0" w:color="auto"/>
        <w:left w:val="none" w:sz="0" w:space="0" w:color="auto"/>
        <w:bottom w:val="none" w:sz="0" w:space="0" w:color="auto"/>
        <w:right w:val="none" w:sz="0" w:space="0" w:color="auto"/>
      </w:divBdr>
    </w:div>
    <w:div w:id="1539009247">
      <w:marLeft w:val="0"/>
      <w:marRight w:val="0"/>
      <w:marTop w:val="180"/>
      <w:marBottom w:val="180"/>
      <w:divBdr>
        <w:top w:val="none" w:sz="0" w:space="0" w:color="auto"/>
        <w:left w:val="none" w:sz="0" w:space="0" w:color="auto"/>
        <w:bottom w:val="none" w:sz="0" w:space="0" w:color="auto"/>
        <w:right w:val="none" w:sz="0" w:space="0" w:color="auto"/>
      </w:divBdr>
    </w:div>
    <w:div w:id="1539321589">
      <w:marLeft w:val="0"/>
      <w:marRight w:val="0"/>
      <w:marTop w:val="180"/>
      <w:marBottom w:val="180"/>
      <w:divBdr>
        <w:top w:val="none" w:sz="0" w:space="0" w:color="auto"/>
        <w:left w:val="none" w:sz="0" w:space="0" w:color="auto"/>
        <w:bottom w:val="none" w:sz="0" w:space="0" w:color="auto"/>
        <w:right w:val="none" w:sz="0" w:space="0" w:color="auto"/>
      </w:divBdr>
    </w:div>
    <w:div w:id="1541435321">
      <w:marLeft w:val="0"/>
      <w:marRight w:val="0"/>
      <w:marTop w:val="0"/>
      <w:marBottom w:val="0"/>
      <w:divBdr>
        <w:top w:val="none" w:sz="0" w:space="0" w:color="auto"/>
        <w:left w:val="none" w:sz="0" w:space="0" w:color="auto"/>
        <w:bottom w:val="none" w:sz="0" w:space="0" w:color="auto"/>
        <w:right w:val="none" w:sz="0" w:space="0" w:color="auto"/>
      </w:divBdr>
    </w:div>
    <w:div w:id="1542128024">
      <w:marLeft w:val="0"/>
      <w:marRight w:val="0"/>
      <w:marTop w:val="60"/>
      <w:marBottom w:val="60"/>
      <w:divBdr>
        <w:top w:val="none" w:sz="0" w:space="0" w:color="auto"/>
        <w:left w:val="none" w:sz="0" w:space="0" w:color="auto"/>
        <w:bottom w:val="none" w:sz="0" w:space="0" w:color="auto"/>
        <w:right w:val="none" w:sz="0" w:space="0" w:color="auto"/>
      </w:divBdr>
    </w:div>
    <w:div w:id="1543978043">
      <w:marLeft w:val="0"/>
      <w:marRight w:val="0"/>
      <w:marTop w:val="180"/>
      <w:marBottom w:val="180"/>
      <w:divBdr>
        <w:top w:val="none" w:sz="0" w:space="0" w:color="auto"/>
        <w:left w:val="none" w:sz="0" w:space="0" w:color="auto"/>
        <w:bottom w:val="none" w:sz="0" w:space="0" w:color="auto"/>
        <w:right w:val="none" w:sz="0" w:space="0" w:color="auto"/>
      </w:divBdr>
    </w:div>
    <w:div w:id="1544444681">
      <w:marLeft w:val="0"/>
      <w:marRight w:val="0"/>
      <w:marTop w:val="0"/>
      <w:marBottom w:val="0"/>
      <w:divBdr>
        <w:top w:val="none" w:sz="0" w:space="0" w:color="auto"/>
        <w:left w:val="none" w:sz="0" w:space="0" w:color="auto"/>
        <w:bottom w:val="none" w:sz="0" w:space="0" w:color="auto"/>
        <w:right w:val="none" w:sz="0" w:space="0" w:color="auto"/>
      </w:divBdr>
    </w:div>
    <w:div w:id="1545554230">
      <w:marLeft w:val="0"/>
      <w:marRight w:val="0"/>
      <w:marTop w:val="180"/>
      <w:marBottom w:val="180"/>
      <w:divBdr>
        <w:top w:val="none" w:sz="0" w:space="0" w:color="auto"/>
        <w:left w:val="none" w:sz="0" w:space="0" w:color="auto"/>
        <w:bottom w:val="none" w:sz="0" w:space="0" w:color="auto"/>
        <w:right w:val="none" w:sz="0" w:space="0" w:color="auto"/>
      </w:divBdr>
    </w:div>
    <w:div w:id="1545828101">
      <w:marLeft w:val="0"/>
      <w:marRight w:val="0"/>
      <w:marTop w:val="180"/>
      <w:marBottom w:val="180"/>
      <w:divBdr>
        <w:top w:val="none" w:sz="0" w:space="0" w:color="auto"/>
        <w:left w:val="none" w:sz="0" w:space="0" w:color="auto"/>
        <w:bottom w:val="none" w:sz="0" w:space="0" w:color="auto"/>
        <w:right w:val="none" w:sz="0" w:space="0" w:color="auto"/>
      </w:divBdr>
    </w:div>
    <w:div w:id="1547638614">
      <w:marLeft w:val="0"/>
      <w:marRight w:val="0"/>
      <w:marTop w:val="180"/>
      <w:marBottom w:val="180"/>
      <w:divBdr>
        <w:top w:val="none" w:sz="0" w:space="0" w:color="auto"/>
        <w:left w:val="none" w:sz="0" w:space="0" w:color="auto"/>
        <w:bottom w:val="none" w:sz="0" w:space="0" w:color="auto"/>
        <w:right w:val="none" w:sz="0" w:space="0" w:color="auto"/>
      </w:divBdr>
    </w:div>
    <w:div w:id="1548489103">
      <w:marLeft w:val="0"/>
      <w:marRight w:val="0"/>
      <w:marTop w:val="180"/>
      <w:marBottom w:val="180"/>
      <w:divBdr>
        <w:top w:val="none" w:sz="0" w:space="0" w:color="auto"/>
        <w:left w:val="none" w:sz="0" w:space="0" w:color="auto"/>
        <w:bottom w:val="none" w:sz="0" w:space="0" w:color="auto"/>
        <w:right w:val="none" w:sz="0" w:space="0" w:color="auto"/>
      </w:divBdr>
    </w:div>
    <w:div w:id="1548713144">
      <w:marLeft w:val="0"/>
      <w:marRight w:val="0"/>
      <w:marTop w:val="60"/>
      <w:marBottom w:val="60"/>
      <w:divBdr>
        <w:top w:val="none" w:sz="0" w:space="0" w:color="auto"/>
        <w:left w:val="none" w:sz="0" w:space="0" w:color="auto"/>
        <w:bottom w:val="none" w:sz="0" w:space="0" w:color="auto"/>
        <w:right w:val="none" w:sz="0" w:space="0" w:color="auto"/>
      </w:divBdr>
    </w:div>
    <w:div w:id="1549343896">
      <w:marLeft w:val="0"/>
      <w:marRight w:val="0"/>
      <w:marTop w:val="100"/>
      <w:marBottom w:val="100"/>
      <w:divBdr>
        <w:top w:val="none" w:sz="0" w:space="0" w:color="auto"/>
        <w:left w:val="none" w:sz="0" w:space="0" w:color="auto"/>
        <w:bottom w:val="none" w:sz="0" w:space="0" w:color="auto"/>
        <w:right w:val="none" w:sz="0" w:space="0" w:color="auto"/>
      </w:divBdr>
      <w:divsChild>
        <w:div w:id="1926760035">
          <w:marLeft w:val="0"/>
          <w:marRight w:val="0"/>
          <w:marTop w:val="0"/>
          <w:marBottom w:val="0"/>
          <w:divBdr>
            <w:top w:val="none" w:sz="0" w:space="0" w:color="auto"/>
            <w:left w:val="none" w:sz="0" w:space="0" w:color="auto"/>
            <w:bottom w:val="none" w:sz="0" w:space="0" w:color="auto"/>
            <w:right w:val="none" w:sz="0" w:space="0" w:color="auto"/>
          </w:divBdr>
        </w:div>
        <w:div w:id="228855640">
          <w:marLeft w:val="0"/>
          <w:marRight w:val="0"/>
          <w:marTop w:val="0"/>
          <w:marBottom w:val="0"/>
          <w:divBdr>
            <w:top w:val="none" w:sz="0" w:space="0" w:color="auto"/>
            <w:left w:val="none" w:sz="0" w:space="0" w:color="auto"/>
            <w:bottom w:val="none" w:sz="0" w:space="0" w:color="auto"/>
            <w:right w:val="none" w:sz="0" w:space="0" w:color="auto"/>
          </w:divBdr>
        </w:div>
      </w:divsChild>
    </w:div>
    <w:div w:id="1549759550">
      <w:marLeft w:val="0"/>
      <w:marRight w:val="0"/>
      <w:marTop w:val="0"/>
      <w:marBottom w:val="0"/>
      <w:divBdr>
        <w:top w:val="none" w:sz="0" w:space="0" w:color="auto"/>
        <w:left w:val="none" w:sz="0" w:space="0" w:color="auto"/>
        <w:bottom w:val="none" w:sz="0" w:space="0" w:color="auto"/>
        <w:right w:val="none" w:sz="0" w:space="0" w:color="auto"/>
      </w:divBdr>
    </w:div>
    <w:div w:id="1552577698">
      <w:marLeft w:val="0"/>
      <w:marRight w:val="0"/>
      <w:marTop w:val="180"/>
      <w:marBottom w:val="180"/>
      <w:divBdr>
        <w:top w:val="none" w:sz="0" w:space="0" w:color="auto"/>
        <w:left w:val="none" w:sz="0" w:space="0" w:color="auto"/>
        <w:bottom w:val="none" w:sz="0" w:space="0" w:color="auto"/>
        <w:right w:val="none" w:sz="0" w:space="0" w:color="auto"/>
      </w:divBdr>
    </w:div>
    <w:div w:id="1556743969">
      <w:marLeft w:val="0"/>
      <w:marRight w:val="0"/>
      <w:marTop w:val="180"/>
      <w:marBottom w:val="180"/>
      <w:divBdr>
        <w:top w:val="none" w:sz="0" w:space="0" w:color="auto"/>
        <w:left w:val="none" w:sz="0" w:space="0" w:color="auto"/>
        <w:bottom w:val="none" w:sz="0" w:space="0" w:color="auto"/>
        <w:right w:val="none" w:sz="0" w:space="0" w:color="auto"/>
      </w:divBdr>
    </w:div>
    <w:div w:id="1556745232">
      <w:marLeft w:val="0"/>
      <w:marRight w:val="0"/>
      <w:marTop w:val="180"/>
      <w:marBottom w:val="180"/>
      <w:divBdr>
        <w:top w:val="none" w:sz="0" w:space="0" w:color="auto"/>
        <w:left w:val="none" w:sz="0" w:space="0" w:color="auto"/>
        <w:bottom w:val="none" w:sz="0" w:space="0" w:color="auto"/>
        <w:right w:val="none" w:sz="0" w:space="0" w:color="auto"/>
      </w:divBdr>
    </w:div>
    <w:div w:id="1558709913">
      <w:marLeft w:val="0"/>
      <w:marRight w:val="0"/>
      <w:marTop w:val="60"/>
      <w:marBottom w:val="60"/>
      <w:divBdr>
        <w:top w:val="none" w:sz="0" w:space="0" w:color="auto"/>
        <w:left w:val="none" w:sz="0" w:space="0" w:color="auto"/>
        <w:bottom w:val="none" w:sz="0" w:space="0" w:color="auto"/>
        <w:right w:val="none" w:sz="0" w:space="0" w:color="auto"/>
      </w:divBdr>
    </w:div>
    <w:div w:id="1565263314">
      <w:marLeft w:val="0"/>
      <w:marRight w:val="0"/>
      <w:marTop w:val="0"/>
      <w:marBottom w:val="0"/>
      <w:divBdr>
        <w:top w:val="none" w:sz="0" w:space="0" w:color="auto"/>
        <w:left w:val="none" w:sz="0" w:space="0" w:color="auto"/>
        <w:bottom w:val="none" w:sz="0" w:space="0" w:color="auto"/>
        <w:right w:val="none" w:sz="0" w:space="0" w:color="auto"/>
      </w:divBdr>
      <w:divsChild>
        <w:div w:id="336229660">
          <w:marLeft w:val="0"/>
          <w:marRight w:val="0"/>
          <w:marTop w:val="0"/>
          <w:marBottom w:val="0"/>
          <w:divBdr>
            <w:top w:val="none" w:sz="0" w:space="0" w:color="auto"/>
            <w:left w:val="none" w:sz="0" w:space="0" w:color="auto"/>
            <w:bottom w:val="none" w:sz="0" w:space="0" w:color="auto"/>
            <w:right w:val="none" w:sz="0" w:space="0" w:color="auto"/>
          </w:divBdr>
          <w:divsChild>
            <w:div w:id="20205430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9614543">
      <w:marLeft w:val="0"/>
      <w:marRight w:val="0"/>
      <w:marTop w:val="0"/>
      <w:marBottom w:val="0"/>
      <w:divBdr>
        <w:top w:val="none" w:sz="0" w:space="0" w:color="auto"/>
        <w:left w:val="none" w:sz="0" w:space="0" w:color="auto"/>
        <w:bottom w:val="none" w:sz="0" w:space="0" w:color="auto"/>
        <w:right w:val="none" w:sz="0" w:space="0" w:color="auto"/>
      </w:divBdr>
      <w:divsChild>
        <w:div w:id="314381879">
          <w:marLeft w:val="0"/>
          <w:marRight w:val="0"/>
          <w:marTop w:val="0"/>
          <w:marBottom w:val="0"/>
          <w:divBdr>
            <w:top w:val="none" w:sz="0" w:space="0" w:color="auto"/>
            <w:left w:val="none" w:sz="0" w:space="0" w:color="auto"/>
            <w:bottom w:val="none" w:sz="0" w:space="0" w:color="auto"/>
            <w:right w:val="none" w:sz="0" w:space="0" w:color="auto"/>
          </w:divBdr>
          <w:divsChild>
            <w:div w:id="20751529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6011674">
      <w:marLeft w:val="0"/>
      <w:marRight w:val="0"/>
      <w:marTop w:val="180"/>
      <w:marBottom w:val="60"/>
      <w:divBdr>
        <w:top w:val="none" w:sz="0" w:space="0" w:color="auto"/>
        <w:left w:val="none" w:sz="0" w:space="0" w:color="auto"/>
        <w:bottom w:val="none" w:sz="0" w:space="0" w:color="auto"/>
        <w:right w:val="none" w:sz="0" w:space="0" w:color="auto"/>
      </w:divBdr>
    </w:div>
    <w:div w:id="1577977022">
      <w:marLeft w:val="0"/>
      <w:marRight w:val="0"/>
      <w:marTop w:val="180"/>
      <w:marBottom w:val="180"/>
      <w:divBdr>
        <w:top w:val="none" w:sz="0" w:space="0" w:color="auto"/>
        <w:left w:val="none" w:sz="0" w:space="0" w:color="auto"/>
        <w:bottom w:val="none" w:sz="0" w:space="0" w:color="auto"/>
        <w:right w:val="none" w:sz="0" w:space="0" w:color="auto"/>
      </w:divBdr>
    </w:div>
    <w:div w:id="1580745399">
      <w:marLeft w:val="0"/>
      <w:marRight w:val="0"/>
      <w:marTop w:val="0"/>
      <w:marBottom w:val="0"/>
      <w:divBdr>
        <w:top w:val="none" w:sz="0" w:space="0" w:color="auto"/>
        <w:left w:val="none" w:sz="0" w:space="0" w:color="auto"/>
        <w:bottom w:val="none" w:sz="0" w:space="0" w:color="auto"/>
        <w:right w:val="none" w:sz="0" w:space="0" w:color="auto"/>
      </w:divBdr>
      <w:divsChild>
        <w:div w:id="927155434">
          <w:marLeft w:val="0"/>
          <w:marRight w:val="0"/>
          <w:marTop w:val="0"/>
          <w:marBottom w:val="0"/>
          <w:divBdr>
            <w:top w:val="none" w:sz="0" w:space="0" w:color="auto"/>
            <w:left w:val="none" w:sz="0" w:space="0" w:color="auto"/>
            <w:bottom w:val="none" w:sz="0" w:space="0" w:color="auto"/>
            <w:right w:val="none" w:sz="0" w:space="0" w:color="auto"/>
          </w:divBdr>
          <w:divsChild>
            <w:div w:id="13952731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2643478">
      <w:marLeft w:val="0"/>
      <w:marRight w:val="0"/>
      <w:marTop w:val="180"/>
      <w:marBottom w:val="180"/>
      <w:divBdr>
        <w:top w:val="none" w:sz="0" w:space="0" w:color="auto"/>
        <w:left w:val="none" w:sz="0" w:space="0" w:color="auto"/>
        <w:bottom w:val="none" w:sz="0" w:space="0" w:color="auto"/>
        <w:right w:val="none" w:sz="0" w:space="0" w:color="auto"/>
      </w:divBdr>
    </w:div>
    <w:div w:id="1582985187">
      <w:marLeft w:val="0"/>
      <w:marRight w:val="0"/>
      <w:marTop w:val="180"/>
      <w:marBottom w:val="180"/>
      <w:divBdr>
        <w:top w:val="none" w:sz="0" w:space="0" w:color="auto"/>
        <w:left w:val="none" w:sz="0" w:space="0" w:color="auto"/>
        <w:bottom w:val="none" w:sz="0" w:space="0" w:color="auto"/>
        <w:right w:val="none" w:sz="0" w:space="0" w:color="auto"/>
      </w:divBdr>
    </w:div>
    <w:div w:id="1583563230">
      <w:marLeft w:val="0"/>
      <w:marRight w:val="0"/>
      <w:marTop w:val="180"/>
      <w:marBottom w:val="180"/>
      <w:divBdr>
        <w:top w:val="none" w:sz="0" w:space="0" w:color="auto"/>
        <w:left w:val="none" w:sz="0" w:space="0" w:color="auto"/>
        <w:bottom w:val="none" w:sz="0" w:space="0" w:color="auto"/>
        <w:right w:val="none" w:sz="0" w:space="0" w:color="auto"/>
      </w:divBdr>
    </w:div>
    <w:div w:id="1584335142">
      <w:marLeft w:val="0"/>
      <w:marRight w:val="0"/>
      <w:marTop w:val="180"/>
      <w:marBottom w:val="180"/>
      <w:divBdr>
        <w:top w:val="none" w:sz="0" w:space="0" w:color="auto"/>
        <w:left w:val="none" w:sz="0" w:space="0" w:color="auto"/>
        <w:bottom w:val="none" w:sz="0" w:space="0" w:color="auto"/>
        <w:right w:val="none" w:sz="0" w:space="0" w:color="auto"/>
      </w:divBdr>
    </w:div>
    <w:div w:id="1584415922">
      <w:marLeft w:val="0"/>
      <w:marRight w:val="0"/>
      <w:marTop w:val="180"/>
      <w:marBottom w:val="180"/>
      <w:divBdr>
        <w:top w:val="none" w:sz="0" w:space="0" w:color="auto"/>
        <w:left w:val="none" w:sz="0" w:space="0" w:color="auto"/>
        <w:bottom w:val="none" w:sz="0" w:space="0" w:color="auto"/>
        <w:right w:val="none" w:sz="0" w:space="0" w:color="auto"/>
      </w:divBdr>
    </w:div>
    <w:div w:id="1584490507">
      <w:marLeft w:val="0"/>
      <w:marRight w:val="0"/>
      <w:marTop w:val="60"/>
      <w:marBottom w:val="60"/>
      <w:divBdr>
        <w:top w:val="none" w:sz="0" w:space="0" w:color="auto"/>
        <w:left w:val="none" w:sz="0" w:space="0" w:color="auto"/>
        <w:bottom w:val="none" w:sz="0" w:space="0" w:color="auto"/>
        <w:right w:val="none" w:sz="0" w:space="0" w:color="auto"/>
      </w:divBdr>
    </w:div>
    <w:div w:id="1585529761">
      <w:marLeft w:val="0"/>
      <w:marRight w:val="0"/>
      <w:marTop w:val="180"/>
      <w:marBottom w:val="180"/>
      <w:divBdr>
        <w:top w:val="none" w:sz="0" w:space="0" w:color="auto"/>
        <w:left w:val="none" w:sz="0" w:space="0" w:color="auto"/>
        <w:bottom w:val="none" w:sz="0" w:space="0" w:color="auto"/>
        <w:right w:val="none" w:sz="0" w:space="0" w:color="auto"/>
      </w:divBdr>
    </w:div>
    <w:div w:id="1587231165">
      <w:marLeft w:val="0"/>
      <w:marRight w:val="0"/>
      <w:marTop w:val="180"/>
      <w:marBottom w:val="180"/>
      <w:divBdr>
        <w:top w:val="none" w:sz="0" w:space="0" w:color="auto"/>
        <w:left w:val="none" w:sz="0" w:space="0" w:color="auto"/>
        <w:bottom w:val="none" w:sz="0" w:space="0" w:color="auto"/>
        <w:right w:val="none" w:sz="0" w:space="0" w:color="auto"/>
      </w:divBdr>
    </w:div>
    <w:div w:id="1588533458">
      <w:marLeft w:val="0"/>
      <w:marRight w:val="0"/>
      <w:marTop w:val="180"/>
      <w:marBottom w:val="0"/>
      <w:divBdr>
        <w:top w:val="none" w:sz="0" w:space="0" w:color="auto"/>
        <w:left w:val="none" w:sz="0" w:space="0" w:color="auto"/>
        <w:bottom w:val="none" w:sz="0" w:space="0" w:color="auto"/>
        <w:right w:val="none" w:sz="0" w:space="0" w:color="auto"/>
      </w:divBdr>
    </w:div>
    <w:div w:id="1589271790">
      <w:marLeft w:val="0"/>
      <w:marRight w:val="0"/>
      <w:marTop w:val="0"/>
      <w:marBottom w:val="0"/>
      <w:divBdr>
        <w:top w:val="none" w:sz="0" w:space="0" w:color="auto"/>
        <w:left w:val="none" w:sz="0" w:space="0" w:color="auto"/>
        <w:bottom w:val="none" w:sz="0" w:space="0" w:color="auto"/>
        <w:right w:val="none" w:sz="0" w:space="0" w:color="auto"/>
      </w:divBdr>
    </w:div>
    <w:div w:id="1589996712">
      <w:marLeft w:val="0"/>
      <w:marRight w:val="0"/>
      <w:marTop w:val="180"/>
      <w:marBottom w:val="180"/>
      <w:divBdr>
        <w:top w:val="none" w:sz="0" w:space="0" w:color="auto"/>
        <w:left w:val="none" w:sz="0" w:space="0" w:color="auto"/>
        <w:bottom w:val="none" w:sz="0" w:space="0" w:color="auto"/>
        <w:right w:val="none" w:sz="0" w:space="0" w:color="auto"/>
      </w:divBdr>
    </w:div>
    <w:div w:id="1592667620">
      <w:marLeft w:val="0"/>
      <w:marRight w:val="0"/>
      <w:marTop w:val="180"/>
      <w:marBottom w:val="180"/>
      <w:divBdr>
        <w:top w:val="none" w:sz="0" w:space="0" w:color="auto"/>
        <w:left w:val="none" w:sz="0" w:space="0" w:color="auto"/>
        <w:bottom w:val="none" w:sz="0" w:space="0" w:color="auto"/>
        <w:right w:val="none" w:sz="0" w:space="0" w:color="auto"/>
      </w:divBdr>
    </w:div>
    <w:div w:id="1595628876">
      <w:marLeft w:val="0"/>
      <w:marRight w:val="0"/>
      <w:marTop w:val="180"/>
      <w:marBottom w:val="180"/>
      <w:divBdr>
        <w:top w:val="none" w:sz="0" w:space="0" w:color="auto"/>
        <w:left w:val="none" w:sz="0" w:space="0" w:color="auto"/>
        <w:bottom w:val="none" w:sz="0" w:space="0" w:color="auto"/>
        <w:right w:val="none" w:sz="0" w:space="0" w:color="auto"/>
      </w:divBdr>
    </w:div>
    <w:div w:id="1598757498">
      <w:marLeft w:val="0"/>
      <w:marRight w:val="0"/>
      <w:marTop w:val="0"/>
      <w:marBottom w:val="0"/>
      <w:divBdr>
        <w:top w:val="none" w:sz="0" w:space="0" w:color="auto"/>
        <w:left w:val="none" w:sz="0" w:space="0" w:color="auto"/>
        <w:bottom w:val="none" w:sz="0" w:space="0" w:color="auto"/>
        <w:right w:val="none" w:sz="0" w:space="0" w:color="auto"/>
      </w:divBdr>
      <w:divsChild>
        <w:div w:id="668409881">
          <w:marLeft w:val="0"/>
          <w:marRight w:val="0"/>
          <w:marTop w:val="0"/>
          <w:marBottom w:val="0"/>
          <w:divBdr>
            <w:top w:val="none" w:sz="0" w:space="0" w:color="auto"/>
            <w:left w:val="none" w:sz="0" w:space="0" w:color="auto"/>
            <w:bottom w:val="none" w:sz="0" w:space="0" w:color="auto"/>
            <w:right w:val="none" w:sz="0" w:space="0" w:color="auto"/>
          </w:divBdr>
          <w:divsChild>
            <w:div w:id="6834371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1260674">
      <w:marLeft w:val="0"/>
      <w:marRight w:val="0"/>
      <w:marTop w:val="180"/>
      <w:marBottom w:val="180"/>
      <w:divBdr>
        <w:top w:val="none" w:sz="0" w:space="0" w:color="auto"/>
        <w:left w:val="none" w:sz="0" w:space="0" w:color="auto"/>
        <w:bottom w:val="none" w:sz="0" w:space="0" w:color="auto"/>
        <w:right w:val="none" w:sz="0" w:space="0" w:color="auto"/>
      </w:divBdr>
    </w:div>
    <w:div w:id="1601644688">
      <w:marLeft w:val="0"/>
      <w:marRight w:val="0"/>
      <w:marTop w:val="0"/>
      <w:marBottom w:val="0"/>
      <w:divBdr>
        <w:top w:val="none" w:sz="0" w:space="0" w:color="auto"/>
        <w:left w:val="none" w:sz="0" w:space="0" w:color="auto"/>
        <w:bottom w:val="none" w:sz="0" w:space="0" w:color="auto"/>
        <w:right w:val="none" w:sz="0" w:space="0" w:color="auto"/>
      </w:divBdr>
      <w:divsChild>
        <w:div w:id="1542127875">
          <w:marLeft w:val="0"/>
          <w:marRight w:val="0"/>
          <w:marTop w:val="60"/>
          <w:marBottom w:val="60"/>
          <w:divBdr>
            <w:top w:val="none" w:sz="0" w:space="0" w:color="auto"/>
            <w:left w:val="none" w:sz="0" w:space="0" w:color="auto"/>
            <w:bottom w:val="none" w:sz="0" w:space="0" w:color="auto"/>
            <w:right w:val="none" w:sz="0" w:space="0" w:color="auto"/>
          </w:divBdr>
        </w:div>
      </w:divsChild>
    </w:div>
    <w:div w:id="1602451580">
      <w:marLeft w:val="0"/>
      <w:marRight w:val="0"/>
      <w:marTop w:val="180"/>
      <w:marBottom w:val="180"/>
      <w:divBdr>
        <w:top w:val="none" w:sz="0" w:space="0" w:color="auto"/>
        <w:left w:val="none" w:sz="0" w:space="0" w:color="auto"/>
        <w:bottom w:val="none" w:sz="0" w:space="0" w:color="auto"/>
        <w:right w:val="none" w:sz="0" w:space="0" w:color="auto"/>
      </w:divBdr>
    </w:div>
    <w:div w:id="1604070347">
      <w:marLeft w:val="0"/>
      <w:marRight w:val="0"/>
      <w:marTop w:val="60"/>
      <w:marBottom w:val="60"/>
      <w:divBdr>
        <w:top w:val="none" w:sz="0" w:space="0" w:color="auto"/>
        <w:left w:val="none" w:sz="0" w:space="0" w:color="auto"/>
        <w:bottom w:val="none" w:sz="0" w:space="0" w:color="auto"/>
        <w:right w:val="none" w:sz="0" w:space="0" w:color="auto"/>
      </w:divBdr>
    </w:div>
    <w:div w:id="1605068585">
      <w:marLeft w:val="0"/>
      <w:marRight w:val="0"/>
      <w:marTop w:val="180"/>
      <w:marBottom w:val="180"/>
      <w:divBdr>
        <w:top w:val="none" w:sz="0" w:space="0" w:color="auto"/>
        <w:left w:val="none" w:sz="0" w:space="0" w:color="auto"/>
        <w:bottom w:val="none" w:sz="0" w:space="0" w:color="auto"/>
        <w:right w:val="none" w:sz="0" w:space="0" w:color="auto"/>
      </w:divBdr>
    </w:div>
    <w:div w:id="1605768004">
      <w:marLeft w:val="0"/>
      <w:marRight w:val="0"/>
      <w:marTop w:val="100"/>
      <w:marBottom w:val="0"/>
      <w:divBdr>
        <w:top w:val="none" w:sz="0" w:space="0" w:color="auto"/>
        <w:left w:val="none" w:sz="0" w:space="0" w:color="auto"/>
        <w:bottom w:val="none" w:sz="0" w:space="0" w:color="auto"/>
        <w:right w:val="none" w:sz="0" w:space="0" w:color="auto"/>
      </w:divBdr>
      <w:divsChild>
        <w:div w:id="1282496274">
          <w:marLeft w:val="0"/>
          <w:marRight w:val="0"/>
          <w:marTop w:val="0"/>
          <w:marBottom w:val="0"/>
          <w:divBdr>
            <w:top w:val="none" w:sz="0" w:space="0" w:color="auto"/>
            <w:left w:val="none" w:sz="0" w:space="0" w:color="auto"/>
            <w:bottom w:val="none" w:sz="0" w:space="0" w:color="auto"/>
            <w:right w:val="none" w:sz="0" w:space="0" w:color="auto"/>
          </w:divBdr>
        </w:div>
        <w:div w:id="1572427708">
          <w:marLeft w:val="0"/>
          <w:marRight w:val="0"/>
          <w:marTop w:val="0"/>
          <w:marBottom w:val="0"/>
          <w:divBdr>
            <w:top w:val="none" w:sz="0" w:space="0" w:color="auto"/>
            <w:left w:val="none" w:sz="0" w:space="0" w:color="auto"/>
            <w:bottom w:val="none" w:sz="0" w:space="0" w:color="auto"/>
            <w:right w:val="none" w:sz="0" w:space="0" w:color="auto"/>
          </w:divBdr>
        </w:div>
      </w:divsChild>
    </w:div>
    <w:div w:id="1608780438">
      <w:marLeft w:val="0"/>
      <w:marRight w:val="0"/>
      <w:marTop w:val="0"/>
      <w:marBottom w:val="0"/>
      <w:divBdr>
        <w:top w:val="none" w:sz="0" w:space="0" w:color="auto"/>
        <w:left w:val="none" w:sz="0" w:space="0" w:color="auto"/>
        <w:bottom w:val="none" w:sz="0" w:space="0" w:color="auto"/>
        <w:right w:val="none" w:sz="0" w:space="0" w:color="auto"/>
      </w:divBdr>
    </w:div>
    <w:div w:id="1610505655">
      <w:marLeft w:val="0"/>
      <w:marRight w:val="0"/>
      <w:marTop w:val="60"/>
      <w:marBottom w:val="60"/>
      <w:divBdr>
        <w:top w:val="none" w:sz="0" w:space="0" w:color="auto"/>
        <w:left w:val="none" w:sz="0" w:space="0" w:color="auto"/>
        <w:bottom w:val="none" w:sz="0" w:space="0" w:color="auto"/>
        <w:right w:val="none" w:sz="0" w:space="0" w:color="auto"/>
      </w:divBdr>
    </w:div>
    <w:div w:id="1612781222">
      <w:marLeft w:val="0"/>
      <w:marRight w:val="0"/>
      <w:marTop w:val="180"/>
      <w:marBottom w:val="180"/>
      <w:divBdr>
        <w:top w:val="none" w:sz="0" w:space="0" w:color="auto"/>
        <w:left w:val="none" w:sz="0" w:space="0" w:color="auto"/>
        <w:bottom w:val="none" w:sz="0" w:space="0" w:color="auto"/>
        <w:right w:val="none" w:sz="0" w:space="0" w:color="auto"/>
      </w:divBdr>
    </w:div>
    <w:div w:id="1613903642">
      <w:marLeft w:val="0"/>
      <w:marRight w:val="0"/>
      <w:marTop w:val="180"/>
      <w:marBottom w:val="180"/>
      <w:divBdr>
        <w:top w:val="none" w:sz="0" w:space="0" w:color="auto"/>
        <w:left w:val="none" w:sz="0" w:space="0" w:color="auto"/>
        <w:bottom w:val="none" w:sz="0" w:space="0" w:color="auto"/>
        <w:right w:val="none" w:sz="0" w:space="0" w:color="auto"/>
      </w:divBdr>
    </w:div>
    <w:div w:id="1615792110">
      <w:marLeft w:val="0"/>
      <w:marRight w:val="0"/>
      <w:marTop w:val="180"/>
      <w:marBottom w:val="180"/>
      <w:divBdr>
        <w:top w:val="none" w:sz="0" w:space="0" w:color="auto"/>
        <w:left w:val="none" w:sz="0" w:space="0" w:color="auto"/>
        <w:bottom w:val="none" w:sz="0" w:space="0" w:color="auto"/>
        <w:right w:val="none" w:sz="0" w:space="0" w:color="auto"/>
      </w:divBdr>
    </w:div>
    <w:div w:id="1616057707">
      <w:marLeft w:val="0"/>
      <w:marRight w:val="0"/>
      <w:marTop w:val="0"/>
      <w:marBottom w:val="0"/>
      <w:divBdr>
        <w:top w:val="none" w:sz="0" w:space="0" w:color="auto"/>
        <w:left w:val="none" w:sz="0" w:space="0" w:color="auto"/>
        <w:bottom w:val="none" w:sz="0" w:space="0" w:color="auto"/>
        <w:right w:val="none" w:sz="0" w:space="0" w:color="auto"/>
      </w:divBdr>
      <w:divsChild>
        <w:div w:id="1536851592">
          <w:marLeft w:val="0"/>
          <w:marRight w:val="0"/>
          <w:marTop w:val="180"/>
          <w:marBottom w:val="180"/>
          <w:divBdr>
            <w:top w:val="none" w:sz="0" w:space="0" w:color="auto"/>
            <w:left w:val="none" w:sz="0" w:space="0" w:color="auto"/>
            <w:bottom w:val="none" w:sz="0" w:space="0" w:color="auto"/>
            <w:right w:val="none" w:sz="0" w:space="0" w:color="auto"/>
          </w:divBdr>
        </w:div>
      </w:divsChild>
    </w:div>
    <w:div w:id="1619138608">
      <w:marLeft w:val="0"/>
      <w:marRight w:val="0"/>
      <w:marTop w:val="60"/>
      <w:marBottom w:val="60"/>
      <w:divBdr>
        <w:top w:val="none" w:sz="0" w:space="0" w:color="auto"/>
        <w:left w:val="none" w:sz="0" w:space="0" w:color="auto"/>
        <w:bottom w:val="none" w:sz="0" w:space="0" w:color="auto"/>
        <w:right w:val="none" w:sz="0" w:space="0" w:color="auto"/>
      </w:divBdr>
    </w:div>
    <w:div w:id="1622148624">
      <w:marLeft w:val="0"/>
      <w:marRight w:val="0"/>
      <w:marTop w:val="180"/>
      <w:marBottom w:val="180"/>
      <w:divBdr>
        <w:top w:val="none" w:sz="0" w:space="0" w:color="auto"/>
        <w:left w:val="none" w:sz="0" w:space="0" w:color="auto"/>
        <w:bottom w:val="none" w:sz="0" w:space="0" w:color="auto"/>
        <w:right w:val="none" w:sz="0" w:space="0" w:color="auto"/>
      </w:divBdr>
    </w:div>
    <w:div w:id="1625843560">
      <w:marLeft w:val="0"/>
      <w:marRight w:val="0"/>
      <w:marTop w:val="180"/>
      <w:marBottom w:val="180"/>
      <w:divBdr>
        <w:top w:val="none" w:sz="0" w:space="0" w:color="auto"/>
        <w:left w:val="none" w:sz="0" w:space="0" w:color="auto"/>
        <w:bottom w:val="none" w:sz="0" w:space="0" w:color="auto"/>
        <w:right w:val="none" w:sz="0" w:space="0" w:color="auto"/>
      </w:divBdr>
    </w:div>
    <w:div w:id="1626278909">
      <w:marLeft w:val="0"/>
      <w:marRight w:val="0"/>
      <w:marTop w:val="180"/>
      <w:marBottom w:val="180"/>
      <w:divBdr>
        <w:top w:val="none" w:sz="0" w:space="0" w:color="auto"/>
        <w:left w:val="none" w:sz="0" w:space="0" w:color="auto"/>
        <w:bottom w:val="none" w:sz="0" w:space="0" w:color="auto"/>
        <w:right w:val="none" w:sz="0" w:space="0" w:color="auto"/>
      </w:divBdr>
    </w:div>
    <w:div w:id="1627270494">
      <w:marLeft w:val="0"/>
      <w:marRight w:val="0"/>
      <w:marTop w:val="0"/>
      <w:marBottom w:val="0"/>
      <w:divBdr>
        <w:top w:val="none" w:sz="0" w:space="0" w:color="auto"/>
        <w:left w:val="none" w:sz="0" w:space="0" w:color="auto"/>
        <w:bottom w:val="none" w:sz="0" w:space="0" w:color="auto"/>
        <w:right w:val="none" w:sz="0" w:space="0" w:color="auto"/>
      </w:divBdr>
    </w:div>
    <w:div w:id="1631521152">
      <w:marLeft w:val="0"/>
      <w:marRight w:val="0"/>
      <w:marTop w:val="0"/>
      <w:marBottom w:val="0"/>
      <w:divBdr>
        <w:top w:val="none" w:sz="0" w:space="0" w:color="auto"/>
        <w:left w:val="none" w:sz="0" w:space="0" w:color="auto"/>
        <w:bottom w:val="none" w:sz="0" w:space="0" w:color="auto"/>
        <w:right w:val="none" w:sz="0" w:space="0" w:color="auto"/>
      </w:divBdr>
    </w:div>
    <w:div w:id="1632202365">
      <w:marLeft w:val="0"/>
      <w:marRight w:val="0"/>
      <w:marTop w:val="180"/>
      <w:marBottom w:val="180"/>
      <w:divBdr>
        <w:top w:val="none" w:sz="0" w:space="0" w:color="auto"/>
        <w:left w:val="none" w:sz="0" w:space="0" w:color="auto"/>
        <w:bottom w:val="none" w:sz="0" w:space="0" w:color="auto"/>
        <w:right w:val="none" w:sz="0" w:space="0" w:color="auto"/>
      </w:divBdr>
    </w:div>
    <w:div w:id="1632593034">
      <w:marLeft w:val="0"/>
      <w:marRight w:val="0"/>
      <w:marTop w:val="180"/>
      <w:marBottom w:val="180"/>
      <w:divBdr>
        <w:top w:val="none" w:sz="0" w:space="0" w:color="auto"/>
        <w:left w:val="none" w:sz="0" w:space="0" w:color="auto"/>
        <w:bottom w:val="none" w:sz="0" w:space="0" w:color="auto"/>
        <w:right w:val="none" w:sz="0" w:space="0" w:color="auto"/>
      </w:divBdr>
    </w:div>
    <w:div w:id="1633093216">
      <w:marLeft w:val="0"/>
      <w:marRight w:val="0"/>
      <w:marTop w:val="0"/>
      <w:marBottom w:val="0"/>
      <w:divBdr>
        <w:top w:val="none" w:sz="0" w:space="0" w:color="auto"/>
        <w:left w:val="none" w:sz="0" w:space="0" w:color="auto"/>
        <w:bottom w:val="none" w:sz="0" w:space="0" w:color="auto"/>
        <w:right w:val="none" w:sz="0" w:space="0" w:color="auto"/>
      </w:divBdr>
      <w:divsChild>
        <w:div w:id="289290690">
          <w:marLeft w:val="0"/>
          <w:marRight w:val="0"/>
          <w:marTop w:val="0"/>
          <w:marBottom w:val="0"/>
          <w:divBdr>
            <w:top w:val="none" w:sz="0" w:space="0" w:color="auto"/>
            <w:left w:val="none" w:sz="0" w:space="0" w:color="auto"/>
            <w:bottom w:val="none" w:sz="0" w:space="0" w:color="auto"/>
            <w:right w:val="none" w:sz="0" w:space="0" w:color="auto"/>
          </w:divBdr>
          <w:divsChild>
            <w:div w:id="10751289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3704166">
      <w:marLeft w:val="0"/>
      <w:marRight w:val="0"/>
      <w:marTop w:val="0"/>
      <w:marBottom w:val="0"/>
      <w:divBdr>
        <w:top w:val="none" w:sz="0" w:space="0" w:color="auto"/>
        <w:left w:val="none" w:sz="0" w:space="0" w:color="auto"/>
        <w:bottom w:val="none" w:sz="0" w:space="0" w:color="auto"/>
        <w:right w:val="none" w:sz="0" w:space="0" w:color="auto"/>
      </w:divBdr>
      <w:divsChild>
        <w:div w:id="1787849001">
          <w:marLeft w:val="0"/>
          <w:marRight w:val="0"/>
          <w:marTop w:val="0"/>
          <w:marBottom w:val="0"/>
          <w:divBdr>
            <w:top w:val="none" w:sz="0" w:space="0" w:color="auto"/>
            <w:left w:val="none" w:sz="0" w:space="0" w:color="auto"/>
            <w:bottom w:val="none" w:sz="0" w:space="0" w:color="auto"/>
            <w:right w:val="none" w:sz="0" w:space="0" w:color="auto"/>
          </w:divBdr>
          <w:divsChild>
            <w:div w:id="21451938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3830208">
      <w:marLeft w:val="0"/>
      <w:marRight w:val="0"/>
      <w:marTop w:val="180"/>
      <w:marBottom w:val="180"/>
      <w:divBdr>
        <w:top w:val="none" w:sz="0" w:space="0" w:color="auto"/>
        <w:left w:val="none" w:sz="0" w:space="0" w:color="auto"/>
        <w:bottom w:val="none" w:sz="0" w:space="0" w:color="auto"/>
        <w:right w:val="none" w:sz="0" w:space="0" w:color="auto"/>
      </w:divBdr>
    </w:div>
    <w:div w:id="1635331775">
      <w:marLeft w:val="0"/>
      <w:marRight w:val="0"/>
      <w:marTop w:val="100"/>
      <w:marBottom w:val="0"/>
      <w:divBdr>
        <w:top w:val="none" w:sz="0" w:space="0" w:color="auto"/>
        <w:left w:val="none" w:sz="0" w:space="0" w:color="auto"/>
        <w:bottom w:val="none" w:sz="0" w:space="0" w:color="auto"/>
        <w:right w:val="none" w:sz="0" w:space="0" w:color="auto"/>
      </w:divBdr>
      <w:divsChild>
        <w:div w:id="898439038">
          <w:marLeft w:val="0"/>
          <w:marRight w:val="0"/>
          <w:marTop w:val="0"/>
          <w:marBottom w:val="0"/>
          <w:divBdr>
            <w:top w:val="none" w:sz="0" w:space="0" w:color="auto"/>
            <w:left w:val="none" w:sz="0" w:space="0" w:color="auto"/>
            <w:bottom w:val="none" w:sz="0" w:space="0" w:color="auto"/>
            <w:right w:val="none" w:sz="0" w:space="0" w:color="auto"/>
          </w:divBdr>
        </w:div>
        <w:div w:id="1448768608">
          <w:marLeft w:val="0"/>
          <w:marRight w:val="0"/>
          <w:marTop w:val="0"/>
          <w:marBottom w:val="0"/>
          <w:divBdr>
            <w:top w:val="none" w:sz="0" w:space="0" w:color="auto"/>
            <w:left w:val="none" w:sz="0" w:space="0" w:color="auto"/>
            <w:bottom w:val="none" w:sz="0" w:space="0" w:color="auto"/>
            <w:right w:val="none" w:sz="0" w:space="0" w:color="auto"/>
          </w:divBdr>
        </w:div>
        <w:div w:id="929582360">
          <w:marLeft w:val="0"/>
          <w:marRight w:val="0"/>
          <w:marTop w:val="0"/>
          <w:marBottom w:val="0"/>
          <w:divBdr>
            <w:top w:val="none" w:sz="0" w:space="0" w:color="auto"/>
            <w:left w:val="none" w:sz="0" w:space="0" w:color="auto"/>
            <w:bottom w:val="none" w:sz="0" w:space="0" w:color="auto"/>
            <w:right w:val="none" w:sz="0" w:space="0" w:color="auto"/>
          </w:divBdr>
        </w:div>
        <w:div w:id="907571741">
          <w:marLeft w:val="0"/>
          <w:marRight w:val="0"/>
          <w:marTop w:val="0"/>
          <w:marBottom w:val="0"/>
          <w:divBdr>
            <w:top w:val="none" w:sz="0" w:space="0" w:color="auto"/>
            <w:left w:val="none" w:sz="0" w:space="0" w:color="auto"/>
            <w:bottom w:val="none" w:sz="0" w:space="0" w:color="auto"/>
            <w:right w:val="none" w:sz="0" w:space="0" w:color="auto"/>
          </w:divBdr>
        </w:div>
        <w:div w:id="1783644762">
          <w:marLeft w:val="0"/>
          <w:marRight w:val="0"/>
          <w:marTop w:val="0"/>
          <w:marBottom w:val="0"/>
          <w:divBdr>
            <w:top w:val="none" w:sz="0" w:space="0" w:color="auto"/>
            <w:left w:val="none" w:sz="0" w:space="0" w:color="auto"/>
            <w:bottom w:val="none" w:sz="0" w:space="0" w:color="auto"/>
            <w:right w:val="none" w:sz="0" w:space="0" w:color="auto"/>
          </w:divBdr>
        </w:div>
        <w:div w:id="545333757">
          <w:marLeft w:val="0"/>
          <w:marRight w:val="0"/>
          <w:marTop w:val="0"/>
          <w:marBottom w:val="0"/>
          <w:divBdr>
            <w:top w:val="none" w:sz="0" w:space="0" w:color="auto"/>
            <w:left w:val="none" w:sz="0" w:space="0" w:color="auto"/>
            <w:bottom w:val="none" w:sz="0" w:space="0" w:color="auto"/>
            <w:right w:val="none" w:sz="0" w:space="0" w:color="auto"/>
          </w:divBdr>
        </w:div>
        <w:div w:id="1932162099">
          <w:marLeft w:val="0"/>
          <w:marRight w:val="0"/>
          <w:marTop w:val="0"/>
          <w:marBottom w:val="0"/>
          <w:divBdr>
            <w:top w:val="none" w:sz="0" w:space="0" w:color="auto"/>
            <w:left w:val="none" w:sz="0" w:space="0" w:color="auto"/>
            <w:bottom w:val="none" w:sz="0" w:space="0" w:color="auto"/>
            <w:right w:val="none" w:sz="0" w:space="0" w:color="auto"/>
          </w:divBdr>
        </w:div>
        <w:div w:id="82186301">
          <w:marLeft w:val="0"/>
          <w:marRight w:val="0"/>
          <w:marTop w:val="0"/>
          <w:marBottom w:val="0"/>
          <w:divBdr>
            <w:top w:val="none" w:sz="0" w:space="0" w:color="auto"/>
            <w:left w:val="none" w:sz="0" w:space="0" w:color="auto"/>
            <w:bottom w:val="none" w:sz="0" w:space="0" w:color="auto"/>
            <w:right w:val="none" w:sz="0" w:space="0" w:color="auto"/>
          </w:divBdr>
        </w:div>
        <w:div w:id="2042052771">
          <w:marLeft w:val="0"/>
          <w:marRight w:val="0"/>
          <w:marTop w:val="0"/>
          <w:marBottom w:val="0"/>
          <w:divBdr>
            <w:top w:val="none" w:sz="0" w:space="0" w:color="auto"/>
            <w:left w:val="none" w:sz="0" w:space="0" w:color="auto"/>
            <w:bottom w:val="none" w:sz="0" w:space="0" w:color="auto"/>
            <w:right w:val="none" w:sz="0" w:space="0" w:color="auto"/>
          </w:divBdr>
        </w:div>
        <w:div w:id="1100376473">
          <w:marLeft w:val="0"/>
          <w:marRight w:val="0"/>
          <w:marTop w:val="0"/>
          <w:marBottom w:val="0"/>
          <w:divBdr>
            <w:top w:val="none" w:sz="0" w:space="0" w:color="auto"/>
            <w:left w:val="none" w:sz="0" w:space="0" w:color="auto"/>
            <w:bottom w:val="none" w:sz="0" w:space="0" w:color="auto"/>
            <w:right w:val="none" w:sz="0" w:space="0" w:color="auto"/>
          </w:divBdr>
        </w:div>
        <w:div w:id="983006455">
          <w:marLeft w:val="0"/>
          <w:marRight w:val="0"/>
          <w:marTop w:val="0"/>
          <w:marBottom w:val="0"/>
          <w:divBdr>
            <w:top w:val="none" w:sz="0" w:space="0" w:color="auto"/>
            <w:left w:val="none" w:sz="0" w:space="0" w:color="auto"/>
            <w:bottom w:val="none" w:sz="0" w:space="0" w:color="auto"/>
            <w:right w:val="none" w:sz="0" w:space="0" w:color="auto"/>
          </w:divBdr>
        </w:div>
        <w:div w:id="1277059820">
          <w:marLeft w:val="0"/>
          <w:marRight w:val="0"/>
          <w:marTop w:val="0"/>
          <w:marBottom w:val="0"/>
          <w:divBdr>
            <w:top w:val="none" w:sz="0" w:space="0" w:color="auto"/>
            <w:left w:val="none" w:sz="0" w:space="0" w:color="auto"/>
            <w:bottom w:val="none" w:sz="0" w:space="0" w:color="auto"/>
            <w:right w:val="none" w:sz="0" w:space="0" w:color="auto"/>
          </w:divBdr>
        </w:div>
        <w:div w:id="441148130">
          <w:marLeft w:val="0"/>
          <w:marRight w:val="0"/>
          <w:marTop w:val="0"/>
          <w:marBottom w:val="0"/>
          <w:divBdr>
            <w:top w:val="none" w:sz="0" w:space="0" w:color="auto"/>
            <w:left w:val="none" w:sz="0" w:space="0" w:color="auto"/>
            <w:bottom w:val="none" w:sz="0" w:space="0" w:color="auto"/>
            <w:right w:val="none" w:sz="0" w:space="0" w:color="auto"/>
          </w:divBdr>
        </w:div>
        <w:div w:id="655110457">
          <w:marLeft w:val="0"/>
          <w:marRight w:val="0"/>
          <w:marTop w:val="0"/>
          <w:marBottom w:val="0"/>
          <w:divBdr>
            <w:top w:val="none" w:sz="0" w:space="0" w:color="auto"/>
            <w:left w:val="none" w:sz="0" w:space="0" w:color="auto"/>
            <w:bottom w:val="none" w:sz="0" w:space="0" w:color="auto"/>
            <w:right w:val="none" w:sz="0" w:space="0" w:color="auto"/>
          </w:divBdr>
        </w:div>
        <w:div w:id="1833524351">
          <w:marLeft w:val="0"/>
          <w:marRight w:val="0"/>
          <w:marTop w:val="0"/>
          <w:marBottom w:val="0"/>
          <w:divBdr>
            <w:top w:val="none" w:sz="0" w:space="0" w:color="auto"/>
            <w:left w:val="none" w:sz="0" w:space="0" w:color="auto"/>
            <w:bottom w:val="none" w:sz="0" w:space="0" w:color="auto"/>
            <w:right w:val="none" w:sz="0" w:space="0" w:color="auto"/>
          </w:divBdr>
        </w:div>
        <w:div w:id="313486652">
          <w:marLeft w:val="0"/>
          <w:marRight w:val="0"/>
          <w:marTop w:val="0"/>
          <w:marBottom w:val="0"/>
          <w:divBdr>
            <w:top w:val="none" w:sz="0" w:space="0" w:color="auto"/>
            <w:left w:val="none" w:sz="0" w:space="0" w:color="auto"/>
            <w:bottom w:val="none" w:sz="0" w:space="0" w:color="auto"/>
            <w:right w:val="none" w:sz="0" w:space="0" w:color="auto"/>
          </w:divBdr>
        </w:div>
        <w:div w:id="1280144347">
          <w:marLeft w:val="0"/>
          <w:marRight w:val="0"/>
          <w:marTop w:val="0"/>
          <w:marBottom w:val="0"/>
          <w:divBdr>
            <w:top w:val="none" w:sz="0" w:space="0" w:color="auto"/>
            <w:left w:val="none" w:sz="0" w:space="0" w:color="auto"/>
            <w:bottom w:val="none" w:sz="0" w:space="0" w:color="auto"/>
            <w:right w:val="none" w:sz="0" w:space="0" w:color="auto"/>
          </w:divBdr>
        </w:div>
        <w:div w:id="953288746">
          <w:marLeft w:val="0"/>
          <w:marRight w:val="0"/>
          <w:marTop w:val="0"/>
          <w:marBottom w:val="0"/>
          <w:divBdr>
            <w:top w:val="none" w:sz="0" w:space="0" w:color="auto"/>
            <w:left w:val="none" w:sz="0" w:space="0" w:color="auto"/>
            <w:bottom w:val="none" w:sz="0" w:space="0" w:color="auto"/>
            <w:right w:val="none" w:sz="0" w:space="0" w:color="auto"/>
          </w:divBdr>
        </w:div>
        <w:div w:id="807481567">
          <w:marLeft w:val="0"/>
          <w:marRight w:val="0"/>
          <w:marTop w:val="0"/>
          <w:marBottom w:val="0"/>
          <w:divBdr>
            <w:top w:val="none" w:sz="0" w:space="0" w:color="auto"/>
            <w:left w:val="none" w:sz="0" w:space="0" w:color="auto"/>
            <w:bottom w:val="none" w:sz="0" w:space="0" w:color="auto"/>
            <w:right w:val="none" w:sz="0" w:space="0" w:color="auto"/>
          </w:divBdr>
        </w:div>
        <w:div w:id="1624001040">
          <w:marLeft w:val="0"/>
          <w:marRight w:val="0"/>
          <w:marTop w:val="0"/>
          <w:marBottom w:val="0"/>
          <w:divBdr>
            <w:top w:val="none" w:sz="0" w:space="0" w:color="auto"/>
            <w:left w:val="none" w:sz="0" w:space="0" w:color="auto"/>
            <w:bottom w:val="none" w:sz="0" w:space="0" w:color="auto"/>
            <w:right w:val="none" w:sz="0" w:space="0" w:color="auto"/>
          </w:divBdr>
        </w:div>
        <w:div w:id="1701279032">
          <w:marLeft w:val="0"/>
          <w:marRight w:val="0"/>
          <w:marTop w:val="0"/>
          <w:marBottom w:val="0"/>
          <w:divBdr>
            <w:top w:val="none" w:sz="0" w:space="0" w:color="auto"/>
            <w:left w:val="none" w:sz="0" w:space="0" w:color="auto"/>
            <w:bottom w:val="none" w:sz="0" w:space="0" w:color="auto"/>
            <w:right w:val="none" w:sz="0" w:space="0" w:color="auto"/>
          </w:divBdr>
        </w:div>
        <w:div w:id="484516830">
          <w:marLeft w:val="0"/>
          <w:marRight w:val="0"/>
          <w:marTop w:val="0"/>
          <w:marBottom w:val="0"/>
          <w:divBdr>
            <w:top w:val="none" w:sz="0" w:space="0" w:color="auto"/>
            <w:left w:val="none" w:sz="0" w:space="0" w:color="auto"/>
            <w:bottom w:val="none" w:sz="0" w:space="0" w:color="auto"/>
            <w:right w:val="none" w:sz="0" w:space="0" w:color="auto"/>
          </w:divBdr>
        </w:div>
        <w:div w:id="2117627471">
          <w:marLeft w:val="0"/>
          <w:marRight w:val="0"/>
          <w:marTop w:val="0"/>
          <w:marBottom w:val="0"/>
          <w:divBdr>
            <w:top w:val="none" w:sz="0" w:space="0" w:color="auto"/>
            <w:left w:val="none" w:sz="0" w:space="0" w:color="auto"/>
            <w:bottom w:val="none" w:sz="0" w:space="0" w:color="auto"/>
            <w:right w:val="none" w:sz="0" w:space="0" w:color="auto"/>
          </w:divBdr>
        </w:div>
        <w:div w:id="49888031">
          <w:marLeft w:val="0"/>
          <w:marRight w:val="0"/>
          <w:marTop w:val="0"/>
          <w:marBottom w:val="0"/>
          <w:divBdr>
            <w:top w:val="none" w:sz="0" w:space="0" w:color="auto"/>
            <w:left w:val="none" w:sz="0" w:space="0" w:color="auto"/>
            <w:bottom w:val="none" w:sz="0" w:space="0" w:color="auto"/>
            <w:right w:val="none" w:sz="0" w:space="0" w:color="auto"/>
          </w:divBdr>
        </w:div>
        <w:div w:id="748311392">
          <w:marLeft w:val="0"/>
          <w:marRight w:val="0"/>
          <w:marTop w:val="0"/>
          <w:marBottom w:val="0"/>
          <w:divBdr>
            <w:top w:val="none" w:sz="0" w:space="0" w:color="auto"/>
            <w:left w:val="none" w:sz="0" w:space="0" w:color="auto"/>
            <w:bottom w:val="none" w:sz="0" w:space="0" w:color="auto"/>
            <w:right w:val="none" w:sz="0" w:space="0" w:color="auto"/>
          </w:divBdr>
        </w:div>
        <w:div w:id="1006783039">
          <w:marLeft w:val="0"/>
          <w:marRight w:val="0"/>
          <w:marTop w:val="0"/>
          <w:marBottom w:val="0"/>
          <w:divBdr>
            <w:top w:val="none" w:sz="0" w:space="0" w:color="auto"/>
            <w:left w:val="none" w:sz="0" w:space="0" w:color="auto"/>
            <w:bottom w:val="none" w:sz="0" w:space="0" w:color="auto"/>
            <w:right w:val="none" w:sz="0" w:space="0" w:color="auto"/>
          </w:divBdr>
        </w:div>
        <w:div w:id="2131196985">
          <w:marLeft w:val="0"/>
          <w:marRight w:val="0"/>
          <w:marTop w:val="0"/>
          <w:marBottom w:val="0"/>
          <w:divBdr>
            <w:top w:val="none" w:sz="0" w:space="0" w:color="auto"/>
            <w:left w:val="none" w:sz="0" w:space="0" w:color="auto"/>
            <w:bottom w:val="none" w:sz="0" w:space="0" w:color="auto"/>
            <w:right w:val="none" w:sz="0" w:space="0" w:color="auto"/>
          </w:divBdr>
        </w:div>
        <w:div w:id="1253391676">
          <w:marLeft w:val="0"/>
          <w:marRight w:val="0"/>
          <w:marTop w:val="0"/>
          <w:marBottom w:val="0"/>
          <w:divBdr>
            <w:top w:val="none" w:sz="0" w:space="0" w:color="auto"/>
            <w:left w:val="none" w:sz="0" w:space="0" w:color="auto"/>
            <w:bottom w:val="none" w:sz="0" w:space="0" w:color="auto"/>
            <w:right w:val="none" w:sz="0" w:space="0" w:color="auto"/>
          </w:divBdr>
        </w:div>
        <w:div w:id="1247543464">
          <w:marLeft w:val="0"/>
          <w:marRight w:val="0"/>
          <w:marTop w:val="0"/>
          <w:marBottom w:val="0"/>
          <w:divBdr>
            <w:top w:val="none" w:sz="0" w:space="0" w:color="auto"/>
            <w:left w:val="none" w:sz="0" w:space="0" w:color="auto"/>
            <w:bottom w:val="none" w:sz="0" w:space="0" w:color="auto"/>
            <w:right w:val="none" w:sz="0" w:space="0" w:color="auto"/>
          </w:divBdr>
        </w:div>
        <w:div w:id="679310557">
          <w:marLeft w:val="0"/>
          <w:marRight w:val="0"/>
          <w:marTop w:val="0"/>
          <w:marBottom w:val="0"/>
          <w:divBdr>
            <w:top w:val="none" w:sz="0" w:space="0" w:color="auto"/>
            <w:left w:val="none" w:sz="0" w:space="0" w:color="auto"/>
            <w:bottom w:val="none" w:sz="0" w:space="0" w:color="auto"/>
            <w:right w:val="none" w:sz="0" w:space="0" w:color="auto"/>
          </w:divBdr>
        </w:div>
        <w:div w:id="1778256400">
          <w:marLeft w:val="0"/>
          <w:marRight w:val="0"/>
          <w:marTop w:val="0"/>
          <w:marBottom w:val="0"/>
          <w:divBdr>
            <w:top w:val="none" w:sz="0" w:space="0" w:color="auto"/>
            <w:left w:val="none" w:sz="0" w:space="0" w:color="auto"/>
            <w:bottom w:val="none" w:sz="0" w:space="0" w:color="auto"/>
            <w:right w:val="none" w:sz="0" w:space="0" w:color="auto"/>
          </w:divBdr>
        </w:div>
        <w:div w:id="409886255">
          <w:marLeft w:val="0"/>
          <w:marRight w:val="0"/>
          <w:marTop w:val="0"/>
          <w:marBottom w:val="0"/>
          <w:divBdr>
            <w:top w:val="none" w:sz="0" w:space="0" w:color="auto"/>
            <w:left w:val="none" w:sz="0" w:space="0" w:color="auto"/>
            <w:bottom w:val="none" w:sz="0" w:space="0" w:color="auto"/>
            <w:right w:val="none" w:sz="0" w:space="0" w:color="auto"/>
          </w:divBdr>
        </w:div>
        <w:div w:id="1237741703">
          <w:marLeft w:val="0"/>
          <w:marRight w:val="0"/>
          <w:marTop w:val="0"/>
          <w:marBottom w:val="0"/>
          <w:divBdr>
            <w:top w:val="none" w:sz="0" w:space="0" w:color="auto"/>
            <w:left w:val="none" w:sz="0" w:space="0" w:color="auto"/>
            <w:bottom w:val="none" w:sz="0" w:space="0" w:color="auto"/>
            <w:right w:val="none" w:sz="0" w:space="0" w:color="auto"/>
          </w:divBdr>
        </w:div>
        <w:div w:id="515850424">
          <w:marLeft w:val="0"/>
          <w:marRight w:val="0"/>
          <w:marTop w:val="0"/>
          <w:marBottom w:val="0"/>
          <w:divBdr>
            <w:top w:val="none" w:sz="0" w:space="0" w:color="auto"/>
            <w:left w:val="none" w:sz="0" w:space="0" w:color="auto"/>
            <w:bottom w:val="none" w:sz="0" w:space="0" w:color="auto"/>
            <w:right w:val="none" w:sz="0" w:space="0" w:color="auto"/>
          </w:divBdr>
        </w:div>
        <w:div w:id="1701541440">
          <w:marLeft w:val="0"/>
          <w:marRight w:val="0"/>
          <w:marTop w:val="0"/>
          <w:marBottom w:val="0"/>
          <w:divBdr>
            <w:top w:val="none" w:sz="0" w:space="0" w:color="auto"/>
            <w:left w:val="none" w:sz="0" w:space="0" w:color="auto"/>
            <w:bottom w:val="none" w:sz="0" w:space="0" w:color="auto"/>
            <w:right w:val="none" w:sz="0" w:space="0" w:color="auto"/>
          </w:divBdr>
        </w:div>
        <w:div w:id="690643069">
          <w:marLeft w:val="0"/>
          <w:marRight w:val="0"/>
          <w:marTop w:val="0"/>
          <w:marBottom w:val="0"/>
          <w:divBdr>
            <w:top w:val="none" w:sz="0" w:space="0" w:color="auto"/>
            <w:left w:val="none" w:sz="0" w:space="0" w:color="auto"/>
            <w:bottom w:val="none" w:sz="0" w:space="0" w:color="auto"/>
            <w:right w:val="none" w:sz="0" w:space="0" w:color="auto"/>
          </w:divBdr>
        </w:div>
        <w:div w:id="1283538125">
          <w:marLeft w:val="0"/>
          <w:marRight w:val="0"/>
          <w:marTop w:val="0"/>
          <w:marBottom w:val="0"/>
          <w:divBdr>
            <w:top w:val="none" w:sz="0" w:space="0" w:color="auto"/>
            <w:left w:val="none" w:sz="0" w:space="0" w:color="auto"/>
            <w:bottom w:val="none" w:sz="0" w:space="0" w:color="auto"/>
            <w:right w:val="none" w:sz="0" w:space="0" w:color="auto"/>
          </w:divBdr>
        </w:div>
        <w:div w:id="687683423">
          <w:marLeft w:val="0"/>
          <w:marRight w:val="0"/>
          <w:marTop w:val="0"/>
          <w:marBottom w:val="0"/>
          <w:divBdr>
            <w:top w:val="none" w:sz="0" w:space="0" w:color="auto"/>
            <w:left w:val="none" w:sz="0" w:space="0" w:color="auto"/>
            <w:bottom w:val="none" w:sz="0" w:space="0" w:color="auto"/>
            <w:right w:val="none" w:sz="0" w:space="0" w:color="auto"/>
          </w:divBdr>
        </w:div>
        <w:div w:id="1380740806">
          <w:marLeft w:val="0"/>
          <w:marRight w:val="0"/>
          <w:marTop w:val="0"/>
          <w:marBottom w:val="0"/>
          <w:divBdr>
            <w:top w:val="none" w:sz="0" w:space="0" w:color="auto"/>
            <w:left w:val="none" w:sz="0" w:space="0" w:color="auto"/>
            <w:bottom w:val="none" w:sz="0" w:space="0" w:color="auto"/>
            <w:right w:val="none" w:sz="0" w:space="0" w:color="auto"/>
          </w:divBdr>
        </w:div>
        <w:div w:id="1274551594">
          <w:marLeft w:val="0"/>
          <w:marRight w:val="0"/>
          <w:marTop w:val="0"/>
          <w:marBottom w:val="0"/>
          <w:divBdr>
            <w:top w:val="none" w:sz="0" w:space="0" w:color="auto"/>
            <w:left w:val="none" w:sz="0" w:space="0" w:color="auto"/>
            <w:bottom w:val="none" w:sz="0" w:space="0" w:color="auto"/>
            <w:right w:val="none" w:sz="0" w:space="0" w:color="auto"/>
          </w:divBdr>
        </w:div>
        <w:div w:id="1686053211">
          <w:marLeft w:val="0"/>
          <w:marRight w:val="0"/>
          <w:marTop w:val="0"/>
          <w:marBottom w:val="0"/>
          <w:divBdr>
            <w:top w:val="none" w:sz="0" w:space="0" w:color="auto"/>
            <w:left w:val="none" w:sz="0" w:space="0" w:color="auto"/>
            <w:bottom w:val="none" w:sz="0" w:space="0" w:color="auto"/>
            <w:right w:val="none" w:sz="0" w:space="0" w:color="auto"/>
          </w:divBdr>
        </w:div>
        <w:div w:id="924538998">
          <w:marLeft w:val="0"/>
          <w:marRight w:val="0"/>
          <w:marTop w:val="0"/>
          <w:marBottom w:val="0"/>
          <w:divBdr>
            <w:top w:val="none" w:sz="0" w:space="0" w:color="auto"/>
            <w:left w:val="none" w:sz="0" w:space="0" w:color="auto"/>
            <w:bottom w:val="none" w:sz="0" w:space="0" w:color="auto"/>
            <w:right w:val="none" w:sz="0" w:space="0" w:color="auto"/>
          </w:divBdr>
        </w:div>
      </w:divsChild>
    </w:div>
    <w:div w:id="1635403752">
      <w:marLeft w:val="0"/>
      <w:marRight w:val="0"/>
      <w:marTop w:val="180"/>
      <w:marBottom w:val="60"/>
      <w:divBdr>
        <w:top w:val="none" w:sz="0" w:space="0" w:color="auto"/>
        <w:left w:val="none" w:sz="0" w:space="0" w:color="auto"/>
        <w:bottom w:val="none" w:sz="0" w:space="0" w:color="auto"/>
        <w:right w:val="none" w:sz="0" w:space="0" w:color="auto"/>
      </w:divBdr>
    </w:div>
    <w:div w:id="1641039520">
      <w:marLeft w:val="0"/>
      <w:marRight w:val="0"/>
      <w:marTop w:val="60"/>
      <w:marBottom w:val="60"/>
      <w:divBdr>
        <w:top w:val="none" w:sz="0" w:space="0" w:color="auto"/>
        <w:left w:val="none" w:sz="0" w:space="0" w:color="auto"/>
        <w:bottom w:val="none" w:sz="0" w:space="0" w:color="auto"/>
        <w:right w:val="none" w:sz="0" w:space="0" w:color="auto"/>
      </w:divBdr>
    </w:div>
    <w:div w:id="1641811404">
      <w:marLeft w:val="0"/>
      <w:marRight w:val="0"/>
      <w:marTop w:val="0"/>
      <w:marBottom w:val="0"/>
      <w:divBdr>
        <w:top w:val="none" w:sz="0" w:space="0" w:color="auto"/>
        <w:left w:val="none" w:sz="0" w:space="0" w:color="auto"/>
        <w:bottom w:val="none" w:sz="0" w:space="0" w:color="auto"/>
        <w:right w:val="none" w:sz="0" w:space="0" w:color="auto"/>
      </w:divBdr>
      <w:divsChild>
        <w:div w:id="2145004443">
          <w:marLeft w:val="0"/>
          <w:marRight w:val="0"/>
          <w:marTop w:val="60"/>
          <w:marBottom w:val="60"/>
          <w:divBdr>
            <w:top w:val="none" w:sz="0" w:space="0" w:color="auto"/>
            <w:left w:val="none" w:sz="0" w:space="0" w:color="auto"/>
            <w:bottom w:val="none" w:sz="0" w:space="0" w:color="auto"/>
            <w:right w:val="none" w:sz="0" w:space="0" w:color="auto"/>
          </w:divBdr>
        </w:div>
      </w:divsChild>
    </w:div>
    <w:div w:id="1644890993">
      <w:marLeft w:val="0"/>
      <w:marRight w:val="0"/>
      <w:marTop w:val="180"/>
      <w:marBottom w:val="180"/>
      <w:divBdr>
        <w:top w:val="none" w:sz="0" w:space="0" w:color="auto"/>
        <w:left w:val="none" w:sz="0" w:space="0" w:color="auto"/>
        <w:bottom w:val="none" w:sz="0" w:space="0" w:color="auto"/>
        <w:right w:val="none" w:sz="0" w:space="0" w:color="auto"/>
      </w:divBdr>
    </w:div>
    <w:div w:id="1645619182">
      <w:marLeft w:val="0"/>
      <w:marRight w:val="0"/>
      <w:marTop w:val="180"/>
      <w:marBottom w:val="180"/>
      <w:divBdr>
        <w:top w:val="none" w:sz="0" w:space="0" w:color="auto"/>
        <w:left w:val="none" w:sz="0" w:space="0" w:color="auto"/>
        <w:bottom w:val="none" w:sz="0" w:space="0" w:color="auto"/>
        <w:right w:val="none" w:sz="0" w:space="0" w:color="auto"/>
      </w:divBdr>
    </w:div>
    <w:div w:id="1646004625">
      <w:marLeft w:val="0"/>
      <w:marRight w:val="0"/>
      <w:marTop w:val="60"/>
      <w:marBottom w:val="0"/>
      <w:divBdr>
        <w:top w:val="none" w:sz="0" w:space="0" w:color="auto"/>
        <w:left w:val="none" w:sz="0" w:space="0" w:color="auto"/>
        <w:bottom w:val="none" w:sz="0" w:space="0" w:color="auto"/>
        <w:right w:val="none" w:sz="0" w:space="0" w:color="auto"/>
      </w:divBdr>
    </w:div>
    <w:div w:id="1646541449">
      <w:marLeft w:val="0"/>
      <w:marRight w:val="0"/>
      <w:marTop w:val="0"/>
      <w:marBottom w:val="0"/>
      <w:divBdr>
        <w:top w:val="none" w:sz="0" w:space="0" w:color="auto"/>
        <w:left w:val="none" w:sz="0" w:space="0" w:color="auto"/>
        <w:bottom w:val="none" w:sz="0" w:space="0" w:color="auto"/>
        <w:right w:val="none" w:sz="0" w:space="0" w:color="auto"/>
      </w:divBdr>
      <w:divsChild>
        <w:div w:id="1374422569">
          <w:marLeft w:val="0"/>
          <w:marRight w:val="0"/>
          <w:marTop w:val="60"/>
          <w:marBottom w:val="60"/>
          <w:divBdr>
            <w:top w:val="none" w:sz="0" w:space="0" w:color="auto"/>
            <w:left w:val="none" w:sz="0" w:space="0" w:color="auto"/>
            <w:bottom w:val="none" w:sz="0" w:space="0" w:color="auto"/>
            <w:right w:val="none" w:sz="0" w:space="0" w:color="auto"/>
          </w:divBdr>
        </w:div>
      </w:divsChild>
    </w:div>
    <w:div w:id="1648897528">
      <w:marLeft w:val="0"/>
      <w:marRight w:val="0"/>
      <w:marTop w:val="0"/>
      <w:marBottom w:val="0"/>
      <w:divBdr>
        <w:top w:val="none" w:sz="0" w:space="0" w:color="auto"/>
        <w:left w:val="none" w:sz="0" w:space="0" w:color="auto"/>
        <w:bottom w:val="none" w:sz="0" w:space="0" w:color="auto"/>
        <w:right w:val="none" w:sz="0" w:space="0" w:color="auto"/>
      </w:divBdr>
      <w:divsChild>
        <w:div w:id="1970472920">
          <w:marLeft w:val="0"/>
          <w:marRight w:val="0"/>
          <w:marTop w:val="60"/>
          <w:marBottom w:val="60"/>
          <w:divBdr>
            <w:top w:val="none" w:sz="0" w:space="0" w:color="auto"/>
            <w:left w:val="none" w:sz="0" w:space="0" w:color="auto"/>
            <w:bottom w:val="none" w:sz="0" w:space="0" w:color="auto"/>
            <w:right w:val="none" w:sz="0" w:space="0" w:color="auto"/>
          </w:divBdr>
        </w:div>
      </w:divsChild>
    </w:div>
    <w:div w:id="1650787415">
      <w:marLeft w:val="0"/>
      <w:marRight w:val="0"/>
      <w:marTop w:val="60"/>
      <w:marBottom w:val="60"/>
      <w:divBdr>
        <w:top w:val="none" w:sz="0" w:space="0" w:color="auto"/>
        <w:left w:val="none" w:sz="0" w:space="0" w:color="auto"/>
        <w:bottom w:val="none" w:sz="0" w:space="0" w:color="auto"/>
        <w:right w:val="none" w:sz="0" w:space="0" w:color="auto"/>
      </w:divBdr>
    </w:div>
    <w:div w:id="1650790955">
      <w:marLeft w:val="0"/>
      <w:marRight w:val="0"/>
      <w:marTop w:val="0"/>
      <w:marBottom w:val="0"/>
      <w:divBdr>
        <w:top w:val="none" w:sz="0" w:space="0" w:color="auto"/>
        <w:left w:val="none" w:sz="0" w:space="0" w:color="auto"/>
        <w:bottom w:val="none" w:sz="0" w:space="0" w:color="auto"/>
        <w:right w:val="none" w:sz="0" w:space="0" w:color="auto"/>
      </w:divBdr>
      <w:divsChild>
        <w:div w:id="1124930714">
          <w:marLeft w:val="0"/>
          <w:marRight w:val="0"/>
          <w:marTop w:val="60"/>
          <w:marBottom w:val="60"/>
          <w:divBdr>
            <w:top w:val="none" w:sz="0" w:space="0" w:color="auto"/>
            <w:left w:val="none" w:sz="0" w:space="0" w:color="auto"/>
            <w:bottom w:val="none" w:sz="0" w:space="0" w:color="auto"/>
            <w:right w:val="none" w:sz="0" w:space="0" w:color="auto"/>
          </w:divBdr>
        </w:div>
      </w:divsChild>
    </w:div>
    <w:div w:id="1652365374">
      <w:marLeft w:val="0"/>
      <w:marRight w:val="0"/>
      <w:marTop w:val="180"/>
      <w:marBottom w:val="60"/>
      <w:divBdr>
        <w:top w:val="none" w:sz="0" w:space="0" w:color="auto"/>
        <w:left w:val="none" w:sz="0" w:space="0" w:color="auto"/>
        <w:bottom w:val="none" w:sz="0" w:space="0" w:color="auto"/>
        <w:right w:val="none" w:sz="0" w:space="0" w:color="auto"/>
      </w:divBdr>
    </w:div>
    <w:div w:id="1654291240">
      <w:marLeft w:val="0"/>
      <w:marRight w:val="0"/>
      <w:marTop w:val="180"/>
      <w:marBottom w:val="180"/>
      <w:divBdr>
        <w:top w:val="none" w:sz="0" w:space="0" w:color="auto"/>
        <w:left w:val="none" w:sz="0" w:space="0" w:color="auto"/>
        <w:bottom w:val="none" w:sz="0" w:space="0" w:color="auto"/>
        <w:right w:val="none" w:sz="0" w:space="0" w:color="auto"/>
      </w:divBdr>
    </w:div>
    <w:div w:id="1654723295">
      <w:marLeft w:val="0"/>
      <w:marRight w:val="0"/>
      <w:marTop w:val="60"/>
      <w:marBottom w:val="60"/>
      <w:divBdr>
        <w:top w:val="none" w:sz="0" w:space="0" w:color="auto"/>
        <w:left w:val="none" w:sz="0" w:space="0" w:color="auto"/>
        <w:bottom w:val="none" w:sz="0" w:space="0" w:color="auto"/>
        <w:right w:val="none" w:sz="0" w:space="0" w:color="auto"/>
      </w:divBdr>
    </w:div>
    <w:div w:id="1654871442">
      <w:marLeft w:val="0"/>
      <w:marRight w:val="0"/>
      <w:marTop w:val="180"/>
      <w:marBottom w:val="180"/>
      <w:divBdr>
        <w:top w:val="none" w:sz="0" w:space="0" w:color="auto"/>
        <w:left w:val="none" w:sz="0" w:space="0" w:color="auto"/>
        <w:bottom w:val="none" w:sz="0" w:space="0" w:color="auto"/>
        <w:right w:val="none" w:sz="0" w:space="0" w:color="auto"/>
      </w:divBdr>
    </w:div>
    <w:div w:id="1655378015">
      <w:marLeft w:val="0"/>
      <w:marRight w:val="0"/>
      <w:marTop w:val="180"/>
      <w:marBottom w:val="180"/>
      <w:divBdr>
        <w:top w:val="none" w:sz="0" w:space="0" w:color="auto"/>
        <w:left w:val="none" w:sz="0" w:space="0" w:color="auto"/>
        <w:bottom w:val="none" w:sz="0" w:space="0" w:color="auto"/>
        <w:right w:val="none" w:sz="0" w:space="0" w:color="auto"/>
      </w:divBdr>
    </w:div>
    <w:div w:id="1655526876">
      <w:marLeft w:val="0"/>
      <w:marRight w:val="0"/>
      <w:marTop w:val="60"/>
      <w:marBottom w:val="60"/>
      <w:divBdr>
        <w:top w:val="none" w:sz="0" w:space="0" w:color="auto"/>
        <w:left w:val="none" w:sz="0" w:space="0" w:color="auto"/>
        <w:bottom w:val="none" w:sz="0" w:space="0" w:color="auto"/>
        <w:right w:val="none" w:sz="0" w:space="0" w:color="auto"/>
      </w:divBdr>
    </w:div>
    <w:div w:id="1655642423">
      <w:marLeft w:val="0"/>
      <w:marRight w:val="0"/>
      <w:marTop w:val="60"/>
      <w:marBottom w:val="60"/>
      <w:divBdr>
        <w:top w:val="none" w:sz="0" w:space="0" w:color="auto"/>
        <w:left w:val="none" w:sz="0" w:space="0" w:color="auto"/>
        <w:bottom w:val="none" w:sz="0" w:space="0" w:color="auto"/>
        <w:right w:val="none" w:sz="0" w:space="0" w:color="auto"/>
      </w:divBdr>
    </w:div>
    <w:div w:id="1656226927">
      <w:marLeft w:val="0"/>
      <w:marRight w:val="0"/>
      <w:marTop w:val="180"/>
      <w:marBottom w:val="180"/>
      <w:divBdr>
        <w:top w:val="none" w:sz="0" w:space="0" w:color="auto"/>
        <w:left w:val="none" w:sz="0" w:space="0" w:color="auto"/>
        <w:bottom w:val="none" w:sz="0" w:space="0" w:color="auto"/>
        <w:right w:val="none" w:sz="0" w:space="0" w:color="auto"/>
      </w:divBdr>
    </w:div>
    <w:div w:id="1658463177">
      <w:marLeft w:val="0"/>
      <w:marRight w:val="0"/>
      <w:marTop w:val="0"/>
      <w:marBottom w:val="0"/>
      <w:divBdr>
        <w:top w:val="none" w:sz="0" w:space="0" w:color="auto"/>
        <w:left w:val="none" w:sz="0" w:space="0" w:color="auto"/>
        <w:bottom w:val="none" w:sz="0" w:space="0" w:color="auto"/>
        <w:right w:val="none" w:sz="0" w:space="0" w:color="auto"/>
      </w:divBdr>
      <w:divsChild>
        <w:div w:id="109708514">
          <w:marLeft w:val="0"/>
          <w:marRight w:val="0"/>
          <w:marTop w:val="60"/>
          <w:marBottom w:val="60"/>
          <w:divBdr>
            <w:top w:val="none" w:sz="0" w:space="0" w:color="auto"/>
            <w:left w:val="none" w:sz="0" w:space="0" w:color="auto"/>
            <w:bottom w:val="none" w:sz="0" w:space="0" w:color="auto"/>
            <w:right w:val="none" w:sz="0" w:space="0" w:color="auto"/>
          </w:divBdr>
        </w:div>
      </w:divsChild>
    </w:div>
    <w:div w:id="1661077213">
      <w:marLeft w:val="0"/>
      <w:marRight w:val="0"/>
      <w:marTop w:val="180"/>
      <w:marBottom w:val="180"/>
      <w:divBdr>
        <w:top w:val="none" w:sz="0" w:space="0" w:color="auto"/>
        <w:left w:val="none" w:sz="0" w:space="0" w:color="auto"/>
        <w:bottom w:val="none" w:sz="0" w:space="0" w:color="auto"/>
        <w:right w:val="none" w:sz="0" w:space="0" w:color="auto"/>
      </w:divBdr>
    </w:div>
    <w:div w:id="1661234812">
      <w:marLeft w:val="0"/>
      <w:marRight w:val="0"/>
      <w:marTop w:val="180"/>
      <w:marBottom w:val="180"/>
      <w:divBdr>
        <w:top w:val="none" w:sz="0" w:space="0" w:color="auto"/>
        <w:left w:val="none" w:sz="0" w:space="0" w:color="auto"/>
        <w:bottom w:val="none" w:sz="0" w:space="0" w:color="auto"/>
        <w:right w:val="none" w:sz="0" w:space="0" w:color="auto"/>
      </w:divBdr>
    </w:div>
    <w:div w:id="1661304252">
      <w:marLeft w:val="0"/>
      <w:marRight w:val="0"/>
      <w:marTop w:val="180"/>
      <w:marBottom w:val="180"/>
      <w:divBdr>
        <w:top w:val="none" w:sz="0" w:space="0" w:color="auto"/>
        <w:left w:val="none" w:sz="0" w:space="0" w:color="auto"/>
        <w:bottom w:val="none" w:sz="0" w:space="0" w:color="auto"/>
        <w:right w:val="none" w:sz="0" w:space="0" w:color="auto"/>
      </w:divBdr>
    </w:div>
    <w:div w:id="1662344587">
      <w:marLeft w:val="0"/>
      <w:marRight w:val="0"/>
      <w:marTop w:val="180"/>
      <w:marBottom w:val="180"/>
      <w:divBdr>
        <w:top w:val="none" w:sz="0" w:space="0" w:color="auto"/>
        <w:left w:val="none" w:sz="0" w:space="0" w:color="auto"/>
        <w:bottom w:val="none" w:sz="0" w:space="0" w:color="auto"/>
        <w:right w:val="none" w:sz="0" w:space="0" w:color="auto"/>
      </w:divBdr>
    </w:div>
    <w:div w:id="1663117388">
      <w:marLeft w:val="0"/>
      <w:marRight w:val="0"/>
      <w:marTop w:val="180"/>
      <w:marBottom w:val="60"/>
      <w:divBdr>
        <w:top w:val="none" w:sz="0" w:space="0" w:color="auto"/>
        <w:left w:val="none" w:sz="0" w:space="0" w:color="auto"/>
        <w:bottom w:val="none" w:sz="0" w:space="0" w:color="auto"/>
        <w:right w:val="none" w:sz="0" w:space="0" w:color="auto"/>
      </w:divBdr>
    </w:div>
    <w:div w:id="1663122461">
      <w:marLeft w:val="0"/>
      <w:marRight w:val="0"/>
      <w:marTop w:val="60"/>
      <w:marBottom w:val="60"/>
      <w:divBdr>
        <w:top w:val="none" w:sz="0" w:space="0" w:color="auto"/>
        <w:left w:val="none" w:sz="0" w:space="0" w:color="auto"/>
        <w:bottom w:val="none" w:sz="0" w:space="0" w:color="auto"/>
        <w:right w:val="none" w:sz="0" w:space="0" w:color="auto"/>
      </w:divBdr>
    </w:div>
    <w:div w:id="1663269180">
      <w:marLeft w:val="0"/>
      <w:marRight w:val="0"/>
      <w:marTop w:val="0"/>
      <w:marBottom w:val="0"/>
      <w:divBdr>
        <w:top w:val="none" w:sz="0" w:space="0" w:color="auto"/>
        <w:left w:val="none" w:sz="0" w:space="0" w:color="auto"/>
        <w:bottom w:val="none" w:sz="0" w:space="0" w:color="auto"/>
        <w:right w:val="none" w:sz="0" w:space="0" w:color="auto"/>
      </w:divBdr>
    </w:div>
    <w:div w:id="1663850385">
      <w:marLeft w:val="0"/>
      <w:marRight w:val="0"/>
      <w:marTop w:val="0"/>
      <w:marBottom w:val="0"/>
      <w:divBdr>
        <w:top w:val="none" w:sz="0" w:space="0" w:color="auto"/>
        <w:left w:val="none" w:sz="0" w:space="0" w:color="auto"/>
        <w:bottom w:val="none" w:sz="0" w:space="0" w:color="auto"/>
        <w:right w:val="none" w:sz="0" w:space="0" w:color="auto"/>
      </w:divBdr>
      <w:divsChild>
        <w:div w:id="1404641341">
          <w:marLeft w:val="0"/>
          <w:marRight w:val="0"/>
          <w:marTop w:val="0"/>
          <w:marBottom w:val="0"/>
          <w:divBdr>
            <w:top w:val="none" w:sz="0" w:space="0" w:color="auto"/>
            <w:left w:val="none" w:sz="0" w:space="0" w:color="auto"/>
            <w:bottom w:val="none" w:sz="0" w:space="0" w:color="auto"/>
            <w:right w:val="none" w:sz="0" w:space="0" w:color="auto"/>
          </w:divBdr>
          <w:divsChild>
            <w:div w:id="15195405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4158481">
      <w:marLeft w:val="0"/>
      <w:marRight w:val="0"/>
      <w:marTop w:val="180"/>
      <w:marBottom w:val="60"/>
      <w:divBdr>
        <w:top w:val="none" w:sz="0" w:space="0" w:color="auto"/>
        <w:left w:val="none" w:sz="0" w:space="0" w:color="auto"/>
        <w:bottom w:val="none" w:sz="0" w:space="0" w:color="auto"/>
        <w:right w:val="none" w:sz="0" w:space="0" w:color="auto"/>
      </w:divBdr>
    </w:div>
    <w:div w:id="1664892262">
      <w:marLeft w:val="0"/>
      <w:marRight w:val="0"/>
      <w:marTop w:val="180"/>
      <w:marBottom w:val="180"/>
      <w:divBdr>
        <w:top w:val="none" w:sz="0" w:space="0" w:color="auto"/>
        <w:left w:val="none" w:sz="0" w:space="0" w:color="auto"/>
        <w:bottom w:val="none" w:sz="0" w:space="0" w:color="auto"/>
        <w:right w:val="none" w:sz="0" w:space="0" w:color="auto"/>
      </w:divBdr>
    </w:div>
    <w:div w:id="1665161059">
      <w:marLeft w:val="0"/>
      <w:marRight w:val="0"/>
      <w:marTop w:val="60"/>
      <w:marBottom w:val="60"/>
      <w:divBdr>
        <w:top w:val="none" w:sz="0" w:space="0" w:color="auto"/>
        <w:left w:val="none" w:sz="0" w:space="0" w:color="auto"/>
        <w:bottom w:val="none" w:sz="0" w:space="0" w:color="auto"/>
        <w:right w:val="none" w:sz="0" w:space="0" w:color="auto"/>
      </w:divBdr>
    </w:div>
    <w:div w:id="1669943769">
      <w:marLeft w:val="0"/>
      <w:marRight w:val="0"/>
      <w:marTop w:val="0"/>
      <w:marBottom w:val="0"/>
      <w:divBdr>
        <w:top w:val="none" w:sz="0" w:space="0" w:color="auto"/>
        <w:left w:val="none" w:sz="0" w:space="0" w:color="auto"/>
        <w:bottom w:val="none" w:sz="0" w:space="0" w:color="auto"/>
        <w:right w:val="none" w:sz="0" w:space="0" w:color="auto"/>
      </w:divBdr>
      <w:divsChild>
        <w:div w:id="1270046392">
          <w:marLeft w:val="0"/>
          <w:marRight w:val="0"/>
          <w:marTop w:val="0"/>
          <w:marBottom w:val="0"/>
          <w:divBdr>
            <w:top w:val="none" w:sz="0" w:space="0" w:color="auto"/>
            <w:left w:val="none" w:sz="0" w:space="0" w:color="auto"/>
            <w:bottom w:val="none" w:sz="0" w:space="0" w:color="auto"/>
            <w:right w:val="none" w:sz="0" w:space="0" w:color="auto"/>
          </w:divBdr>
          <w:divsChild>
            <w:div w:id="2838500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0644365">
      <w:marLeft w:val="0"/>
      <w:marRight w:val="0"/>
      <w:marTop w:val="180"/>
      <w:marBottom w:val="180"/>
      <w:divBdr>
        <w:top w:val="none" w:sz="0" w:space="0" w:color="auto"/>
        <w:left w:val="none" w:sz="0" w:space="0" w:color="auto"/>
        <w:bottom w:val="none" w:sz="0" w:space="0" w:color="auto"/>
        <w:right w:val="none" w:sz="0" w:space="0" w:color="auto"/>
      </w:divBdr>
    </w:div>
    <w:div w:id="1671447968">
      <w:marLeft w:val="0"/>
      <w:marRight w:val="0"/>
      <w:marTop w:val="180"/>
      <w:marBottom w:val="180"/>
      <w:divBdr>
        <w:top w:val="none" w:sz="0" w:space="0" w:color="auto"/>
        <w:left w:val="none" w:sz="0" w:space="0" w:color="auto"/>
        <w:bottom w:val="none" w:sz="0" w:space="0" w:color="auto"/>
        <w:right w:val="none" w:sz="0" w:space="0" w:color="auto"/>
      </w:divBdr>
    </w:div>
    <w:div w:id="1673416475">
      <w:marLeft w:val="0"/>
      <w:marRight w:val="0"/>
      <w:marTop w:val="180"/>
      <w:marBottom w:val="180"/>
      <w:divBdr>
        <w:top w:val="none" w:sz="0" w:space="0" w:color="auto"/>
        <w:left w:val="none" w:sz="0" w:space="0" w:color="auto"/>
        <w:bottom w:val="none" w:sz="0" w:space="0" w:color="auto"/>
        <w:right w:val="none" w:sz="0" w:space="0" w:color="auto"/>
      </w:divBdr>
    </w:div>
    <w:div w:id="1673604109">
      <w:marLeft w:val="0"/>
      <w:marRight w:val="0"/>
      <w:marTop w:val="180"/>
      <w:marBottom w:val="180"/>
      <w:divBdr>
        <w:top w:val="none" w:sz="0" w:space="0" w:color="auto"/>
        <w:left w:val="none" w:sz="0" w:space="0" w:color="auto"/>
        <w:bottom w:val="none" w:sz="0" w:space="0" w:color="auto"/>
        <w:right w:val="none" w:sz="0" w:space="0" w:color="auto"/>
      </w:divBdr>
    </w:div>
    <w:div w:id="1674406795">
      <w:marLeft w:val="0"/>
      <w:marRight w:val="0"/>
      <w:marTop w:val="100"/>
      <w:marBottom w:val="0"/>
      <w:divBdr>
        <w:top w:val="none" w:sz="0" w:space="0" w:color="auto"/>
        <w:left w:val="none" w:sz="0" w:space="0" w:color="auto"/>
        <w:bottom w:val="none" w:sz="0" w:space="0" w:color="auto"/>
        <w:right w:val="none" w:sz="0" w:space="0" w:color="auto"/>
      </w:divBdr>
      <w:divsChild>
        <w:div w:id="1489588294">
          <w:marLeft w:val="0"/>
          <w:marRight w:val="0"/>
          <w:marTop w:val="0"/>
          <w:marBottom w:val="0"/>
          <w:divBdr>
            <w:top w:val="none" w:sz="0" w:space="0" w:color="auto"/>
            <w:left w:val="none" w:sz="0" w:space="0" w:color="auto"/>
            <w:bottom w:val="none" w:sz="0" w:space="0" w:color="auto"/>
            <w:right w:val="none" w:sz="0" w:space="0" w:color="auto"/>
          </w:divBdr>
        </w:div>
      </w:divsChild>
    </w:div>
    <w:div w:id="1675842825">
      <w:marLeft w:val="0"/>
      <w:marRight w:val="0"/>
      <w:marTop w:val="180"/>
      <w:marBottom w:val="180"/>
      <w:divBdr>
        <w:top w:val="none" w:sz="0" w:space="0" w:color="auto"/>
        <w:left w:val="none" w:sz="0" w:space="0" w:color="auto"/>
        <w:bottom w:val="none" w:sz="0" w:space="0" w:color="auto"/>
        <w:right w:val="none" w:sz="0" w:space="0" w:color="auto"/>
      </w:divBdr>
      <w:divsChild>
        <w:div w:id="433331606">
          <w:marLeft w:val="0"/>
          <w:marRight w:val="0"/>
          <w:marTop w:val="0"/>
          <w:marBottom w:val="0"/>
          <w:divBdr>
            <w:top w:val="none" w:sz="0" w:space="0" w:color="auto"/>
            <w:left w:val="none" w:sz="0" w:space="0" w:color="auto"/>
            <w:bottom w:val="none" w:sz="0" w:space="0" w:color="auto"/>
            <w:right w:val="none" w:sz="0" w:space="0" w:color="auto"/>
          </w:divBdr>
        </w:div>
      </w:divsChild>
    </w:div>
    <w:div w:id="1681620760">
      <w:marLeft w:val="0"/>
      <w:marRight w:val="0"/>
      <w:marTop w:val="0"/>
      <w:marBottom w:val="0"/>
      <w:divBdr>
        <w:top w:val="none" w:sz="0" w:space="0" w:color="auto"/>
        <w:left w:val="none" w:sz="0" w:space="0" w:color="auto"/>
        <w:bottom w:val="none" w:sz="0" w:space="0" w:color="auto"/>
        <w:right w:val="none" w:sz="0" w:space="0" w:color="auto"/>
      </w:divBdr>
    </w:div>
    <w:div w:id="1681809697">
      <w:marLeft w:val="0"/>
      <w:marRight w:val="0"/>
      <w:marTop w:val="0"/>
      <w:marBottom w:val="0"/>
      <w:divBdr>
        <w:top w:val="none" w:sz="0" w:space="0" w:color="auto"/>
        <w:left w:val="none" w:sz="0" w:space="0" w:color="auto"/>
        <w:bottom w:val="none" w:sz="0" w:space="0" w:color="auto"/>
        <w:right w:val="none" w:sz="0" w:space="0" w:color="auto"/>
      </w:divBdr>
    </w:div>
    <w:div w:id="1682124601">
      <w:marLeft w:val="0"/>
      <w:marRight w:val="0"/>
      <w:marTop w:val="180"/>
      <w:marBottom w:val="180"/>
      <w:divBdr>
        <w:top w:val="none" w:sz="0" w:space="0" w:color="auto"/>
        <w:left w:val="none" w:sz="0" w:space="0" w:color="auto"/>
        <w:bottom w:val="none" w:sz="0" w:space="0" w:color="auto"/>
        <w:right w:val="none" w:sz="0" w:space="0" w:color="auto"/>
      </w:divBdr>
    </w:div>
    <w:div w:id="1687705624">
      <w:marLeft w:val="0"/>
      <w:marRight w:val="0"/>
      <w:marTop w:val="0"/>
      <w:marBottom w:val="0"/>
      <w:divBdr>
        <w:top w:val="none" w:sz="0" w:space="0" w:color="auto"/>
        <w:left w:val="none" w:sz="0" w:space="0" w:color="auto"/>
        <w:bottom w:val="none" w:sz="0" w:space="0" w:color="auto"/>
        <w:right w:val="none" w:sz="0" w:space="0" w:color="auto"/>
      </w:divBdr>
      <w:divsChild>
        <w:div w:id="1502358524">
          <w:marLeft w:val="0"/>
          <w:marRight w:val="0"/>
          <w:marTop w:val="0"/>
          <w:marBottom w:val="0"/>
          <w:divBdr>
            <w:top w:val="none" w:sz="0" w:space="0" w:color="auto"/>
            <w:left w:val="none" w:sz="0" w:space="0" w:color="auto"/>
            <w:bottom w:val="none" w:sz="0" w:space="0" w:color="auto"/>
            <w:right w:val="none" w:sz="0" w:space="0" w:color="auto"/>
          </w:divBdr>
          <w:divsChild>
            <w:div w:id="3116421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8168758">
      <w:marLeft w:val="0"/>
      <w:marRight w:val="0"/>
      <w:marTop w:val="0"/>
      <w:marBottom w:val="0"/>
      <w:divBdr>
        <w:top w:val="none" w:sz="0" w:space="0" w:color="auto"/>
        <w:left w:val="none" w:sz="0" w:space="0" w:color="auto"/>
        <w:bottom w:val="none" w:sz="0" w:space="0" w:color="auto"/>
        <w:right w:val="none" w:sz="0" w:space="0" w:color="auto"/>
      </w:divBdr>
      <w:divsChild>
        <w:div w:id="1354068312">
          <w:marLeft w:val="0"/>
          <w:marRight w:val="0"/>
          <w:marTop w:val="0"/>
          <w:marBottom w:val="0"/>
          <w:divBdr>
            <w:top w:val="none" w:sz="0" w:space="0" w:color="auto"/>
            <w:left w:val="none" w:sz="0" w:space="0" w:color="auto"/>
            <w:bottom w:val="none" w:sz="0" w:space="0" w:color="auto"/>
            <w:right w:val="none" w:sz="0" w:space="0" w:color="auto"/>
          </w:divBdr>
          <w:divsChild>
            <w:div w:id="2613800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0835134">
      <w:marLeft w:val="0"/>
      <w:marRight w:val="0"/>
      <w:marTop w:val="180"/>
      <w:marBottom w:val="180"/>
      <w:divBdr>
        <w:top w:val="none" w:sz="0" w:space="0" w:color="auto"/>
        <w:left w:val="none" w:sz="0" w:space="0" w:color="auto"/>
        <w:bottom w:val="none" w:sz="0" w:space="0" w:color="auto"/>
        <w:right w:val="none" w:sz="0" w:space="0" w:color="auto"/>
      </w:divBdr>
    </w:div>
    <w:div w:id="1691494826">
      <w:marLeft w:val="0"/>
      <w:marRight w:val="0"/>
      <w:marTop w:val="180"/>
      <w:marBottom w:val="180"/>
      <w:divBdr>
        <w:top w:val="none" w:sz="0" w:space="0" w:color="auto"/>
        <w:left w:val="none" w:sz="0" w:space="0" w:color="auto"/>
        <w:bottom w:val="none" w:sz="0" w:space="0" w:color="auto"/>
        <w:right w:val="none" w:sz="0" w:space="0" w:color="auto"/>
      </w:divBdr>
    </w:div>
    <w:div w:id="1691906485">
      <w:marLeft w:val="0"/>
      <w:marRight w:val="0"/>
      <w:marTop w:val="180"/>
      <w:marBottom w:val="180"/>
      <w:divBdr>
        <w:top w:val="none" w:sz="0" w:space="0" w:color="auto"/>
        <w:left w:val="none" w:sz="0" w:space="0" w:color="auto"/>
        <w:bottom w:val="none" w:sz="0" w:space="0" w:color="auto"/>
        <w:right w:val="none" w:sz="0" w:space="0" w:color="auto"/>
      </w:divBdr>
    </w:div>
    <w:div w:id="1692295064">
      <w:marLeft w:val="0"/>
      <w:marRight w:val="0"/>
      <w:marTop w:val="180"/>
      <w:marBottom w:val="180"/>
      <w:divBdr>
        <w:top w:val="none" w:sz="0" w:space="0" w:color="auto"/>
        <w:left w:val="none" w:sz="0" w:space="0" w:color="auto"/>
        <w:bottom w:val="none" w:sz="0" w:space="0" w:color="auto"/>
        <w:right w:val="none" w:sz="0" w:space="0" w:color="auto"/>
      </w:divBdr>
    </w:div>
    <w:div w:id="1693458783">
      <w:marLeft w:val="0"/>
      <w:marRight w:val="0"/>
      <w:marTop w:val="180"/>
      <w:marBottom w:val="180"/>
      <w:divBdr>
        <w:top w:val="none" w:sz="0" w:space="0" w:color="auto"/>
        <w:left w:val="none" w:sz="0" w:space="0" w:color="auto"/>
        <w:bottom w:val="none" w:sz="0" w:space="0" w:color="auto"/>
        <w:right w:val="none" w:sz="0" w:space="0" w:color="auto"/>
      </w:divBdr>
    </w:div>
    <w:div w:id="1695115728">
      <w:marLeft w:val="0"/>
      <w:marRight w:val="0"/>
      <w:marTop w:val="180"/>
      <w:marBottom w:val="180"/>
      <w:divBdr>
        <w:top w:val="none" w:sz="0" w:space="0" w:color="auto"/>
        <w:left w:val="none" w:sz="0" w:space="0" w:color="auto"/>
        <w:bottom w:val="none" w:sz="0" w:space="0" w:color="auto"/>
        <w:right w:val="none" w:sz="0" w:space="0" w:color="auto"/>
      </w:divBdr>
    </w:div>
    <w:div w:id="1695768619">
      <w:marLeft w:val="0"/>
      <w:marRight w:val="0"/>
      <w:marTop w:val="60"/>
      <w:marBottom w:val="60"/>
      <w:divBdr>
        <w:top w:val="none" w:sz="0" w:space="0" w:color="auto"/>
        <w:left w:val="none" w:sz="0" w:space="0" w:color="auto"/>
        <w:bottom w:val="none" w:sz="0" w:space="0" w:color="auto"/>
        <w:right w:val="none" w:sz="0" w:space="0" w:color="auto"/>
      </w:divBdr>
    </w:div>
    <w:div w:id="1699501978">
      <w:marLeft w:val="0"/>
      <w:marRight w:val="0"/>
      <w:marTop w:val="0"/>
      <w:marBottom w:val="0"/>
      <w:divBdr>
        <w:top w:val="none" w:sz="0" w:space="0" w:color="auto"/>
        <w:left w:val="none" w:sz="0" w:space="0" w:color="auto"/>
        <w:bottom w:val="none" w:sz="0" w:space="0" w:color="auto"/>
        <w:right w:val="none" w:sz="0" w:space="0" w:color="auto"/>
      </w:divBdr>
    </w:div>
    <w:div w:id="1700206703">
      <w:marLeft w:val="0"/>
      <w:marRight w:val="0"/>
      <w:marTop w:val="180"/>
      <w:marBottom w:val="180"/>
      <w:divBdr>
        <w:top w:val="none" w:sz="0" w:space="0" w:color="auto"/>
        <w:left w:val="none" w:sz="0" w:space="0" w:color="auto"/>
        <w:bottom w:val="none" w:sz="0" w:space="0" w:color="auto"/>
        <w:right w:val="none" w:sz="0" w:space="0" w:color="auto"/>
      </w:divBdr>
    </w:div>
    <w:div w:id="1701198118">
      <w:marLeft w:val="0"/>
      <w:marRight w:val="0"/>
      <w:marTop w:val="180"/>
      <w:marBottom w:val="180"/>
      <w:divBdr>
        <w:top w:val="none" w:sz="0" w:space="0" w:color="auto"/>
        <w:left w:val="none" w:sz="0" w:space="0" w:color="auto"/>
        <w:bottom w:val="none" w:sz="0" w:space="0" w:color="auto"/>
        <w:right w:val="none" w:sz="0" w:space="0" w:color="auto"/>
      </w:divBdr>
    </w:div>
    <w:div w:id="1701969927">
      <w:marLeft w:val="0"/>
      <w:marRight w:val="0"/>
      <w:marTop w:val="180"/>
      <w:marBottom w:val="180"/>
      <w:divBdr>
        <w:top w:val="none" w:sz="0" w:space="0" w:color="auto"/>
        <w:left w:val="none" w:sz="0" w:space="0" w:color="auto"/>
        <w:bottom w:val="none" w:sz="0" w:space="0" w:color="auto"/>
        <w:right w:val="none" w:sz="0" w:space="0" w:color="auto"/>
      </w:divBdr>
    </w:div>
    <w:div w:id="1702364573">
      <w:marLeft w:val="0"/>
      <w:marRight w:val="0"/>
      <w:marTop w:val="100"/>
      <w:marBottom w:val="0"/>
      <w:divBdr>
        <w:top w:val="none" w:sz="0" w:space="0" w:color="auto"/>
        <w:left w:val="none" w:sz="0" w:space="0" w:color="auto"/>
        <w:bottom w:val="none" w:sz="0" w:space="0" w:color="auto"/>
        <w:right w:val="none" w:sz="0" w:space="0" w:color="auto"/>
      </w:divBdr>
    </w:div>
    <w:div w:id="1702976974">
      <w:marLeft w:val="0"/>
      <w:marRight w:val="0"/>
      <w:marTop w:val="180"/>
      <w:marBottom w:val="60"/>
      <w:divBdr>
        <w:top w:val="none" w:sz="0" w:space="0" w:color="auto"/>
        <w:left w:val="none" w:sz="0" w:space="0" w:color="auto"/>
        <w:bottom w:val="none" w:sz="0" w:space="0" w:color="auto"/>
        <w:right w:val="none" w:sz="0" w:space="0" w:color="auto"/>
      </w:divBdr>
      <w:divsChild>
        <w:div w:id="804547878">
          <w:marLeft w:val="0"/>
          <w:marRight w:val="0"/>
          <w:marTop w:val="0"/>
          <w:marBottom w:val="0"/>
          <w:divBdr>
            <w:top w:val="none" w:sz="0" w:space="0" w:color="auto"/>
            <w:left w:val="none" w:sz="0" w:space="0" w:color="auto"/>
            <w:bottom w:val="none" w:sz="0" w:space="0" w:color="auto"/>
            <w:right w:val="none" w:sz="0" w:space="0" w:color="auto"/>
          </w:divBdr>
        </w:div>
        <w:div w:id="2010134526">
          <w:marLeft w:val="0"/>
          <w:marRight w:val="0"/>
          <w:marTop w:val="0"/>
          <w:marBottom w:val="0"/>
          <w:divBdr>
            <w:top w:val="none" w:sz="0" w:space="0" w:color="auto"/>
            <w:left w:val="none" w:sz="0" w:space="0" w:color="auto"/>
            <w:bottom w:val="none" w:sz="0" w:space="0" w:color="auto"/>
            <w:right w:val="none" w:sz="0" w:space="0" w:color="auto"/>
          </w:divBdr>
        </w:div>
        <w:div w:id="492455079">
          <w:marLeft w:val="0"/>
          <w:marRight w:val="0"/>
          <w:marTop w:val="0"/>
          <w:marBottom w:val="0"/>
          <w:divBdr>
            <w:top w:val="none" w:sz="0" w:space="0" w:color="auto"/>
            <w:left w:val="none" w:sz="0" w:space="0" w:color="auto"/>
            <w:bottom w:val="none" w:sz="0" w:space="0" w:color="auto"/>
            <w:right w:val="none" w:sz="0" w:space="0" w:color="auto"/>
          </w:divBdr>
        </w:div>
        <w:div w:id="1186283123">
          <w:marLeft w:val="0"/>
          <w:marRight w:val="0"/>
          <w:marTop w:val="0"/>
          <w:marBottom w:val="0"/>
          <w:divBdr>
            <w:top w:val="none" w:sz="0" w:space="0" w:color="auto"/>
            <w:left w:val="none" w:sz="0" w:space="0" w:color="auto"/>
            <w:bottom w:val="none" w:sz="0" w:space="0" w:color="auto"/>
            <w:right w:val="none" w:sz="0" w:space="0" w:color="auto"/>
          </w:divBdr>
        </w:div>
        <w:div w:id="1807701482">
          <w:marLeft w:val="0"/>
          <w:marRight w:val="0"/>
          <w:marTop w:val="0"/>
          <w:marBottom w:val="0"/>
          <w:divBdr>
            <w:top w:val="none" w:sz="0" w:space="0" w:color="auto"/>
            <w:left w:val="none" w:sz="0" w:space="0" w:color="auto"/>
            <w:bottom w:val="none" w:sz="0" w:space="0" w:color="auto"/>
            <w:right w:val="none" w:sz="0" w:space="0" w:color="auto"/>
          </w:divBdr>
        </w:div>
        <w:div w:id="100608572">
          <w:marLeft w:val="0"/>
          <w:marRight w:val="0"/>
          <w:marTop w:val="0"/>
          <w:marBottom w:val="0"/>
          <w:divBdr>
            <w:top w:val="none" w:sz="0" w:space="0" w:color="auto"/>
            <w:left w:val="none" w:sz="0" w:space="0" w:color="auto"/>
            <w:bottom w:val="none" w:sz="0" w:space="0" w:color="auto"/>
            <w:right w:val="none" w:sz="0" w:space="0" w:color="auto"/>
          </w:divBdr>
        </w:div>
        <w:div w:id="1442334247">
          <w:marLeft w:val="0"/>
          <w:marRight w:val="0"/>
          <w:marTop w:val="0"/>
          <w:marBottom w:val="0"/>
          <w:divBdr>
            <w:top w:val="none" w:sz="0" w:space="0" w:color="auto"/>
            <w:left w:val="none" w:sz="0" w:space="0" w:color="auto"/>
            <w:bottom w:val="none" w:sz="0" w:space="0" w:color="auto"/>
            <w:right w:val="none" w:sz="0" w:space="0" w:color="auto"/>
          </w:divBdr>
        </w:div>
        <w:div w:id="1432160074">
          <w:marLeft w:val="0"/>
          <w:marRight w:val="0"/>
          <w:marTop w:val="0"/>
          <w:marBottom w:val="0"/>
          <w:divBdr>
            <w:top w:val="none" w:sz="0" w:space="0" w:color="auto"/>
            <w:left w:val="none" w:sz="0" w:space="0" w:color="auto"/>
            <w:bottom w:val="none" w:sz="0" w:space="0" w:color="auto"/>
            <w:right w:val="none" w:sz="0" w:space="0" w:color="auto"/>
          </w:divBdr>
        </w:div>
      </w:divsChild>
    </w:div>
    <w:div w:id="1708723779">
      <w:marLeft w:val="0"/>
      <w:marRight w:val="0"/>
      <w:marTop w:val="60"/>
      <w:marBottom w:val="60"/>
      <w:divBdr>
        <w:top w:val="none" w:sz="0" w:space="0" w:color="auto"/>
        <w:left w:val="none" w:sz="0" w:space="0" w:color="auto"/>
        <w:bottom w:val="none" w:sz="0" w:space="0" w:color="auto"/>
        <w:right w:val="none" w:sz="0" w:space="0" w:color="auto"/>
      </w:divBdr>
    </w:div>
    <w:div w:id="1709065970">
      <w:marLeft w:val="0"/>
      <w:marRight w:val="0"/>
      <w:marTop w:val="0"/>
      <w:marBottom w:val="15"/>
      <w:divBdr>
        <w:top w:val="none" w:sz="0" w:space="0" w:color="auto"/>
        <w:left w:val="none" w:sz="0" w:space="0" w:color="auto"/>
        <w:bottom w:val="none" w:sz="0" w:space="0" w:color="auto"/>
        <w:right w:val="none" w:sz="0" w:space="0" w:color="auto"/>
      </w:divBdr>
    </w:div>
    <w:div w:id="1709138250">
      <w:marLeft w:val="0"/>
      <w:marRight w:val="0"/>
      <w:marTop w:val="0"/>
      <w:marBottom w:val="0"/>
      <w:divBdr>
        <w:top w:val="none" w:sz="0" w:space="0" w:color="auto"/>
        <w:left w:val="none" w:sz="0" w:space="0" w:color="auto"/>
        <w:bottom w:val="none" w:sz="0" w:space="0" w:color="auto"/>
        <w:right w:val="none" w:sz="0" w:space="0" w:color="auto"/>
      </w:divBdr>
      <w:divsChild>
        <w:div w:id="1786266828">
          <w:marLeft w:val="0"/>
          <w:marRight w:val="0"/>
          <w:marTop w:val="60"/>
          <w:marBottom w:val="60"/>
          <w:divBdr>
            <w:top w:val="none" w:sz="0" w:space="0" w:color="auto"/>
            <w:left w:val="none" w:sz="0" w:space="0" w:color="auto"/>
            <w:bottom w:val="none" w:sz="0" w:space="0" w:color="auto"/>
            <w:right w:val="none" w:sz="0" w:space="0" w:color="auto"/>
          </w:divBdr>
        </w:div>
      </w:divsChild>
    </w:div>
    <w:div w:id="1709716409">
      <w:marLeft w:val="0"/>
      <w:marRight w:val="0"/>
      <w:marTop w:val="180"/>
      <w:marBottom w:val="180"/>
      <w:divBdr>
        <w:top w:val="none" w:sz="0" w:space="0" w:color="auto"/>
        <w:left w:val="none" w:sz="0" w:space="0" w:color="auto"/>
        <w:bottom w:val="none" w:sz="0" w:space="0" w:color="auto"/>
        <w:right w:val="none" w:sz="0" w:space="0" w:color="auto"/>
      </w:divBdr>
    </w:div>
    <w:div w:id="1712487622">
      <w:marLeft w:val="0"/>
      <w:marRight w:val="0"/>
      <w:marTop w:val="180"/>
      <w:marBottom w:val="180"/>
      <w:divBdr>
        <w:top w:val="none" w:sz="0" w:space="0" w:color="auto"/>
        <w:left w:val="none" w:sz="0" w:space="0" w:color="auto"/>
        <w:bottom w:val="none" w:sz="0" w:space="0" w:color="auto"/>
        <w:right w:val="none" w:sz="0" w:space="0" w:color="auto"/>
      </w:divBdr>
    </w:div>
    <w:div w:id="1712606893">
      <w:marLeft w:val="0"/>
      <w:marRight w:val="0"/>
      <w:marTop w:val="180"/>
      <w:marBottom w:val="180"/>
      <w:divBdr>
        <w:top w:val="none" w:sz="0" w:space="0" w:color="auto"/>
        <w:left w:val="none" w:sz="0" w:space="0" w:color="auto"/>
        <w:bottom w:val="none" w:sz="0" w:space="0" w:color="auto"/>
        <w:right w:val="none" w:sz="0" w:space="0" w:color="auto"/>
      </w:divBdr>
    </w:div>
    <w:div w:id="1713647688">
      <w:marLeft w:val="0"/>
      <w:marRight w:val="0"/>
      <w:marTop w:val="180"/>
      <w:marBottom w:val="180"/>
      <w:divBdr>
        <w:top w:val="none" w:sz="0" w:space="0" w:color="auto"/>
        <w:left w:val="none" w:sz="0" w:space="0" w:color="auto"/>
        <w:bottom w:val="none" w:sz="0" w:space="0" w:color="auto"/>
        <w:right w:val="none" w:sz="0" w:space="0" w:color="auto"/>
      </w:divBdr>
    </w:div>
    <w:div w:id="1714036979">
      <w:marLeft w:val="0"/>
      <w:marRight w:val="0"/>
      <w:marTop w:val="60"/>
      <w:marBottom w:val="60"/>
      <w:divBdr>
        <w:top w:val="none" w:sz="0" w:space="0" w:color="auto"/>
        <w:left w:val="none" w:sz="0" w:space="0" w:color="auto"/>
        <w:bottom w:val="none" w:sz="0" w:space="0" w:color="auto"/>
        <w:right w:val="none" w:sz="0" w:space="0" w:color="auto"/>
      </w:divBdr>
    </w:div>
    <w:div w:id="1716351353">
      <w:marLeft w:val="0"/>
      <w:marRight w:val="0"/>
      <w:marTop w:val="60"/>
      <w:marBottom w:val="60"/>
      <w:divBdr>
        <w:top w:val="none" w:sz="0" w:space="0" w:color="auto"/>
        <w:left w:val="none" w:sz="0" w:space="0" w:color="auto"/>
        <w:bottom w:val="none" w:sz="0" w:space="0" w:color="auto"/>
        <w:right w:val="none" w:sz="0" w:space="0" w:color="auto"/>
      </w:divBdr>
    </w:div>
    <w:div w:id="1719939179">
      <w:marLeft w:val="0"/>
      <w:marRight w:val="0"/>
      <w:marTop w:val="180"/>
      <w:marBottom w:val="180"/>
      <w:divBdr>
        <w:top w:val="none" w:sz="0" w:space="0" w:color="auto"/>
        <w:left w:val="none" w:sz="0" w:space="0" w:color="auto"/>
        <w:bottom w:val="none" w:sz="0" w:space="0" w:color="auto"/>
        <w:right w:val="none" w:sz="0" w:space="0" w:color="auto"/>
      </w:divBdr>
    </w:div>
    <w:div w:id="1721780134">
      <w:marLeft w:val="0"/>
      <w:marRight w:val="0"/>
      <w:marTop w:val="180"/>
      <w:marBottom w:val="180"/>
      <w:divBdr>
        <w:top w:val="none" w:sz="0" w:space="0" w:color="auto"/>
        <w:left w:val="none" w:sz="0" w:space="0" w:color="auto"/>
        <w:bottom w:val="none" w:sz="0" w:space="0" w:color="auto"/>
        <w:right w:val="none" w:sz="0" w:space="0" w:color="auto"/>
      </w:divBdr>
    </w:div>
    <w:div w:id="1722436749">
      <w:marLeft w:val="0"/>
      <w:marRight w:val="0"/>
      <w:marTop w:val="180"/>
      <w:marBottom w:val="180"/>
      <w:divBdr>
        <w:top w:val="none" w:sz="0" w:space="0" w:color="auto"/>
        <w:left w:val="none" w:sz="0" w:space="0" w:color="auto"/>
        <w:bottom w:val="none" w:sz="0" w:space="0" w:color="auto"/>
        <w:right w:val="none" w:sz="0" w:space="0" w:color="auto"/>
      </w:divBdr>
    </w:div>
    <w:div w:id="1722905340">
      <w:marLeft w:val="0"/>
      <w:marRight w:val="0"/>
      <w:marTop w:val="180"/>
      <w:marBottom w:val="180"/>
      <w:divBdr>
        <w:top w:val="none" w:sz="0" w:space="0" w:color="auto"/>
        <w:left w:val="none" w:sz="0" w:space="0" w:color="auto"/>
        <w:bottom w:val="none" w:sz="0" w:space="0" w:color="auto"/>
        <w:right w:val="none" w:sz="0" w:space="0" w:color="auto"/>
      </w:divBdr>
    </w:div>
    <w:div w:id="1724593182">
      <w:marLeft w:val="0"/>
      <w:marRight w:val="0"/>
      <w:marTop w:val="180"/>
      <w:marBottom w:val="180"/>
      <w:divBdr>
        <w:top w:val="none" w:sz="0" w:space="0" w:color="auto"/>
        <w:left w:val="none" w:sz="0" w:space="0" w:color="auto"/>
        <w:bottom w:val="none" w:sz="0" w:space="0" w:color="auto"/>
        <w:right w:val="none" w:sz="0" w:space="0" w:color="auto"/>
      </w:divBdr>
    </w:div>
    <w:div w:id="1724907995">
      <w:marLeft w:val="0"/>
      <w:marRight w:val="0"/>
      <w:marTop w:val="0"/>
      <w:marBottom w:val="15"/>
      <w:divBdr>
        <w:top w:val="none" w:sz="0" w:space="0" w:color="auto"/>
        <w:left w:val="none" w:sz="0" w:space="0" w:color="auto"/>
        <w:bottom w:val="none" w:sz="0" w:space="0" w:color="auto"/>
        <w:right w:val="none" w:sz="0" w:space="0" w:color="auto"/>
      </w:divBdr>
    </w:div>
    <w:div w:id="1725593072">
      <w:marLeft w:val="0"/>
      <w:marRight w:val="0"/>
      <w:marTop w:val="60"/>
      <w:marBottom w:val="60"/>
      <w:divBdr>
        <w:top w:val="none" w:sz="0" w:space="0" w:color="auto"/>
        <w:left w:val="none" w:sz="0" w:space="0" w:color="auto"/>
        <w:bottom w:val="none" w:sz="0" w:space="0" w:color="auto"/>
        <w:right w:val="none" w:sz="0" w:space="0" w:color="auto"/>
      </w:divBdr>
    </w:div>
    <w:div w:id="1725713225">
      <w:marLeft w:val="0"/>
      <w:marRight w:val="0"/>
      <w:marTop w:val="60"/>
      <w:marBottom w:val="60"/>
      <w:divBdr>
        <w:top w:val="none" w:sz="0" w:space="0" w:color="auto"/>
        <w:left w:val="none" w:sz="0" w:space="0" w:color="auto"/>
        <w:bottom w:val="none" w:sz="0" w:space="0" w:color="auto"/>
        <w:right w:val="none" w:sz="0" w:space="0" w:color="auto"/>
      </w:divBdr>
    </w:div>
    <w:div w:id="1726758465">
      <w:marLeft w:val="0"/>
      <w:marRight w:val="0"/>
      <w:marTop w:val="0"/>
      <w:marBottom w:val="0"/>
      <w:divBdr>
        <w:top w:val="none" w:sz="0" w:space="0" w:color="auto"/>
        <w:left w:val="none" w:sz="0" w:space="0" w:color="auto"/>
        <w:bottom w:val="none" w:sz="0" w:space="0" w:color="auto"/>
        <w:right w:val="none" w:sz="0" w:space="0" w:color="auto"/>
      </w:divBdr>
      <w:divsChild>
        <w:div w:id="1455368721">
          <w:marLeft w:val="0"/>
          <w:marRight w:val="0"/>
          <w:marTop w:val="60"/>
          <w:marBottom w:val="60"/>
          <w:divBdr>
            <w:top w:val="none" w:sz="0" w:space="0" w:color="auto"/>
            <w:left w:val="none" w:sz="0" w:space="0" w:color="auto"/>
            <w:bottom w:val="none" w:sz="0" w:space="0" w:color="auto"/>
            <w:right w:val="none" w:sz="0" w:space="0" w:color="auto"/>
          </w:divBdr>
        </w:div>
      </w:divsChild>
    </w:div>
    <w:div w:id="1728453263">
      <w:marLeft w:val="0"/>
      <w:marRight w:val="0"/>
      <w:marTop w:val="180"/>
      <w:marBottom w:val="180"/>
      <w:divBdr>
        <w:top w:val="none" w:sz="0" w:space="0" w:color="auto"/>
        <w:left w:val="none" w:sz="0" w:space="0" w:color="auto"/>
        <w:bottom w:val="none" w:sz="0" w:space="0" w:color="auto"/>
        <w:right w:val="none" w:sz="0" w:space="0" w:color="auto"/>
      </w:divBdr>
    </w:div>
    <w:div w:id="1729259973">
      <w:marLeft w:val="0"/>
      <w:marRight w:val="0"/>
      <w:marTop w:val="180"/>
      <w:marBottom w:val="180"/>
      <w:divBdr>
        <w:top w:val="none" w:sz="0" w:space="0" w:color="auto"/>
        <w:left w:val="none" w:sz="0" w:space="0" w:color="auto"/>
        <w:bottom w:val="none" w:sz="0" w:space="0" w:color="auto"/>
        <w:right w:val="none" w:sz="0" w:space="0" w:color="auto"/>
      </w:divBdr>
    </w:div>
    <w:div w:id="1732342450">
      <w:marLeft w:val="0"/>
      <w:marRight w:val="0"/>
      <w:marTop w:val="100"/>
      <w:marBottom w:val="0"/>
      <w:divBdr>
        <w:top w:val="none" w:sz="0" w:space="0" w:color="auto"/>
        <w:left w:val="none" w:sz="0" w:space="0" w:color="auto"/>
        <w:bottom w:val="none" w:sz="0" w:space="0" w:color="auto"/>
        <w:right w:val="none" w:sz="0" w:space="0" w:color="auto"/>
      </w:divBdr>
    </w:div>
    <w:div w:id="1732845968">
      <w:marLeft w:val="0"/>
      <w:marRight w:val="0"/>
      <w:marTop w:val="60"/>
      <w:marBottom w:val="60"/>
      <w:divBdr>
        <w:top w:val="none" w:sz="0" w:space="0" w:color="auto"/>
        <w:left w:val="none" w:sz="0" w:space="0" w:color="auto"/>
        <w:bottom w:val="none" w:sz="0" w:space="0" w:color="auto"/>
        <w:right w:val="none" w:sz="0" w:space="0" w:color="auto"/>
      </w:divBdr>
    </w:div>
    <w:div w:id="1733962531">
      <w:marLeft w:val="0"/>
      <w:marRight w:val="0"/>
      <w:marTop w:val="0"/>
      <w:marBottom w:val="0"/>
      <w:divBdr>
        <w:top w:val="none" w:sz="0" w:space="0" w:color="auto"/>
        <w:left w:val="none" w:sz="0" w:space="0" w:color="auto"/>
        <w:bottom w:val="none" w:sz="0" w:space="0" w:color="auto"/>
        <w:right w:val="none" w:sz="0" w:space="0" w:color="auto"/>
      </w:divBdr>
      <w:divsChild>
        <w:div w:id="1777557133">
          <w:marLeft w:val="0"/>
          <w:marRight w:val="0"/>
          <w:marTop w:val="0"/>
          <w:marBottom w:val="0"/>
          <w:divBdr>
            <w:top w:val="none" w:sz="0" w:space="0" w:color="auto"/>
            <w:left w:val="none" w:sz="0" w:space="0" w:color="auto"/>
            <w:bottom w:val="none" w:sz="0" w:space="0" w:color="auto"/>
            <w:right w:val="none" w:sz="0" w:space="0" w:color="auto"/>
          </w:divBdr>
          <w:divsChild>
            <w:div w:id="11609296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0441725">
      <w:marLeft w:val="0"/>
      <w:marRight w:val="0"/>
      <w:marTop w:val="60"/>
      <w:marBottom w:val="60"/>
      <w:divBdr>
        <w:top w:val="none" w:sz="0" w:space="0" w:color="auto"/>
        <w:left w:val="none" w:sz="0" w:space="0" w:color="auto"/>
        <w:bottom w:val="none" w:sz="0" w:space="0" w:color="auto"/>
        <w:right w:val="none" w:sz="0" w:space="0" w:color="auto"/>
      </w:divBdr>
    </w:div>
    <w:div w:id="1743404787">
      <w:marLeft w:val="0"/>
      <w:marRight w:val="0"/>
      <w:marTop w:val="180"/>
      <w:marBottom w:val="180"/>
      <w:divBdr>
        <w:top w:val="none" w:sz="0" w:space="0" w:color="auto"/>
        <w:left w:val="none" w:sz="0" w:space="0" w:color="auto"/>
        <w:bottom w:val="none" w:sz="0" w:space="0" w:color="auto"/>
        <w:right w:val="none" w:sz="0" w:space="0" w:color="auto"/>
      </w:divBdr>
    </w:div>
    <w:div w:id="1745452413">
      <w:marLeft w:val="0"/>
      <w:marRight w:val="0"/>
      <w:marTop w:val="0"/>
      <w:marBottom w:val="0"/>
      <w:divBdr>
        <w:top w:val="none" w:sz="0" w:space="0" w:color="auto"/>
        <w:left w:val="none" w:sz="0" w:space="0" w:color="auto"/>
        <w:bottom w:val="none" w:sz="0" w:space="0" w:color="auto"/>
        <w:right w:val="none" w:sz="0" w:space="0" w:color="auto"/>
      </w:divBdr>
    </w:div>
    <w:div w:id="1745637105">
      <w:marLeft w:val="0"/>
      <w:marRight w:val="0"/>
      <w:marTop w:val="0"/>
      <w:marBottom w:val="0"/>
      <w:divBdr>
        <w:top w:val="none" w:sz="0" w:space="0" w:color="auto"/>
        <w:left w:val="none" w:sz="0" w:space="0" w:color="auto"/>
        <w:bottom w:val="none" w:sz="0" w:space="0" w:color="auto"/>
        <w:right w:val="none" w:sz="0" w:space="0" w:color="auto"/>
      </w:divBdr>
    </w:div>
    <w:div w:id="1746107479">
      <w:marLeft w:val="0"/>
      <w:marRight w:val="0"/>
      <w:marTop w:val="180"/>
      <w:marBottom w:val="180"/>
      <w:divBdr>
        <w:top w:val="none" w:sz="0" w:space="0" w:color="auto"/>
        <w:left w:val="none" w:sz="0" w:space="0" w:color="auto"/>
        <w:bottom w:val="none" w:sz="0" w:space="0" w:color="auto"/>
        <w:right w:val="none" w:sz="0" w:space="0" w:color="auto"/>
      </w:divBdr>
    </w:div>
    <w:div w:id="1747724857">
      <w:marLeft w:val="0"/>
      <w:marRight w:val="0"/>
      <w:marTop w:val="180"/>
      <w:marBottom w:val="180"/>
      <w:divBdr>
        <w:top w:val="none" w:sz="0" w:space="0" w:color="auto"/>
        <w:left w:val="none" w:sz="0" w:space="0" w:color="auto"/>
        <w:bottom w:val="none" w:sz="0" w:space="0" w:color="auto"/>
        <w:right w:val="none" w:sz="0" w:space="0" w:color="auto"/>
      </w:divBdr>
    </w:div>
    <w:div w:id="1747729453">
      <w:marLeft w:val="0"/>
      <w:marRight w:val="0"/>
      <w:marTop w:val="180"/>
      <w:marBottom w:val="180"/>
      <w:divBdr>
        <w:top w:val="none" w:sz="0" w:space="0" w:color="auto"/>
        <w:left w:val="none" w:sz="0" w:space="0" w:color="auto"/>
        <w:bottom w:val="none" w:sz="0" w:space="0" w:color="auto"/>
        <w:right w:val="none" w:sz="0" w:space="0" w:color="auto"/>
      </w:divBdr>
    </w:div>
    <w:div w:id="1747804871">
      <w:marLeft w:val="0"/>
      <w:marRight w:val="0"/>
      <w:marTop w:val="180"/>
      <w:marBottom w:val="180"/>
      <w:divBdr>
        <w:top w:val="none" w:sz="0" w:space="0" w:color="auto"/>
        <w:left w:val="none" w:sz="0" w:space="0" w:color="auto"/>
        <w:bottom w:val="none" w:sz="0" w:space="0" w:color="auto"/>
        <w:right w:val="none" w:sz="0" w:space="0" w:color="auto"/>
      </w:divBdr>
    </w:div>
    <w:div w:id="1750495816">
      <w:marLeft w:val="0"/>
      <w:marRight w:val="0"/>
      <w:marTop w:val="60"/>
      <w:marBottom w:val="60"/>
      <w:divBdr>
        <w:top w:val="none" w:sz="0" w:space="0" w:color="auto"/>
        <w:left w:val="none" w:sz="0" w:space="0" w:color="auto"/>
        <w:bottom w:val="none" w:sz="0" w:space="0" w:color="auto"/>
        <w:right w:val="none" w:sz="0" w:space="0" w:color="auto"/>
      </w:divBdr>
    </w:div>
    <w:div w:id="1755277152">
      <w:marLeft w:val="0"/>
      <w:marRight w:val="0"/>
      <w:marTop w:val="180"/>
      <w:marBottom w:val="180"/>
      <w:divBdr>
        <w:top w:val="none" w:sz="0" w:space="0" w:color="auto"/>
        <w:left w:val="none" w:sz="0" w:space="0" w:color="auto"/>
        <w:bottom w:val="none" w:sz="0" w:space="0" w:color="auto"/>
        <w:right w:val="none" w:sz="0" w:space="0" w:color="auto"/>
      </w:divBdr>
    </w:div>
    <w:div w:id="1755280470">
      <w:marLeft w:val="0"/>
      <w:marRight w:val="0"/>
      <w:marTop w:val="0"/>
      <w:marBottom w:val="0"/>
      <w:divBdr>
        <w:top w:val="none" w:sz="0" w:space="0" w:color="auto"/>
        <w:left w:val="none" w:sz="0" w:space="0" w:color="auto"/>
        <w:bottom w:val="none" w:sz="0" w:space="0" w:color="auto"/>
        <w:right w:val="none" w:sz="0" w:space="0" w:color="auto"/>
      </w:divBdr>
    </w:div>
    <w:div w:id="1755321602">
      <w:marLeft w:val="0"/>
      <w:marRight w:val="0"/>
      <w:marTop w:val="180"/>
      <w:marBottom w:val="180"/>
      <w:divBdr>
        <w:top w:val="none" w:sz="0" w:space="0" w:color="auto"/>
        <w:left w:val="none" w:sz="0" w:space="0" w:color="auto"/>
        <w:bottom w:val="none" w:sz="0" w:space="0" w:color="auto"/>
        <w:right w:val="none" w:sz="0" w:space="0" w:color="auto"/>
      </w:divBdr>
    </w:div>
    <w:div w:id="1755593535">
      <w:marLeft w:val="0"/>
      <w:marRight w:val="0"/>
      <w:marTop w:val="180"/>
      <w:marBottom w:val="60"/>
      <w:divBdr>
        <w:top w:val="none" w:sz="0" w:space="0" w:color="auto"/>
        <w:left w:val="none" w:sz="0" w:space="0" w:color="auto"/>
        <w:bottom w:val="none" w:sz="0" w:space="0" w:color="auto"/>
        <w:right w:val="none" w:sz="0" w:space="0" w:color="auto"/>
      </w:divBdr>
    </w:div>
    <w:div w:id="1756432783">
      <w:marLeft w:val="0"/>
      <w:marRight w:val="0"/>
      <w:marTop w:val="180"/>
      <w:marBottom w:val="180"/>
      <w:divBdr>
        <w:top w:val="none" w:sz="0" w:space="0" w:color="auto"/>
        <w:left w:val="none" w:sz="0" w:space="0" w:color="auto"/>
        <w:bottom w:val="none" w:sz="0" w:space="0" w:color="auto"/>
        <w:right w:val="none" w:sz="0" w:space="0" w:color="auto"/>
      </w:divBdr>
    </w:div>
    <w:div w:id="1756783354">
      <w:marLeft w:val="0"/>
      <w:marRight w:val="0"/>
      <w:marTop w:val="180"/>
      <w:marBottom w:val="0"/>
      <w:divBdr>
        <w:top w:val="none" w:sz="0" w:space="0" w:color="auto"/>
        <w:left w:val="none" w:sz="0" w:space="0" w:color="auto"/>
        <w:bottom w:val="none" w:sz="0" w:space="0" w:color="auto"/>
        <w:right w:val="none" w:sz="0" w:space="0" w:color="auto"/>
      </w:divBdr>
    </w:div>
    <w:div w:id="1763260743">
      <w:marLeft w:val="0"/>
      <w:marRight w:val="0"/>
      <w:marTop w:val="0"/>
      <w:marBottom w:val="0"/>
      <w:divBdr>
        <w:top w:val="none" w:sz="0" w:space="0" w:color="auto"/>
        <w:left w:val="none" w:sz="0" w:space="0" w:color="auto"/>
        <w:bottom w:val="none" w:sz="0" w:space="0" w:color="auto"/>
        <w:right w:val="none" w:sz="0" w:space="0" w:color="auto"/>
      </w:divBdr>
    </w:div>
    <w:div w:id="1763792217">
      <w:marLeft w:val="0"/>
      <w:marRight w:val="0"/>
      <w:marTop w:val="180"/>
      <w:marBottom w:val="180"/>
      <w:divBdr>
        <w:top w:val="none" w:sz="0" w:space="0" w:color="auto"/>
        <w:left w:val="none" w:sz="0" w:space="0" w:color="auto"/>
        <w:bottom w:val="none" w:sz="0" w:space="0" w:color="auto"/>
        <w:right w:val="none" w:sz="0" w:space="0" w:color="auto"/>
      </w:divBdr>
    </w:div>
    <w:div w:id="1764641118">
      <w:marLeft w:val="0"/>
      <w:marRight w:val="0"/>
      <w:marTop w:val="180"/>
      <w:marBottom w:val="180"/>
      <w:divBdr>
        <w:top w:val="none" w:sz="0" w:space="0" w:color="auto"/>
        <w:left w:val="none" w:sz="0" w:space="0" w:color="auto"/>
        <w:bottom w:val="none" w:sz="0" w:space="0" w:color="auto"/>
        <w:right w:val="none" w:sz="0" w:space="0" w:color="auto"/>
      </w:divBdr>
    </w:div>
    <w:div w:id="1771732670">
      <w:marLeft w:val="0"/>
      <w:marRight w:val="0"/>
      <w:marTop w:val="180"/>
      <w:marBottom w:val="180"/>
      <w:divBdr>
        <w:top w:val="none" w:sz="0" w:space="0" w:color="auto"/>
        <w:left w:val="none" w:sz="0" w:space="0" w:color="auto"/>
        <w:bottom w:val="none" w:sz="0" w:space="0" w:color="auto"/>
        <w:right w:val="none" w:sz="0" w:space="0" w:color="auto"/>
      </w:divBdr>
    </w:div>
    <w:div w:id="1771899098">
      <w:marLeft w:val="0"/>
      <w:marRight w:val="0"/>
      <w:marTop w:val="60"/>
      <w:marBottom w:val="0"/>
      <w:divBdr>
        <w:top w:val="none" w:sz="0" w:space="0" w:color="auto"/>
        <w:left w:val="none" w:sz="0" w:space="0" w:color="auto"/>
        <w:bottom w:val="none" w:sz="0" w:space="0" w:color="auto"/>
        <w:right w:val="none" w:sz="0" w:space="0" w:color="auto"/>
      </w:divBdr>
    </w:div>
    <w:div w:id="1773864709">
      <w:marLeft w:val="0"/>
      <w:marRight w:val="0"/>
      <w:marTop w:val="60"/>
      <w:marBottom w:val="60"/>
      <w:divBdr>
        <w:top w:val="none" w:sz="0" w:space="0" w:color="auto"/>
        <w:left w:val="none" w:sz="0" w:space="0" w:color="auto"/>
        <w:bottom w:val="none" w:sz="0" w:space="0" w:color="auto"/>
        <w:right w:val="none" w:sz="0" w:space="0" w:color="auto"/>
      </w:divBdr>
    </w:div>
    <w:div w:id="1775008421">
      <w:marLeft w:val="0"/>
      <w:marRight w:val="0"/>
      <w:marTop w:val="0"/>
      <w:marBottom w:val="0"/>
      <w:divBdr>
        <w:top w:val="none" w:sz="0" w:space="0" w:color="auto"/>
        <w:left w:val="none" w:sz="0" w:space="0" w:color="auto"/>
        <w:bottom w:val="none" w:sz="0" w:space="0" w:color="auto"/>
        <w:right w:val="none" w:sz="0" w:space="0" w:color="auto"/>
      </w:divBdr>
      <w:divsChild>
        <w:div w:id="1865827479">
          <w:marLeft w:val="0"/>
          <w:marRight w:val="0"/>
          <w:marTop w:val="0"/>
          <w:marBottom w:val="0"/>
          <w:divBdr>
            <w:top w:val="none" w:sz="0" w:space="0" w:color="auto"/>
            <w:left w:val="none" w:sz="0" w:space="0" w:color="auto"/>
            <w:bottom w:val="none" w:sz="0" w:space="0" w:color="auto"/>
            <w:right w:val="none" w:sz="0" w:space="0" w:color="auto"/>
          </w:divBdr>
          <w:divsChild>
            <w:div w:id="9036382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5249887">
      <w:marLeft w:val="0"/>
      <w:marRight w:val="0"/>
      <w:marTop w:val="180"/>
      <w:marBottom w:val="180"/>
      <w:divBdr>
        <w:top w:val="none" w:sz="0" w:space="0" w:color="auto"/>
        <w:left w:val="none" w:sz="0" w:space="0" w:color="auto"/>
        <w:bottom w:val="none" w:sz="0" w:space="0" w:color="auto"/>
        <w:right w:val="none" w:sz="0" w:space="0" w:color="auto"/>
      </w:divBdr>
    </w:div>
    <w:div w:id="1775634269">
      <w:marLeft w:val="0"/>
      <w:marRight w:val="0"/>
      <w:marTop w:val="180"/>
      <w:marBottom w:val="180"/>
      <w:divBdr>
        <w:top w:val="none" w:sz="0" w:space="0" w:color="auto"/>
        <w:left w:val="none" w:sz="0" w:space="0" w:color="auto"/>
        <w:bottom w:val="none" w:sz="0" w:space="0" w:color="auto"/>
        <w:right w:val="none" w:sz="0" w:space="0" w:color="auto"/>
      </w:divBdr>
    </w:div>
    <w:div w:id="1780294207">
      <w:marLeft w:val="0"/>
      <w:marRight w:val="0"/>
      <w:marTop w:val="180"/>
      <w:marBottom w:val="180"/>
      <w:divBdr>
        <w:top w:val="none" w:sz="0" w:space="0" w:color="auto"/>
        <w:left w:val="none" w:sz="0" w:space="0" w:color="auto"/>
        <w:bottom w:val="none" w:sz="0" w:space="0" w:color="auto"/>
        <w:right w:val="none" w:sz="0" w:space="0" w:color="auto"/>
      </w:divBdr>
    </w:div>
    <w:div w:id="1782648691">
      <w:marLeft w:val="0"/>
      <w:marRight w:val="0"/>
      <w:marTop w:val="0"/>
      <w:marBottom w:val="0"/>
      <w:divBdr>
        <w:top w:val="none" w:sz="0" w:space="0" w:color="auto"/>
        <w:left w:val="none" w:sz="0" w:space="0" w:color="auto"/>
        <w:bottom w:val="none" w:sz="0" w:space="0" w:color="auto"/>
        <w:right w:val="none" w:sz="0" w:space="0" w:color="auto"/>
      </w:divBdr>
    </w:div>
    <w:div w:id="1784572442">
      <w:marLeft w:val="0"/>
      <w:marRight w:val="0"/>
      <w:marTop w:val="180"/>
      <w:marBottom w:val="180"/>
      <w:divBdr>
        <w:top w:val="none" w:sz="0" w:space="0" w:color="auto"/>
        <w:left w:val="none" w:sz="0" w:space="0" w:color="auto"/>
        <w:bottom w:val="none" w:sz="0" w:space="0" w:color="auto"/>
        <w:right w:val="none" w:sz="0" w:space="0" w:color="auto"/>
      </w:divBdr>
    </w:div>
    <w:div w:id="1786728305">
      <w:marLeft w:val="0"/>
      <w:marRight w:val="0"/>
      <w:marTop w:val="180"/>
      <w:marBottom w:val="60"/>
      <w:divBdr>
        <w:top w:val="none" w:sz="0" w:space="0" w:color="auto"/>
        <w:left w:val="none" w:sz="0" w:space="0" w:color="auto"/>
        <w:bottom w:val="none" w:sz="0" w:space="0" w:color="auto"/>
        <w:right w:val="none" w:sz="0" w:space="0" w:color="auto"/>
      </w:divBdr>
    </w:div>
    <w:div w:id="1791439628">
      <w:marLeft w:val="0"/>
      <w:marRight w:val="0"/>
      <w:marTop w:val="180"/>
      <w:marBottom w:val="180"/>
      <w:divBdr>
        <w:top w:val="none" w:sz="0" w:space="0" w:color="auto"/>
        <w:left w:val="none" w:sz="0" w:space="0" w:color="auto"/>
        <w:bottom w:val="none" w:sz="0" w:space="0" w:color="auto"/>
        <w:right w:val="none" w:sz="0" w:space="0" w:color="auto"/>
      </w:divBdr>
    </w:div>
    <w:div w:id="1792213235">
      <w:marLeft w:val="0"/>
      <w:marRight w:val="0"/>
      <w:marTop w:val="0"/>
      <w:marBottom w:val="0"/>
      <w:divBdr>
        <w:top w:val="none" w:sz="0" w:space="0" w:color="auto"/>
        <w:left w:val="none" w:sz="0" w:space="0" w:color="auto"/>
        <w:bottom w:val="none" w:sz="0" w:space="0" w:color="auto"/>
        <w:right w:val="none" w:sz="0" w:space="0" w:color="auto"/>
      </w:divBdr>
    </w:div>
    <w:div w:id="1796479603">
      <w:marLeft w:val="0"/>
      <w:marRight w:val="0"/>
      <w:marTop w:val="0"/>
      <w:marBottom w:val="0"/>
      <w:divBdr>
        <w:top w:val="none" w:sz="0" w:space="0" w:color="auto"/>
        <w:left w:val="none" w:sz="0" w:space="0" w:color="auto"/>
        <w:bottom w:val="none" w:sz="0" w:space="0" w:color="auto"/>
        <w:right w:val="none" w:sz="0" w:space="0" w:color="auto"/>
      </w:divBdr>
      <w:divsChild>
        <w:div w:id="2054884169">
          <w:marLeft w:val="0"/>
          <w:marRight w:val="0"/>
          <w:marTop w:val="0"/>
          <w:marBottom w:val="0"/>
          <w:divBdr>
            <w:top w:val="none" w:sz="0" w:space="0" w:color="auto"/>
            <w:left w:val="none" w:sz="0" w:space="0" w:color="auto"/>
            <w:bottom w:val="none" w:sz="0" w:space="0" w:color="auto"/>
            <w:right w:val="none" w:sz="0" w:space="0" w:color="auto"/>
          </w:divBdr>
          <w:divsChild>
            <w:div w:id="5291446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0415870">
      <w:marLeft w:val="0"/>
      <w:marRight w:val="0"/>
      <w:marTop w:val="0"/>
      <w:marBottom w:val="0"/>
      <w:divBdr>
        <w:top w:val="none" w:sz="0" w:space="0" w:color="auto"/>
        <w:left w:val="none" w:sz="0" w:space="0" w:color="auto"/>
        <w:bottom w:val="none" w:sz="0" w:space="0" w:color="auto"/>
        <w:right w:val="none" w:sz="0" w:space="0" w:color="auto"/>
      </w:divBdr>
    </w:div>
    <w:div w:id="1801654710">
      <w:marLeft w:val="0"/>
      <w:marRight w:val="0"/>
      <w:marTop w:val="0"/>
      <w:marBottom w:val="0"/>
      <w:divBdr>
        <w:top w:val="none" w:sz="0" w:space="0" w:color="auto"/>
        <w:left w:val="none" w:sz="0" w:space="0" w:color="auto"/>
        <w:bottom w:val="none" w:sz="0" w:space="0" w:color="auto"/>
        <w:right w:val="none" w:sz="0" w:space="0" w:color="auto"/>
      </w:divBdr>
      <w:divsChild>
        <w:div w:id="1893153091">
          <w:marLeft w:val="0"/>
          <w:marRight w:val="0"/>
          <w:marTop w:val="180"/>
          <w:marBottom w:val="180"/>
          <w:divBdr>
            <w:top w:val="none" w:sz="0" w:space="0" w:color="auto"/>
            <w:left w:val="none" w:sz="0" w:space="0" w:color="auto"/>
            <w:bottom w:val="none" w:sz="0" w:space="0" w:color="auto"/>
            <w:right w:val="none" w:sz="0" w:space="0" w:color="auto"/>
          </w:divBdr>
        </w:div>
      </w:divsChild>
    </w:div>
    <w:div w:id="1801726482">
      <w:marLeft w:val="0"/>
      <w:marRight w:val="0"/>
      <w:marTop w:val="180"/>
      <w:marBottom w:val="180"/>
      <w:divBdr>
        <w:top w:val="none" w:sz="0" w:space="0" w:color="auto"/>
        <w:left w:val="none" w:sz="0" w:space="0" w:color="auto"/>
        <w:bottom w:val="none" w:sz="0" w:space="0" w:color="auto"/>
        <w:right w:val="none" w:sz="0" w:space="0" w:color="auto"/>
      </w:divBdr>
    </w:div>
    <w:div w:id="1802310249">
      <w:marLeft w:val="0"/>
      <w:marRight w:val="0"/>
      <w:marTop w:val="60"/>
      <w:marBottom w:val="60"/>
      <w:divBdr>
        <w:top w:val="none" w:sz="0" w:space="0" w:color="auto"/>
        <w:left w:val="none" w:sz="0" w:space="0" w:color="auto"/>
        <w:bottom w:val="none" w:sz="0" w:space="0" w:color="auto"/>
        <w:right w:val="none" w:sz="0" w:space="0" w:color="auto"/>
      </w:divBdr>
    </w:div>
    <w:div w:id="1802966011">
      <w:marLeft w:val="0"/>
      <w:marRight w:val="0"/>
      <w:marTop w:val="60"/>
      <w:marBottom w:val="60"/>
      <w:divBdr>
        <w:top w:val="none" w:sz="0" w:space="0" w:color="auto"/>
        <w:left w:val="none" w:sz="0" w:space="0" w:color="auto"/>
        <w:bottom w:val="none" w:sz="0" w:space="0" w:color="auto"/>
        <w:right w:val="none" w:sz="0" w:space="0" w:color="auto"/>
      </w:divBdr>
    </w:div>
    <w:div w:id="1803112973">
      <w:marLeft w:val="0"/>
      <w:marRight w:val="0"/>
      <w:marTop w:val="180"/>
      <w:marBottom w:val="180"/>
      <w:divBdr>
        <w:top w:val="none" w:sz="0" w:space="0" w:color="auto"/>
        <w:left w:val="none" w:sz="0" w:space="0" w:color="auto"/>
        <w:bottom w:val="none" w:sz="0" w:space="0" w:color="auto"/>
        <w:right w:val="none" w:sz="0" w:space="0" w:color="auto"/>
      </w:divBdr>
    </w:div>
    <w:div w:id="1803577747">
      <w:marLeft w:val="0"/>
      <w:marRight w:val="0"/>
      <w:marTop w:val="180"/>
      <w:marBottom w:val="180"/>
      <w:divBdr>
        <w:top w:val="none" w:sz="0" w:space="0" w:color="auto"/>
        <w:left w:val="none" w:sz="0" w:space="0" w:color="auto"/>
        <w:bottom w:val="none" w:sz="0" w:space="0" w:color="auto"/>
        <w:right w:val="none" w:sz="0" w:space="0" w:color="auto"/>
      </w:divBdr>
    </w:div>
    <w:div w:id="1804687832">
      <w:marLeft w:val="0"/>
      <w:marRight w:val="0"/>
      <w:marTop w:val="0"/>
      <w:marBottom w:val="180"/>
      <w:divBdr>
        <w:top w:val="none" w:sz="0" w:space="0" w:color="auto"/>
        <w:left w:val="none" w:sz="0" w:space="0" w:color="auto"/>
        <w:bottom w:val="none" w:sz="0" w:space="0" w:color="auto"/>
        <w:right w:val="none" w:sz="0" w:space="0" w:color="auto"/>
      </w:divBdr>
      <w:divsChild>
        <w:div w:id="752044680">
          <w:marLeft w:val="0"/>
          <w:marRight w:val="0"/>
          <w:marTop w:val="0"/>
          <w:marBottom w:val="0"/>
          <w:divBdr>
            <w:top w:val="none" w:sz="0" w:space="0" w:color="auto"/>
            <w:left w:val="none" w:sz="0" w:space="0" w:color="auto"/>
            <w:bottom w:val="none" w:sz="0" w:space="0" w:color="auto"/>
            <w:right w:val="none" w:sz="0" w:space="0" w:color="auto"/>
          </w:divBdr>
        </w:div>
        <w:div w:id="1337615123">
          <w:marLeft w:val="0"/>
          <w:marRight w:val="0"/>
          <w:marTop w:val="0"/>
          <w:marBottom w:val="0"/>
          <w:divBdr>
            <w:top w:val="none" w:sz="0" w:space="0" w:color="auto"/>
            <w:left w:val="none" w:sz="0" w:space="0" w:color="auto"/>
            <w:bottom w:val="none" w:sz="0" w:space="0" w:color="auto"/>
            <w:right w:val="none" w:sz="0" w:space="0" w:color="auto"/>
          </w:divBdr>
        </w:div>
      </w:divsChild>
    </w:div>
    <w:div w:id="1804958079">
      <w:marLeft w:val="0"/>
      <w:marRight w:val="0"/>
      <w:marTop w:val="180"/>
      <w:marBottom w:val="180"/>
      <w:divBdr>
        <w:top w:val="none" w:sz="0" w:space="0" w:color="auto"/>
        <w:left w:val="none" w:sz="0" w:space="0" w:color="auto"/>
        <w:bottom w:val="none" w:sz="0" w:space="0" w:color="auto"/>
        <w:right w:val="none" w:sz="0" w:space="0" w:color="auto"/>
      </w:divBdr>
    </w:div>
    <w:div w:id="1805467229">
      <w:marLeft w:val="0"/>
      <w:marRight w:val="0"/>
      <w:marTop w:val="0"/>
      <w:marBottom w:val="180"/>
      <w:divBdr>
        <w:top w:val="none" w:sz="0" w:space="0" w:color="auto"/>
        <w:left w:val="none" w:sz="0" w:space="0" w:color="auto"/>
        <w:bottom w:val="none" w:sz="0" w:space="0" w:color="auto"/>
        <w:right w:val="none" w:sz="0" w:space="0" w:color="auto"/>
      </w:divBdr>
    </w:div>
    <w:div w:id="1810707585">
      <w:marLeft w:val="0"/>
      <w:marRight w:val="0"/>
      <w:marTop w:val="180"/>
      <w:marBottom w:val="180"/>
      <w:divBdr>
        <w:top w:val="none" w:sz="0" w:space="0" w:color="auto"/>
        <w:left w:val="none" w:sz="0" w:space="0" w:color="auto"/>
        <w:bottom w:val="none" w:sz="0" w:space="0" w:color="auto"/>
        <w:right w:val="none" w:sz="0" w:space="0" w:color="auto"/>
      </w:divBdr>
    </w:div>
    <w:div w:id="1812019721">
      <w:marLeft w:val="0"/>
      <w:marRight w:val="0"/>
      <w:marTop w:val="180"/>
      <w:marBottom w:val="180"/>
      <w:divBdr>
        <w:top w:val="none" w:sz="0" w:space="0" w:color="auto"/>
        <w:left w:val="none" w:sz="0" w:space="0" w:color="auto"/>
        <w:bottom w:val="none" w:sz="0" w:space="0" w:color="auto"/>
        <w:right w:val="none" w:sz="0" w:space="0" w:color="auto"/>
      </w:divBdr>
    </w:div>
    <w:div w:id="1812094657">
      <w:marLeft w:val="0"/>
      <w:marRight w:val="0"/>
      <w:marTop w:val="180"/>
      <w:marBottom w:val="180"/>
      <w:divBdr>
        <w:top w:val="none" w:sz="0" w:space="0" w:color="auto"/>
        <w:left w:val="none" w:sz="0" w:space="0" w:color="auto"/>
        <w:bottom w:val="none" w:sz="0" w:space="0" w:color="auto"/>
        <w:right w:val="none" w:sz="0" w:space="0" w:color="auto"/>
      </w:divBdr>
    </w:div>
    <w:div w:id="1814710736">
      <w:marLeft w:val="0"/>
      <w:marRight w:val="0"/>
      <w:marTop w:val="60"/>
      <w:marBottom w:val="60"/>
      <w:divBdr>
        <w:top w:val="none" w:sz="0" w:space="0" w:color="auto"/>
        <w:left w:val="none" w:sz="0" w:space="0" w:color="auto"/>
        <w:bottom w:val="none" w:sz="0" w:space="0" w:color="auto"/>
        <w:right w:val="none" w:sz="0" w:space="0" w:color="auto"/>
      </w:divBdr>
    </w:div>
    <w:div w:id="1815759050">
      <w:marLeft w:val="0"/>
      <w:marRight w:val="0"/>
      <w:marTop w:val="180"/>
      <w:marBottom w:val="180"/>
      <w:divBdr>
        <w:top w:val="none" w:sz="0" w:space="0" w:color="auto"/>
        <w:left w:val="none" w:sz="0" w:space="0" w:color="auto"/>
        <w:bottom w:val="none" w:sz="0" w:space="0" w:color="auto"/>
        <w:right w:val="none" w:sz="0" w:space="0" w:color="auto"/>
      </w:divBdr>
    </w:div>
    <w:div w:id="1816335902">
      <w:marLeft w:val="0"/>
      <w:marRight w:val="0"/>
      <w:marTop w:val="60"/>
      <w:marBottom w:val="60"/>
      <w:divBdr>
        <w:top w:val="none" w:sz="0" w:space="0" w:color="auto"/>
        <w:left w:val="none" w:sz="0" w:space="0" w:color="auto"/>
        <w:bottom w:val="none" w:sz="0" w:space="0" w:color="auto"/>
        <w:right w:val="none" w:sz="0" w:space="0" w:color="auto"/>
      </w:divBdr>
    </w:div>
    <w:div w:id="1816413548">
      <w:marLeft w:val="0"/>
      <w:marRight w:val="0"/>
      <w:marTop w:val="180"/>
      <w:marBottom w:val="180"/>
      <w:divBdr>
        <w:top w:val="none" w:sz="0" w:space="0" w:color="auto"/>
        <w:left w:val="none" w:sz="0" w:space="0" w:color="auto"/>
        <w:bottom w:val="none" w:sz="0" w:space="0" w:color="auto"/>
        <w:right w:val="none" w:sz="0" w:space="0" w:color="auto"/>
      </w:divBdr>
    </w:div>
    <w:div w:id="1816796310">
      <w:marLeft w:val="0"/>
      <w:marRight w:val="0"/>
      <w:marTop w:val="180"/>
      <w:marBottom w:val="180"/>
      <w:divBdr>
        <w:top w:val="none" w:sz="0" w:space="0" w:color="auto"/>
        <w:left w:val="none" w:sz="0" w:space="0" w:color="auto"/>
        <w:bottom w:val="none" w:sz="0" w:space="0" w:color="auto"/>
        <w:right w:val="none" w:sz="0" w:space="0" w:color="auto"/>
      </w:divBdr>
    </w:div>
    <w:div w:id="1816870387">
      <w:marLeft w:val="0"/>
      <w:marRight w:val="0"/>
      <w:marTop w:val="180"/>
      <w:marBottom w:val="180"/>
      <w:divBdr>
        <w:top w:val="none" w:sz="0" w:space="0" w:color="auto"/>
        <w:left w:val="none" w:sz="0" w:space="0" w:color="auto"/>
        <w:bottom w:val="none" w:sz="0" w:space="0" w:color="auto"/>
        <w:right w:val="none" w:sz="0" w:space="0" w:color="auto"/>
      </w:divBdr>
    </w:div>
    <w:div w:id="1817137674">
      <w:marLeft w:val="0"/>
      <w:marRight w:val="0"/>
      <w:marTop w:val="100"/>
      <w:marBottom w:val="0"/>
      <w:divBdr>
        <w:top w:val="none" w:sz="0" w:space="0" w:color="auto"/>
        <w:left w:val="none" w:sz="0" w:space="0" w:color="auto"/>
        <w:bottom w:val="none" w:sz="0" w:space="0" w:color="auto"/>
        <w:right w:val="none" w:sz="0" w:space="0" w:color="auto"/>
      </w:divBdr>
    </w:div>
    <w:div w:id="1820002359">
      <w:marLeft w:val="0"/>
      <w:marRight w:val="0"/>
      <w:marTop w:val="0"/>
      <w:marBottom w:val="0"/>
      <w:divBdr>
        <w:top w:val="none" w:sz="0" w:space="0" w:color="auto"/>
        <w:left w:val="none" w:sz="0" w:space="0" w:color="auto"/>
        <w:bottom w:val="none" w:sz="0" w:space="0" w:color="auto"/>
        <w:right w:val="none" w:sz="0" w:space="0" w:color="auto"/>
      </w:divBdr>
      <w:divsChild>
        <w:div w:id="1511676643">
          <w:marLeft w:val="0"/>
          <w:marRight w:val="0"/>
          <w:marTop w:val="60"/>
          <w:marBottom w:val="60"/>
          <w:divBdr>
            <w:top w:val="none" w:sz="0" w:space="0" w:color="auto"/>
            <w:left w:val="none" w:sz="0" w:space="0" w:color="auto"/>
            <w:bottom w:val="none" w:sz="0" w:space="0" w:color="auto"/>
            <w:right w:val="none" w:sz="0" w:space="0" w:color="auto"/>
          </w:divBdr>
        </w:div>
      </w:divsChild>
    </w:div>
    <w:div w:id="1821270430">
      <w:marLeft w:val="0"/>
      <w:marRight w:val="0"/>
      <w:marTop w:val="180"/>
      <w:marBottom w:val="180"/>
      <w:divBdr>
        <w:top w:val="none" w:sz="0" w:space="0" w:color="auto"/>
        <w:left w:val="none" w:sz="0" w:space="0" w:color="auto"/>
        <w:bottom w:val="none" w:sz="0" w:space="0" w:color="auto"/>
        <w:right w:val="none" w:sz="0" w:space="0" w:color="auto"/>
      </w:divBdr>
    </w:div>
    <w:div w:id="1823932495">
      <w:marLeft w:val="0"/>
      <w:marRight w:val="0"/>
      <w:marTop w:val="0"/>
      <w:marBottom w:val="0"/>
      <w:divBdr>
        <w:top w:val="none" w:sz="0" w:space="0" w:color="auto"/>
        <w:left w:val="none" w:sz="0" w:space="0" w:color="auto"/>
        <w:bottom w:val="none" w:sz="0" w:space="0" w:color="auto"/>
        <w:right w:val="none" w:sz="0" w:space="0" w:color="auto"/>
      </w:divBdr>
      <w:divsChild>
        <w:div w:id="225576980">
          <w:marLeft w:val="0"/>
          <w:marRight w:val="0"/>
          <w:marTop w:val="60"/>
          <w:marBottom w:val="60"/>
          <w:divBdr>
            <w:top w:val="none" w:sz="0" w:space="0" w:color="auto"/>
            <w:left w:val="none" w:sz="0" w:space="0" w:color="auto"/>
            <w:bottom w:val="none" w:sz="0" w:space="0" w:color="auto"/>
            <w:right w:val="none" w:sz="0" w:space="0" w:color="auto"/>
          </w:divBdr>
        </w:div>
      </w:divsChild>
    </w:div>
    <w:div w:id="1825273284">
      <w:marLeft w:val="0"/>
      <w:marRight w:val="0"/>
      <w:marTop w:val="180"/>
      <w:marBottom w:val="60"/>
      <w:divBdr>
        <w:top w:val="none" w:sz="0" w:space="0" w:color="auto"/>
        <w:left w:val="none" w:sz="0" w:space="0" w:color="auto"/>
        <w:bottom w:val="none" w:sz="0" w:space="0" w:color="auto"/>
        <w:right w:val="none" w:sz="0" w:space="0" w:color="auto"/>
      </w:divBdr>
    </w:div>
    <w:div w:id="1825509656">
      <w:marLeft w:val="0"/>
      <w:marRight w:val="0"/>
      <w:marTop w:val="180"/>
      <w:marBottom w:val="180"/>
      <w:divBdr>
        <w:top w:val="none" w:sz="0" w:space="0" w:color="auto"/>
        <w:left w:val="none" w:sz="0" w:space="0" w:color="auto"/>
        <w:bottom w:val="none" w:sz="0" w:space="0" w:color="auto"/>
        <w:right w:val="none" w:sz="0" w:space="0" w:color="auto"/>
      </w:divBdr>
    </w:div>
    <w:div w:id="1826437098">
      <w:marLeft w:val="0"/>
      <w:marRight w:val="0"/>
      <w:marTop w:val="0"/>
      <w:marBottom w:val="0"/>
      <w:divBdr>
        <w:top w:val="none" w:sz="0" w:space="0" w:color="auto"/>
        <w:left w:val="none" w:sz="0" w:space="0" w:color="auto"/>
        <w:bottom w:val="none" w:sz="0" w:space="0" w:color="auto"/>
        <w:right w:val="none" w:sz="0" w:space="0" w:color="auto"/>
      </w:divBdr>
      <w:divsChild>
        <w:div w:id="656228319">
          <w:marLeft w:val="0"/>
          <w:marRight w:val="0"/>
          <w:marTop w:val="60"/>
          <w:marBottom w:val="60"/>
          <w:divBdr>
            <w:top w:val="none" w:sz="0" w:space="0" w:color="auto"/>
            <w:left w:val="none" w:sz="0" w:space="0" w:color="auto"/>
            <w:bottom w:val="none" w:sz="0" w:space="0" w:color="auto"/>
            <w:right w:val="none" w:sz="0" w:space="0" w:color="auto"/>
          </w:divBdr>
        </w:div>
      </w:divsChild>
    </w:div>
    <w:div w:id="1828396648">
      <w:marLeft w:val="0"/>
      <w:marRight w:val="0"/>
      <w:marTop w:val="240"/>
      <w:marBottom w:val="180"/>
      <w:divBdr>
        <w:top w:val="none" w:sz="0" w:space="0" w:color="auto"/>
        <w:left w:val="none" w:sz="0" w:space="0" w:color="auto"/>
        <w:bottom w:val="none" w:sz="0" w:space="0" w:color="auto"/>
        <w:right w:val="none" w:sz="0" w:space="0" w:color="auto"/>
      </w:divBdr>
    </w:div>
    <w:div w:id="1828940866">
      <w:marLeft w:val="0"/>
      <w:marRight w:val="0"/>
      <w:marTop w:val="100"/>
      <w:marBottom w:val="0"/>
      <w:divBdr>
        <w:top w:val="none" w:sz="0" w:space="0" w:color="auto"/>
        <w:left w:val="none" w:sz="0" w:space="0" w:color="auto"/>
        <w:bottom w:val="none" w:sz="0" w:space="0" w:color="auto"/>
        <w:right w:val="none" w:sz="0" w:space="0" w:color="auto"/>
      </w:divBdr>
      <w:divsChild>
        <w:div w:id="964240062">
          <w:marLeft w:val="0"/>
          <w:marRight w:val="0"/>
          <w:marTop w:val="0"/>
          <w:marBottom w:val="0"/>
          <w:divBdr>
            <w:top w:val="none" w:sz="0" w:space="0" w:color="auto"/>
            <w:left w:val="none" w:sz="0" w:space="0" w:color="auto"/>
            <w:bottom w:val="none" w:sz="0" w:space="0" w:color="auto"/>
            <w:right w:val="none" w:sz="0" w:space="0" w:color="auto"/>
          </w:divBdr>
        </w:div>
        <w:div w:id="1919165426">
          <w:marLeft w:val="0"/>
          <w:marRight w:val="0"/>
          <w:marTop w:val="0"/>
          <w:marBottom w:val="0"/>
          <w:divBdr>
            <w:top w:val="none" w:sz="0" w:space="0" w:color="auto"/>
            <w:left w:val="none" w:sz="0" w:space="0" w:color="auto"/>
            <w:bottom w:val="none" w:sz="0" w:space="0" w:color="auto"/>
            <w:right w:val="none" w:sz="0" w:space="0" w:color="auto"/>
          </w:divBdr>
        </w:div>
      </w:divsChild>
    </w:div>
    <w:div w:id="1831603998">
      <w:marLeft w:val="0"/>
      <w:marRight w:val="0"/>
      <w:marTop w:val="60"/>
      <w:marBottom w:val="60"/>
      <w:divBdr>
        <w:top w:val="none" w:sz="0" w:space="0" w:color="auto"/>
        <w:left w:val="none" w:sz="0" w:space="0" w:color="auto"/>
        <w:bottom w:val="none" w:sz="0" w:space="0" w:color="auto"/>
        <w:right w:val="none" w:sz="0" w:space="0" w:color="auto"/>
      </w:divBdr>
    </w:div>
    <w:div w:id="1832330588">
      <w:marLeft w:val="0"/>
      <w:marRight w:val="0"/>
      <w:marTop w:val="60"/>
      <w:marBottom w:val="60"/>
      <w:divBdr>
        <w:top w:val="none" w:sz="0" w:space="0" w:color="auto"/>
        <w:left w:val="none" w:sz="0" w:space="0" w:color="auto"/>
        <w:bottom w:val="none" w:sz="0" w:space="0" w:color="auto"/>
        <w:right w:val="none" w:sz="0" w:space="0" w:color="auto"/>
      </w:divBdr>
    </w:div>
    <w:div w:id="1834371957">
      <w:marLeft w:val="0"/>
      <w:marRight w:val="0"/>
      <w:marTop w:val="0"/>
      <w:marBottom w:val="0"/>
      <w:divBdr>
        <w:top w:val="none" w:sz="0" w:space="0" w:color="auto"/>
        <w:left w:val="none" w:sz="0" w:space="0" w:color="auto"/>
        <w:bottom w:val="none" w:sz="0" w:space="0" w:color="auto"/>
        <w:right w:val="none" w:sz="0" w:space="0" w:color="auto"/>
      </w:divBdr>
      <w:divsChild>
        <w:div w:id="757600230">
          <w:marLeft w:val="0"/>
          <w:marRight w:val="0"/>
          <w:marTop w:val="0"/>
          <w:marBottom w:val="0"/>
          <w:divBdr>
            <w:top w:val="none" w:sz="0" w:space="0" w:color="auto"/>
            <w:left w:val="none" w:sz="0" w:space="0" w:color="auto"/>
            <w:bottom w:val="none" w:sz="0" w:space="0" w:color="auto"/>
            <w:right w:val="none" w:sz="0" w:space="0" w:color="auto"/>
          </w:divBdr>
          <w:divsChild>
            <w:div w:id="10412433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37527774">
      <w:marLeft w:val="0"/>
      <w:marRight w:val="0"/>
      <w:marTop w:val="60"/>
      <w:marBottom w:val="60"/>
      <w:divBdr>
        <w:top w:val="none" w:sz="0" w:space="0" w:color="auto"/>
        <w:left w:val="none" w:sz="0" w:space="0" w:color="auto"/>
        <w:bottom w:val="none" w:sz="0" w:space="0" w:color="auto"/>
        <w:right w:val="none" w:sz="0" w:space="0" w:color="auto"/>
      </w:divBdr>
    </w:div>
    <w:div w:id="1839072970">
      <w:marLeft w:val="0"/>
      <w:marRight w:val="0"/>
      <w:marTop w:val="0"/>
      <w:marBottom w:val="0"/>
      <w:divBdr>
        <w:top w:val="none" w:sz="0" w:space="0" w:color="auto"/>
        <w:left w:val="none" w:sz="0" w:space="0" w:color="auto"/>
        <w:bottom w:val="none" w:sz="0" w:space="0" w:color="auto"/>
        <w:right w:val="none" w:sz="0" w:space="0" w:color="auto"/>
      </w:divBdr>
      <w:divsChild>
        <w:div w:id="208148698">
          <w:marLeft w:val="0"/>
          <w:marRight w:val="0"/>
          <w:marTop w:val="0"/>
          <w:marBottom w:val="0"/>
          <w:divBdr>
            <w:top w:val="none" w:sz="0" w:space="0" w:color="auto"/>
            <w:left w:val="none" w:sz="0" w:space="0" w:color="auto"/>
            <w:bottom w:val="none" w:sz="0" w:space="0" w:color="auto"/>
            <w:right w:val="none" w:sz="0" w:space="0" w:color="auto"/>
          </w:divBdr>
          <w:divsChild>
            <w:div w:id="2954504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0580379">
      <w:marLeft w:val="0"/>
      <w:marRight w:val="0"/>
      <w:marTop w:val="0"/>
      <w:marBottom w:val="0"/>
      <w:divBdr>
        <w:top w:val="none" w:sz="0" w:space="0" w:color="auto"/>
        <w:left w:val="none" w:sz="0" w:space="0" w:color="auto"/>
        <w:bottom w:val="none" w:sz="0" w:space="0" w:color="auto"/>
        <w:right w:val="none" w:sz="0" w:space="0" w:color="auto"/>
      </w:divBdr>
    </w:div>
    <w:div w:id="1841580696">
      <w:marLeft w:val="0"/>
      <w:marRight w:val="0"/>
      <w:marTop w:val="180"/>
      <w:marBottom w:val="180"/>
      <w:divBdr>
        <w:top w:val="none" w:sz="0" w:space="0" w:color="auto"/>
        <w:left w:val="none" w:sz="0" w:space="0" w:color="auto"/>
        <w:bottom w:val="none" w:sz="0" w:space="0" w:color="auto"/>
        <w:right w:val="none" w:sz="0" w:space="0" w:color="auto"/>
      </w:divBdr>
    </w:div>
    <w:div w:id="1842885791">
      <w:marLeft w:val="0"/>
      <w:marRight w:val="0"/>
      <w:marTop w:val="0"/>
      <w:marBottom w:val="0"/>
      <w:divBdr>
        <w:top w:val="none" w:sz="0" w:space="0" w:color="auto"/>
        <w:left w:val="none" w:sz="0" w:space="0" w:color="auto"/>
        <w:bottom w:val="none" w:sz="0" w:space="0" w:color="auto"/>
        <w:right w:val="none" w:sz="0" w:space="0" w:color="auto"/>
      </w:divBdr>
      <w:divsChild>
        <w:div w:id="1492481122">
          <w:marLeft w:val="0"/>
          <w:marRight w:val="0"/>
          <w:marTop w:val="0"/>
          <w:marBottom w:val="180"/>
          <w:divBdr>
            <w:top w:val="none" w:sz="0" w:space="0" w:color="auto"/>
            <w:left w:val="none" w:sz="0" w:space="0" w:color="auto"/>
            <w:bottom w:val="none" w:sz="0" w:space="0" w:color="auto"/>
            <w:right w:val="none" w:sz="0" w:space="0" w:color="auto"/>
          </w:divBdr>
        </w:div>
      </w:divsChild>
    </w:div>
    <w:div w:id="1843856693">
      <w:marLeft w:val="0"/>
      <w:marRight w:val="0"/>
      <w:marTop w:val="180"/>
      <w:marBottom w:val="180"/>
      <w:divBdr>
        <w:top w:val="none" w:sz="0" w:space="0" w:color="auto"/>
        <w:left w:val="none" w:sz="0" w:space="0" w:color="auto"/>
        <w:bottom w:val="none" w:sz="0" w:space="0" w:color="auto"/>
        <w:right w:val="none" w:sz="0" w:space="0" w:color="auto"/>
      </w:divBdr>
    </w:div>
    <w:div w:id="1845703882">
      <w:marLeft w:val="0"/>
      <w:marRight w:val="0"/>
      <w:marTop w:val="0"/>
      <w:marBottom w:val="0"/>
      <w:divBdr>
        <w:top w:val="none" w:sz="0" w:space="0" w:color="auto"/>
        <w:left w:val="none" w:sz="0" w:space="0" w:color="auto"/>
        <w:bottom w:val="none" w:sz="0" w:space="0" w:color="auto"/>
        <w:right w:val="none" w:sz="0" w:space="0" w:color="auto"/>
      </w:divBdr>
      <w:divsChild>
        <w:div w:id="242956832">
          <w:marLeft w:val="0"/>
          <w:marRight w:val="0"/>
          <w:marTop w:val="60"/>
          <w:marBottom w:val="60"/>
          <w:divBdr>
            <w:top w:val="none" w:sz="0" w:space="0" w:color="auto"/>
            <w:left w:val="none" w:sz="0" w:space="0" w:color="auto"/>
            <w:bottom w:val="none" w:sz="0" w:space="0" w:color="auto"/>
            <w:right w:val="none" w:sz="0" w:space="0" w:color="auto"/>
          </w:divBdr>
        </w:div>
      </w:divsChild>
    </w:div>
    <w:div w:id="1846901465">
      <w:marLeft w:val="0"/>
      <w:marRight w:val="0"/>
      <w:marTop w:val="0"/>
      <w:marBottom w:val="0"/>
      <w:divBdr>
        <w:top w:val="none" w:sz="0" w:space="0" w:color="auto"/>
        <w:left w:val="none" w:sz="0" w:space="0" w:color="auto"/>
        <w:bottom w:val="none" w:sz="0" w:space="0" w:color="auto"/>
        <w:right w:val="none" w:sz="0" w:space="0" w:color="auto"/>
      </w:divBdr>
      <w:divsChild>
        <w:div w:id="1974941215">
          <w:marLeft w:val="0"/>
          <w:marRight w:val="0"/>
          <w:marTop w:val="0"/>
          <w:marBottom w:val="0"/>
          <w:divBdr>
            <w:top w:val="none" w:sz="0" w:space="0" w:color="auto"/>
            <w:left w:val="none" w:sz="0" w:space="0" w:color="auto"/>
            <w:bottom w:val="none" w:sz="0" w:space="0" w:color="auto"/>
            <w:right w:val="none" w:sz="0" w:space="0" w:color="auto"/>
          </w:divBdr>
          <w:divsChild>
            <w:div w:id="3257146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7018247">
      <w:marLeft w:val="0"/>
      <w:marRight w:val="0"/>
      <w:marTop w:val="180"/>
      <w:marBottom w:val="180"/>
      <w:divBdr>
        <w:top w:val="none" w:sz="0" w:space="0" w:color="auto"/>
        <w:left w:val="none" w:sz="0" w:space="0" w:color="auto"/>
        <w:bottom w:val="none" w:sz="0" w:space="0" w:color="auto"/>
        <w:right w:val="none" w:sz="0" w:space="0" w:color="auto"/>
      </w:divBdr>
    </w:div>
    <w:div w:id="1847019943">
      <w:marLeft w:val="0"/>
      <w:marRight w:val="0"/>
      <w:marTop w:val="240"/>
      <w:marBottom w:val="180"/>
      <w:divBdr>
        <w:top w:val="none" w:sz="0" w:space="0" w:color="auto"/>
        <w:left w:val="none" w:sz="0" w:space="0" w:color="auto"/>
        <w:bottom w:val="none" w:sz="0" w:space="0" w:color="auto"/>
        <w:right w:val="none" w:sz="0" w:space="0" w:color="auto"/>
      </w:divBdr>
    </w:div>
    <w:div w:id="1848711078">
      <w:marLeft w:val="0"/>
      <w:marRight w:val="0"/>
      <w:marTop w:val="180"/>
      <w:marBottom w:val="180"/>
      <w:divBdr>
        <w:top w:val="none" w:sz="0" w:space="0" w:color="auto"/>
        <w:left w:val="none" w:sz="0" w:space="0" w:color="auto"/>
        <w:bottom w:val="none" w:sz="0" w:space="0" w:color="auto"/>
        <w:right w:val="none" w:sz="0" w:space="0" w:color="auto"/>
      </w:divBdr>
    </w:div>
    <w:div w:id="1850485003">
      <w:marLeft w:val="0"/>
      <w:marRight w:val="0"/>
      <w:marTop w:val="0"/>
      <w:marBottom w:val="0"/>
      <w:divBdr>
        <w:top w:val="none" w:sz="0" w:space="0" w:color="auto"/>
        <w:left w:val="none" w:sz="0" w:space="0" w:color="auto"/>
        <w:bottom w:val="none" w:sz="0" w:space="0" w:color="auto"/>
        <w:right w:val="none" w:sz="0" w:space="0" w:color="auto"/>
      </w:divBdr>
      <w:divsChild>
        <w:div w:id="1115364627">
          <w:marLeft w:val="0"/>
          <w:marRight w:val="0"/>
          <w:marTop w:val="60"/>
          <w:marBottom w:val="60"/>
          <w:divBdr>
            <w:top w:val="none" w:sz="0" w:space="0" w:color="auto"/>
            <w:left w:val="none" w:sz="0" w:space="0" w:color="auto"/>
            <w:bottom w:val="none" w:sz="0" w:space="0" w:color="auto"/>
            <w:right w:val="none" w:sz="0" w:space="0" w:color="auto"/>
          </w:divBdr>
        </w:div>
      </w:divsChild>
    </w:div>
    <w:div w:id="1850636192">
      <w:marLeft w:val="0"/>
      <w:marRight w:val="0"/>
      <w:marTop w:val="180"/>
      <w:marBottom w:val="60"/>
      <w:divBdr>
        <w:top w:val="none" w:sz="0" w:space="0" w:color="auto"/>
        <w:left w:val="none" w:sz="0" w:space="0" w:color="auto"/>
        <w:bottom w:val="none" w:sz="0" w:space="0" w:color="auto"/>
        <w:right w:val="none" w:sz="0" w:space="0" w:color="auto"/>
      </w:divBdr>
    </w:div>
    <w:div w:id="1852335661">
      <w:marLeft w:val="0"/>
      <w:marRight w:val="0"/>
      <w:marTop w:val="180"/>
      <w:marBottom w:val="180"/>
      <w:divBdr>
        <w:top w:val="none" w:sz="0" w:space="0" w:color="auto"/>
        <w:left w:val="none" w:sz="0" w:space="0" w:color="auto"/>
        <w:bottom w:val="none" w:sz="0" w:space="0" w:color="auto"/>
        <w:right w:val="none" w:sz="0" w:space="0" w:color="auto"/>
      </w:divBdr>
    </w:div>
    <w:div w:id="1852528611">
      <w:marLeft w:val="0"/>
      <w:marRight w:val="0"/>
      <w:marTop w:val="0"/>
      <w:marBottom w:val="0"/>
      <w:divBdr>
        <w:top w:val="none" w:sz="0" w:space="0" w:color="auto"/>
        <w:left w:val="none" w:sz="0" w:space="0" w:color="auto"/>
        <w:bottom w:val="none" w:sz="0" w:space="0" w:color="auto"/>
        <w:right w:val="none" w:sz="0" w:space="0" w:color="auto"/>
      </w:divBdr>
      <w:divsChild>
        <w:div w:id="132674524">
          <w:marLeft w:val="0"/>
          <w:marRight w:val="0"/>
          <w:marTop w:val="0"/>
          <w:marBottom w:val="0"/>
          <w:divBdr>
            <w:top w:val="none" w:sz="0" w:space="0" w:color="auto"/>
            <w:left w:val="none" w:sz="0" w:space="0" w:color="auto"/>
            <w:bottom w:val="none" w:sz="0" w:space="0" w:color="auto"/>
            <w:right w:val="none" w:sz="0" w:space="0" w:color="auto"/>
          </w:divBdr>
          <w:divsChild>
            <w:div w:id="17107624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3453117">
      <w:marLeft w:val="0"/>
      <w:marRight w:val="0"/>
      <w:marTop w:val="180"/>
      <w:marBottom w:val="180"/>
      <w:divBdr>
        <w:top w:val="none" w:sz="0" w:space="0" w:color="auto"/>
        <w:left w:val="none" w:sz="0" w:space="0" w:color="auto"/>
        <w:bottom w:val="none" w:sz="0" w:space="0" w:color="auto"/>
        <w:right w:val="none" w:sz="0" w:space="0" w:color="auto"/>
      </w:divBdr>
    </w:div>
    <w:div w:id="1854109299">
      <w:marLeft w:val="0"/>
      <w:marRight w:val="0"/>
      <w:marTop w:val="0"/>
      <w:marBottom w:val="0"/>
      <w:divBdr>
        <w:top w:val="none" w:sz="0" w:space="0" w:color="auto"/>
        <w:left w:val="none" w:sz="0" w:space="0" w:color="auto"/>
        <w:bottom w:val="none" w:sz="0" w:space="0" w:color="auto"/>
        <w:right w:val="none" w:sz="0" w:space="0" w:color="auto"/>
      </w:divBdr>
      <w:divsChild>
        <w:div w:id="475952299">
          <w:marLeft w:val="0"/>
          <w:marRight w:val="0"/>
          <w:marTop w:val="0"/>
          <w:marBottom w:val="0"/>
          <w:divBdr>
            <w:top w:val="none" w:sz="0" w:space="0" w:color="auto"/>
            <w:left w:val="none" w:sz="0" w:space="0" w:color="auto"/>
            <w:bottom w:val="none" w:sz="0" w:space="0" w:color="auto"/>
            <w:right w:val="none" w:sz="0" w:space="0" w:color="auto"/>
          </w:divBdr>
          <w:divsChild>
            <w:div w:id="20235120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5340513">
      <w:marLeft w:val="0"/>
      <w:marRight w:val="0"/>
      <w:marTop w:val="180"/>
      <w:marBottom w:val="180"/>
      <w:divBdr>
        <w:top w:val="none" w:sz="0" w:space="0" w:color="auto"/>
        <w:left w:val="none" w:sz="0" w:space="0" w:color="auto"/>
        <w:bottom w:val="none" w:sz="0" w:space="0" w:color="auto"/>
        <w:right w:val="none" w:sz="0" w:space="0" w:color="auto"/>
      </w:divBdr>
    </w:div>
    <w:div w:id="1856113975">
      <w:marLeft w:val="0"/>
      <w:marRight w:val="0"/>
      <w:marTop w:val="180"/>
      <w:marBottom w:val="180"/>
      <w:divBdr>
        <w:top w:val="none" w:sz="0" w:space="0" w:color="auto"/>
        <w:left w:val="none" w:sz="0" w:space="0" w:color="auto"/>
        <w:bottom w:val="none" w:sz="0" w:space="0" w:color="auto"/>
        <w:right w:val="none" w:sz="0" w:space="0" w:color="auto"/>
      </w:divBdr>
    </w:div>
    <w:div w:id="1857840376">
      <w:marLeft w:val="0"/>
      <w:marRight w:val="0"/>
      <w:marTop w:val="180"/>
      <w:marBottom w:val="180"/>
      <w:divBdr>
        <w:top w:val="none" w:sz="0" w:space="0" w:color="auto"/>
        <w:left w:val="none" w:sz="0" w:space="0" w:color="auto"/>
        <w:bottom w:val="none" w:sz="0" w:space="0" w:color="auto"/>
        <w:right w:val="none" w:sz="0" w:space="0" w:color="auto"/>
      </w:divBdr>
    </w:div>
    <w:div w:id="1859655445">
      <w:marLeft w:val="0"/>
      <w:marRight w:val="0"/>
      <w:marTop w:val="180"/>
      <w:marBottom w:val="180"/>
      <w:divBdr>
        <w:top w:val="none" w:sz="0" w:space="0" w:color="auto"/>
        <w:left w:val="none" w:sz="0" w:space="0" w:color="auto"/>
        <w:bottom w:val="none" w:sz="0" w:space="0" w:color="auto"/>
        <w:right w:val="none" w:sz="0" w:space="0" w:color="auto"/>
      </w:divBdr>
    </w:div>
    <w:div w:id="1860846955">
      <w:marLeft w:val="0"/>
      <w:marRight w:val="0"/>
      <w:marTop w:val="100"/>
      <w:marBottom w:val="0"/>
      <w:divBdr>
        <w:top w:val="none" w:sz="0" w:space="0" w:color="auto"/>
        <w:left w:val="none" w:sz="0" w:space="0" w:color="auto"/>
        <w:bottom w:val="none" w:sz="0" w:space="0" w:color="auto"/>
        <w:right w:val="none" w:sz="0" w:space="0" w:color="auto"/>
      </w:divBdr>
      <w:divsChild>
        <w:div w:id="983779583">
          <w:marLeft w:val="0"/>
          <w:marRight w:val="0"/>
          <w:marTop w:val="0"/>
          <w:marBottom w:val="0"/>
          <w:divBdr>
            <w:top w:val="none" w:sz="0" w:space="0" w:color="auto"/>
            <w:left w:val="none" w:sz="0" w:space="0" w:color="auto"/>
            <w:bottom w:val="none" w:sz="0" w:space="0" w:color="auto"/>
            <w:right w:val="none" w:sz="0" w:space="0" w:color="auto"/>
          </w:divBdr>
        </w:div>
        <w:div w:id="169031985">
          <w:marLeft w:val="0"/>
          <w:marRight w:val="0"/>
          <w:marTop w:val="0"/>
          <w:marBottom w:val="0"/>
          <w:divBdr>
            <w:top w:val="none" w:sz="0" w:space="0" w:color="auto"/>
            <w:left w:val="none" w:sz="0" w:space="0" w:color="auto"/>
            <w:bottom w:val="none" w:sz="0" w:space="0" w:color="auto"/>
            <w:right w:val="none" w:sz="0" w:space="0" w:color="auto"/>
          </w:divBdr>
        </w:div>
        <w:div w:id="492990622">
          <w:marLeft w:val="0"/>
          <w:marRight w:val="0"/>
          <w:marTop w:val="0"/>
          <w:marBottom w:val="0"/>
          <w:divBdr>
            <w:top w:val="none" w:sz="0" w:space="0" w:color="auto"/>
            <w:left w:val="none" w:sz="0" w:space="0" w:color="auto"/>
            <w:bottom w:val="none" w:sz="0" w:space="0" w:color="auto"/>
            <w:right w:val="none" w:sz="0" w:space="0" w:color="auto"/>
          </w:divBdr>
        </w:div>
        <w:div w:id="2006081100">
          <w:marLeft w:val="0"/>
          <w:marRight w:val="0"/>
          <w:marTop w:val="0"/>
          <w:marBottom w:val="0"/>
          <w:divBdr>
            <w:top w:val="none" w:sz="0" w:space="0" w:color="auto"/>
            <w:left w:val="none" w:sz="0" w:space="0" w:color="auto"/>
            <w:bottom w:val="none" w:sz="0" w:space="0" w:color="auto"/>
            <w:right w:val="none" w:sz="0" w:space="0" w:color="auto"/>
          </w:divBdr>
        </w:div>
        <w:div w:id="581648593">
          <w:marLeft w:val="0"/>
          <w:marRight w:val="0"/>
          <w:marTop w:val="0"/>
          <w:marBottom w:val="0"/>
          <w:divBdr>
            <w:top w:val="none" w:sz="0" w:space="0" w:color="auto"/>
            <w:left w:val="none" w:sz="0" w:space="0" w:color="auto"/>
            <w:bottom w:val="none" w:sz="0" w:space="0" w:color="auto"/>
            <w:right w:val="none" w:sz="0" w:space="0" w:color="auto"/>
          </w:divBdr>
        </w:div>
        <w:div w:id="533737803">
          <w:marLeft w:val="0"/>
          <w:marRight w:val="0"/>
          <w:marTop w:val="0"/>
          <w:marBottom w:val="0"/>
          <w:divBdr>
            <w:top w:val="none" w:sz="0" w:space="0" w:color="auto"/>
            <w:left w:val="none" w:sz="0" w:space="0" w:color="auto"/>
            <w:bottom w:val="none" w:sz="0" w:space="0" w:color="auto"/>
            <w:right w:val="none" w:sz="0" w:space="0" w:color="auto"/>
          </w:divBdr>
        </w:div>
        <w:div w:id="581842459">
          <w:marLeft w:val="0"/>
          <w:marRight w:val="0"/>
          <w:marTop w:val="0"/>
          <w:marBottom w:val="0"/>
          <w:divBdr>
            <w:top w:val="none" w:sz="0" w:space="0" w:color="auto"/>
            <w:left w:val="none" w:sz="0" w:space="0" w:color="auto"/>
            <w:bottom w:val="none" w:sz="0" w:space="0" w:color="auto"/>
            <w:right w:val="none" w:sz="0" w:space="0" w:color="auto"/>
          </w:divBdr>
        </w:div>
        <w:div w:id="1295017320">
          <w:marLeft w:val="0"/>
          <w:marRight w:val="0"/>
          <w:marTop w:val="0"/>
          <w:marBottom w:val="0"/>
          <w:divBdr>
            <w:top w:val="none" w:sz="0" w:space="0" w:color="auto"/>
            <w:left w:val="none" w:sz="0" w:space="0" w:color="auto"/>
            <w:bottom w:val="none" w:sz="0" w:space="0" w:color="auto"/>
            <w:right w:val="none" w:sz="0" w:space="0" w:color="auto"/>
          </w:divBdr>
        </w:div>
        <w:div w:id="1869639927">
          <w:marLeft w:val="0"/>
          <w:marRight w:val="0"/>
          <w:marTop w:val="0"/>
          <w:marBottom w:val="0"/>
          <w:divBdr>
            <w:top w:val="none" w:sz="0" w:space="0" w:color="auto"/>
            <w:left w:val="none" w:sz="0" w:space="0" w:color="auto"/>
            <w:bottom w:val="none" w:sz="0" w:space="0" w:color="auto"/>
            <w:right w:val="none" w:sz="0" w:space="0" w:color="auto"/>
          </w:divBdr>
        </w:div>
        <w:div w:id="1387026112">
          <w:marLeft w:val="0"/>
          <w:marRight w:val="0"/>
          <w:marTop w:val="0"/>
          <w:marBottom w:val="0"/>
          <w:divBdr>
            <w:top w:val="none" w:sz="0" w:space="0" w:color="auto"/>
            <w:left w:val="none" w:sz="0" w:space="0" w:color="auto"/>
            <w:bottom w:val="none" w:sz="0" w:space="0" w:color="auto"/>
            <w:right w:val="none" w:sz="0" w:space="0" w:color="auto"/>
          </w:divBdr>
        </w:div>
        <w:div w:id="566649445">
          <w:marLeft w:val="0"/>
          <w:marRight w:val="0"/>
          <w:marTop w:val="0"/>
          <w:marBottom w:val="0"/>
          <w:divBdr>
            <w:top w:val="none" w:sz="0" w:space="0" w:color="auto"/>
            <w:left w:val="none" w:sz="0" w:space="0" w:color="auto"/>
            <w:bottom w:val="none" w:sz="0" w:space="0" w:color="auto"/>
            <w:right w:val="none" w:sz="0" w:space="0" w:color="auto"/>
          </w:divBdr>
        </w:div>
        <w:div w:id="1721126288">
          <w:marLeft w:val="0"/>
          <w:marRight w:val="0"/>
          <w:marTop w:val="0"/>
          <w:marBottom w:val="0"/>
          <w:divBdr>
            <w:top w:val="none" w:sz="0" w:space="0" w:color="auto"/>
            <w:left w:val="none" w:sz="0" w:space="0" w:color="auto"/>
            <w:bottom w:val="none" w:sz="0" w:space="0" w:color="auto"/>
            <w:right w:val="none" w:sz="0" w:space="0" w:color="auto"/>
          </w:divBdr>
        </w:div>
        <w:div w:id="879977119">
          <w:marLeft w:val="0"/>
          <w:marRight w:val="0"/>
          <w:marTop w:val="0"/>
          <w:marBottom w:val="0"/>
          <w:divBdr>
            <w:top w:val="none" w:sz="0" w:space="0" w:color="auto"/>
            <w:left w:val="none" w:sz="0" w:space="0" w:color="auto"/>
            <w:bottom w:val="none" w:sz="0" w:space="0" w:color="auto"/>
            <w:right w:val="none" w:sz="0" w:space="0" w:color="auto"/>
          </w:divBdr>
        </w:div>
        <w:div w:id="609898147">
          <w:marLeft w:val="0"/>
          <w:marRight w:val="0"/>
          <w:marTop w:val="0"/>
          <w:marBottom w:val="0"/>
          <w:divBdr>
            <w:top w:val="none" w:sz="0" w:space="0" w:color="auto"/>
            <w:left w:val="none" w:sz="0" w:space="0" w:color="auto"/>
            <w:bottom w:val="none" w:sz="0" w:space="0" w:color="auto"/>
            <w:right w:val="none" w:sz="0" w:space="0" w:color="auto"/>
          </w:divBdr>
        </w:div>
        <w:div w:id="1356931359">
          <w:marLeft w:val="0"/>
          <w:marRight w:val="0"/>
          <w:marTop w:val="0"/>
          <w:marBottom w:val="0"/>
          <w:divBdr>
            <w:top w:val="none" w:sz="0" w:space="0" w:color="auto"/>
            <w:left w:val="none" w:sz="0" w:space="0" w:color="auto"/>
            <w:bottom w:val="none" w:sz="0" w:space="0" w:color="auto"/>
            <w:right w:val="none" w:sz="0" w:space="0" w:color="auto"/>
          </w:divBdr>
        </w:div>
        <w:div w:id="655033669">
          <w:marLeft w:val="0"/>
          <w:marRight w:val="0"/>
          <w:marTop w:val="0"/>
          <w:marBottom w:val="0"/>
          <w:divBdr>
            <w:top w:val="none" w:sz="0" w:space="0" w:color="auto"/>
            <w:left w:val="none" w:sz="0" w:space="0" w:color="auto"/>
            <w:bottom w:val="none" w:sz="0" w:space="0" w:color="auto"/>
            <w:right w:val="none" w:sz="0" w:space="0" w:color="auto"/>
          </w:divBdr>
        </w:div>
        <w:div w:id="966663090">
          <w:marLeft w:val="0"/>
          <w:marRight w:val="0"/>
          <w:marTop w:val="0"/>
          <w:marBottom w:val="0"/>
          <w:divBdr>
            <w:top w:val="none" w:sz="0" w:space="0" w:color="auto"/>
            <w:left w:val="none" w:sz="0" w:space="0" w:color="auto"/>
            <w:bottom w:val="none" w:sz="0" w:space="0" w:color="auto"/>
            <w:right w:val="none" w:sz="0" w:space="0" w:color="auto"/>
          </w:divBdr>
        </w:div>
        <w:div w:id="379594186">
          <w:marLeft w:val="0"/>
          <w:marRight w:val="0"/>
          <w:marTop w:val="0"/>
          <w:marBottom w:val="0"/>
          <w:divBdr>
            <w:top w:val="none" w:sz="0" w:space="0" w:color="auto"/>
            <w:left w:val="none" w:sz="0" w:space="0" w:color="auto"/>
            <w:bottom w:val="none" w:sz="0" w:space="0" w:color="auto"/>
            <w:right w:val="none" w:sz="0" w:space="0" w:color="auto"/>
          </w:divBdr>
        </w:div>
        <w:div w:id="946817516">
          <w:marLeft w:val="0"/>
          <w:marRight w:val="0"/>
          <w:marTop w:val="0"/>
          <w:marBottom w:val="0"/>
          <w:divBdr>
            <w:top w:val="none" w:sz="0" w:space="0" w:color="auto"/>
            <w:left w:val="none" w:sz="0" w:space="0" w:color="auto"/>
            <w:bottom w:val="none" w:sz="0" w:space="0" w:color="auto"/>
            <w:right w:val="none" w:sz="0" w:space="0" w:color="auto"/>
          </w:divBdr>
        </w:div>
        <w:div w:id="119693090">
          <w:marLeft w:val="0"/>
          <w:marRight w:val="0"/>
          <w:marTop w:val="0"/>
          <w:marBottom w:val="0"/>
          <w:divBdr>
            <w:top w:val="none" w:sz="0" w:space="0" w:color="auto"/>
            <w:left w:val="none" w:sz="0" w:space="0" w:color="auto"/>
            <w:bottom w:val="none" w:sz="0" w:space="0" w:color="auto"/>
            <w:right w:val="none" w:sz="0" w:space="0" w:color="auto"/>
          </w:divBdr>
        </w:div>
        <w:div w:id="1046872728">
          <w:marLeft w:val="0"/>
          <w:marRight w:val="0"/>
          <w:marTop w:val="0"/>
          <w:marBottom w:val="0"/>
          <w:divBdr>
            <w:top w:val="none" w:sz="0" w:space="0" w:color="auto"/>
            <w:left w:val="none" w:sz="0" w:space="0" w:color="auto"/>
            <w:bottom w:val="none" w:sz="0" w:space="0" w:color="auto"/>
            <w:right w:val="none" w:sz="0" w:space="0" w:color="auto"/>
          </w:divBdr>
        </w:div>
      </w:divsChild>
    </w:div>
    <w:div w:id="1863590598">
      <w:marLeft w:val="0"/>
      <w:marRight w:val="0"/>
      <w:marTop w:val="0"/>
      <w:marBottom w:val="0"/>
      <w:divBdr>
        <w:top w:val="none" w:sz="0" w:space="0" w:color="auto"/>
        <w:left w:val="none" w:sz="0" w:space="0" w:color="auto"/>
        <w:bottom w:val="none" w:sz="0" w:space="0" w:color="auto"/>
        <w:right w:val="none" w:sz="0" w:space="0" w:color="auto"/>
      </w:divBdr>
      <w:divsChild>
        <w:div w:id="1375546327">
          <w:marLeft w:val="0"/>
          <w:marRight w:val="0"/>
          <w:marTop w:val="0"/>
          <w:marBottom w:val="0"/>
          <w:divBdr>
            <w:top w:val="none" w:sz="0" w:space="0" w:color="auto"/>
            <w:left w:val="none" w:sz="0" w:space="0" w:color="auto"/>
            <w:bottom w:val="none" w:sz="0" w:space="0" w:color="auto"/>
            <w:right w:val="none" w:sz="0" w:space="0" w:color="auto"/>
          </w:divBdr>
          <w:divsChild>
            <w:div w:id="18880271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6364680">
      <w:marLeft w:val="0"/>
      <w:marRight w:val="0"/>
      <w:marTop w:val="180"/>
      <w:marBottom w:val="180"/>
      <w:divBdr>
        <w:top w:val="none" w:sz="0" w:space="0" w:color="auto"/>
        <w:left w:val="none" w:sz="0" w:space="0" w:color="auto"/>
        <w:bottom w:val="none" w:sz="0" w:space="0" w:color="auto"/>
        <w:right w:val="none" w:sz="0" w:space="0" w:color="auto"/>
      </w:divBdr>
    </w:div>
    <w:div w:id="1868592766">
      <w:marLeft w:val="0"/>
      <w:marRight w:val="0"/>
      <w:marTop w:val="0"/>
      <w:marBottom w:val="0"/>
      <w:divBdr>
        <w:top w:val="none" w:sz="0" w:space="0" w:color="auto"/>
        <w:left w:val="none" w:sz="0" w:space="0" w:color="auto"/>
        <w:bottom w:val="none" w:sz="0" w:space="0" w:color="auto"/>
        <w:right w:val="none" w:sz="0" w:space="0" w:color="auto"/>
      </w:divBdr>
      <w:divsChild>
        <w:div w:id="700125888">
          <w:marLeft w:val="0"/>
          <w:marRight w:val="0"/>
          <w:marTop w:val="0"/>
          <w:marBottom w:val="0"/>
          <w:divBdr>
            <w:top w:val="none" w:sz="0" w:space="0" w:color="auto"/>
            <w:left w:val="none" w:sz="0" w:space="0" w:color="auto"/>
            <w:bottom w:val="none" w:sz="0" w:space="0" w:color="auto"/>
            <w:right w:val="none" w:sz="0" w:space="0" w:color="auto"/>
          </w:divBdr>
          <w:divsChild>
            <w:div w:id="2129204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9372230">
      <w:marLeft w:val="0"/>
      <w:marRight w:val="0"/>
      <w:marTop w:val="180"/>
      <w:marBottom w:val="180"/>
      <w:divBdr>
        <w:top w:val="none" w:sz="0" w:space="0" w:color="auto"/>
        <w:left w:val="none" w:sz="0" w:space="0" w:color="auto"/>
        <w:bottom w:val="none" w:sz="0" w:space="0" w:color="auto"/>
        <w:right w:val="none" w:sz="0" w:space="0" w:color="auto"/>
      </w:divBdr>
    </w:div>
    <w:div w:id="1870684177">
      <w:marLeft w:val="0"/>
      <w:marRight w:val="0"/>
      <w:marTop w:val="60"/>
      <w:marBottom w:val="60"/>
      <w:divBdr>
        <w:top w:val="none" w:sz="0" w:space="0" w:color="auto"/>
        <w:left w:val="none" w:sz="0" w:space="0" w:color="auto"/>
        <w:bottom w:val="none" w:sz="0" w:space="0" w:color="auto"/>
        <w:right w:val="none" w:sz="0" w:space="0" w:color="auto"/>
      </w:divBdr>
    </w:div>
    <w:div w:id="1870801018">
      <w:marLeft w:val="0"/>
      <w:marRight w:val="0"/>
      <w:marTop w:val="60"/>
      <w:marBottom w:val="60"/>
      <w:divBdr>
        <w:top w:val="none" w:sz="0" w:space="0" w:color="auto"/>
        <w:left w:val="none" w:sz="0" w:space="0" w:color="auto"/>
        <w:bottom w:val="none" w:sz="0" w:space="0" w:color="auto"/>
        <w:right w:val="none" w:sz="0" w:space="0" w:color="auto"/>
      </w:divBdr>
    </w:div>
    <w:div w:id="1870801708">
      <w:marLeft w:val="0"/>
      <w:marRight w:val="0"/>
      <w:marTop w:val="180"/>
      <w:marBottom w:val="180"/>
      <w:divBdr>
        <w:top w:val="none" w:sz="0" w:space="0" w:color="auto"/>
        <w:left w:val="none" w:sz="0" w:space="0" w:color="auto"/>
        <w:bottom w:val="none" w:sz="0" w:space="0" w:color="auto"/>
        <w:right w:val="none" w:sz="0" w:space="0" w:color="auto"/>
      </w:divBdr>
    </w:div>
    <w:div w:id="1871339245">
      <w:marLeft w:val="0"/>
      <w:marRight w:val="0"/>
      <w:marTop w:val="180"/>
      <w:marBottom w:val="180"/>
      <w:divBdr>
        <w:top w:val="none" w:sz="0" w:space="0" w:color="auto"/>
        <w:left w:val="none" w:sz="0" w:space="0" w:color="auto"/>
        <w:bottom w:val="none" w:sz="0" w:space="0" w:color="auto"/>
        <w:right w:val="none" w:sz="0" w:space="0" w:color="auto"/>
      </w:divBdr>
    </w:div>
    <w:div w:id="1872187734">
      <w:marLeft w:val="0"/>
      <w:marRight w:val="0"/>
      <w:marTop w:val="180"/>
      <w:marBottom w:val="180"/>
      <w:divBdr>
        <w:top w:val="none" w:sz="0" w:space="0" w:color="auto"/>
        <w:left w:val="none" w:sz="0" w:space="0" w:color="auto"/>
        <w:bottom w:val="none" w:sz="0" w:space="0" w:color="auto"/>
        <w:right w:val="none" w:sz="0" w:space="0" w:color="auto"/>
      </w:divBdr>
    </w:div>
    <w:div w:id="1872263387">
      <w:marLeft w:val="0"/>
      <w:marRight w:val="0"/>
      <w:marTop w:val="0"/>
      <w:marBottom w:val="0"/>
      <w:divBdr>
        <w:top w:val="none" w:sz="0" w:space="0" w:color="auto"/>
        <w:left w:val="none" w:sz="0" w:space="0" w:color="auto"/>
        <w:bottom w:val="none" w:sz="0" w:space="0" w:color="auto"/>
        <w:right w:val="none" w:sz="0" w:space="0" w:color="auto"/>
      </w:divBdr>
      <w:divsChild>
        <w:div w:id="11149270">
          <w:marLeft w:val="0"/>
          <w:marRight w:val="0"/>
          <w:marTop w:val="60"/>
          <w:marBottom w:val="60"/>
          <w:divBdr>
            <w:top w:val="none" w:sz="0" w:space="0" w:color="auto"/>
            <w:left w:val="none" w:sz="0" w:space="0" w:color="auto"/>
            <w:bottom w:val="none" w:sz="0" w:space="0" w:color="auto"/>
            <w:right w:val="none" w:sz="0" w:space="0" w:color="auto"/>
          </w:divBdr>
        </w:div>
      </w:divsChild>
    </w:div>
    <w:div w:id="1873378678">
      <w:marLeft w:val="0"/>
      <w:marRight w:val="0"/>
      <w:marTop w:val="60"/>
      <w:marBottom w:val="60"/>
      <w:divBdr>
        <w:top w:val="none" w:sz="0" w:space="0" w:color="auto"/>
        <w:left w:val="none" w:sz="0" w:space="0" w:color="auto"/>
        <w:bottom w:val="none" w:sz="0" w:space="0" w:color="auto"/>
        <w:right w:val="none" w:sz="0" w:space="0" w:color="auto"/>
      </w:divBdr>
    </w:div>
    <w:div w:id="1874414679">
      <w:marLeft w:val="0"/>
      <w:marRight w:val="0"/>
      <w:marTop w:val="60"/>
      <w:marBottom w:val="60"/>
      <w:divBdr>
        <w:top w:val="none" w:sz="0" w:space="0" w:color="auto"/>
        <w:left w:val="none" w:sz="0" w:space="0" w:color="auto"/>
        <w:bottom w:val="none" w:sz="0" w:space="0" w:color="auto"/>
        <w:right w:val="none" w:sz="0" w:space="0" w:color="auto"/>
      </w:divBdr>
    </w:div>
    <w:div w:id="1875924491">
      <w:marLeft w:val="0"/>
      <w:marRight w:val="0"/>
      <w:marTop w:val="0"/>
      <w:marBottom w:val="0"/>
      <w:divBdr>
        <w:top w:val="none" w:sz="0" w:space="0" w:color="auto"/>
        <w:left w:val="none" w:sz="0" w:space="0" w:color="auto"/>
        <w:bottom w:val="none" w:sz="0" w:space="0" w:color="auto"/>
        <w:right w:val="none" w:sz="0" w:space="0" w:color="auto"/>
      </w:divBdr>
    </w:div>
    <w:div w:id="1877544012">
      <w:marLeft w:val="0"/>
      <w:marRight w:val="0"/>
      <w:marTop w:val="60"/>
      <w:marBottom w:val="60"/>
      <w:divBdr>
        <w:top w:val="none" w:sz="0" w:space="0" w:color="auto"/>
        <w:left w:val="none" w:sz="0" w:space="0" w:color="auto"/>
        <w:bottom w:val="none" w:sz="0" w:space="0" w:color="auto"/>
        <w:right w:val="none" w:sz="0" w:space="0" w:color="auto"/>
      </w:divBdr>
    </w:div>
    <w:div w:id="1877572683">
      <w:marLeft w:val="0"/>
      <w:marRight w:val="0"/>
      <w:marTop w:val="100"/>
      <w:marBottom w:val="60"/>
      <w:divBdr>
        <w:top w:val="none" w:sz="0" w:space="0" w:color="auto"/>
        <w:left w:val="none" w:sz="0" w:space="0" w:color="auto"/>
        <w:bottom w:val="none" w:sz="0" w:space="0" w:color="auto"/>
        <w:right w:val="none" w:sz="0" w:space="0" w:color="auto"/>
      </w:divBdr>
    </w:div>
    <w:div w:id="1877623063">
      <w:marLeft w:val="0"/>
      <w:marRight w:val="0"/>
      <w:marTop w:val="180"/>
      <w:marBottom w:val="180"/>
      <w:divBdr>
        <w:top w:val="none" w:sz="0" w:space="0" w:color="auto"/>
        <w:left w:val="none" w:sz="0" w:space="0" w:color="auto"/>
        <w:bottom w:val="none" w:sz="0" w:space="0" w:color="auto"/>
        <w:right w:val="none" w:sz="0" w:space="0" w:color="auto"/>
      </w:divBdr>
    </w:div>
    <w:div w:id="1878158587">
      <w:marLeft w:val="0"/>
      <w:marRight w:val="0"/>
      <w:marTop w:val="60"/>
      <w:marBottom w:val="60"/>
      <w:divBdr>
        <w:top w:val="none" w:sz="0" w:space="0" w:color="auto"/>
        <w:left w:val="none" w:sz="0" w:space="0" w:color="auto"/>
        <w:bottom w:val="none" w:sz="0" w:space="0" w:color="auto"/>
        <w:right w:val="none" w:sz="0" w:space="0" w:color="auto"/>
      </w:divBdr>
    </w:div>
    <w:div w:id="1878853526">
      <w:marLeft w:val="0"/>
      <w:marRight w:val="0"/>
      <w:marTop w:val="140"/>
      <w:marBottom w:val="180"/>
      <w:divBdr>
        <w:top w:val="none" w:sz="0" w:space="0" w:color="auto"/>
        <w:left w:val="none" w:sz="0" w:space="0" w:color="auto"/>
        <w:bottom w:val="none" w:sz="0" w:space="0" w:color="auto"/>
        <w:right w:val="none" w:sz="0" w:space="0" w:color="auto"/>
      </w:divBdr>
    </w:div>
    <w:div w:id="1880581487">
      <w:marLeft w:val="0"/>
      <w:marRight w:val="0"/>
      <w:marTop w:val="0"/>
      <w:marBottom w:val="15"/>
      <w:divBdr>
        <w:top w:val="none" w:sz="0" w:space="0" w:color="auto"/>
        <w:left w:val="none" w:sz="0" w:space="0" w:color="auto"/>
        <w:bottom w:val="none" w:sz="0" w:space="0" w:color="auto"/>
        <w:right w:val="none" w:sz="0" w:space="0" w:color="auto"/>
      </w:divBdr>
    </w:div>
    <w:div w:id="1883979163">
      <w:marLeft w:val="0"/>
      <w:marRight w:val="0"/>
      <w:marTop w:val="180"/>
      <w:marBottom w:val="180"/>
      <w:divBdr>
        <w:top w:val="none" w:sz="0" w:space="0" w:color="auto"/>
        <w:left w:val="none" w:sz="0" w:space="0" w:color="auto"/>
        <w:bottom w:val="none" w:sz="0" w:space="0" w:color="auto"/>
        <w:right w:val="none" w:sz="0" w:space="0" w:color="auto"/>
      </w:divBdr>
    </w:div>
    <w:div w:id="1884168963">
      <w:marLeft w:val="0"/>
      <w:marRight w:val="0"/>
      <w:marTop w:val="180"/>
      <w:marBottom w:val="180"/>
      <w:divBdr>
        <w:top w:val="none" w:sz="0" w:space="0" w:color="auto"/>
        <w:left w:val="none" w:sz="0" w:space="0" w:color="auto"/>
        <w:bottom w:val="none" w:sz="0" w:space="0" w:color="auto"/>
        <w:right w:val="none" w:sz="0" w:space="0" w:color="auto"/>
      </w:divBdr>
    </w:div>
    <w:div w:id="1884712738">
      <w:marLeft w:val="0"/>
      <w:marRight w:val="0"/>
      <w:marTop w:val="180"/>
      <w:marBottom w:val="180"/>
      <w:divBdr>
        <w:top w:val="none" w:sz="0" w:space="0" w:color="auto"/>
        <w:left w:val="none" w:sz="0" w:space="0" w:color="auto"/>
        <w:bottom w:val="none" w:sz="0" w:space="0" w:color="auto"/>
        <w:right w:val="none" w:sz="0" w:space="0" w:color="auto"/>
      </w:divBdr>
    </w:div>
    <w:div w:id="1884907324">
      <w:marLeft w:val="0"/>
      <w:marRight w:val="0"/>
      <w:marTop w:val="0"/>
      <w:marBottom w:val="0"/>
      <w:divBdr>
        <w:top w:val="none" w:sz="0" w:space="0" w:color="auto"/>
        <w:left w:val="none" w:sz="0" w:space="0" w:color="auto"/>
        <w:bottom w:val="none" w:sz="0" w:space="0" w:color="auto"/>
        <w:right w:val="none" w:sz="0" w:space="0" w:color="auto"/>
      </w:divBdr>
      <w:divsChild>
        <w:div w:id="1188715749">
          <w:marLeft w:val="0"/>
          <w:marRight w:val="0"/>
          <w:marTop w:val="60"/>
          <w:marBottom w:val="60"/>
          <w:divBdr>
            <w:top w:val="none" w:sz="0" w:space="0" w:color="auto"/>
            <w:left w:val="none" w:sz="0" w:space="0" w:color="auto"/>
            <w:bottom w:val="none" w:sz="0" w:space="0" w:color="auto"/>
            <w:right w:val="none" w:sz="0" w:space="0" w:color="auto"/>
          </w:divBdr>
        </w:div>
      </w:divsChild>
    </w:div>
    <w:div w:id="1886137956">
      <w:marLeft w:val="0"/>
      <w:marRight w:val="0"/>
      <w:marTop w:val="180"/>
      <w:marBottom w:val="60"/>
      <w:divBdr>
        <w:top w:val="none" w:sz="0" w:space="0" w:color="auto"/>
        <w:left w:val="none" w:sz="0" w:space="0" w:color="auto"/>
        <w:bottom w:val="none" w:sz="0" w:space="0" w:color="auto"/>
        <w:right w:val="none" w:sz="0" w:space="0" w:color="auto"/>
      </w:divBdr>
    </w:div>
    <w:div w:id="1887520070">
      <w:marLeft w:val="0"/>
      <w:marRight w:val="0"/>
      <w:marTop w:val="180"/>
      <w:marBottom w:val="60"/>
      <w:divBdr>
        <w:top w:val="none" w:sz="0" w:space="0" w:color="auto"/>
        <w:left w:val="none" w:sz="0" w:space="0" w:color="auto"/>
        <w:bottom w:val="none" w:sz="0" w:space="0" w:color="auto"/>
        <w:right w:val="none" w:sz="0" w:space="0" w:color="auto"/>
      </w:divBdr>
    </w:div>
    <w:div w:id="1887596625">
      <w:marLeft w:val="0"/>
      <w:marRight w:val="0"/>
      <w:marTop w:val="180"/>
      <w:marBottom w:val="180"/>
      <w:divBdr>
        <w:top w:val="none" w:sz="0" w:space="0" w:color="auto"/>
        <w:left w:val="none" w:sz="0" w:space="0" w:color="auto"/>
        <w:bottom w:val="none" w:sz="0" w:space="0" w:color="auto"/>
        <w:right w:val="none" w:sz="0" w:space="0" w:color="auto"/>
      </w:divBdr>
    </w:div>
    <w:div w:id="1887720478">
      <w:marLeft w:val="0"/>
      <w:marRight w:val="0"/>
      <w:marTop w:val="100"/>
      <w:marBottom w:val="0"/>
      <w:divBdr>
        <w:top w:val="none" w:sz="0" w:space="0" w:color="auto"/>
        <w:left w:val="none" w:sz="0" w:space="0" w:color="auto"/>
        <w:bottom w:val="none" w:sz="0" w:space="0" w:color="auto"/>
        <w:right w:val="none" w:sz="0" w:space="0" w:color="auto"/>
      </w:divBdr>
      <w:divsChild>
        <w:div w:id="135492742">
          <w:marLeft w:val="0"/>
          <w:marRight w:val="0"/>
          <w:marTop w:val="0"/>
          <w:marBottom w:val="0"/>
          <w:divBdr>
            <w:top w:val="none" w:sz="0" w:space="0" w:color="auto"/>
            <w:left w:val="none" w:sz="0" w:space="0" w:color="auto"/>
            <w:bottom w:val="none" w:sz="0" w:space="0" w:color="auto"/>
            <w:right w:val="none" w:sz="0" w:space="0" w:color="auto"/>
          </w:divBdr>
        </w:div>
        <w:div w:id="1527057502">
          <w:marLeft w:val="0"/>
          <w:marRight w:val="0"/>
          <w:marTop w:val="0"/>
          <w:marBottom w:val="0"/>
          <w:divBdr>
            <w:top w:val="none" w:sz="0" w:space="0" w:color="auto"/>
            <w:left w:val="none" w:sz="0" w:space="0" w:color="auto"/>
            <w:bottom w:val="none" w:sz="0" w:space="0" w:color="auto"/>
            <w:right w:val="none" w:sz="0" w:space="0" w:color="auto"/>
          </w:divBdr>
        </w:div>
      </w:divsChild>
    </w:div>
    <w:div w:id="1887837383">
      <w:marLeft w:val="0"/>
      <w:marRight w:val="0"/>
      <w:marTop w:val="180"/>
      <w:marBottom w:val="60"/>
      <w:divBdr>
        <w:top w:val="none" w:sz="0" w:space="0" w:color="auto"/>
        <w:left w:val="none" w:sz="0" w:space="0" w:color="auto"/>
        <w:bottom w:val="none" w:sz="0" w:space="0" w:color="auto"/>
        <w:right w:val="none" w:sz="0" w:space="0" w:color="auto"/>
      </w:divBdr>
    </w:div>
    <w:div w:id="1888224142">
      <w:marLeft w:val="0"/>
      <w:marRight w:val="0"/>
      <w:marTop w:val="180"/>
      <w:marBottom w:val="180"/>
      <w:divBdr>
        <w:top w:val="none" w:sz="0" w:space="0" w:color="auto"/>
        <w:left w:val="none" w:sz="0" w:space="0" w:color="auto"/>
        <w:bottom w:val="none" w:sz="0" w:space="0" w:color="auto"/>
        <w:right w:val="none" w:sz="0" w:space="0" w:color="auto"/>
      </w:divBdr>
    </w:div>
    <w:div w:id="1891843163">
      <w:marLeft w:val="0"/>
      <w:marRight w:val="0"/>
      <w:marTop w:val="60"/>
      <w:marBottom w:val="60"/>
      <w:divBdr>
        <w:top w:val="none" w:sz="0" w:space="0" w:color="auto"/>
        <w:left w:val="none" w:sz="0" w:space="0" w:color="auto"/>
        <w:bottom w:val="none" w:sz="0" w:space="0" w:color="auto"/>
        <w:right w:val="none" w:sz="0" w:space="0" w:color="auto"/>
      </w:divBdr>
    </w:div>
    <w:div w:id="1891917134">
      <w:marLeft w:val="0"/>
      <w:marRight w:val="0"/>
      <w:marTop w:val="60"/>
      <w:marBottom w:val="60"/>
      <w:divBdr>
        <w:top w:val="none" w:sz="0" w:space="0" w:color="auto"/>
        <w:left w:val="none" w:sz="0" w:space="0" w:color="auto"/>
        <w:bottom w:val="none" w:sz="0" w:space="0" w:color="auto"/>
        <w:right w:val="none" w:sz="0" w:space="0" w:color="auto"/>
      </w:divBdr>
    </w:div>
    <w:div w:id="1892229899">
      <w:marLeft w:val="0"/>
      <w:marRight w:val="0"/>
      <w:marTop w:val="180"/>
      <w:marBottom w:val="180"/>
      <w:divBdr>
        <w:top w:val="none" w:sz="0" w:space="0" w:color="auto"/>
        <w:left w:val="none" w:sz="0" w:space="0" w:color="auto"/>
        <w:bottom w:val="none" w:sz="0" w:space="0" w:color="auto"/>
        <w:right w:val="none" w:sz="0" w:space="0" w:color="auto"/>
      </w:divBdr>
    </w:div>
    <w:div w:id="1896046290">
      <w:marLeft w:val="0"/>
      <w:marRight w:val="0"/>
      <w:marTop w:val="180"/>
      <w:marBottom w:val="180"/>
      <w:divBdr>
        <w:top w:val="none" w:sz="0" w:space="0" w:color="auto"/>
        <w:left w:val="none" w:sz="0" w:space="0" w:color="auto"/>
        <w:bottom w:val="none" w:sz="0" w:space="0" w:color="auto"/>
        <w:right w:val="none" w:sz="0" w:space="0" w:color="auto"/>
      </w:divBdr>
    </w:div>
    <w:div w:id="1897084444">
      <w:marLeft w:val="0"/>
      <w:marRight w:val="0"/>
      <w:marTop w:val="180"/>
      <w:marBottom w:val="180"/>
      <w:divBdr>
        <w:top w:val="none" w:sz="0" w:space="0" w:color="auto"/>
        <w:left w:val="none" w:sz="0" w:space="0" w:color="auto"/>
        <w:bottom w:val="none" w:sz="0" w:space="0" w:color="auto"/>
        <w:right w:val="none" w:sz="0" w:space="0" w:color="auto"/>
      </w:divBdr>
    </w:div>
    <w:div w:id="1897230278">
      <w:marLeft w:val="0"/>
      <w:marRight w:val="0"/>
      <w:marTop w:val="180"/>
      <w:marBottom w:val="180"/>
      <w:divBdr>
        <w:top w:val="none" w:sz="0" w:space="0" w:color="auto"/>
        <w:left w:val="none" w:sz="0" w:space="0" w:color="auto"/>
        <w:bottom w:val="none" w:sz="0" w:space="0" w:color="auto"/>
        <w:right w:val="none" w:sz="0" w:space="0" w:color="auto"/>
      </w:divBdr>
    </w:div>
    <w:div w:id="1899702876">
      <w:marLeft w:val="0"/>
      <w:marRight w:val="0"/>
      <w:marTop w:val="180"/>
      <w:marBottom w:val="180"/>
      <w:divBdr>
        <w:top w:val="none" w:sz="0" w:space="0" w:color="auto"/>
        <w:left w:val="none" w:sz="0" w:space="0" w:color="auto"/>
        <w:bottom w:val="none" w:sz="0" w:space="0" w:color="auto"/>
        <w:right w:val="none" w:sz="0" w:space="0" w:color="auto"/>
      </w:divBdr>
    </w:div>
    <w:div w:id="1900432362">
      <w:marLeft w:val="0"/>
      <w:marRight w:val="0"/>
      <w:marTop w:val="180"/>
      <w:marBottom w:val="180"/>
      <w:divBdr>
        <w:top w:val="none" w:sz="0" w:space="0" w:color="auto"/>
        <w:left w:val="none" w:sz="0" w:space="0" w:color="auto"/>
        <w:bottom w:val="none" w:sz="0" w:space="0" w:color="auto"/>
        <w:right w:val="none" w:sz="0" w:space="0" w:color="auto"/>
      </w:divBdr>
    </w:div>
    <w:div w:id="1901793610">
      <w:marLeft w:val="0"/>
      <w:marRight w:val="0"/>
      <w:marTop w:val="0"/>
      <w:marBottom w:val="0"/>
      <w:divBdr>
        <w:top w:val="none" w:sz="0" w:space="0" w:color="auto"/>
        <w:left w:val="none" w:sz="0" w:space="0" w:color="auto"/>
        <w:bottom w:val="none" w:sz="0" w:space="0" w:color="auto"/>
        <w:right w:val="none" w:sz="0" w:space="0" w:color="auto"/>
      </w:divBdr>
      <w:divsChild>
        <w:div w:id="22824984">
          <w:marLeft w:val="0"/>
          <w:marRight w:val="0"/>
          <w:marTop w:val="0"/>
          <w:marBottom w:val="0"/>
          <w:divBdr>
            <w:top w:val="none" w:sz="0" w:space="0" w:color="auto"/>
            <w:left w:val="none" w:sz="0" w:space="0" w:color="auto"/>
            <w:bottom w:val="none" w:sz="0" w:space="0" w:color="auto"/>
            <w:right w:val="none" w:sz="0" w:space="0" w:color="auto"/>
          </w:divBdr>
          <w:divsChild>
            <w:div w:id="8465554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03441804">
      <w:marLeft w:val="0"/>
      <w:marRight w:val="0"/>
      <w:marTop w:val="100"/>
      <w:marBottom w:val="0"/>
      <w:divBdr>
        <w:top w:val="none" w:sz="0" w:space="0" w:color="auto"/>
        <w:left w:val="none" w:sz="0" w:space="0" w:color="auto"/>
        <w:bottom w:val="none" w:sz="0" w:space="0" w:color="auto"/>
        <w:right w:val="none" w:sz="0" w:space="0" w:color="auto"/>
      </w:divBdr>
      <w:divsChild>
        <w:div w:id="756949843">
          <w:marLeft w:val="0"/>
          <w:marRight w:val="0"/>
          <w:marTop w:val="0"/>
          <w:marBottom w:val="0"/>
          <w:divBdr>
            <w:top w:val="none" w:sz="0" w:space="0" w:color="auto"/>
            <w:left w:val="none" w:sz="0" w:space="0" w:color="auto"/>
            <w:bottom w:val="none" w:sz="0" w:space="0" w:color="auto"/>
            <w:right w:val="none" w:sz="0" w:space="0" w:color="auto"/>
          </w:divBdr>
        </w:div>
      </w:divsChild>
    </w:div>
    <w:div w:id="1905409722">
      <w:marLeft w:val="0"/>
      <w:marRight w:val="0"/>
      <w:marTop w:val="180"/>
      <w:marBottom w:val="180"/>
      <w:divBdr>
        <w:top w:val="none" w:sz="0" w:space="0" w:color="auto"/>
        <w:left w:val="none" w:sz="0" w:space="0" w:color="auto"/>
        <w:bottom w:val="none" w:sz="0" w:space="0" w:color="auto"/>
        <w:right w:val="none" w:sz="0" w:space="0" w:color="auto"/>
      </w:divBdr>
    </w:div>
    <w:div w:id="1905791698">
      <w:marLeft w:val="0"/>
      <w:marRight w:val="0"/>
      <w:marTop w:val="180"/>
      <w:marBottom w:val="180"/>
      <w:divBdr>
        <w:top w:val="none" w:sz="0" w:space="0" w:color="auto"/>
        <w:left w:val="none" w:sz="0" w:space="0" w:color="auto"/>
        <w:bottom w:val="none" w:sz="0" w:space="0" w:color="auto"/>
        <w:right w:val="none" w:sz="0" w:space="0" w:color="auto"/>
      </w:divBdr>
    </w:div>
    <w:div w:id="1908104915">
      <w:marLeft w:val="0"/>
      <w:marRight w:val="0"/>
      <w:marTop w:val="180"/>
      <w:marBottom w:val="180"/>
      <w:divBdr>
        <w:top w:val="none" w:sz="0" w:space="0" w:color="auto"/>
        <w:left w:val="none" w:sz="0" w:space="0" w:color="auto"/>
        <w:bottom w:val="none" w:sz="0" w:space="0" w:color="auto"/>
        <w:right w:val="none" w:sz="0" w:space="0" w:color="auto"/>
      </w:divBdr>
    </w:div>
    <w:div w:id="1909804982">
      <w:marLeft w:val="0"/>
      <w:marRight w:val="0"/>
      <w:marTop w:val="0"/>
      <w:marBottom w:val="0"/>
      <w:divBdr>
        <w:top w:val="none" w:sz="0" w:space="0" w:color="auto"/>
        <w:left w:val="none" w:sz="0" w:space="0" w:color="auto"/>
        <w:bottom w:val="none" w:sz="0" w:space="0" w:color="auto"/>
        <w:right w:val="none" w:sz="0" w:space="0" w:color="auto"/>
      </w:divBdr>
    </w:div>
    <w:div w:id="1911306026">
      <w:marLeft w:val="0"/>
      <w:marRight w:val="0"/>
      <w:marTop w:val="180"/>
      <w:marBottom w:val="180"/>
      <w:divBdr>
        <w:top w:val="none" w:sz="0" w:space="0" w:color="auto"/>
        <w:left w:val="none" w:sz="0" w:space="0" w:color="auto"/>
        <w:bottom w:val="none" w:sz="0" w:space="0" w:color="auto"/>
        <w:right w:val="none" w:sz="0" w:space="0" w:color="auto"/>
      </w:divBdr>
    </w:div>
    <w:div w:id="1912032823">
      <w:marLeft w:val="0"/>
      <w:marRight w:val="0"/>
      <w:marTop w:val="0"/>
      <w:marBottom w:val="0"/>
      <w:divBdr>
        <w:top w:val="none" w:sz="0" w:space="0" w:color="auto"/>
        <w:left w:val="none" w:sz="0" w:space="0" w:color="auto"/>
        <w:bottom w:val="none" w:sz="0" w:space="0" w:color="auto"/>
        <w:right w:val="none" w:sz="0" w:space="0" w:color="auto"/>
      </w:divBdr>
      <w:divsChild>
        <w:div w:id="806971849">
          <w:marLeft w:val="0"/>
          <w:marRight w:val="0"/>
          <w:marTop w:val="0"/>
          <w:marBottom w:val="0"/>
          <w:divBdr>
            <w:top w:val="none" w:sz="0" w:space="0" w:color="auto"/>
            <w:left w:val="none" w:sz="0" w:space="0" w:color="auto"/>
            <w:bottom w:val="none" w:sz="0" w:space="0" w:color="auto"/>
            <w:right w:val="none" w:sz="0" w:space="0" w:color="auto"/>
          </w:divBdr>
          <w:divsChild>
            <w:div w:id="12499220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4777671">
      <w:marLeft w:val="0"/>
      <w:marRight w:val="0"/>
      <w:marTop w:val="120"/>
      <w:marBottom w:val="180"/>
      <w:divBdr>
        <w:top w:val="none" w:sz="0" w:space="0" w:color="auto"/>
        <w:left w:val="none" w:sz="0" w:space="0" w:color="auto"/>
        <w:bottom w:val="none" w:sz="0" w:space="0" w:color="auto"/>
        <w:right w:val="none" w:sz="0" w:space="0" w:color="auto"/>
      </w:divBdr>
    </w:div>
    <w:div w:id="1916469295">
      <w:marLeft w:val="0"/>
      <w:marRight w:val="0"/>
      <w:marTop w:val="180"/>
      <w:marBottom w:val="180"/>
      <w:divBdr>
        <w:top w:val="none" w:sz="0" w:space="0" w:color="auto"/>
        <w:left w:val="none" w:sz="0" w:space="0" w:color="auto"/>
        <w:bottom w:val="none" w:sz="0" w:space="0" w:color="auto"/>
        <w:right w:val="none" w:sz="0" w:space="0" w:color="auto"/>
      </w:divBdr>
    </w:div>
    <w:div w:id="1916477357">
      <w:marLeft w:val="0"/>
      <w:marRight w:val="0"/>
      <w:marTop w:val="180"/>
      <w:marBottom w:val="180"/>
      <w:divBdr>
        <w:top w:val="none" w:sz="0" w:space="0" w:color="auto"/>
        <w:left w:val="none" w:sz="0" w:space="0" w:color="auto"/>
        <w:bottom w:val="none" w:sz="0" w:space="0" w:color="auto"/>
        <w:right w:val="none" w:sz="0" w:space="0" w:color="auto"/>
      </w:divBdr>
    </w:div>
    <w:div w:id="1917012136">
      <w:marLeft w:val="0"/>
      <w:marRight w:val="0"/>
      <w:marTop w:val="0"/>
      <w:marBottom w:val="180"/>
      <w:divBdr>
        <w:top w:val="none" w:sz="0" w:space="0" w:color="auto"/>
        <w:left w:val="none" w:sz="0" w:space="0" w:color="auto"/>
        <w:bottom w:val="none" w:sz="0" w:space="0" w:color="auto"/>
        <w:right w:val="none" w:sz="0" w:space="0" w:color="auto"/>
      </w:divBdr>
    </w:div>
    <w:div w:id="1919485627">
      <w:marLeft w:val="0"/>
      <w:marRight w:val="0"/>
      <w:marTop w:val="180"/>
      <w:marBottom w:val="180"/>
      <w:divBdr>
        <w:top w:val="none" w:sz="0" w:space="0" w:color="auto"/>
        <w:left w:val="none" w:sz="0" w:space="0" w:color="auto"/>
        <w:bottom w:val="none" w:sz="0" w:space="0" w:color="auto"/>
        <w:right w:val="none" w:sz="0" w:space="0" w:color="auto"/>
      </w:divBdr>
    </w:div>
    <w:div w:id="1920824345">
      <w:marLeft w:val="0"/>
      <w:marRight w:val="0"/>
      <w:marTop w:val="0"/>
      <w:marBottom w:val="0"/>
      <w:divBdr>
        <w:top w:val="none" w:sz="0" w:space="0" w:color="auto"/>
        <w:left w:val="none" w:sz="0" w:space="0" w:color="auto"/>
        <w:bottom w:val="none" w:sz="0" w:space="0" w:color="auto"/>
        <w:right w:val="none" w:sz="0" w:space="0" w:color="auto"/>
      </w:divBdr>
    </w:div>
    <w:div w:id="1922713041">
      <w:marLeft w:val="0"/>
      <w:marRight w:val="0"/>
      <w:marTop w:val="180"/>
      <w:marBottom w:val="180"/>
      <w:divBdr>
        <w:top w:val="none" w:sz="0" w:space="0" w:color="auto"/>
        <w:left w:val="none" w:sz="0" w:space="0" w:color="auto"/>
        <w:bottom w:val="none" w:sz="0" w:space="0" w:color="auto"/>
        <w:right w:val="none" w:sz="0" w:space="0" w:color="auto"/>
      </w:divBdr>
    </w:div>
    <w:div w:id="1922980145">
      <w:marLeft w:val="0"/>
      <w:marRight w:val="0"/>
      <w:marTop w:val="60"/>
      <w:marBottom w:val="60"/>
      <w:divBdr>
        <w:top w:val="none" w:sz="0" w:space="0" w:color="auto"/>
        <w:left w:val="none" w:sz="0" w:space="0" w:color="auto"/>
        <w:bottom w:val="none" w:sz="0" w:space="0" w:color="auto"/>
        <w:right w:val="none" w:sz="0" w:space="0" w:color="auto"/>
      </w:divBdr>
    </w:div>
    <w:div w:id="1923366966">
      <w:marLeft w:val="0"/>
      <w:marRight w:val="0"/>
      <w:marTop w:val="60"/>
      <w:marBottom w:val="60"/>
      <w:divBdr>
        <w:top w:val="none" w:sz="0" w:space="0" w:color="auto"/>
        <w:left w:val="none" w:sz="0" w:space="0" w:color="auto"/>
        <w:bottom w:val="none" w:sz="0" w:space="0" w:color="auto"/>
        <w:right w:val="none" w:sz="0" w:space="0" w:color="auto"/>
      </w:divBdr>
    </w:div>
    <w:div w:id="1923836851">
      <w:marLeft w:val="0"/>
      <w:marRight w:val="0"/>
      <w:marTop w:val="180"/>
      <w:marBottom w:val="180"/>
      <w:divBdr>
        <w:top w:val="none" w:sz="0" w:space="0" w:color="auto"/>
        <w:left w:val="none" w:sz="0" w:space="0" w:color="auto"/>
        <w:bottom w:val="none" w:sz="0" w:space="0" w:color="auto"/>
        <w:right w:val="none" w:sz="0" w:space="0" w:color="auto"/>
      </w:divBdr>
    </w:div>
    <w:div w:id="1926958144">
      <w:marLeft w:val="0"/>
      <w:marRight w:val="0"/>
      <w:marTop w:val="180"/>
      <w:marBottom w:val="180"/>
      <w:divBdr>
        <w:top w:val="none" w:sz="0" w:space="0" w:color="auto"/>
        <w:left w:val="none" w:sz="0" w:space="0" w:color="auto"/>
        <w:bottom w:val="none" w:sz="0" w:space="0" w:color="auto"/>
        <w:right w:val="none" w:sz="0" w:space="0" w:color="auto"/>
      </w:divBdr>
    </w:div>
    <w:div w:id="1933662889">
      <w:marLeft w:val="0"/>
      <w:marRight w:val="0"/>
      <w:marTop w:val="0"/>
      <w:marBottom w:val="0"/>
      <w:divBdr>
        <w:top w:val="none" w:sz="0" w:space="0" w:color="auto"/>
        <w:left w:val="none" w:sz="0" w:space="0" w:color="auto"/>
        <w:bottom w:val="none" w:sz="0" w:space="0" w:color="auto"/>
        <w:right w:val="none" w:sz="0" w:space="0" w:color="auto"/>
      </w:divBdr>
      <w:divsChild>
        <w:div w:id="1996495850">
          <w:marLeft w:val="0"/>
          <w:marRight w:val="0"/>
          <w:marTop w:val="0"/>
          <w:marBottom w:val="0"/>
          <w:divBdr>
            <w:top w:val="none" w:sz="0" w:space="0" w:color="auto"/>
            <w:left w:val="none" w:sz="0" w:space="0" w:color="auto"/>
            <w:bottom w:val="none" w:sz="0" w:space="0" w:color="auto"/>
            <w:right w:val="none" w:sz="0" w:space="0" w:color="auto"/>
          </w:divBdr>
          <w:divsChild>
            <w:div w:id="13534600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5630442">
      <w:marLeft w:val="0"/>
      <w:marRight w:val="0"/>
      <w:marTop w:val="180"/>
      <w:marBottom w:val="180"/>
      <w:divBdr>
        <w:top w:val="none" w:sz="0" w:space="0" w:color="auto"/>
        <w:left w:val="none" w:sz="0" w:space="0" w:color="auto"/>
        <w:bottom w:val="none" w:sz="0" w:space="0" w:color="auto"/>
        <w:right w:val="none" w:sz="0" w:space="0" w:color="auto"/>
      </w:divBdr>
    </w:div>
    <w:div w:id="1936133408">
      <w:marLeft w:val="0"/>
      <w:marRight w:val="0"/>
      <w:marTop w:val="60"/>
      <w:marBottom w:val="60"/>
      <w:divBdr>
        <w:top w:val="none" w:sz="0" w:space="0" w:color="auto"/>
        <w:left w:val="none" w:sz="0" w:space="0" w:color="auto"/>
        <w:bottom w:val="none" w:sz="0" w:space="0" w:color="auto"/>
        <w:right w:val="none" w:sz="0" w:space="0" w:color="auto"/>
      </w:divBdr>
    </w:div>
    <w:div w:id="1937401196">
      <w:marLeft w:val="0"/>
      <w:marRight w:val="0"/>
      <w:marTop w:val="180"/>
      <w:marBottom w:val="180"/>
      <w:divBdr>
        <w:top w:val="none" w:sz="0" w:space="0" w:color="auto"/>
        <w:left w:val="none" w:sz="0" w:space="0" w:color="auto"/>
        <w:bottom w:val="none" w:sz="0" w:space="0" w:color="auto"/>
        <w:right w:val="none" w:sz="0" w:space="0" w:color="auto"/>
      </w:divBdr>
    </w:div>
    <w:div w:id="1937857525">
      <w:marLeft w:val="0"/>
      <w:marRight w:val="0"/>
      <w:marTop w:val="180"/>
      <w:marBottom w:val="180"/>
      <w:divBdr>
        <w:top w:val="none" w:sz="0" w:space="0" w:color="auto"/>
        <w:left w:val="none" w:sz="0" w:space="0" w:color="auto"/>
        <w:bottom w:val="none" w:sz="0" w:space="0" w:color="auto"/>
        <w:right w:val="none" w:sz="0" w:space="0" w:color="auto"/>
      </w:divBdr>
    </w:div>
    <w:div w:id="1939211014">
      <w:marLeft w:val="0"/>
      <w:marRight w:val="0"/>
      <w:marTop w:val="180"/>
      <w:marBottom w:val="180"/>
      <w:divBdr>
        <w:top w:val="none" w:sz="0" w:space="0" w:color="auto"/>
        <w:left w:val="none" w:sz="0" w:space="0" w:color="auto"/>
        <w:bottom w:val="none" w:sz="0" w:space="0" w:color="auto"/>
        <w:right w:val="none" w:sz="0" w:space="0" w:color="auto"/>
      </w:divBdr>
    </w:div>
    <w:div w:id="1940672047">
      <w:marLeft w:val="0"/>
      <w:marRight w:val="0"/>
      <w:marTop w:val="0"/>
      <w:marBottom w:val="0"/>
      <w:divBdr>
        <w:top w:val="none" w:sz="0" w:space="0" w:color="auto"/>
        <w:left w:val="none" w:sz="0" w:space="0" w:color="auto"/>
        <w:bottom w:val="none" w:sz="0" w:space="0" w:color="auto"/>
        <w:right w:val="none" w:sz="0" w:space="0" w:color="auto"/>
      </w:divBdr>
      <w:divsChild>
        <w:div w:id="1697580759">
          <w:marLeft w:val="0"/>
          <w:marRight w:val="0"/>
          <w:marTop w:val="60"/>
          <w:marBottom w:val="60"/>
          <w:divBdr>
            <w:top w:val="none" w:sz="0" w:space="0" w:color="auto"/>
            <w:left w:val="none" w:sz="0" w:space="0" w:color="auto"/>
            <w:bottom w:val="none" w:sz="0" w:space="0" w:color="auto"/>
            <w:right w:val="none" w:sz="0" w:space="0" w:color="auto"/>
          </w:divBdr>
        </w:div>
      </w:divsChild>
    </w:div>
    <w:div w:id="1942183049">
      <w:marLeft w:val="0"/>
      <w:marRight w:val="0"/>
      <w:marTop w:val="180"/>
      <w:marBottom w:val="180"/>
      <w:divBdr>
        <w:top w:val="none" w:sz="0" w:space="0" w:color="auto"/>
        <w:left w:val="none" w:sz="0" w:space="0" w:color="auto"/>
        <w:bottom w:val="none" w:sz="0" w:space="0" w:color="auto"/>
        <w:right w:val="none" w:sz="0" w:space="0" w:color="auto"/>
      </w:divBdr>
    </w:div>
    <w:div w:id="1942911365">
      <w:marLeft w:val="0"/>
      <w:marRight w:val="0"/>
      <w:marTop w:val="140"/>
      <w:marBottom w:val="60"/>
      <w:divBdr>
        <w:top w:val="none" w:sz="0" w:space="0" w:color="auto"/>
        <w:left w:val="none" w:sz="0" w:space="0" w:color="auto"/>
        <w:bottom w:val="none" w:sz="0" w:space="0" w:color="auto"/>
        <w:right w:val="none" w:sz="0" w:space="0" w:color="auto"/>
      </w:divBdr>
    </w:div>
    <w:div w:id="1943297981">
      <w:marLeft w:val="0"/>
      <w:marRight w:val="0"/>
      <w:marTop w:val="60"/>
      <w:marBottom w:val="60"/>
      <w:divBdr>
        <w:top w:val="none" w:sz="0" w:space="0" w:color="auto"/>
        <w:left w:val="none" w:sz="0" w:space="0" w:color="auto"/>
        <w:bottom w:val="none" w:sz="0" w:space="0" w:color="auto"/>
        <w:right w:val="none" w:sz="0" w:space="0" w:color="auto"/>
      </w:divBdr>
    </w:div>
    <w:div w:id="1953856407">
      <w:marLeft w:val="0"/>
      <w:marRight w:val="0"/>
      <w:marTop w:val="180"/>
      <w:marBottom w:val="180"/>
      <w:divBdr>
        <w:top w:val="none" w:sz="0" w:space="0" w:color="auto"/>
        <w:left w:val="none" w:sz="0" w:space="0" w:color="auto"/>
        <w:bottom w:val="none" w:sz="0" w:space="0" w:color="auto"/>
        <w:right w:val="none" w:sz="0" w:space="0" w:color="auto"/>
      </w:divBdr>
    </w:div>
    <w:div w:id="1956667681">
      <w:marLeft w:val="0"/>
      <w:marRight w:val="0"/>
      <w:marTop w:val="180"/>
      <w:marBottom w:val="180"/>
      <w:divBdr>
        <w:top w:val="none" w:sz="0" w:space="0" w:color="auto"/>
        <w:left w:val="none" w:sz="0" w:space="0" w:color="auto"/>
        <w:bottom w:val="none" w:sz="0" w:space="0" w:color="auto"/>
        <w:right w:val="none" w:sz="0" w:space="0" w:color="auto"/>
      </w:divBdr>
    </w:div>
    <w:div w:id="1957518498">
      <w:marLeft w:val="0"/>
      <w:marRight w:val="0"/>
      <w:marTop w:val="0"/>
      <w:marBottom w:val="0"/>
      <w:divBdr>
        <w:top w:val="none" w:sz="0" w:space="0" w:color="auto"/>
        <w:left w:val="none" w:sz="0" w:space="0" w:color="auto"/>
        <w:bottom w:val="none" w:sz="0" w:space="0" w:color="auto"/>
        <w:right w:val="none" w:sz="0" w:space="0" w:color="auto"/>
      </w:divBdr>
      <w:divsChild>
        <w:div w:id="269750833">
          <w:marLeft w:val="0"/>
          <w:marRight w:val="0"/>
          <w:marTop w:val="0"/>
          <w:marBottom w:val="0"/>
          <w:divBdr>
            <w:top w:val="none" w:sz="0" w:space="0" w:color="auto"/>
            <w:left w:val="none" w:sz="0" w:space="0" w:color="auto"/>
            <w:bottom w:val="none" w:sz="0" w:space="0" w:color="auto"/>
            <w:right w:val="none" w:sz="0" w:space="0" w:color="auto"/>
          </w:divBdr>
          <w:divsChild>
            <w:div w:id="1715336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60602237">
      <w:marLeft w:val="0"/>
      <w:marRight w:val="0"/>
      <w:marTop w:val="60"/>
      <w:marBottom w:val="60"/>
      <w:divBdr>
        <w:top w:val="none" w:sz="0" w:space="0" w:color="auto"/>
        <w:left w:val="none" w:sz="0" w:space="0" w:color="auto"/>
        <w:bottom w:val="none" w:sz="0" w:space="0" w:color="auto"/>
        <w:right w:val="none" w:sz="0" w:space="0" w:color="auto"/>
      </w:divBdr>
    </w:div>
    <w:div w:id="1965429733">
      <w:marLeft w:val="0"/>
      <w:marRight w:val="0"/>
      <w:marTop w:val="60"/>
      <w:marBottom w:val="60"/>
      <w:divBdr>
        <w:top w:val="none" w:sz="0" w:space="0" w:color="auto"/>
        <w:left w:val="none" w:sz="0" w:space="0" w:color="auto"/>
        <w:bottom w:val="none" w:sz="0" w:space="0" w:color="auto"/>
        <w:right w:val="none" w:sz="0" w:space="0" w:color="auto"/>
      </w:divBdr>
    </w:div>
    <w:div w:id="1967850055">
      <w:marLeft w:val="0"/>
      <w:marRight w:val="0"/>
      <w:marTop w:val="180"/>
      <w:marBottom w:val="180"/>
      <w:divBdr>
        <w:top w:val="none" w:sz="0" w:space="0" w:color="auto"/>
        <w:left w:val="none" w:sz="0" w:space="0" w:color="auto"/>
        <w:bottom w:val="none" w:sz="0" w:space="0" w:color="auto"/>
        <w:right w:val="none" w:sz="0" w:space="0" w:color="auto"/>
      </w:divBdr>
    </w:div>
    <w:div w:id="1968705266">
      <w:marLeft w:val="0"/>
      <w:marRight w:val="0"/>
      <w:marTop w:val="0"/>
      <w:marBottom w:val="100"/>
      <w:divBdr>
        <w:top w:val="none" w:sz="0" w:space="0" w:color="auto"/>
        <w:left w:val="none" w:sz="0" w:space="0" w:color="auto"/>
        <w:bottom w:val="none" w:sz="0" w:space="0" w:color="auto"/>
        <w:right w:val="none" w:sz="0" w:space="0" w:color="auto"/>
      </w:divBdr>
      <w:divsChild>
        <w:div w:id="1867987154">
          <w:marLeft w:val="0"/>
          <w:marRight w:val="0"/>
          <w:marTop w:val="0"/>
          <w:marBottom w:val="0"/>
          <w:divBdr>
            <w:top w:val="none" w:sz="0" w:space="0" w:color="auto"/>
            <w:left w:val="none" w:sz="0" w:space="0" w:color="auto"/>
            <w:bottom w:val="none" w:sz="0" w:space="0" w:color="auto"/>
            <w:right w:val="none" w:sz="0" w:space="0" w:color="auto"/>
          </w:divBdr>
        </w:div>
        <w:div w:id="1541547290">
          <w:marLeft w:val="0"/>
          <w:marRight w:val="0"/>
          <w:marTop w:val="0"/>
          <w:marBottom w:val="0"/>
          <w:divBdr>
            <w:top w:val="none" w:sz="0" w:space="0" w:color="auto"/>
            <w:left w:val="none" w:sz="0" w:space="0" w:color="auto"/>
            <w:bottom w:val="none" w:sz="0" w:space="0" w:color="auto"/>
            <w:right w:val="none" w:sz="0" w:space="0" w:color="auto"/>
          </w:divBdr>
        </w:div>
        <w:div w:id="1951625903">
          <w:marLeft w:val="0"/>
          <w:marRight w:val="0"/>
          <w:marTop w:val="0"/>
          <w:marBottom w:val="0"/>
          <w:divBdr>
            <w:top w:val="none" w:sz="0" w:space="0" w:color="auto"/>
            <w:left w:val="none" w:sz="0" w:space="0" w:color="auto"/>
            <w:bottom w:val="none" w:sz="0" w:space="0" w:color="auto"/>
            <w:right w:val="none" w:sz="0" w:space="0" w:color="auto"/>
          </w:divBdr>
        </w:div>
      </w:divsChild>
    </w:div>
    <w:div w:id="1971278727">
      <w:marLeft w:val="0"/>
      <w:marRight w:val="0"/>
      <w:marTop w:val="180"/>
      <w:marBottom w:val="180"/>
      <w:divBdr>
        <w:top w:val="none" w:sz="0" w:space="0" w:color="auto"/>
        <w:left w:val="none" w:sz="0" w:space="0" w:color="auto"/>
        <w:bottom w:val="none" w:sz="0" w:space="0" w:color="auto"/>
        <w:right w:val="none" w:sz="0" w:space="0" w:color="auto"/>
      </w:divBdr>
    </w:div>
    <w:div w:id="1971473237">
      <w:marLeft w:val="0"/>
      <w:marRight w:val="0"/>
      <w:marTop w:val="60"/>
      <w:marBottom w:val="60"/>
      <w:divBdr>
        <w:top w:val="none" w:sz="0" w:space="0" w:color="auto"/>
        <w:left w:val="none" w:sz="0" w:space="0" w:color="auto"/>
        <w:bottom w:val="none" w:sz="0" w:space="0" w:color="auto"/>
        <w:right w:val="none" w:sz="0" w:space="0" w:color="auto"/>
      </w:divBdr>
      <w:divsChild>
        <w:div w:id="1006664582">
          <w:marLeft w:val="0"/>
          <w:marRight w:val="0"/>
          <w:marTop w:val="0"/>
          <w:marBottom w:val="0"/>
          <w:divBdr>
            <w:top w:val="none" w:sz="0" w:space="0" w:color="auto"/>
            <w:left w:val="none" w:sz="0" w:space="0" w:color="auto"/>
            <w:bottom w:val="none" w:sz="0" w:space="0" w:color="auto"/>
            <w:right w:val="none" w:sz="0" w:space="0" w:color="auto"/>
          </w:divBdr>
        </w:div>
        <w:div w:id="44107286">
          <w:marLeft w:val="0"/>
          <w:marRight w:val="0"/>
          <w:marTop w:val="0"/>
          <w:marBottom w:val="0"/>
          <w:divBdr>
            <w:top w:val="none" w:sz="0" w:space="0" w:color="auto"/>
            <w:left w:val="none" w:sz="0" w:space="0" w:color="auto"/>
            <w:bottom w:val="none" w:sz="0" w:space="0" w:color="auto"/>
            <w:right w:val="none" w:sz="0" w:space="0" w:color="auto"/>
          </w:divBdr>
        </w:div>
        <w:div w:id="322054746">
          <w:marLeft w:val="0"/>
          <w:marRight w:val="0"/>
          <w:marTop w:val="0"/>
          <w:marBottom w:val="0"/>
          <w:divBdr>
            <w:top w:val="none" w:sz="0" w:space="0" w:color="auto"/>
            <w:left w:val="none" w:sz="0" w:space="0" w:color="auto"/>
            <w:bottom w:val="none" w:sz="0" w:space="0" w:color="auto"/>
            <w:right w:val="none" w:sz="0" w:space="0" w:color="auto"/>
          </w:divBdr>
        </w:div>
        <w:div w:id="1204556880">
          <w:marLeft w:val="0"/>
          <w:marRight w:val="0"/>
          <w:marTop w:val="0"/>
          <w:marBottom w:val="0"/>
          <w:divBdr>
            <w:top w:val="none" w:sz="0" w:space="0" w:color="auto"/>
            <w:left w:val="none" w:sz="0" w:space="0" w:color="auto"/>
            <w:bottom w:val="none" w:sz="0" w:space="0" w:color="auto"/>
            <w:right w:val="none" w:sz="0" w:space="0" w:color="auto"/>
          </w:divBdr>
        </w:div>
      </w:divsChild>
    </w:div>
    <w:div w:id="1974484922">
      <w:marLeft w:val="0"/>
      <w:marRight w:val="0"/>
      <w:marTop w:val="180"/>
      <w:marBottom w:val="180"/>
      <w:divBdr>
        <w:top w:val="none" w:sz="0" w:space="0" w:color="auto"/>
        <w:left w:val="none" w:sz="0" w:space="0" w:color="auto"/>
        <w:bottom w:val="none" w:sz="0" w:space="0" w:color="auto"/>
        <w:right w:val="none" w:sz="0" w:space="0" w:color="auto"/>
      </w:divBdr>
    </w:div>
    <w:div w:id="1976254275">
      <w:marLeft w:val="0"/>
      <w:marRight w:val="0"/>
      <w:marTop w:val="0"/>
      <w:marBottom w:val="0"/>
      <w:divBdr>
        <w:top w:val="none" w:sz="0" w:space="0" w:color="auto"/>
        <w:left w:val="none" w:sz="0" w:space="0" w:color="auto"/>
        <w:bottom w:val="none" w:sz="0" w:space="0" w:color="auto"/>
        <w:right w:val="none" w:sz="0" w:space="0" w:color="auto"/>
      </w:divBdr>
    </w:div>
    <w:div w:id="1977055404">
      <w:marLeft w:val="0"/>
      <w:marRight w:val="0"/>
      <w:marTop w:val="180"/>
      <w:marBottom w:val="60"/>
      <w:divBdr>
        <w:top w:val="none" w:sz="0" w:space="0" w:color="auto"/>
        <w:left w:val="none" w:sz="0" w:space="0" w:color="auto"/>
        <w:bottom w:val="none" w:sz="0" w:space="0" w:color="auto"/>
        <w:right w:val="none" w:sz="0" w:space="0" w:color="auto"/>
      </w:divBdr>
    </w:div>
    <w:div w:id="1980457217">
      <w:marLeft w:val="0"/>
      <w:marRight w:val="0"/>
      <w:marTop w:val="60"/>
      <w:marBottom w:val="60"/>
      <w:divBdr>
        <w:top w:val="none" w:sz="0" w:space="0" w:color="auto"/>
        <w:left w:val="none" w:sz="0" w:space="0" w:color="auto"/>
        <w:bottom w:val="none" w:sz="0" w:space="0" w:color="auto"/>
        <w:right w:val="none" w:sz="0" w:space="0" w:color="auto"/>
      </w:divBdr>
    </w:div>
    <w:div w:id="1981882083">
      <w:marLeft w:val="0"/>
      <w:marRight w:val="0"/>
      <w:marTop w:val="180"/>
      <w:marBottom w:val="180"/>
      <w:divBdr>
        <w:top w:val="none" w:sz="0" w:space="0" w:color="auto"/>
        <w:left w:val="none" w:sz="0" w:space="0" w:color="auto"/>
        <w:bottom w:val="none" w:sz="0" w:space="0" w:color="auto"/>
        <w:right w:val="none" w:sz="0" w:space="0" w:color="auto"/>
      </w:divBdr>
    </w:div>
    <w:div w:id="1982272112">
      <w:marLeft w:val="0"/>
      <w:marRight w:val="0"/>
      <w:marTop w:val="60"/>
      <w:marBottom w:val="60"/>
      <w:divBdr>
        <w:top w:val="none" w:sz="0" w:space="0" w:color="auto"/>
        <w:left w:val="none" w:sz="0" w:space="0" w:color="auto"/>
        <w:bottom w:val="none" w:sz="0" w:space="0" w:color="auto"/>
        <w:right w:val="none" w:sz="0" w:space="0" w:color="auto"/>
      </w:divBdr>
    </w:div>
    <w:div w:id="1984577270">
      <w:marLeft w:val="0"/>
      <w:marRight w:val="0"/>
      <w:marTop w:val="0"/>
      <w:marBottom w:val="0"/>
      <w:divBdr>
        <w:top w:val="none" w:sz="0" w:space="0" w:color="auto"/>
        <w:left w:val="none" w:sz="0" w:space="0" w:color="auto"/>
        <w:bottom w:val="none" w:sz="0" w:space="0" w:color="auto"/>
        <w:right w:val="none" w:sz="0" w:space="0" w:color="auto"/>
      </w:divBdr>
    </w:div>
    <w:div w:id="1984582751">
      <w:marLeft w:val="0"/>
      <w:marRight w:val="0"/>
      <w:marTop w:val="60"/>
      <w:marBottom w:val="60"/>
      <w:divBdr>
        <w:top w:val="none" w:sz="0" w:space="0" w:color="auto"/>
        <w:left w:val="none" w:sz="0" w:space="0" w:color="auto"/>
        <w:bottom w:val="none" w:sz="0" w:space="0" w:color="auto"/>
        <w:right w:val="none" w:sz="0" w:space="0" w:color="auto"/>
      </w:divBdr>
    </w:div>
    <w:div w:id="1986926998">
      <w:marLeft w:val="0"/>
      <w:marRight w:val="0"/>
      <w:marTop w:val="60"/>
      <w:marBottom w:val="60"/>
      <w:divBdr>
        <w:top w:val="none" w:sz="0" w:space="0" w:color="auto"/>
        <w:left w:val="none" w:sz="0" w:space="0" w:color="auto"/>
        <w:bottom w:val="none" w:sz="0" w:space="0" w:color="auto"/>
        <w:right w:val="none" w:sz="0" w:space="0" w:color="auto"/>
      </w:divBdr>
    </w:div>
    <w:div w:id="1987315886">
      <w:marLeft w:val="0"/>
      <w:marRight w:val="0"/>
      <w:marTop w:val="180"/>
      <w:marBottom w:val="0"/>
      <w:divBdr>
        <w:top w:val="none" w:sz="0" w:space="0" w:color="auto"/>
        <w:left w:val="none" w:sz="0" w:space="0" w:color="auto"/>
        <w:bottom w:val="none" w:sz="0" w:space="0" w:color="auto"/>
        <w:right w:val="none" w:sz="0" w:space="0" w:color="auto"/>
      </w:divBdr>
    </w:div>
    <w:div w:id="1987969178">
      <w:marLeft w:val="0"/>
      <w:marRight w:val="0"/>
      <w:marTop w:val="0"/>
      <w:marBottom w:val="0"/>
      <w:divBdr>
        <w:top w:val="none" w:sz="0" w:space="0" w:color="auto"/>
        <w:left w:val="none" w:sz="0" w:space="0" w:color="auto"/>
        <w:bottom w:val="none" w:sz="0" w:space="0" w:color="auto"/>
        <w:right w:val="none" w:sz="0" w:space="0" w:color="auto"/>
      </w:divBdr>
      <w:divsChild>
        <w:div w:id="1836728740">
          <w:marLeft w:val="0"/>
          <w:marRight w:val="0"/>
          <w:marTop w:val="0"/>
          <w:marBottom w:val="0"/>
          <w:divBdr>
            <w:top w:val="none" w:sz="0" w:space="0" w:color="auto"/>
            <w:left w:val="none" w:sz="0" w:space="0" w:color="auto"/>
            <w:bottom w:val="none" w:sz="0" w:space="0" w:color="auto"/>
            <w:right w:val="none" w:sz="0" w:space="0" w:color="auto"/>
          </w:divBdr>
        </w:div>
        <w:div w:id="1095981112">
          <w:marLeft w:val="0"/>
          <w:marRight w:val="0"/>
          <w:marTop w:val="0"/>
          <w:marBottom w:val="0"/>
          <w:divBdr>
            <w:top w:val="none" w:sz="0" w:space="0" w:color="auto"/>
            <w:left w:val="none" w:sz="0" w:space="0" w:color="auto"/>
            <w:bottom w:val="none" w:sz="0" w:space="0" w:color="auto"/>
            <w:right w:val="none" w:sz="0" w:space="0" w:color="auto"/>
          </w:divBdr>
        </w:div>
        <w:div w:id="99031383">
          <w:marLeft w:val="0"/>
          <w:marRight w:val="0"/>
          <w:marTop w:val="0"/>
          <w:marBottom w:val="0"/>
          <w:divBdr>
            <w:top w:val="none" w:sz="0" w:space="0" w:color="auto"/>
            <w:left w:val="none" w:sz="0" w:space="0" w:color="auto"/>
            <w:bottom w:val="none" w:sz="0" w:space="0" w:color="auto"/>
            <w:right w:val="none" w:sz="0" w:space="0" w:color="auto"/>
          </w:divBdr>
        </w:div>
        <w:div w:id="1015379129">
          <w:marLeft w:val="0"/>
          <w:marRight w:val="0"/>
          <w:marTop w:val="0"/>
          <w:marBottom w:val="0"/>
          <w:divBdr>
            <w:top w:val="none" w:sz="0" w:space="0" w:color="auto"/>
            <w:left w:val="none" w:sz="0" w:space="0" w:color="auto"/>
            <w:bottom w:val="none" w:sz="0" w:space="0" w:color="auto"/>
            <w:right w:val="none" w:sz="0" w:space="0" w:color="auto"/>
          </w:divBdr>
        </w:div>
        <w:div w:id="61605955">
          <w:marLeft w:val="0"/>
          <w:marRight w:val="0"/>
          <w:marTop w:val="0"/>
          <w:marBottom w:val="0"/>
          <w:divBdr>
            <w:top w:val="none" w:sz="0" w:space="0" w:color="auto"/>
            <w:left w:val="none" w:sz="0" w:space="0" w:color="auto"/>
            <w:bottom w:val="none" w:sz="0" w:space="0" w:color="auto"/>
            <w:right w:val="none" w:sz="0" w:space="0" w:color="auto"/>
          </w:divBdr>
        </w:div>
        <w:div w:id="2080781571">
          <w:marLeft w:val="0"/>
          <w:marRight w:val="0"/>
          <w:marTop w:val="0"/>
          <w:marBottom w:val="0"/>
          <w:divBdr>
            <w:top w:val="none" w:sz="0" w:space="0" w:color="auto"/>
            <w:left w:val="none" w:sz="0" w:space="0" w:color="auto"/>
            <w:bottom w:val="none" w:sz="0" w:space="0" w:color="auto"/>
            <w:right w:val="none" w:sz="0" w:space="0" w:color="auto"/>
          </w:divBdr>
        </w:div>
      </w:divsChild>
    </w:div>
    <w:div w:id="1988706776">
      <w:marLeft w:val="0"/>
      <w:marRight w:val="0"/>
      <w:marTop w:val="180"/>
      <w:marBottom w:val="180"/>
      <w:divBdr>
        <w:top w:val="none" w:sz="0" w:space="0" w:color="auto"/>
        <w:left w:val="none" w:sz="0" w:space="0" w:color="auto"/>
        <w:bottom w:val="none" w:sz="0" w:space="0" w:color="auto"/>
        <w:right w:val="none" w:sz="0" w:space="0" w:color="auto"/>
      </w:divBdr>
    </w:div>
    <w:div w:id="1990742528">
      <w:marLeft w:val="0"/>
      <w:marRight w:val="0"/>
      <w:marTop w:val="160"/>
      <w:marBottom w:val="0"/>
      <w:divBdr>
        <w:top w:val="none" w:sz="0" w:space="0" w:color="auto"/>
        <w:left w:val="none" w:sz="0" w:space="0" w:color="auto"/>
        <w:bottom w:val="none" w:sz="0" w:space="0" w:color="auto"/>
        <w:right w:val="none" w:sz="0" w:space="0" w:color="auto"/>
      </w:divBdr>
    </w:div>
    <w:div w:id="1991395699">
      <w:marLeft w:val="0"/>
      <w:marRight w:val="0"/>
      <w:marTop w:val="60"/>
      <w:marBottom w:val="60"/>
      <w:divBdr>
        <w:top w:val="none" w:sz="0" w:space="0" w:color="auto"/>
        <w:left w:val="none" w:sz="0" w:space="0" w:color="auto"/>
        <w:bottom w:val="none" w:sz="0" w:space="0" w:color="auto"/>
        <w:right w:val="none" w:sz="0" w:space="0" w:color="auto"/>
      </w:divBdr>
    </w:div>
    <w:div w:id="1993875774">
      <w:marLeft w:val="0"/>
      <w:marRight w:val="0"/>
      <w:marTop w:val="180"/>
      <w:marBottom w:val="180"/>
      <w:divBdr>
        <w:top w:val="none" w:sz="0" w:space="0" w:color="auto"/>
        <w:left w:val="none" w:sz="0" w:space="0" w:color="auto"/>
        <w:bottom w:val="none" w:sz="0" w:space="0" w:color="auto"/>
        <w:right w:val="none" w:sz="0" w:space="0" w:color="auto"/>
      </w:divBdr>
    </w:div>
    <w:div w:id="1994140674">
      <w:marLeft w:val="0"/>
      <w:marRight w:val="0"/>
      <w:marTop w:val="0"/>
      <w:marBottom w:val="0"/>
      <w:divBdr>
        <w:top w:val="none" w:sz="0" w:space="0" w:color="auto"/>
        <w:left w:val="none" w:sz="0" w:space="0" w:color="auto"/>
        <w:bottom w:val="none" w:sz="0" w:space="0" w:color="auto"/>
        <w:right w:val="none" w:sz="0" w:space="0" w:color="auto"/>
      </w:divBdr>
    </w:div>
    <w:div w:id="1996182071">
      <w:marLeft w:val="0"/>
      <w:marRight w:val="0"/>
      <w:marTop w:val="180"/>
      <w:marBottom w:val="180"/>
      <w:divBdr>
        <w:top w:val="none" w:sz="0" w:space="0" w:color="auto"/>
        <w:left w:val="none" w:sz="0" w:space="0" w:color="auto"/>
        <w:bottom w:val="none" w:sz="0" w:space="0" w:color="auto"/>
        <w:right w:val="none" w:sz="0" w:space="0" w:color="auto"/>
      </w:divBdr>
    </w:div>
    <w:div w:id="1998806637">
      <w:marLeft w:val="0"/>
      <w:marRight w:val="0"/>
      <w:marTop w:val="180"/>
      <w:marBottom w:val="180"/>
      <w:divBdr>
        <w:top w:val="none" w:sz="0" w:space="0" w:color="auto"/>
        <w:left w:val="none" w:sz="0" w:space="0" w:color="auto"/>
        <w:bottom w:val="none" w:sz="0" w:space="0" w:color="auto"/>
        <w:right w:val="none" w:sz="0" w:space="0" w:color="auto"/>
      </w:divBdr>
    </w:div>
    <w:div w:id="1999115591">
      <w:marLeft w:val="0"/>
      <w:marRight w:val="0"/>
      <w:marTop w:val="0"/>
      <w:marBottom w:val="0"/>
      <w:divBdr>
        <w:top w:val="none" w:sz="0" w:space="0" w:color="auto"/>
        <w:left w:val="none" w:sz="0" w:space="0" w:color="auto"/>
        <w:bottom w:val="none" w:sz="0" w:space="0" w:color="auto"/>
        <w:right w:val="none" w:sz="0" w:space="0" w:color="auto"/>
      </w:divBdr>
    </w:div>
    <w:div w:id="1999260339">
      <w:marLeft w:val="0"/>
      <w:marRight w:val="0"/>
      <w:marTop w:val="60"/>
      <w:marBottom w:val="60"/>
      <w:divBdr>
        <w:top w:val="none" w:sz="0" w:space="0" w:color="auto"/>
        <w:left w:val="none" w:sz="0" w:space="0" w:color="auto"/>
        <w:bottom w:val="none" w:sz="0" w:space="0" w:color="auto"/>
        <w:right w:val="none" w:sz="0" w:space="0" w:color="auto"/>
      </w:divBdr>
    </w:div>
    <w:div w:id="1999840153">
      <w:marLeft w:val="0"/>
      <w:marRight w:val="0"/>
      <w:marTop w:val="180"/>
      <w:marBottom w:val="180"/>
      <w:divBdr>
        <w:top w:val="none" w:sz="0" w:space="0" w:color="auto"/>
        <w:left w:val="none" w:sz="0" w:space="0" w:color="auto"/>
        <w:bottom w:val="none" w:sz="0" w:space="0" w:color="auto"/>
        <w:right w:val="none" w:sz="0" w:space="0" w:color="auto"/>
      </w:divBdr>
    </w:div>
    <w:div w:id="2001106981">
      <w:marLeft w:val="0"/>
      <w:marRight w:val="0"/>
      <w:marTop w:val="100"/>
      <w:marBottom w:val="0"/>
      <w:divBdr>
        <w:top w:val="none" w:sz="0" w:space="0" w:color="auto"/>
        <w:left w:val="none" w:sz="0" w:space="0" w:color="auto"/>
        <w:bottom w:val="none" w:sz="0" w:space="0" w:color="auto"/>
        <w:right w:val="none" w:sz="0" w:space="0" w:color="auto"/>
      </w:divBdr>
      <w:divsChild>
        <w:div w:id="1967731258">
          <w:marLeft w:val="0"/>
          <w:marRight w:val="0"/>
          <w:marTop w:val="0"/>
          <w:marBottom w:val="0"/>
          <w:divBdr>
            <w:top w:val="none" w:sz="0" w:space="0" w:color="auto"/>
            <w:left w:val="none" w:sz="0" w:space="0" w:color="auto"/>
            <w:bottom w:val="none" w:sz="0" w:space="0" w:color="auto"/>
            <w:right w:val="none" w:sz="0" w:space="0" w:color="auto"/>
          </w:divBdr>
        </w:div>
        <w:div w:id="1853258864">
          <w:marLeft w:val="0"/>
          <w:marRight w:val="0"/>
          <w:marTop w:val="0"/>
          <w:marBottom w:val="0"/>
          <w:divBdr>
            <w:top w:val="none" w:sz="0" w:space="0" w:color="auto"/>
            <w:left w:val="none" w:sz="0" w:space="0" w:color="auto"/>
            <w:bottom w:val="none" w:sz="0" w:space="0" w:color="auto"/>
            <w:right w:val="none" w:sz="0" w:space="0" w:color="auto"/>
          </w:divBdr>
        </w:div>
        <w:div w:id="2078477243">
          <w:marLeft w:val="0"/>
          <w:marRight w:val="0"/>
          <w:marTop w:val="0"/>
          <w:marBottom w:val="0"/>
          <w:divBdr>
            <w:top w:val="none" w:sz="0" w:space="0" w:color="auto"/>
            <w:left w:val="none" w:sz="0" w:space="0" w:color="auto"/>
            <w:bottom w:val="none" w:sz="0" w:space="0" w:color="auto"/>
            <w:right w:val="none" w:sz="0" w:space="0" w:color="auto"/>
          </w:divBdr>
        </w:div>
        <w:div w:id="223639843">
          <w:marLeft w:val="0"/>
          <w:marRight w:val="0"/>
          <w:marTop w:val="0"/>
          <w:marBottom w:val="0"/>
          <w:divBdr>
            <w:top w:val="none" w:sz="0" w:space="0" w:color="auto"/>
            <w:left w:val="none" w:sz="0" w:space="0" w:color="auto"/>
            <w:bottom w:val="none" w:sz="0" w:space="0" w:color="auto"/>
            <w:right w:val="none" w:sz="0" w:space="0" w:color="auto"/>
          </w:divBdr>
        </w:div>
        <w:div w:id="1843277179">
          <w:marLeft w:val="0"/>
          <w:marRight w:val="0"/>
          <w:marTop w:val="0"/>
          <w:marBottom w:val="0"/>
          <w:divBdr>
            <w:top w:val="none" w:sz="0" w:space="0" w:color="auto"/>
            <w:left w:val="none" w:sz="0" w:space="0" w:color="auto"/>
            <w:bottom w:val="none" w:sz="0" w:space="0" w:color="auto"/>
            <w:right w:val="none" w:sz="0" w:space="0" w:color="auto"/>
          </w:divBdr>
        </w:div>
        <w:div w:id="1729648898">
          <w:marLeft w:val="0"/>
          <w:marRight w:val="0"/>
          <w:marTop w:val="0"/>
          <w:marBottom w:val="0"/>
          <w:divBdr>
            <w:top w:val="none" w:sz="0" w:space="0" w:color="auto"/>
            <w:left w:val="none" w:sz="0" w:space="0" w:color="auto"/>
            <w:bottom w:val="none" w:sz="0" w:space="0" w:color="auto"/>
            <w:right w:val="none" w:sz="0" w:space="0" w:color="auto"/>
          </w:divBdr>
        </w:div>
        <w:div w:id="1040201437">
          <w:marLeft w:val="0"/>
          <w:marRight w:val="0"/>
          <w:marTop w:val="0"/>
          <w:marBottom w:val="0"/>
          <w:divBdr>
            <w:top w:val="none" w:sz="0" w:space="0" w:color="auto"/>
            <w:left w:val="none" w:sz="0" w:space="0" w:color="auto"/>
            <w:bottom w:val="none" w:sz="0" w:space="0" w:color="auto"/>
            <w:right w:val="none" w:sz="0" w:space="0" w:color="auto"/>
          </w:divBdr>
        </w:div>
        <w:div w:id="1719358734">
          <w:marLeft w:val="0"/>
          <w:marRight w:val="0"/>
          <w:marTop w:val="0"/>
          <w:marBottom w:val="0"/>
          <w:divBdr>
            <w:top w:val="none" w:sz="0" w:space="0" w:color="auto"/>
            <w:left w:val="none" w:sz="0" w:space="0" w:color="auto"/>
            <w:bottom w:val="none" w:sz="0" w:space="0" w:color="auto"/>
            <w:right w:val="none" w:sz="0" w:space="0" w:color="auto"/>
          </w:divBdr>
        </w:div>
        <w:div w:id="303238979">
          <w:marLeft w:val="0"/>
          <w:marRight w:val="0"/>
          <w:marTop w:val="0"/>
          <w:marBottom w:val="0"/>
          <w:divBdr>
            <w:top w:val="none" w:sz="0" w:space="0" w:color="auto"/>
            <w:left w:val="none" w:sz="0" w:space="0" w:color="auto"/>
            <w:bottom w:val="none" w:sz="0" w:space="0" w:color="auto"/>
            <w:right w:val="none" w:sz="0" w:space="0" w:color="auto"/>
          </w:divBdr>
        </w:div>
        <w:div w:id="96757182">
          <w:marLeft w:val="0"/>
          <w:marRight w:val="0"/>
          <w:marTop w:val="0"/>
          <w:marBottom w:val="0"/>
          <w:divBdr>
            <w:top w:val="none" w:sz="0" w:space="0" w:color="auto"/>
            <w:left w:val="none" w:sz="0" w:space="0" w:color="auto"/>
            <w:bottom w:val="none" w:sz="0" w:space="0" w:color="auto"/>
            <w:right w:val="none" w:sz="0" w:space="0" w:color="auto"/>
          </w:divBdr>
        </w:div>
        <w:div w:id="1298339259">
          <w:marLeft w:val="0"/>
          <w:marRight w:val="0"/>
          <w:marTop w:val="0"/>
          <w:marBottom w:val="0"/>
          <w:divBdr>
            <w:top w:val="none" w:sz="0" w:space="0" w:color="auto"/>
            <w:left w:val="none" w:sz="0" w:space="0" w:color="auto"/>
            <w:bottom w:val="none" w:sz="0" w:space="0" w:color="auto"/>
            <w:right w:val="none" w:sz="0" w:space="0" w:color="auto"/>
          </w:divBdr>
        </w:div>
        <w:div w:id="932012345">
          <w:marLeft w:val="0"/>
          <w:marRight w:val="0"/>
          <w:marTop w:val="0"/>
          <w:marBottom w:val="0"/>
          <w:divBdr>
            <w:top w:val="none" w:sz="0" w:space="0" w:color="auto"/>
            <w:left w:val="none" w:sz="0" w:space="0" w:color="auto"/>
            <w:bottom w:val="none" w:sz="0" w:space="0" w:color="auto"/>
            <w:right w:val="none" w:sz="0" w:space="0" w:color="auto"/>
          </w:divBdr>
        </w:div>
        <w:div w:id="2048753177">
          <w:marLeft w:val="0"/>
          <w:marRight w:val="0"/>
          <w:marTop w:val="0"/>
          <w:marBottom w:val="0"/>
          <w:divBdr>
            <w:top w:val="none" w:sz="0" w:space="0" w:color="auto"/>
            <w:left w:val="none" w:sz="0" w:space="0" w:color="auto"/>
            <w:bottom w:val="none" w:sz="0" w:space="0" w:color="auto"/>
            <w:right w:val="none" w:sz="0" w:space="0" w:color="auto"/>
          </w:divBdr>
        </w:div>
        <w:div w:id="1082414374">
          <w:marLeft w:val="0"/>
          <w:marRight w:val="0"/>
          <w:marTop w:val="0"/>
          <w:marBottom w:val="0"/>
          <w:divBdr>
            <w:top w:val="none" w:sz="0" w:space="0" w:color="auto"/>
            <w:left w:val="none" w:sz="0" w:space="0" w:color="auto"/>
            <w:bottom w:val="none" w:sz="0" w:space="0" w:color="auto"/>
            <w:right w:val="none" w:sz="0" w:space="0" w:color="auto"/>
          </w:divBdr>
        </w:div>
        <w:div w:id="676615861">
          <w:marLeft w:val="0"/>
          <w:marRight w:val="0"/>
          <w:marTop w:val="0"/>
          <w:marBottom w:val="0"/>
          <w:divBdr>
            <w:top w:val="none" w:sz="0" w:space="0" w:color="auto"/>
            <w:left w:val="none" w:sz="0" w:space="0" w:color="auto"/>
            <w:bottom w:val="none" w:sz="0" w:space="0" w:color="auto"/>
            <w:right w:val="none" w:sz="0" w:space="0" w:color="auto"/>
          </w:divBdr>
        </w:div>
        <w:div w:id="1840194762">
          <w:marLeft w:val="0"/>
          <w:marRight w:val="0"/>
          <w:marTop w:val="0"/>
          <w:marBottom w:val="0"/>
          <w:divBdr>
            <w:top w:val="none" w:sz="0" w:space="0" w:color="auto"/>
            <w:left w:val="none" w:sz="0" w:space="0" w:color="auto"/>
            <w:bottom w:val="none" w:sz="0" w:space="0" w:color="auto"/>
            <w:right w:val="none" w:sz="0" w:space="0" w:color="auto"/>
          </w:divBdr>
        </w:div>
        <w:div w:id="1898469046">
          <w:marLeft w:val="0"/>
          <w:marRight w:val="0"/>
          <w:marTop w:val="0"/>
          <w:marBottom w:val="0"/>
          <w:divBdr>
            <w:top w:val="none" w:sz="0" w:space="0" w:color="auto"/>
            <w:left w:val="none" w:sz="0" w:space="0" w:color="auto"/>
            <w:bottom w:val="none" w:sz="0" w:space="0" w:color="auto"/>
            <w:right w:val="none" w:sz="0" w:space="0" w:color="auto"/>
          </w:divBdr>
        </w:div>
        <w:div w:id="559944677">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1108311292">
          <w:marLeft w:val="0"/>
          <w:marRight w:val="0"/>
          <w:marTop w:val="0"/>
          <w:marBottom w:val="0"/>
          <w:divBdr>
            <w:top w:val="none" w:sz="0" w:space="0" w:color="auto"/>
            <w:left w:val="none" w:sz="0" w:space="0" w:color="auto"/>
            <w:bottom w:val="none" w:sz="0" w:space="0" w:color="auto"/>
            <w:right w:val="none" w:sz="0" w:space="0" w:color="auto"/>
          </w:divBdr>
        </w:div>
        <w:div w:id="84690218">
          <w:marLeft w:val="0"/>
          <w:marRight w:val="0"/>
          <w:marTop w:val="0"/>
          <w:marBottom w:val="0"/>
          <w:divBdr>
            <w:top w:val="none" w:sz="0" w:space="0" w:color="auto"/>
            <w:left w:val="none" w:sz="0" w:space="0" w:color="auto"/>
            <w:bottom w:val="none" w:sz="0" w:space="0" w:color="auto"/>
            <w:right w:val="none" w:sz="0" w:space="0" w:color="auto"/>
          </w:divBdr>
        </w:div>
        <w:div w:id="1728147060">
          <w:marLeft w:val="0"/>
          <w:marRight w:val="0"/>
          <w:marTop w:val="0"/>
          <w:marBottom w:val="0"/>
          <w:divBdr>
            <w:top w:val="none" w:sz="0" w:space="0" w:color="auto"/>
            <w:left w:val="none" w:sz="0" w:space="0" w:color="auto"/>
            <w:bottom w:val="none" w:sz="0" w:space="0" w:color="auto"/>
            <w:right w:val="none" w:sz="0" w:space="0" w:color="auto"/>
          </w:divBdr>
        </w:div>
        <w:div w:id="2139183899">
          <w:marLeft w:val="0"/>
          <w:marRight w:val="0"/>
          <w:marTop w:val="0"/>
          <w:marBottom w:val="0"/>
          <w:divBdr>
            <w:top w:val="none" w:sz="0" w:space="0" w:color="auto"/>
            <w:left w:val="none" w:sz="0" w:space="0" w:color="auto"/>
            <w:bottom w:val="none" w:sz="0" w:space="0" w:color="auto"/>
            <w:right w:val="none" w:sz="0" w:space="0" w:color="auto"/>
          </w:divBdr>
        </w:div>
        <w:div w:id="1002202497">
          <w:marLeft w:val="0"/>
          <w:marRight w:val="0"/>
          <w:marTop w:val="0"/>
          <w:marBottom w:val="0"/>
          <w:divBdr>
            <w:top w:val="none" w:sz="0" w:space="0" w:color="auto"/>
            <w:left w:val="none" w:sz="0" w:space="0" w:color="auto"/>
            <w:bottom w:val="none" w:sz="0" w:space="0" w:color="auto"/>
            <w:right w:val="none" w:sz="0" w:space="0" w:color="auto"/>
          </w:divBdr>
        </w:div>
        <w:div w:id="612900417">
          <w:marLeft w:val="0"/>
          <w:marRight w:val="0"/>
          <w:marTop w:val="0"/>
          <w:marBottom w:val="0"/>
          <w:divBdr>
            <w:top w:val="none" w:sz="0" w:space="0" w:color="auto"/>
            <w:left w:val="none" w:sz="0" w:space="0" w:color="auto"/>
            <w:bottom w:val="none" w:sz="0" w:space="0" w:color="auto"/>
            <w:right w:val="none" w:sz="0" w:space="0" w:color="auto"/>
          </w:divBdr>
        </w:div>
        <w:div w:id="1032270301">
          <w:marLeft w:val="0"/>
          <w:marRight w:val="0"/>
          <w:marTop w:val="0"/>
          <w:marBottom w:val="0"/>
          <w:divBdr>
            <w:top w:val="none" w:sz="0" w:space="0" w:color="auto"/>
            <w:left w:val="none" w:sz="0" w:space="0" w:color="auto"/>
            <w:bottom w:val="none" w:sz="0" w:space="0" w:color="auto"/>
            <w:right w:val="none" w:sz="0" w:space="0" w:color="auto"/>
          </w:divBdr>
        </w:div>
        <w:div w:id="1992053391">
          <w:marLeft w:val="0"/>
          <w:marRight w:val="0"/>
          <w:marTop w:val="0"/>
          <w:marBottom w:val="0"/>
          <w:divBdr>
            <w:top w:val="none" w:sz="0" w:space="0" w:color="auto"/>
            <w:left w:val="none" w:sz="0" w:space="0" w:color="auto"/>
            <w:bottom w:val="none" w:sz="0" w:space="0" w:color="auto"/>
            <w:right w:val="none" w:sz="0" w:space="0" w:color="auto"/>
          </w:divBdr>
        </w:div>
        <w:div w:id="1362901876">
          <w:marLeft w:val="0"/>
          <w:marRight w:val="0"/>
          <w:marTop w:val="0"/>
          <w:marBottom w:val="0"/>
          <w:divBdr>
            <w:top w:val="none" w:sz="0" w:space="0" w:color="auto"/>
            <w:left w:val="none" w:sz="0" w:space="0" w:color="auto"/>
            <w:bottom w:val="none" w:sz="0" w:space="0" w:color="auto"/>
            <w:right w:val="none" w:sz="0" w:space="0" w:color="auto"/>
          </w:divBdr>
        </w:div>
        <w:div w:id="1719236494">
          <w:marLeft w:val="0"/>
          <w:marRight w:val="0"/>
          <w:marTop w:val="0"/>
          <w:marBottom w:val="0"/>
          <w:divBdr>
            <w:top w:val="none" w:sz="0" w:space="0" w:color="auto"/>
            <w:left w:val="none" w:sz="0" w:space="0" w:color="auto"/>
            <w:bottom w:val="none" w:sz="0" w:space="0" w:color="auto"/>
            <w:right w:val="none" w:sz="0" w:space="0" w:color="auto"/>
          </w:divBdr>
        </w:div>
        <w:div w:id="957835480">
          <w:marLeft w:val="0"/>
          <w:marRight w:val="0"/>
          <w:marTop w:val="0"/>
          <w:marBottom w:val="0"/>
          <w:divBdr>
            <w:top w:val="none" w:sz="0" w:space="0" w:color="auto"/>
            <w:left w:val="none" w:sz="0" w:space="0" w:color="auto"/>
            <w:bottom w:val="none" w:sz="0" w:space="0" w:color="auto"/>
            <w:right w:val="none" w:sz="0" w:space="0" w:color="auto"/>
          </w:divBdr>
        </w:div>
        <w:div w:id="1478034463">
          <w:marLeft w:val="0"/>
          <w:marRight w:val="0"/>
          <w:marTop w:val="0"/>
          <w:marBottom w:val="0"/>
          <w:divBdr>
            <w:top w:val="none" w:sz="0" w:space="0" w:color="auto"/>
            <w:left w:val="none" w:sz="0" w:space="0" w:color="auto"/>
            <w:bottom w:val="none" w:sz="0" w:space="0" w:color="auto"/>
            <w:right w:val="none" w:sz="0" w:space="0" w:color="auto"/>
          </w:divBdr>
        </w:div>
        <w:div w:id="385954861">
          <w:marLeft w:val="0"/>
          <w:marRight w:val="0"/>
          <w:marTop w:val="0"/>
          <w:marBottom w:val="0"/>
          <w:divBdr>
            <w:top w:val="none" w:sz="0" w:space="0" w:color="auto"/>
            <w:left w:val="none" w:sz="0" w:space="0" w:color="auto"/>
            <w:bottom w:val="none" w:sz="0" w:space="0" w:color="auto"/>
            <w:right w:val="none" w:sz="0" w:space="0" w:color="auto"/>
          </w:divBdr>
        </w:div>
        <w:div w:id="747968232">
          <w:marLeft w:val="0"/>
          <w:marRight w:val="0"/>
          <w:marTop w:val="0"/>
          <w:marBottom w:val="0"/>
          <w:divBdr>
            <w:top w:val="none" w:sz="0" w:space="0" w:color="auto"/>
            <w:left w:val="none" w:sz="0" w:space="0" w:color="auto"/>
            <w:bottom w:val="none" w:sz="0" w:space="0" w:color="auto"/>
            <w:right w:val="none" w:sz="0" w:space="0" w:color="auto"/>
          </w:divBdr>
        </w:div>
        <w:div w:id="1360160170">
          <w:marLeft w:val="0"/>
          <w:marRight w:val="0"/>
          <w:marTop w:val="0"/>
          <w:marBottom w:val="0"/>
          <w:divBdr>
            <w:top w:val="none" w:sz="0" w:space="0" w:color="auto"/>
            <w:left w:val="none" w:sz="0" w:space="0" w:color="auto"/>
            <w:bottom w:val="none" w:sz="0" w:space="0" w:color="auto"/>
            <w:right w:val="none" w:sz="0" w:space="0" w:color="auto"/>
          </w:divBdr>
        </w:div>
        <w:div w:id="1138492138">
          <w:marLeft w:val="0"/>
          <w:marRight w:val="0"/>
          <w:marTop w:val="0"/>
          <w:marBottom w:val="0"/>
          <w:divBdr>
            <w:top w:val="none" w:sz="0" w:space="0" w:color="auto"/>
            <w:left w:val="none" w:sz="0" w:space="0" w:color="auto"/>
            <w:bottom w:val="none" w:sz="0" w:space="0" w:color="auto"/>
            <w:right w:val="none" w:sz="0" w:space="0" w:color="auto"/>
          </w:divBdr>
        </w:div>
        <w:div w:id="1639727321">
          <w:marLeft w:val="0"/>
          <w:marRight w:val="0"/>
          <w:marTop w:val="0"/>
          <w:marBottom w:val="0"/>
          <w:divBdr>
            <w:top w:val="none" w:sz="0" w:space="0" w:color="auto"/>
            <w:left w:val="none" w:sz="0" w:space="0" w:color="auto"/>
            <w:bottom w:val="none" w:sz="0" w:space="0" w:color="auto"/>
            <w:right w:val="none" w:sz="0" w:space="0" w:color="auto"/>
          </w:divBdr>
        </w:div>
        <w:div w:id="1893467413">
          <w:marLeft w:val="0"/>
          <w:marRight w:val="0"/>
          <w:marTop w:val="0"/>
          <w:marBottom w:val="0"/>
          <w:divBdr>
            <w:top w:val="none" w:sz="0" w:space="0" w:color="auto"/>
            <w:left w:val="none" w:sz="0" w:space="0" w:color="auto"/>
            <w:bottom w:val="none" w:sz="0" w:space="0" w:color="auto"/>
            <w:right w:val="none" w:sz="0" w:space="0" w:color="auto"/>
          </w:divBdr>
        </w:div>
        <w:div w:id="111899218">
          <w:marLeft w:val="0"/>
          <w:marRight w:val="0"/>
          <w:marTop w:val="0"/>
          <w:marBottom w:val="0"/>
          <w:divBdr>
            <w:top w:val="none" w:sz="0" w:space="0" w:color="auto"/>
            <w:left w:val="none" w:sz="0" w:space="0" w:color="auto"/>
            <w:bottom w:val="none" w:sz="0" w:space="0" w:color="auto"/>
            <w:right w:val="none" w:sz="0" w:space="0" w:color="auto"/>
          </w:divBdr>
        </w:div>
        <w:div w:id="1825898519">
          <w:marLeft w:val="0"/>
          <w:marRight w:val="0"/>
          <w:marTop w:val="0"/>
          <w:marBottom w:val="0"/>
          <w:divBdr>
            <w:top w:val="none" w:sz="0" w:space="0" w:color="auto"/>
            <w:left w:val="none" w:sz="0" w:space="0" w:color="auto"/>
            <w:bottom w:val="none" w:sz="0" w:space="0" w:color="auto"/>
            <w:right w:val="none" w:sz="0" w:space="0" w:color="auto"/>
          </w:divBdr>
        </w:div>
      </w:divsChild>
    </w:div>
    <w:div w:id="2001423268">
      <w:marLeft w:val="0"/>
      <w:marRight w:val="0"/>
      <w:marTop w:val="180"/>
      <w:marBottom w:val="180"/>
      <w:divBdr>
        <w:top w:val="none" w:sz="0" w:space="0" w:color="auto"/>
        <w:left w:val="none" w:sz="0" w:space="0" w:color="auto"/>
        <w:bottom w:val="none" w:sz="0" w:space="0" w:color="auto"/>
        <w:right w:val="none" w:sz="0" w:space="0" w:color="auto"/>
      </w:divBdr>
    </w:div>
    <w:div w:id="2001814255">
      <w:marLeft w:val="0"/>
      <w:marRight w:val="0"/>
      <w:marTop w:val="0"/>
      <w:marBottom w:val="0"/>
      <w:divBdr>
        <w:top w:val="none" w:sz="0" w:space="0" w:color="auto"/>
        <w:left w:val="none" w:sz="0" w:space="0" w:color="auto"/>
        <w:bottom w:val="none" w:sz="0" w:space="0" w:color="auto"/>
        <w:right w:val="none" w:sz="0" w:space="0" w:color="auto"/>
      </w:divBdr>
      <w:divsChild>
        <w:div w:id="1451897979">
          <w:marLeft w:val="0"/>
          <w:marRight w:val="0"/>
          <w:marTop w:val="60"/>
          <w:marBottom w:val="60"/>
          <w:divBdr>
            <w:top w:val="none" w:sz="0" w:space="0" w:color="auto"/>
            <w:left w:val="none" w:sz="0" w:space="0" w:color="auto"/>
            <w:bottom w:val="none" w:sz="0" w:space="0" w:color="auto"/>
            <w:right w:val="none" w:sz="0" w:space="0" w:color="auto"/>
          </w:divBdr>
        </w:div>
      </w:divsChild>
    </w:div>
    <w:div w:id="2003582643">
      <w:marLeft w:val="0"/>
      <w:marRight w:val="0"/>
      <w:marTop w:val="60"/>
      <w:marBottom w:val="60"/>
      <w:divBdr>
        <w:top w:val="none" w:sz="0" w:space="0" w:color="auto"/>
        <w:left w:val="none" w:sz="0" w:space="0" w:color="auto"/>
        <w:bottom w:val="none" w:sz="0" w:space="0" w:color="auto"/>
        <w:right w:val="none" w:sz="0" w:space="0" w:color="auto"/>
      </w:divBdr>
    </w:div>
    <w:div w:id="2003727949">
      <w:marLeft w:val="0"/>
      <w:marRight w:val="0"/>
      <w:marTop w:val="180"/>
      <w:marBottom w:val="60"/>
      <w:divBdr>
        <w:top w:val="none" w:sz="0" w:space="0" w:color="auto"/>
        <w:left w:val="none" w:sz="0" w:space="0" w:color="auto"/>
        <w:bottom w:val="none" w:sz="0" w:space="0" w:color="auto"/>
        <w:right w:val="none" w:sz="0" w:space="0" w:color="auto"/>
      </w:divBdr>
    </w:div>
    <w:div w:id="2005816038">
      <w:marLeft w:val="0"/>
      <w:marRight w:val="0"/>
      <w:marTop w:val="180"/>
      <w:marBottom w:val="180"/>
      <w:divBdr>
        <w:top w:val="none" w:sz="0" w:space="0" w:color="auto"/>
        <w:left w:val="none" w:sz="0" w:space="0" w:color="auto"/>
        <w:bottom w:val="none" w:sz="0" w:space="0" w:color="auto"/>
        <w:right w:val="none" w:sz="0" w:space="0" w:color="auto"/>
      </w:divBdr>
    </w:div>
    <w:div w:id="2005936297">
      <w:marLeft w:val="0"/>
      <w:marRight w:val="0"/>
      <w:marTop w:val="180"/>
      <w:marBottom w:val="60"/>
      <w:divBdr>
        <w:top w:val="none" w:sz="0" w:space="0" w:color="auto"/>
        <w:left w:val="none" w:sz="0" w:space="0" w:color="auto"/>
        <w:bottom w:val="none" w:sz="0" w:space="0" w:color="auto"/>
        <w:right w:val="none" w:sz="0" w:space="0" w:color="auto"/>
      </w:divBdr>
    </w:div>
    <w:div w:id="2007898913">
      <w:marLeft w:val="0"/>
      <w:marRight w:val="0"/>
      <w:marTop w:val="180"/>
      <w:marBottom w:val="180"/>
      <w:divBdr>
        <w:top w:val="none" w:sz="0" w:space="0" w:color="auto"/>
        <w:left w:val="none" w:sz="0" w:space="0" w:color="auto"/>
        <w:bottom w:val="none" w:sz="0" w:space="0" w:color="auto"/>
        <w:right w:val="none" w:sz="0" w:space="0" w:color="auto"/>
      </w:divBdr>
    </w:div>
    <w:div w:id="2008093059">
      <w:marLeft w:val="0"/>
      <w:marRight w:val="0"/>
      <w:marTop w:val="0"/>
      <w:marBottom w:val="0"/>
      <w:divBdr>
        <w:top w:val="none" w:sz="0" w:space="0" w:color="auto"/>
        <w:left w:val="none" w:sz="0" w:space="0" w:color="auto"/>
        <w:bottom w:val="none" w:sz="0" w:space="0" w:color="auto"/>
        <w:right w:val="none" w:sz="0" w:space="0" w:color="auto"/>
      </w:divBdr>
      <w:divsChild>
        <w:div w:id="645203418">
          <w:marLeft w:val="0"/>
          <w:marRight w:val="0"/>
          <w:marTop w:val="60"/>
          <w:marBottom w:val="60"/>
          <w:divBdr>
            <w:top w:val="none" w:sz="0" w:space="0" w:color="auto"/>
            <w:left w:val="none" w:sz="0" w:space="0" w:color="auto"/>
            <w:bottom w:val="none" w:sz="0" w:space="0" w:color="auto"/>
            <w:right w:val="none" w:sz="0" w:space="0" w:color="auto"/>
          </w:divBdr>
        </w:div>
      </w:divsChild>
    </w:div>
    <w:div w:id="2009363388">
      <w:marLeft w:val="0"/>
      <w:marRight w:val="0"/>
      <w:marTop w:val="140"/>
      <w:marBottom w:val="180"/>
      <w:divBdr>
        <w:top w:val="none" w:sz="0" w:space="0" w:color="auto"/>
        <w:left w:val="none" w:sz="0" w:space="0" w:color="auto"/>
        <w:bottom w:val="none" w:sz="0" w:space="0" w:color="auto"/>
        <w:right w:val="none" w:sz="0" w:space="0" w:color="auto"/>
      </w:divBdr>
    </w:div>
    <w:div w:id="2010209449">
      <w:marLeft w:val="0"/>
      <w:marRight w:val="0"/>
      <w:marTop w:val="60"/>
      <w:marBottom w:val="60"/>
      <w:divBdr>
        <w:top w:val="none" w:sz="0" w:space="0" w:color="auto"/>
        <w:left w:val="none" w:sz="0" w:space="0" w:color="auto"/>
        <w:bottom w:val="none" w:sz="0" w:space="0" w:color="auto"/>
        <w:right w:val="none" w:sz="0" w:space="0" w:color="auto"/>
      </w:divBdr>
    </w:div>
    <w:div w:id="2010980865">
      <w:marLeft w:val="0"/>
      <w:marRight w:val="0"/>
      <w:marTop w:val="60"/>
      <w:marBottom w:val="60"/>
      <w:divBdr>
        <w:top w:val="none" w:sz="0" w:space="0" w:color="auto"/>
        <w:left w:val="none" w:sz="0" w:space="0" w:color="auto"/>
        <w:bottom w:val="none" w:sz="0" w:space="0" w:color="auto"/>
        <w:right w:val="none" w:sz="0" w:space="0" w:color="auto"/>
      </w:divBdr>
    </w:div>
    <w:div w:id="2013219563">
      <w:marLeft w:val="0"/>
      <w:marRight w:val="0"/>
      <w:marTop w:val="180"/>
      <w:marBottom w:val="180"/>
      <w:divBdr>
        <w:top w:val="none" w:sz="0" w:space="0" w:color="auto"/>
        <w:left w:val="none" w:sz="0" w:space="0" w:color="auto"/>
        <w:bottom w:val="none" w:sz="0" w:space="0" w:color="auto"/>
        <w:right w:val="none" w:sz="0" w:space="0" w:color="auto"/>
      </w:divBdr>
    </w:div>
    <w:div w:id="2014332214">
      <w:marLeft w:val="0"/>
      <w:marRight w:val="0"/>
      <w:marTop w:val="60"/>
      <w:marBottom w:val="60"/>
      <w:divBdr>
        <w:top w:val="none" w:sz="0" w:space="0" w:color="auto"/>
        <w:left w:val="none" w:sz="0" w:space="0" w:color="auto"/>
        <w:bottom w:val="none" w:sz="0" w:space="0" w:color="auto"/>
        <w:right w:val="none" w:sz="0" w:space="0" w:color="auto"/>
      </w:divBdr>
    </w:div>
    <w:div w:id="2022079871">
      <w:marLeft w:val="0"/>
      <w:marRight w:val="0"/>
      <w:marTop w:val="180"/>
      <w:marBottom w:val="180"/>
      <w:divBdr>
        <w:top w:val="none" w:sz="0" w:space="0" w:color="auto"/>
        <w:left w:val="none" w:sz="0" w:space="0" w:color="auto"/>
        <w:bottom w:val="none" w:sz="0" w:space="0" w:color="auto"/>
        <w:right w:val="none" w:sz="0" w:space="0" w:color="auto"/>
      </w:divBdr>
    </w:div>
    <w:div w:id="2022314820">
      <w:marLeft w:val="0"/>
      <w:marRight w:val="0"/>
      <w:marTop w:val="180"/>
      <w:marBottom w:val="180"/>
      <w:divBdr>
        <w:top w:val="none" w:sz="0" w:space="0" w:color="auto"/>
        <w:left w:val="none" w:sz="0" w:space="0" w:color="auto"/>
        <w:bottom w:val="none" w:sz="0" w:space="0" w:color="auto"/>
        <w:right w:val="none" w:sz="0" w:space="0" w:color="auto"/>
      </w:divBdr>
    </w:div>
    <w:div w:id="2027519566">
      <w:marLeft w:val="0"/>
      <w:marRight w:val="0"/>
      <w:marTop w:val="0"/>
      <w:marBottom w:val="0"/>
      <w:divBdr>
        <w:top w:val="none" w:sz="0" w:space="0" w:color="auto"/>
        <w:left w:val="none" w:sz="0" w:space="0" w:color="auto"/>
        <w:bottom w:val="none" w:sz="0" w:space="0" w:color="auto"/>
        <w:right w:val="none" w:sz="0" w:space="0" w:color="auto"/>
      </w:divBdr>
      <w:divsChild>
        <w:div w:id="633366799">
          <w:marLeft w:val="0"/>
          <w:marRight w:val="0"/>
          <w:marTop w:val="0"/>
          <w:marBottom w:val="0"/>
          <w:divBdr>
            <w:top w:val="none" w:sz="0" w:space="0" w:color="auto"/>
            <w:left w:val="none" w:sz="0" w:space="0" w:color="auto"/>
            <w:bottom w:val="none" w:sz="0" w:space="0" w:color="auto"/>
            <w:right w:val="none" w:sz="0" w:space="0" w:color="auto"/>
          </w:divBdr>
          <w:divsChild>
            <w:div w:id="5729291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9941261">
      <w:marLeft w:val="0"/>
      <w:marRight w:val="0"/>
      <w:marTop w:val="60"/>
      <w:marBottom w:val="60"/>
      <w:divBdr>
        <w:top w:val="none" w:sz="0" w:space="0" w:color="auto"/>
        <w:left w:val="none" w:sz="0" w:space="0" w:color="auto"/>
        <w:bottom w:val="none" w:sz="0" w:space="0" w:color="auto"/>
        <w:right w:val="none" w:sz="0" w:space="0" w:color="auto"/>
      </w:divBdr>
      <w:divsChild>
        <w:div w:id="2062705141">
          <w:marLeft w:val="0"/>
          <w:marRight w:val="0"/>
          <w:marTop w:val="0"/>
          <w:marBottom w:val="0"/>
          <w:divBdr>
            <w:top w:val="none" w:sz="0" w:space="0" w:color="auto"/>
            <w:left w:val="none" w:sz="0" w:space="0" w:color="auto"/>
            <w:bottom w:val="none" w:sz="0" w:space="0" w:color="auto"/>
            <w:right w:val="none" w:sz="0" w:space="0" w:color="auto"/>
          </w:divBdr>
        </w:div>
      </w:divsChild>
    </w:div>
    <w:div w:id="2030448144">
      <w:marLeft w:val="0"/>
      <w:marRight w:val="0"/>
      <w:marTop w:val="180"/>
      <w:marBottom w:val="180"/>
      <w:divBdr>
        <w:top w:val="none" w:sz="0" w:space="0" w:color="auto"/>
        <w:left w:val="none" w:sz="0" w:space="0" w:color="auto"/>
        <w:bottom w:val="none" w:sz="0" w:space="0" w:color="auto"/>
        <w:right w:val="none" w:sz="0" w:space="0" w:color="auto"/>
      </w:divBdr>
    </w:div>
    <w:div w:id="2031565029">
      <w:marLeft w:val="0"/>
      <w:marRight w:val="0"/>
      <w:marTop w:val="60"/>
      <w:marBottom w:val="60"/>
      <w:divBdr>
        <w:top w:val="none" w:sz="0" w:space="0" w:color="auto"/>
        <w:left w:val="none" w:sz="0" w:space="0" w:color="auto"/>
        <w:bottom w:val="none" w:sz="0" w:space="0" w:color="auto"/>
        <w:right w:val="none" w:sz="0" w:space="0" w:color="auto"/>
      </w:divBdr>
    </w:div>
    <w:div w:id="2033920723">
      <w:marLeft w:val="0"/>
      <w:marRight w:val="0"/>
      <w:marTop w:val="100"/>
      <w:marBottom w:val="0"/>
      <w:divBdr>
        <w:top w:val="none" w:sz="0" w:space="0" w:color="auto"/>
        <w:left w:val="none" w:sz="0" w:space="0" w:color="auto"/>
        <w:bottom w:val="none" w:sz="0" w:space="0" w:color="auto"/>
        <w:right w:val="none" w:sz="0" w:space="0" w:color="auto"/>
      </w:divBdr>
      <w:divsChild>
        <w:div w:id="1810318445">
          <w:marLeft w:val="0"/>
          <w:marRight w:val="0"/>
          <w:marTop w:val="0"/>
          <w:marBottom w:val="0"/>
          <w:divBdr>
            <w:top w:val="none" w:sz="0" w:space="0" w:color="auto"/>
            <w:left w:val="none" w:sz="0" w:space="0" w:color="auto"/>
            <w:bottom w:val="none" w:sz="0" w:space="0" w:color="auto"/>
            <w:right w:val="none" w:sz="0" w:space="0" w:color="auto"/>
          </w:divBdr>
        </w:div>
        <w:div w:id="881018349">
          <w:marLeft w:val="0"/>
          <w:marRight w:val="0"/>
          <w:marTop w:val="0"/>
          <w:marBottom w:val="0"/>
          <w:divBdr>
            <w:top w:val="none" w:sz="0" w:space="0" w:color="auto"/>
            <w:left w:val="none" w:sz="0" w:space="0" w:color="auto"/>
            <w:bottom w:val="none" w:sz="0" w:space="0" w:color="auto"/>
            <w:right w:val="none" w:sz="0" w:space="0" w:color="auto"/>
          </w:divBdr>
        </w:div>
        <w:div w:id="916132581">
          <w:marLeft w:val="0"/>
          <w:marRight w:val="0"/>
          <w:marTop w:val="0"/>
          <w:marBottom w:val="0"/>
          <w:divBdr>
            <w:top w:val="none" w:sz="0" w:space="0" w:color="auto"/>
            <w:left w:val="none" w:sz="0" w:space="0" w:color="auto"/>
            <w:bottom w:val="none" w:sz="0" w:space="0" w:color="auto"/>
            <w:right w:val="none" w:sz="0" w:space="0" w:color="auto"/>
          </w:divBdr>
        </w:div>
        <w:div w:id="1580753687">
          <w:marLeft w:val="0"/>
          <w:marRight w:val="0"/>
          <w:marTop w:val="0"/>
          <w:marBottom w:val="0"/>
          <w:divBdr>
            <w:top w:val="none" w:sz="0" w:space="0" w:color="auto"/>
            <w:left w:val="none" w:sz="0" w:space="0" w:color="auto"/>
            <w:bottom w:val="none" w:sz="0" w:space="0" w:color="auto"/>
            <w:right w:val="none" w:sz="0" w:space="0" w:color="auto"/>
          </w:divBdr>
        </w:div>
      </w:divsChild>
    </w:div>
    <w:div w:id="2038433192">
      <w:marLeft w:val="0"/>
      <w:marRight w:val="0"/>
      <w:marTop w:val="180"/>
      <w:marBottom w:val="180"/>
      <w:divBdr>
        <w:top w:val="none" w:sz="0" w:space="0" w:color="auto"/>
        <w:left w:val="none" w:sz="0" w:space="0" w:color="auto"/>
        <w:bottom w:val="none" w:sz="0" w:space="0" w:color="auto"/>
        <w:right w:val="none" w:sz="0" w:space="0" w:color="auto"/>
      </w:divBdr>
    </w:div>
    <w:div w:id="2039381393">
      <w:marLeft w:val="0"/>
      <w:marRight w:val="0"/>
      <w:marTop w:val="180"/>
      <w:marBottom w:val="180"/>
      <w:divBdr>
        <w:top w:val="none" w:sz="0" w:space="0" w:color="auto"/>
        <w:left w:val="none" w:sz="0" w:space="0" w:color="auto"/>
        <w:bottom w:val="none" w:sz="0" w:space="0" w:color="auto"/>
        <w:right w:val="none" w:sz="0" w:space="0" w:color="auto"/>
      </w:divBdr>
    </w:div>
    <w:div w:id="2040467507">
      <w:marLeft w:val="0"/>
      <w:marRight w:val="0"/>
      <w:marTop w:val="60"/>
      <w:marBottom w:val="60"/>
      <w:divBdr>
        <w:top w:val="none" w:sz="0" w:space="0" w:color="auto"/>
        <w:left w:val="none" w:sz="0" w:space="0" w:color="auto"/>
        <w:bottom w:val="none" w:sz="0" w:space="0" w:color="auto"/>
        <w:right w:val="none" w:sz="0" w:space="0" w:color="auto"/>
      </w:divBdr>
    </w:div>
    <w:div w:id="2041121665">
      <w:marLeft w:val="0"/>
      <w:marRight w:val="0"/>
      <w:marTop w:val="0"/>
      <w:marBottom w:val="0"/>
      <w:divBdr>
        <w:top w:val="none" w:sz="0" w:space="0" w:color="auto"/>
        <w:left w:val="none" w:sz="0" w:space="0" w:color="auto"/>
        <w:bottom w:val="none" w:sz="0" w:space="0" w:color="auto"/>
        <w:right w:val="none" w:sz="0" w:space="0" w:color="auto"/>
      </w:divBdr>
    </w:div>
    <w:div w:id="2043479128">
      <w:marLeft w:val="0"/>
      <w:marRight w:val="0"/>
      <w:marTop w:val="180"/>
      <w:marBottom w:val="180"/>
      <w:divBdr>
        <w:top w:val="none" w:sz="0" w:space="0" w:color="auto"/>
        <w:left w:val="none" w:sz="0" w:space="0" w:color="auto"/>
        <w:bottom w:val="none" w:sz="0" w:space="0" w:color="auto"/>
        <w:right w:val="none" w:sz="0" w:space="0" w:color="auto"/>
      </w:divBdr>
    </w:div>
    <w:div w:id="2047219399">
      <w:marLeft w:val="0"/>
      <w:marRight w:val="0"/>
      <w:marTop w:val="180"/>
      <w:marBottom w:val="180"/>
      <w:divBdr>
        <w:top w:val="none" w:sz="0" w:space="0" w:color="auto"/>
        <w:left w:val="none" w:sz="0" w:space="0" w:color="auto"/>
        <w:bottom w:val="none" w:sz="0" w:space="0" w:color="auto"/>
        <w:right w:val="none" w:sz="0" w:space="0" w:color="auto"/>
      </w:divBdr>
    </w:div>
    <w:div w:id="2048531427">
      <w:marLeft w:val="0"/>
      <w:marRight w:val="0"/>
      <w:marTop w:val="180"/>
      <w:marBottom w:val="180"/>
      <w:divBdr>
        <w:top w:val="none" w:sz="0" w:space="0" w:color="auto"/>
        <w:left w:val="none" w:sz="0" w:space="0" w:color="auto"/>
        <w:bottom w:val="none" w:sz="0" w:space="0" w:color="auto"/>
        <w:right w:val="none" w:sz="0" w:space="0" w:color="auto"/>
      </w:divBdr>
    </w:div>
    <w:div w:id="2048942821">
      <w:marLeft w:val="0"/>
      <w:marRight w:val="0"/>
      <w:marTop w:val="0"/>
      <w:marBottom w:val="0"/>
      <w:divBdr>
        <w:top w:val="none" w:sz="0" w:space="0" w:color="auto"/>
        <w:left w:val="none" w:sz="0" w:space="0" w:color="auto"/>
        <w:bottom w:val="none" w:sz="0" w:space="0" w:color="auto"/>
        <w:right w:val="none" w:sz="0" w:space="0" w:color="auto"/>
      </w:divBdr>
    </w:div>
    <w:div w:id="2049068960">
      <w:marLeft w:val="0"/>
      <w:marRight w:val="0"/>
      <w:marTop w:val="60"/>
      <w:marBottom w:val="60"/>
      <w:divBdr>
        <w:top w:val="none" w:sz="0" w:space="0" w:color="auto"/>
        <w:left w:val="none" w:sz="0" w:space="0" w:color="auto"/>
        <w:bottom w:val="none" w:sz="0" w:space="0" w:color="auto"/>
        <w:right w:val="none" w:sz="0" w:space="0" w:color="auto"/>
      </w:divBdr>
    </w:div>
    <w:div w:id="2049449748">
      <w:marLeft w:val="0"/>
      <w:marRight w:val="0"/>
      <w:marTop w:val="180"/>
      <w:marBottom w:val="180"/>
      <w:divBdr>
        <w:top w:val="none" w:sz="0" w:space="0" w:color="auto"/>
        <w:left w:val="none" w:sz="0" w:space="0" w:color="auto"/>
        <w:bottom w:val="none" w:sz="0" w:space="0" w:color="auto"/>
        <w:right w:val="none" w:sz="0" w:space="0" w:color="auto"/>
      </w:divBdr>
    </w:div>
    <w:div w:id="2049604170">
      <w:marLeft w:val="0"/>
      <w:marRight w:val="0"/>
      <w:marTop w:val="180"/>
      <w:marBottom w:val="180"/>
      <w:divBdr>
        <w:top w:val="none" w:sz="0" w:space="0" w:color="auto"/>
        <w:left w:val="none" w:sz="0" w:space="0" w:color="auto"/>
        <w:bottom w:val="none" w:sz="0" w:space="0" w:color="auto"/>
        <w:right w:val="none" w:sz="0" w:space="0" w:color="auto"/>
      </w:divBdr>
    </w:div>
    <w:div w:id="2050106935">
      <w:marLeft w:val="0"/>
      <w:marRight w:val="0"/>
      <w:marTop w:val="0"/>
      <w:marBottom w:val="0"/>
      <w:divBdr>
        <w:top w:val="none" w:sz="0" w:space="0" w:color="auto"/>
        <w:left w:val="none" w:sz="0" w:space="0" w:color="auto"/>
        <w:bottom w:val="none" w:sz="0" w:space="0" w:color="auto"/>
        <w:right w:val="none" w:sz="0" w:space="0" w:color="auto"/>
      </w:divBdr>
    </w:div>
    <w:div w:id="2052456673">
      <w:marLeft w:val="0"/>
      <w:marRight w:val="0"/>
      <w:marTop w:val="180"/>
      <w:marBottom w:val="180"/>
      <w:divBdr>
        <w:top w:val="none" w:sz="0" w:space="0" w:color="auto"/>
        <w:left w:val="none" w:sz="0" w:space="0" w:color="auto"/>
        <w:bottom w:val="none" w:sz="0" w:space="0" w:color="auto"/>
        <w:right w:val="none" w:sz="0" w:space="0" w:color="auto"/>
      </w:divBdr>
    </w:div>
    <w:div w:id="2053192642">
      <w:marLeft w:val="0"/>
      <w:marRight w:val="0"/>
      <w:marTop w:val="180"/>
      <w:marBottom w:val="180"/>
      <w:divBdr>
        <w:top w:val="none" w:sz="0" w:space="0" w:color="auto"/>
        <w:left w:val="none" w:sz="0" w:space="0" w:color="auto"/>
        <w:bottom w:val="none" w:sz="0" w:space="0" w:color="auto"/>
        <w:right w:val="none" w:sz="0" w:space="0" w:color="auto"/>
      </w:divBdr>
    </w:div>
    <w:div w:id="2056733362">
      <w:marLeft w:val="0"/>
      <w:marRight w:val="0"/>
      <w:marTop w:val="0"/>
      <w:marBottom w:val="0"/>
      <w:divBdr>
        <w:top w:val="none" w:sz="0" w:space="0" w:color="auto"/>
        <w:left w:val="none" w:sz="0" w:space="0" w:color="auto"/>
        <w:bottom w:val="none" w:sz="0" w:space="0" w:color="auto"/>
        <w:right w:val="none" w:sz="0" w:space="0" w:color="auto"/>
      </w:divBdr>
      <w:divsChild>
        <w:div w:id="1486118822">
          <w:marLeft w:val="0"/>
          <w:marRight w:val="0"/>
          <w:marTop w:val="60"/>
          <w:marBottom w:val="60"/>
          <w:divBdr>
            <w:top w:val="none" w:sz="0" w:space="0" w:color="auto"/>
            <w:left w:val="none" w:sz="0" w:space="0" w:color="auto"/>
            <w:bottom w:val="none" w:sz="0" w:space="0" w:color="auto"/>
            <w:right w:val="none" w:sz="0" w:space="0" w:color="auto"/>
          </w:divBdr>
        </w:div>
      </w:divsChild>
    </w:div>
    <w:div w:id="2061322716">
      <w:marLeft w:val="0"/>
      <w:marRight w:val="0"/>
      <w:marTop w:val="0"/>
      <w:marBottom w:val="0"/>
      <w:divBdr>
        <w:top w:val="none" w:sz="0" w:space="0" w:color="auto"/>
        <w:left w:val="none" w:sz="0" w:space="0" w:color="auto"/>
        <w:bottom w:val="none" w:sz="0" w:space="0" w:color="auto"/>
        <w:right w:val="none" w:sz="0" w:space="0" w:color="auto"/>
      </w:divBdr>
      <w:divsChild>
        <w:div w:id="1042557564">
          <w:marLeft w:val="0"/>
          <w:marRight w:val="0"/>
          <w:marTop w:val="180"/>
          <w:marBottom w:val="180"/>
          <w:divBdr>
            <w:top w:val="none" w:sz="0" w:space="0" w:color="auto"/>
            <w:left w:val="none" w:sz="0" w:space="0" w:color="auto"/>
            <w:bottom w:val="none" w:sz="0" w:space="0" w:color="auto"/>
            <w:right w:val="none" w:sz="0" w:space="0" w:color="auto"/>
          </w:divBdr>
        </w:div>
      </w:divsChild>
    </w:div>
    <w:div w:id="2061518647">
      <w:marLeft w:val="0"/>
      <w:marRight w:val="0"/>
      <w:marTop w:val="180"/>
      <w:marBottom w:val="180"/>
      <w:divBdr>
        <w:top w:val="none" w:sz="0" w:space="0" w:color="auto"/>
        <w:left w:val="none" w:sz="0" w:space="0" w:color="auto"/>
        <w:bottom w:val="none" w:sz="0" w:space="0" w:color="auto"/>
        <w:right w:val="none" w:sz="0" w:space="0" w:color="auto"/>
      </w:divBdr>
    </w:div>
    <w:div w:id="2061591748">
      <w:marLeft w:val="0"/>
      <w:marRight w:val="0"/>
      <w:marTop w:val="180"/>
      <w:marBottom w:val="180"/>
      <w:divBdr>
        <w:top w:val="none" w:sz="0" w:space="0" w:color="auto"/>
        <w:left w:val="none" w:sz="0" w:space="0" w:color="auto"/>
        <w:bottom w:val="none" w:sz="0" w:space="0" w:color="auto"/>
        <w:right w:val="none" w:sz="0" w:space="0" w:color="auto"/>
      </w:divBdr>
    </w:div>
    <w:div w:id="2061662876">
      <w:marLeft w:val="0"/>
      <w:marRight w:val="0"/>
      <w:marTop w:val="180"/>
      <w:marBottom w:val="180"/>
      <w:divBdr>
        <w:top w:val="none" w:sz="0" w:space="0" w:color="auto"/>
        <w:left w:val="none" w:sz="0" w:space="0" w:color="auto"/>
        <w:bottom w:val="none" w:sz="0" w:space="0" w:color="auto"/>
        <w:right w:val="none" w:sz="0" w:space="0" w:color="auto"/>
      </w:divBdr>
    </w:div>
    <w:div w:id="2062634537">
      <w:marLeft w:val="0"/>
      <w:marRight w:val="0"/>
      <w:marTop w:val="180"/>
      <w:marBottom w:val="180"/>
      <w:divBdr>
        <w:top w:val="none" w:sz="0" w:space="0" w:color="auto"/>
        <w:left w:val="none" w:sz="0" w:space="0" w:color="auto"/>
        <w:bottom w:val="none" w:sz="0" w:space="0" w:color="auto"/>
        <w:right w:val="none" w:sz="0" w:space="0" w:color="auto"/>
      </w:divBdr>
    </w:div>
    <w:div w:id="2063938110">
      <w:marLeft w:val="0"/>
      <w:marRight w:val="0"/>
      <w:marTop w:val="100"/>
      <w:marBottom w:val="180"/>
      <w:divBdr>
        <w:top w:val="none" w:sz="0" w:space="0" w:color="auto"/>
        <w:left w:val="none" w:sz="0" w:space="0" w:color="auto"/>
        <w:bottom w:val="none" w:sz="0" w:space="0" w:color="auto"/>
        <w:right w:val="none" w:sz="0" w:space="0" w:color="auto"/>
      </w:divBdr>
    </w:div>
    <w:div w:id="2065060970">
      <w:marLeft w:val="0"/>
      <w:marRight w:val="0"/>
      <w:marTop w:val="60"/>
      <w:marBottom w:val="120"/>
      <w:divBdr>
        <w:top w:val="none" w:sz="0" w:space="0" w:color="auto"/>
        <w:left w:val="none" w:sz="0" w:space="0" w:color="auto"/>
        <w:bottom w:val="none" w:sz="0" w:space="0" w:color="auto"/>
        <w:right w:val="none" w:sz="0" w:space="0" w:color="auto"/>
      </w:divBdr>
    </w:div>
    <w:div w:id="2066176997">
      <w:marLeft w:val="0"/>
      <w:marRight w:val="0"/>
      <w:marTop w:val="180"/>
      <w:marBottom w:val="180"/>
      <w:divBdr>
        <w:top w:val="none" w:sz="0" w:space="0" w:color="auto"/>
        <w:left w:val="none" w:sz="0" w:space="0" w:color="auto"/>
        <w:bottom w:val="none" w:sz="0" w:space="0" w:color="auto"/>
        <w:right w:val="none" w:sz="0" w:space="0" w:color="auto"/>
      </w:divBdr>
    </w:div>
    <w:div w:id="2067683057">
      <w:marLeft w:val="0"/>
      <w:marRight w:val="0"/>
      <w:marTop w:val="180"/>
      <w:marBottom w:val="60"/>
      <w:divBdr>
        <w:top w:val="none" w:sz="0" w:space="0" w:color="auto"/>
        <w:left w:val="none" w:sz="0" w:space="0" w:color="auto"/>
        <w:bottom w:val="none" w:sz="0" w:space="0" w:color="auto"/>
        <w:right w:val="none" w:sz="0" w:space="0" w:color="auto"/>
      </w:divBdr>
    </w:div>
    <w:div w:id="2067991931">
      <w:marLeft w:val="0"/>
      <w:marRight w:val="0"/>
      <w:marTop w:val="180"/>
      <w:marBottom w:val="180"/>
      <w:divBdr>
        <w:top w:val="none" w:sz="0" w:space="0" w:color="auto"/>
        <w:left w:val="none" w:sz="0" w:space="0" w:color="auto"/>
        <w:bottom w:val="none" w:sz="0" w:space="0" w:color="auto"/>
        <w:right w:val="none" w:sz="0" w:space="0" w:color="auto"/>
      </w:divBdr>
    </w:div>
    <w:div w:id="2068797642">
      <w:marLeft w:val="0"/>
      <w:marRight w:val="0"/>
      <w:marTop w:val="60"/>
      <w:marBottom w:val="60"/>
      <w:divBdr>
        <w:top w:val="none" w:sz="0" w:space="0" w:color="auto"/>
        <w:left w:val="none" w:sz="0" w:space="0" w:color="auto"/>
        <w:bottom w:val="none" w:sz="0" w:space="0" w:color="auto"/>
        <w:right w:val="none" w:sz="0" w:space="0" w:color="auto"/>
      </w:divBdr>
    </w:div>
    <w:div w:id="2072458102">
      <w:marLeft w:val="0"/>
      <w:marRight w:val="0"/>
      <w:marTop w:val="60"/>
      <w:marBottom w:val="60"/>
      <w:divBdr>
        <w:top w:val="none" w:sz="0" w:space="0" w:color="auto"/>
        <w:left w:val="none" w:sz="0" w:space="0" w:color="auto"/>
        <w:bottom w:val="none" w:sz="0" w:space="0" w:color="auto"/>
        <w:right w:val="none" w:sz="0" w:space="0" w:color="auto"/>
      </w:divBdr>
    </w:div>
    <w:div w:id="2074424362">
      <w:marLeft w:val="0"/>
      <w:marRight w:val="0"/>
      <w:marTop w:val="0"/>
      <w:marBottom w:val="0"/>
      <w:divBdr>
        <w:top w:val="none" w:sz="0" w:space="0" w:color="auto"/>
        <w:left w:val="none" w:sz="0" w:space="0" w:color="auto"/>
        <w:bottom w:val="none" w:sz="0" w:space="0" w:color="auto"/>
        <w:right w:val="none" w:sz="0" w:space="0" w:color="auto"/>
      </w:divBdr>
      <w:divsChild>
        <w:div w:id="1000813311">
          <w:marLeft w:val="0"/>
          <w:marRight w:val="0"/>
          <w:marTop w:val="0"/>
          <w:marBottom w:val="0"/>
          <w:divBdr>
            <w:top w:val="none" w:sz="0" w:space="0" w:color="auto"/>
            <w:left w:val="none" w:sz="0" w:space="0" w:color="auto"/>
            <w:bottom w:val="none" w:sz="0" w:space="0" w:color="auto"/>
            <w:right w:val="none" w:sz="0" w:space="0" w:color="auto"/>
          </w:divBdr>
          <w:divsChild>
            <w:div w:id="13828290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7586082">
      <w:marLeft w:val="0"/>
      <w:marRight w:val="0"/>
      <w:marTop w:val="240"/>
      <w:marBottom w:val="180"/>
      <w:divBdr>
        <w:top w:val="none" w:sz="0" w:space="0" w:color="auto"/>
        <w:left w:val="none" w:sz="0" w:space="0" w:color="auto"/>
        <w:bottom w:val="none" w:sz="0" w:space="0" w:color="auto"/>
        <w:right w:val="none" w:sz="0" w:space="0" w:color="auto"/>
      </w:divBdr>
    </w:div>
    <w:div w:id="2077894230">
      <w:marLeft w:val="0"/>
      <w:marRight w:val="0"/>
      <w:marTop w:val="0"/>
      <w:marBottom w:val="0"/>
      <w:divBdr>
        <w:top w:val="none" w:sz="0" w:space="0" w:color="auto"/>
        <w:left w:val="none" w:sz="0" w:space="0" w:color="auto"/>
        <w:bottom w:val="none" w:sz="0" w:space="0" w:color="auto"/>
        <w:right w:val="none" w:sz="0" w:space="0" w:color="auto"/>
      </w:divBdr>
      <w:divsChild>
        <w:div w:id="1936551910">
          <w:marLeft w:val="0"/>
          <w:marRight w:val="0"/>
          <w:marTop w:val="0"/>
          <w:marBottom w:val="0"/>
          <w:divBdr>
            <w:top w:val="none" w:sz="0" w:space="0" w:color="auto"/>
            <w:left w:val="none" w:sz="0" w:space="0" w:color="auto"/>
            <w:bottom w:val="none" w:sz="0" w:space="0" w:color="auto"/>
            <w:right w:val="none" w:sz="0" w:space="0" w:color="auto"/>
          </w:divBdr>
          <w:divsChild>
            <w:div w:id="2102688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9089857">
      <w:marLeft w:val="0"/>
      <w:marRight w:val="0"/>
      <w:marTop w:val="0"/>
      <w:marBottom w:val="0"/>
      <w:divBdr>
        <w:top w:val="none" w:sz="0" w:space="0" w:color="auto"/>
        <w:left w:val="none" w:sz="0" w:space="0" w:color="auto"/>
        <w:bottom w:val="none" w:sz="0" w:space="0" w:color="auto"/>
        <w:right w:val="none" w:sz="0" w:space="0" w:color="auto"/>
      </w:divBdr>
    </w:div>
    <w:div w:id="2081974159">
      <w:marLeft w:val="0"/>
      <w:marRight w:val="0"/>
      <w:marTop w:val="180"/>
      <w:marBottom w:val="60"/>
      <w:divBdr>
        <w:top w:val="none" w:sz="0" w:space="0" w:color="auto"/>
        <w:left w:val="none" w:sz="0" w:space="0" w:color="auto"/>
        <w:bottom w:val="none" w:sz="0" w:space="0" w:color="auto"/>
        <w:right w:val="none" w:sz="0" w:space="0" w:color="auto"/>
      </w:divBdr>
    </w:div>
    <w:div w:id="2084451079">
      <w:marLeft w:val="0"/>
      <w:marRight w:val="0"/>
      <w:marTop w:val="180"/>
      <w:marBottom w:val="180"/>
      <w:divBdr>
        <w:top w:val="none" w:sz="0" w:space="0" w:color="auto"/>
        <w:left w:val="none" w:sz="0" w:space="0" w:color="auto"/>
        <w:bottom w:val="none" w:sz="0" w:space="0" w:color="auto"/>
        <w:right w:val="none" w:sz="0" w:space="0" w:color="auto"/>
      </w:divBdr>
    </w:div>
    <w:div w:id="2085296741">
      <w:marLeft w:val="0"/>
      <w:marRight w:val="0"/>
      <w:marTop w:val="180"/>
      <w:marBottom w:val="180"/>
      <w:divBdr>
        <w:top w:val="none" w:sz="0" w:space="0" w:color="auto"/>
        <w:left w:val="none" w:sz="0" w:space="0" w:color="auto"/>
        <w:bottom w:val="none" w:sz="0" w:space="0" w:color="auto"/>
        <w:right w:val="none" w:sz="0" w:space="0" w:color="auto"/>
      </w:divBdr>
    </w:div>
    <w:div w:id="2085757204">
      <w:marLeft w:val="0"/>
      <w:marRight w:val="0"/>
      <w:marTop w:val="0"/>
      <w:marBottom w:val="0"/>
      <w:divBdr>
        <w:top w:val="none" w:sz="0" w:space="0" w:color="auto"/>
        <w:left w:val="none" w:sz="0" w:space="0" w:color="auto"/>
        <w:bottom w:val="none" w:sz="0" w:space="0" w:color="auto"/>
        <w:right w:val="none" w:sz="0" w:space="0" w:color="auto"/>
      </w:divBdr>
    </w:div>
    <w:div w:id="2086101469">
      <w:marLeft w:val="0"/>
      <w:marRight w:val="0"/>
      <w:marTop w:val="180"/>
      <w:marBottom w:val="180"/>
      <w:divBdr>
        <w:top w:val="none" w:sz="0" w:space="0" w:color="auto"/>
        <w:left w:val="none" w:sz="0" w:space="0" w:color="auto"/>
        <w:bottom w:val="none" w:sz="0" w:space="0" w:color="auto"/>
        <w:right w:val="none" w:sz="0" w:space="0" w:color="auto"/>
      </w:divBdr>
    </w:div>
    <w:div w:id="2087991106">
      <w:marLeft w:val="0"/>
      <w:marRight w:val="0"/>
      <w:marTop w:val="180"/>
      <w:marBottom w:val="180"/>
      <w:divBdr>
        <w:top w:val="none" w:sz="0" w:space="0" w:color="auto"/>
        <w:left w:val="none" w:sz="0" w:space="0" w:color="auto"/>
        <w:bottom w:val="none" w:sz="0" w:space="0" w:color="auto"/>
        <w:right w:val="none" w:sz="0" w:space="0" w:color="auto"/>
      </w:divBdr>
    </w:div>
    <w:div w:id="2088377151">
      <w:marLeft w:val="0"/>
      <w:marRight w:val="0"/>
      <w:marTop w:val="0"/>
      <w:marBottom w:val="0"/>
      <w:divBdr>
        <w:top w:val="none" w:sz="0" w:space="0" w:color="auto"/>
        <w:left w:val="none" w:sz="0" w:space="0" w:color="auto"/>
        <w:bottom w:val="none" w:sz="0" w:space="0" w:color="auto"/>
        <w:right w:val="none" w:sz="0" w:space="0" w:color="auto"/>
      </w:divBdr>
      <w:divsChild>
        <w:div w:id="1279877470">
          <w:marLeft w:val="0"/>
          <w:marRight w:val="0"/>
          <w:marTop w:val="60"/>
          <w:marBottom w:val="60"/>
          <w:divBdr>
            <w:top w:val="none" w:sz="0" w:space="0" w:color="auto"/>
            <w:left w:val="none" w:sz="0" w:space="0" w:color="auto"/>
            <w:bottom w:val="none" w:sz="0" w:space="0" w:color="auto"/>
            <w:right w:val="none" w:sz="0" w:space="0" w:color="auto"/>
          </w:divBdr>
        </w:div>
      </w:divsChild>
    </w:div>
    <w:div w:id="2091387852">
      <w:marLeft w:val="0"/>
      <w:marRight w:val="0"/>
      <w:marTop w:val="180"/>
      <w:marBottom w:val="60"/>
      <w:divBdr>
        <w:top w:val="none" w:sz="0" w:space="0" w:color="auto"/>
        <w:left w:val="none" w:sz="0" w:space="0" w:color="auto"/>
        <w:bottom w:val="none" w:sz="0" w:space="0" w:color="auto"/>
        <w:right w:val="none" w:sz="0" w:space="0" w:color="auto"/>
      </w:divBdr>
    </w:div>
    <w:div w:id="2095514984">
      <w:marLeft w:val="0"/>
      <w:marRight w:val="0"/>
      <w:marTop w:val="0"/>
      <w:marBottom w:val="0"/>
      <w:divBdr>
        <w:top w:val="none" w:sz="0" w:space="0" w:color="auto"/>
        <w:left w:val="none" w:sz="0" w:space="0" w:color="auto"/>
        <w:bottom w:val="none" w:sz="0" w:space="0" w:color="auto"/>
        <w:right w:val="none" w:sz="0" w:space="0" w:color="auto"/>
      </w:divBdr>
      <w:divsChild>
        <w:div w:id="725496348">
          <w:marLeft w:val="0"/>
          <w:marRight w:val="0"/>
          <w:marTop w:val="0"/>
          <w:marBottom w:val="0"/>
          <w:divBdr>
            <w:top w:val="none" w:sz="0" w:space="0" w:color="auto"/>
            <w:left w:val="none" w:sz="0" w:space="0" w:color="auto"/>
            <w:bottom w:val="none" w:sz="0" w:space="0" w:color="auto"/>
            <w:right w:val="none" w:sz="0" w:space="0" w:color="auto"/>
          </w:divBdr>
          <w:divsChild>
            <w:div w:id="11717937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8164877">
      <w:marLeft w:val="0"/>
      <w:marRight w:val="0"/>
      <w:marTop w:val="180"/>
      <w:marBottom w:val="180"/>
      <w:divBdr>
        <w:top w:val="none" w:sz="0" w:space="0" w:color="auto"/>
        <w:left w:val="none" w:sz="0" w:space="0" w:color="auto"/>
        <w:bottom w:val="none" w:sz="0" w:space="0" w:color="auto"/>
        <w:right w:val="none" w:sz="0" w:space="0" w:color="auto"/>
      </w:divBdr>
      <w:divsChild>
        <w:div w:id="1845439522">
          <w:marLeft w:val="0"/>
          <w:marRight w:val="0"/>
          <w:marTop w:val="0"/>
          <w:marBottom w:val="0"/>
          <w:divBdr>
            <w:top w:val="none" w:sz="0" w:space="0" w:color="auto"/>
            <w:left w:val="none" w:sz="0" w:space="0" w:color="auto"/>
            <w:bottom w:val="none" w:sz="0" w:space="0" w:color="auto"/>
            <w:right w:val="none" w:sz="0" w:space="0" w:color="auto"/>
          </w:divBdr>
        </w:div>
      </w:divsChild>
    </w:div>
    <w:div w:id="2098744444">
      <w:marLeft w:val="0"/>
      <w:marRight w:val="0"/>
      <w:marTop w:val="180"/>
      <w:marBottom w:val="60"/>
      <w:divBdr>
        <w:top w:val="none" w:sz="0" w:space="0" w:color="auto"/>
        <w:left w:val="none" w:sz="0" w:space="0" w:color="auto"/>
        <w:bottom w:val="none" w:sz="0" w:space="0" w:color="auto"/>
        <w:right w:val="none" w:sz="0" w:space="0" w:color="auto"/>
      </w:divBdr>
    </w:div>
    <w:div w:id="2099061631">
      <w:marLeft w:val="0"/>
      <w:marRight w:val="0"/>
      <w:marTop w:val="180"/>
      <w:marBottom w:val="180"/>
      <w:divBdr>
        <w:top w:val="none" w:sz="0" w:space="0" w:color="auto"/>
        <w:left w:val="none" w:sz="0" w:space="0" w:color="auto"/>
        <w:bottom w:val="none" w:sz="0" w:space="0" w:color="auto"/>
        <w:right w:val="none" w:sz="0" w:space="0" w:color="auto"/>
      </w:divBdr>
    </w:div>
    <w:div w:id="2099521247">
      <w:marLeft w:val="0"/>
      <w:marRight w:val="0"/>
      <w:marTop w:val="0"/>
      <w:marBottom w:val="0"/>
      <w:divBdr>
        <w:top w:val="none" w:sz="0" w:space="0" w:color="auto"/>
        <w:left w:val="none" w:sz="0" w:space="0" w:color="auto"/>
        <w:bottom w:val="none" w:sz="0" w:space="0" w:color="auto"/>
        <w:right w:val="none" w:sz="0" w:space="0" w:color="auto"/>
      </w:divBdr>
      <w:divsChild>
        <w:div w:id="1931815148">
          <w:marLeft w:val="0"/>
          <w:marRight w:val="0"/>
          <w:marTop w:val="0"/>
          <w:marBottom w:val="0"/>
          <w:divBdr>
            <w:top w:val="none" w:sz="0" w:space="0" w:color="auto"/>
            <w:left w:val="none" w:sz="0" w:space="0" w:color="auto"/>
            <w:bottom w:val="none" w:sz="0" w:space="0" w:color="auto"/>
            <w:right w:val="none" w:sz="0" w:space="0" w:color="auto"/>
          </w:divBdr>
          <w:divsChild>
            <w:div w:id="15003417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9709349">
      <w:marLeft w:val="0"/>
      <w:marRight w:val="0"/>
      <w:marTop w:val="0"/>
      <w:marBottom w:val="0"/>
      <w:divBdr>
        <w:top w:val="none" w:sz="0" w:space="0" w:color="auto"/>
        <w:left w:val="none" w:sz="0" w:space="0" w:color="auto"/>
        <w:bottom w:val="none" w:sz="0" w:space="0" w:color="auto"/>
        <w:right w:val="none" w:sz="0" w:space="0" w:color="auto"/>
      </w:divBdr>
      <w:divsChild>
        <w:div w:id="923419586">
          <w:marLeft w:val="0"/>
          <w:marRight w:val="0"/>
          <w:marTop w:val="0"/>
          <w:marBottom w:val="0"/>
          <w:divBdr>
            <w:top w:val="none" w:sz="0" w:space="0" w:color="auto"/>
            <w:left w:val="none" w:sz="0" w:space="0" w:color="auto"/>
            <w:bottom w:val="none" w:sz="0" w:space="0" w:color="auto"/>
            <w:right w:val="none" w:sz="0" w:space="0" w:color="auto"/>
          </w:divBdr>
          <w:divsChild>
            <w:div w:id="4889120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2674049">
      <w:marLeft w:val="0"/>
      <w:marRight w:val="0"/>
      <w:marTop w:val="180"/>
      <w:marBottom w:val="180"/>
      <w:divBdr>
        <w:top w:val="none" w:sz="0" w:space="0" w:color="auto"/>
        <w:left w:val="none" w:sz="0" w:space="0" w:color="auto"/>
        <w:bottom w:val="none" w:sz="0" w:space="0" w:color="auto"/>
        <w:right w:val="none" w:sz="0" w:space="0" w:color="auto"/>
      </w:divBdr>
    </w:div>
    <w:div w:id="2103522665">
      <w:marLeft w:val="0"/>
      <w:marRight w:val="0"/>
      <w:marTop w:val="180"/>
      <w:marBottom w:val="60"/>
      <w:divBdr>
        <w:top w:val="none" w:sz="0" w:space="0" w:color="auto"/>
        <w:left w:val="none" w:sz="0" w:space="0" w:color="auto"/>
        <w:bottom w:val="none" w:sz="0" w:space="0" w:color="auto"/>
        <w:right w:val="none" w:sz="0" w:space="0" w:color="auto"/>
      </w:divBdr>
    </w:div>
    <w:div w:id="2103915130">
      <w:marLeft w:val="0"/>
      <w:marRight w:val="0"/>
      <w:marTop w:val="180"/>
      <w:marBottom w:val="180"/>
      <w:divBdr>
        <w:top w:val="none" w:sz="0" w:space="0" w:color="auto"/>
        <w:left w:val="none" w:sz="0" w:space="0" w:color="auto"/>
        <w:bottom w:val="none" w:sz="0" w:space="0" w:color="auto"/>
        <w:right w:val="none" w:sz="0" w:space="0" w:color="auto"/>
      </w:divBdr>
    </w:div>
    <w:div w:id="2103992195">
      <w:marLeft w:val="0"/>
      <w:marRight w:val="0"/>
      <w:marTop w:val="60"/>
      <w:marBottom w:val="60"/>
      <w:divBdr>
        <w:top w:val="none" w:sz="0" w:space="0" w:color="auto"/>
        <w:left w:val="none" w:sz="0" w:space="0" w:color="auto"/>
        <w:bottom w:val="none" w:sz="0" w:space="0" w:color="auto"/>
        <w:right w:val="none" w:sz="0" w:space="0" w:color="auto"/>
      </w:divBdr>
    </w:div>
    <w:div w:id="2104178346">
      <w:marLeft w:val="0"/>
      <w:marRight w:val="0"/>
      <w:marTop w:val="180"/>
      <w:marBottom w:val="180"/>
      <w:divBdr>
        <w:top w:val="none" w:sz="0" w:space="0" w:color="auto"/>
        <w:left w:val="none" w:sz="0" w:space="0" w:color="auto"/>
        <w:bottom w:val="none" w:sz="0" w:space="0" w:color="auto"/>
        <w:right w:val="none" w:sz="0" w:space="0" w:color="auto"/>
      </w:divBdr>
      <w:divsChild>
        <w:div w:id="780346027">
          <w:marLeft w:val="0"/>
          <w:marRight w:val="0"/>
          <w:marTop w:val="0"/>
          <w:marBottom w:val="0"/>
          <w:divBdr>
            <w:top w:val="none" w:sz="0" w:space="0" w:color="auto"/>
            <w:left w:val="none" w:sz="0" w:space="0" w:color="auto"/>
            <w:bottom w:val="none" w:sz="0" w:space="0" w:color="auto"/>
            <w:right w:val="none" w:sz="0" w:space="0" w:color="auto"/>
          </w:divBdr>
        </w:div>
        <w:div w:id="182741825">
          <w:marLeft w:val="0"/>
          <w:marRight w:val="0"/>
          <w:marTop w:val="0"/>
          <w:marBottom w:val="0"/>
          <w:divBdr>
            <w:top w:val="none" w:sz="0" w:space="0" w:color="auto"/>
            <w:left w:val="none" w:sz="0" w:space="0" w:color="auto"/>
            <w:bottom w:val="none" w:sz="0" w:space="0" w:color="auto"/>
            <w:right w:val="none" w:sz="0" w:space="0" w:color="auto"/>
          </w:divBdr>
        </w:div>
      </w:divsChild>
    </w:div>
    <w:div w:id="2104523217">
      <w:marLeft w:val="0"/>
      <w:marRight w:val="0"/>
      <w:marTop w:val="60"/>
      <w:marBottom w:val="60"/>
      <w:divBdr>
        <w:top w:val="none" w:sz="0" w:space="0" w:color="auto"/>
        <w:left w:val="none" w:sz="0" w:space="0" w:color="auto"/>
        <w:bottom w:val="none" w:sz="0" w:space="0" w:color="auto"/>
        <w:right w:val="none" w:sz="0" w:space="0" w:color="auto"/>
      </w:divBdr>
    </w:div>
    <w:div w:id="2106416191">
      <w:marLeft w:val="0"/>
      <w:marRight w:val="0"/>
      <w:marTop w:val="0"/>
      <w:marBottom w:val="0"/>
      <w:divBdr>
        <w:top w:val="none" w:sz="0" w:space="0" w:color="auto"/>
        <w:left w:val="none" w:sz="0" w:space="0" w:color="auto"/>
        <w:bottom w:val="none" w:sz="0" w:space="0" w:color="auto"/>
        <w:right w:val="none" w:sz="0" w:space="0" w:color="auto"/>
      </w:divBdr>
      <w:divsChild>
        <w:div w:id="271788105">
          <w:marLeft w:val="0"/>
          <w:marRight w:val="0"/>
          <w:marTop w:val="60"/>
          <w:marBottom w:val="60"/>
          <w:divBdr>
            <w:top w:val="none" w:sz="0" w:space="0" w:color="auto"/>
            <w:left w:val="none" w:sz="0" w:space="0" w:color="auto"/>
            <w:bottom w:val="none" w:sz="0" w:space="0" w:color="auto"/>
            <w:right w:val="none" w:sz="0" w:space="0" w:color="auto"/>
          </w:divBdr>
        </w:div>
      </w:divsChild>
    </w:div>
    <w:div w:id="2106725936">
      <w:marLeft w:val="0"/>
      <w:marRight w:val="0"/>
      <w:marTop w:val="100"/>
      <w:marBottom w:val="0"/>
      <w:divBdr>
        <w:top w:val="none" w:sz="0" w:space="0" w:color="auto"/>
        <w:left w:val="none" w:sz="0" w:space="0" w:color="auto"/>
        <w:bottom w:val="none" w:sz="0" w:space="0" w:color="auto"/>
        <w:right w:val="none" w:sz="0" w:space="0" w:color="auto"/>
      </w:divBdr>
      <w:divsChild>
        <w:div w:id="352807007">
          <w:marLeft w:val="0"/>
          <w:marRight w:val="0"/>
          <w:marTop w:val="0"/>
          <w:marBottom w:val="0"/>
          <w:divBdr>
            <w:top w:val="none" w:sz="0" w:space="0" w:color="auto"/>
            <w:left w:val="none" w:sz="0" w:space="0" w:color="auto"/>
            <w:bottom w:val="none" w:sz="0" w:space="0" w:color="auto"/>
            <w:right w:val="none" w:sz="0" w:space="0" w:color="auto"/>
          </w:divBdr>
        </w:div>
      </w:divsChild>
    </w:div>
    <w:div w:id="2107580130">
      <w:marLeft w:val="0"/>
      <w:marRight w:val="0"/>
      <w:marTop w:val="0"/>
      <w:marBottom w:val="0"/>
      <w:divBdr>
        <w:top w:val="none" w:sz="0" w:space="0" w:color="auto"/>
        <w:left w:val="none" w:sz="0" w:space="0" w:color="auto"/>
        <w:bottom w:val="none" w:sz="0" w:space="0" w:color="auto"/>
        <w:right w:val="none" w:sz="0" w:space="0" w:color="auto"/>
      </w:divBdr>
    </w:div>
    <w:div w:id="2109425917">
      <w:marLeft w:val="0"/>
      <w:marRight w:val="0"/>
      <w:marTop w:val="60"/>
      <w:marBottom w:val="60"/>
      <w:divBdr>
        <w:top w:val="none" w:sz="0" w:space="0" w:color="auto"/>
        <w:left w:val="none" w:sz="0" w:space="0" w:color="auto"/>
        <w:bottom w:val="none" w:sz="0" w:space="0" w:color="auto"/>
        <w:right w:val="none" w:sz="0" w:space="0" w:color="auto"/>
      </w:divBdr>
    </w:div>
    <w:div w:id="2111076280">
      <w:marLeft w:val="0"/>
      <w:marRight w:val="0"/>
      <w:marTop w:val="0"/>
      <w:marBottom w:val="0"/>
      <w:divBdr>
        <w:top w:val="none" w:sz="0" w:space="0" w:color="auto"/>
        <w:left w:val="none" w:sz="0" w:space="0" w:color="auto"/>
        <w:bottom w:val="none" w:sz="0" w:space="0" w:color="auto"/>
        <w:right w:val="none" w:sz="0" w:space="0" w:color="auto"/>
      </w:divBdr>
      <w:divsChild>
        <w:div w:id="1022629990">
          <w:marLeft w:val="0"/>
          <w:marRight w:val="0"/>
          <w:marTop w:val="60"/>
          <w:marBottom w:val="60"/>
          <w:divBdr>
            <w:top w:val="none" w:sz="0" w:space="0" w:color="auto"/>
            <w:left w:val="none" w:sz="0" w:space="0" w:color="auto"/>
            <w:bottom w:val="none" w:sz="0" w:space="0" w:color="auto"/>
            <w:right w:val="none" w:sz="0" w:space="0" w:color="auto"/>
          </w:divBdr>
        </w:div>
      </w:divsChild>
    </w:div>
    <w:div w:id="2114666435">
      <w:marLeft w:val="0"/>
      <w:marRight w:val="0"/>
      <w:marTop w:val="180"/>
      <w:marBottom w:val="180"/>
      <w:divBdr>
        <w:top w:val="none" w:sz="0" w:space="0" w:color="auto"/>
        <w:left w:val="none" w:sz="0" w:space="0" w:color="auto"/>
        <w:bottom w:val="none" w:sz="0" w:space="0" w:color="auto"/>
        <w:right w:val="none" w:sz="0" w:space="0" w:color="auto"/>
      </w:divBdr>
    </w:div>
    <w:div w:id="2115050704">
      <w:marLeft w:val="0"/>
      <w:marRight w:val="0"/>
      <w:marTop w:val="60"/>
      <w:marBottom w:val="60"/>
      <w:divBdr>
        <w:top w:val="none" w:sz="0" w:space="0" w:color="auto"/>
        <w:left w:val="none" w:sz="0" w:space="0" w:color="auto"/>
        <w:bottom w:val="none" w:sz="0" w:space="0" w:color="auto"/>
        <w:right w:val="none" w:sz="0" w:space="0" w:color="auto"/>
      </w:divBdr>
    </w:div>
    <w:div w:id="2115056932">
      <w:marLeft w:val="0"/>
      <w:marRight w:val="0"/>
      <w:marTop w:val="60"/>
      <w:marBottom w:val="60"/>
      <w:divBdr>
        <w:top w:val="none" w:sz="0" w:space="0" w:color="auto"/>
        <w:left w:val="none" w:sz="0" w:space="0" w:color="auto"/>
        <w:bottom w:val="none" w:sz="0" w:space="0" w:color="auto"/>
        <w:right w:val="none" w:sz="0" w:space="0" w:color="auto"/>
      </w:divBdr>
    </w:div>
    <w:div w:id="2117826656">
      <w:marLeft w:val="0"/>
      <w:marRight w:val="0"/>
      <w:marTop w:val="0"/>
      <w:marBottom w:val="0"/>
      <w:divBdr>
        <w:top w:val="none" w:sz="0" w:space="0" w:color="auto"/>
        <w:left w:val="none" w:sz="0" w:space="0" w:color="auto"/>
        <w:bottom w:val="none" w:sz="0" w:space="0" w:color="auto"/>
        <w:right w:val="none" w:sz="0" w:space="0" w:color="auto"/>
      </w:divBdr>
      <w:divsChild>
        <w:div w:id="37634539">
          <w:marLeft w:val="0"/>
          <w:marRight w:val="0"/>
          <w:marTop w:val="0"/>
          <w:marBottom w:val="0"/>
          <w:divBdr>
            <w:top w:val="none" w:sz="0" w:space="0" w:color="auto"/>
            <w:left w:val="none" w:sz="0" w:space="0" w:color="auto"/>
            <w:bottom w:val="none" w:sz="0" w:space="0" w:color="auto"/>
            <w:right w:val="none" w:sz="0" w:space="0" w:color="auto"/>
          </w:divBdr>
          <w:divsChild>
            <w:div w:id="729418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7871545">
      <w:marLeft w:val="0"/>
      <w:marRight w:val="0"/>
      <w:marTop w:val="180"/>
      <w:marBottom w:val="180"/>
      <w:divBdr>
        <w:top w:val="none" w:sz="0" w:space="0" w:color="auto"/>
        <w:left w:val="none" w:sz="0" w:space="0" w:color="auto"/>
        <w:bottom w:val="none" w:sz="0" w:space="0" w:color="auto"/>
        <w:right w:val="none" w:sz="0" w:space="0" w:color="auto"/>
      </w:divBdr>
    </w:div>
    <w:div w:id="2122258234">
      <w:marLeft w:val="0"/>
      <w:marRight w:val="0"/>
      <w:marTop w:val="60"/>
      <w:marBottom w:val="60"/>
      <w:divBdr>
        <w:top w:val="none" w:sz="0" w:space="0" w:color="auto"/>
        <w:left w:val="none" w:sz="0" w:space="0" w:color="auto"/>
        <w:bottom w:val="none" w:sz="0" w:space="0" w:color="auto"/>
        <w:right w:val="none" w:sz="0" w:space="0" w:color="auto"/>
      </w:divBdr>
    </w:div>
    <w:div w:id="2125732468">
      <w:marLeft w:val="0"/>
      <w:marRight w:val="0"/>
      <w:marTop w:val="180"/>
      <w:marBottom w:val="180"/>
      <w:divBdr>
        <w:top w:val="none" w:sz="0" w:space="0" w:color="auto"/>
        <w:left w:val="none" w:sz="0" w:space="0" w:color="auto"/>
        <w:bottom w:val="none" w:sz="0" w:space="0" w:color="auto"/>
        <w:right w:val="none" w:sz="0" w:space="0" w:color="auto"/>
      </w:divBdr>
    </w:div>
    <w:div w:id="2128308496">
      <w:marLeft w:val="0"/>
      <w:marRight w:val="0"/>
      <w:marTop w:val="100"/>
      <w:marBottom w:val="100"/>
      <w:divBdr>
        <w:top w:val="none" w:sz="0" w:space="0" w:color="auto"/>
        <w:left w:val="none" w:sz="0" w:space="0" w:color="auto"/>
        <w:bottom w:val="none" w:sz="0" w:space="0" w:color="auto"/>
        <w:right w:val="none" w:sz="0" w:space="0" w:color="auto"/>
      </w:divBdr>
    </w:div>
    <w:div w:id="2129464360">
      <w:marLeft w:val="0"/>
      <w:marRight w:val="0"/>
      <w:marTop w:val="180"/>
      <w:marBottom w:val="180"/>
      <w:divBdr>
        <w:top w:val="none" w:sz="0" w:space="0" w:color="auto"/>
        <w:left w:val="none" w:sz="0" w:space="0" w:color="auto"/>
        <w:bottom w:val="none" w:sz="0" w:space="0" w:color="auto"/>
        <w:right w:val="none" w:sz="0" w:space="0" w:color="auto"/>
      </w:divBdr>
    </w:div>
    <w:div w:id="2130663369">
      <w:marLeft w:val="0"/>
      <w:marRight w:val="0"/>
      <w:marTop w:val="180"/>
      <w:marBottom w:val="180"/>
      <w:divBdr>
        <w:top w:val="none" w:sz="0" w:space="0" w:color="auto"/>
        <w:left w:val="none" w:sz="0" w:space="0" w:color="auto"/>
        <w:bottom w:val="none" w:sz="0" w:space="0" w:color="auto"/>
        <w:right w:val="none" w:sz="0" w:space="0" w:color="auto"/>
      </w:divBdr>
    </w:div>
    <w:div w:id="2130663978">
      <w:marLeft w:val="0"/>
      <w:marRight w:val="0"/>
      <w:marTop w:val="180"/>
      <w:marBottom w:val="180"/>
      <w:divBdr>
        <w:top w:val="none" w:sz="0" w:space="0" w:color="auto"/>
        <w:left w:val="none" w:sz="0" w:space="0" w:color="auto"/>
        <w:bottom w:val="none" w:sz="0" w:space="0" w:color="auto"/>
        <w:right w:val="none" w:sz="0" w:space="0" w:color="auto"/>
      </w:divBdr>
    </w:div>
    <w:div w:id="2133547814">
      <w:marLeft w:val="0"/>
      <w:marRight w:val="0"/>
      <w:marTop w:val="180"/>
      <w:marBottom w:val="180"/>
      <w:divBdr>
        <w:top w:val="none" w:sz="0" w:space="0" w:color="auto"/>
        <w:left w:val="none" w:sz="0" w:space="0" w:color="auto"/>
        <w:bottom w:val="none" w:sz="0" w:space="0" w:color="auto"/>
        <w:right w:val="none" w:sz="0" w:space="0" w:color="auto"/>
      </w:divBdr>
    </w:div>
    <w:div w:id="2134400776">
      <w:marLeft w:val="0"/>
      <w:marRight w:val="0"/>
      <w:marTop w:val="180"/>
      <w:marBottom w:val="180"/>
      <w:divBdr>
        <w:top w:val="none" w:sz="0" w:space="0" w:color="auto"/>
        <w:left w:val="none" w:sz="0" w:space="0" w:color="auto"/>
        <w:bottom w:val="none" w:sz="0" w:space="0" w:color="auto"/>
        <w:right w:val="none" w:sz="0" w:space="0" w:color="auto"/>
      </w:divBdr>
    </w:div>
    <w:div w:id="2134710311">
      <w:marLeft w:val="0"/>
      <w:marRight w:val="0"/>
      <w:marTop w:val="60"/>
      <w:marBottom w:val="60"/>
      <w:divBdr>
        <w:top w:val="none" w:sz="0" w:space="0" w:color="auto"/>
        <w:left w:val="none" w:sz="0" w:space="0" w:color="auto"/>
        <w:bottom w:val="none" w:sz="0" w:space="0" w:color="auto"/>
        <w:right w:val="none" w:sz="0" w:space="0" w:color="auto"/>
      </w:divBdr>
    </w:div>
    <w:div w:id="2135908179">
      <w:marLeft w:val="0"/>
      <w:marRight w:val="0"/>
      <w:marTop w:val="180"/>
      <w:marBottom w:val="60"/>
      <w:divBdr>
        <w:top w:val="none" w:sz="0" w:space="0" w:color="auto"/>
        <w:left w:val="none" w:sz="0" w:space="0" w:color="auto"/>
        <w:bottom w:val="none" w:sz="0" w:space="0" w:color="auto"/>
        <w:right w:val="none" w:sz="0" w:space="0" w:color="auto"/>
      </w:divBdr>
    </w:div>
    <w:div w:id="2137750777">
      <w:marLeft w:val="0"/>
      <w:marRight w:val="0"/>
      <w:marTop w:val="180"/>
      <w:marBottom w:val="180"/>
      <w:divBdr>
        <w:top w:val="none" w:sz="0" w:space="0" w:color="auto"/>
        <w:left w:val="none" w:sz="0" w:space="0" w:color="auto"/>
        <w:bottom w:val="none" w:sz="0" w:space="0" w:color="auto"/>
        <w:right w:val="none" w:sz="0" w:space="0" w:color="auto"/>
      </w:divBdr>
    </w:div>
    <w:div w:id="2140490399">
      <w:marLeft w:val="0"/>
      <w:marRight w:val="0"/>
      <w:marTop w:val="180"/>
      <w:marBottom w:val="180"/>
      <w:divBdr>
        <w:top w:val="none" w:sz="0" w:space="0" w:color="auto"/>
        <w:left w:val="none" w:sz="0" w:space="0" w:color="auto"/>
        <w:bottom w:val="none" w:sz="0" w:space="0" w:color="auto"/>
        <w:right w:val="none" w:sz="0" w:space="0" w:color="auto"/>
      </w:divBdr>
    </w:div>
    <w:div w:id="2141990461">
      <w:marLeft w:val="0"/>
      <w:marRight w:val="0"/>
      <w:marTop w:val="180"/>
      <w:marBottom w:val="180"/>
      <w:divBdr>
        <w:top w:val="none" w:sz="0" w:space="0" w:color="auto"/>
        <w:left w:val="none" w:sz="0" w:space="0" w:color="auto"/>
        <w:bottom w:val="none" w:sz="0" w:space="0" w:color="auto"/>
        <w:right w:val="none" w:sz="0" w:space="0" w:color="auto"/>
      </w:divBdr>
    </w:div>
    <w:div w:id="2141994801">
      <w:marLeft w:val="0"/>
      <w:marRight w:val="0"/>
      <w:marTop w:val="60"/>
      <w:marBottom w:val="60"/>
      <w:divBdr>
        <w:top w:val="none" w:sz="0" w:space="0" w:color="auto"/>
        <w:left w:val="none" w:sz="0" w:space="0" w:color="auto"/>
        <w:bottom w:val="none" w:sz="0" w:space="0" w:color="auto"/>
        <w:right w:val="none" w:sz="0" w:space="0" w:color="auto"/>
      </w:divBdr>
    </w:div>
    <w:div w:id="2142989146">
      <w:marLeft w:val="0"/>
      <w:marRight w:val="0"/>
      <w:marTop w:val="60"/>
      <w:marBottom w:val="60"/>
      <w:divBdr>
        <w:top w:val="none" w:sz="0" w:space="0" w:color="auto"/>
        <w:left w:val="none" w:sz="0" w:space="0" w:color="auto"/>
        <w:bottom w:val="none" w:sz="0" w:space="0" w:color="auto"/>
        <w:right w:val="none" w:sz="0" w:space="0" w:color="auto"/>
      </w:divBdr>
    </w:div>
    <w:div w:id="2144417772">
      <w:marLeft w:val="0"/>
      <w:marRight w:val="0"/>
      <w:marTop w:val="180"/>
      <w:marBottom w:val="180"/>
      <w:divBdr>
        <w:top w:val="none" w:sz="0" w:space="0" w:color="auto"/>
        <w:left w:val="none" w:sz="0" w:space="0" w:color="auto"/>
        <w:bottom w:val="none" w:sz="0" w:space="0" w:color="auto"/>
        <w:right w:val="none" w:sz="0" w:space="0" w:color="auto"/>
      </w:divBdr>
    </w:div>
    <w:div w:id="2146072642">
      <w:marLeft w:val="0"/>
      <w:marRight w:val="0"/>
      <w:marTop w:val="0"/>
      <w:marBottom w:val="0"/>
      <w:divBdr>
        <w:top w:val="none" w:sz="0" w:space="0" w:color="auto"/>
        <w:left w:val="none" w:sz="0" w:space="0" w:color="auto"/>
        <w:bottom w:val="none" w:sz="0" w:space="0" w:color="auto"/>
        <w:right w:val="none" w:sz="0" w:space="0" w:color="auto"/>
      </w:divBdr>
      <w:divsChild>
        <w:div w:id="1689483716">
          <w:marLeft w:val="0"/>
          <w:marRight w:val="0"/>
          <w:marTop w:val="60"/>
          <w:marBottom w:val="6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927628/000095010321008647/dp152438_ex0301.htm" TargetMode="External"/><Relationship Id="rId13" Type="http://schemas.openxmlformats.org/officeDocument/2006/relationships/hyperlink" Target="https://www.sec.gov/Archives/edgar/data/0000927628/000092762821000177/exhibit101-sixthamendedand.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Archives/edgar/data/927628/000095010321006687/dp150414_ex0301.htm" TargetMode="External"/><Relationship Id="rId12" Type="http://schemas.openxmlformats.org/officeDocument/2006/relationships/hyperlink" Target="https://www.sec.gov/Archives/edgar/data/927628/000119312512362016/d395908dex41.htm" TargetMode="External"/><Relationship Id="rId17" Type="http://schemas.openxmlformats.org/officeDocument/2006/relationships/hyperlink" Target="cof-06302021x10qxex322.htm" TargetMode="External"/><Relationship Id="rId2" Type="http://schemas.openxmlformats.org/officeDocument/2006/relationships/settings" Target="settings.xml"/><Relationship Id="rId16" Type="http://schemas.openxmlformats.org/officeDocument/2006/relationships/hyperlink" Target="cof-06302021x10qxex321.htm" TargetMode="External"/><Relationship Id="rId1" Type="http://schemas.openxmlformats.org/officeDocument/2006/relationships/styles" Target="styles.xml"/><Relationship Id="rId6" Type="http://schemas.openxmlformats.org/officeDocument/2006/relationships/hyperlink" Target="https://www.sec.gov/Archives/edgar/data/927628/000119312520248074/d72664dex31.htm" TargetMode="External"/><Relationship Id="rId11" Type="http://schemas.openxmlformats.org/officeDocument/2006/relationships/hyperlink" Target="https://www.sec.gov/Archives/edgar/data/927628/000119312509247098/dex41.htm" TargetMode="External"/><Relationship Id="rId5" Type="http://schemas.openxmlformats.org/officeDocument/2006/relationships/hyperlink" Target="https://www.sec.gov/Archives/edgar/data/927628/000092762820000189/exhibit33amendedandres.htm" TargetMode="External"/><Relationship Id="rId15" Type="http://schemas.openxmlformats.org/officeDocument/2006/relationships/hyperlink" Target="cof-06302021x10qxex312.htm" TargetMode="External"/><Relationship Id="rId10" Type="http://schemas.openxmlformats.org/officeDocument/2006/relationships/hyperlink" Target="https://www.sec.gov/Archives/edgar/data/927628/000119312504035097/dex41.htm" TargetMode="External"/><Relationship Id="rId19" Type="http://schemas.openxmlformats.org/officeDocument/2006/relationships/theme" Target="theme/theme1.xml"/><Relationship Id="rId4" Type="http://schemas.openxmlformats.org/officeDocument/2006/relationships/hyperlink" Target="https://www.sec.gov/Archives/edgar/data/927628/000092762820000189/exhibit32restatedcerti.htm" TargetMode="External"/><Relationship Id="rId9" Type="http://schemas.openxmlformats.org/officeDocument/2006/relationships/hyperlink" Target="https://www.sec.gov/Archives/edgar/data/0000927628/000119312521229186/d205654dex31.htm" TargetMode="External"/><Relationship Id="rId14" Type="http://schemas.openxmlformats.org/officeDocument/2006/relationships/hyperlink" Target="cof-06302021x10qx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81373</Words>
  <Characters>463832</Characters>
  <Application>Microsoft Office Word</Application>
  <DocSecurity>0</DocSecurity>
  <Lines>3865</Lines>
  <Paragraphs>1088</Paragraphs>
  <ScaleCrop>false</ScaleCrop>
  <Company/>
  <LinksUpToDate>false</LinksUpToDate>
  <CharactersWithSpaces>544117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cof-20210630</dc:title>
  <dc:subject/>
  <dc:creator>Chongjian.Yue</dc:creator>
  <cp:keywords/>
  <dc:description/>
  <cp:lastModifiedBy>Yue Chongjian</cp:lastModifiedBy>
  <cp:revision>1</cp:revision>
  <dcterms:created xsi:type="dcterms:W3CDTF">2024-01-04T15:35:00Z</dcterms:created>
  <dcterms:modified xsi:type="dcterms:W3CDTF">2024-01-04T15:35:00Z</dcterms:modified>
</cp:coreProperties>
</file>