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94004B">
      <w:pPr>
        <w:divId w:val="658386292"/>
        <w:rPr>
          <w:rFonts w:eastAsia="Times New Roman"/>
          <w:vanish/>
        </w:rPr>
      </w:pPr>
      <w:r>
        <w:rPr>
          <w:rFonts w:eastAsia="Times New Roman"/>
          <w:vanish/>
        </w:rPr>
        <w:t>false2022FY000092762812/3112/3112/31/2022http://fasb.org/us-gaap/2022#AssetPledgedAsCollateralMemberhttp://fasb.org/us-gaap/2022#OtherAssetshttp://fasb.org/us-gaap/2022#OtherAssets</w:t>
      </w:r>
      <w:r>
        <w:rPr>
          <w:rFonts w:eastAsia="Times New Roman"/>
          <w:vanish/>
        </w:rPr>
        <w:t>http://fasb.org/us-gaap/2022#OtherLiabilitieshttp://fasb.org/us-gaap/2022#OtherLiabilitieshttp://fasb.org/us-gaap/2022#PropertyPlantAndEquipmentNethttp://fasb.org/us-gaap/2022#PropertyPlantAndEquipmentNethttp://fasb.org/us-gaap/2022#OtherBorrowingshttp://f</w:t>
      </w:r>
      <w:r>
        <w:rPr>
          <w:rFonts w:eastAsia="Times New Roman"/>
          <w:vanish/>
        </w:rPr>
        <w:t>asb.org/us-gaap/2022#OtherBorrowingshttp://fasb.org/us-gaap/2022#OtherAssetshttp://fasb.org/us-gaap/2022#OtherLiabilitieshttp://fasb.org/us-gaap/2022#OtherComprehensiveIncomeLossNetOfTaxPortionAttributableToParent00009276282022-01-012022-12-310000927628us-</w:t>
      </w:r>
      <w:r>
        <w:rPr>
          <w:rFonts w:eastAsia="Times New Roman"/>
          <w:vanish/>
        </w:rPr>
        <w:t>gaap:CommonStockMember2022-01-012022-12-310000927628cof:SeriesIPreferredStockMember2022-01-012022-12-310000927628cof:SeriesJPreferredStockMember2022-01-012022-12-310000927628cof:SeriesKPreferredStockMember2022-01-012022-12-310000927628cof:SeriesLPreferredS</w:t>
      </w:r>
      <w:r>
        <w:rPr>
          <w:rFonts w:eastAsia="Times New Roman"/>
          <w:vanish/>
        </w:rPr>
        <w:t>tockMember2022-01-012022-12-310000927628cof:SeriesNPreferredStockMember2022-01-012022-12-310000927628cof:SeniorNotesDue2024Member2022-01-012022-12-310000927628cof:SeniorNotesDue2029Member2022-01-012022-12-3100009276282022-06-30iso4217:USD00009276282023-01-</w:t>
      </w:r>
      <w:r>
        <w:rPr>
          <w:rFonts w:eastAsia="Times New Roman"/>
          <w:vanish/>
        </w:rPr>
        <w:t>31xbrli:shares00009276282021-01-012021-12-3100009276282020-01-012020-12-31iso4217:USDxbrli:shares00009276282022-12-3100009276282021-12-310000927628srt:ParentCompanyMember2022-12-310000927628srt:ParentCompanyMember2021-12-310000927628us-gaap:VariableInteres</w:t>
      </w:r>
      <w:r>
        <w:rPr>
          <w:rFonts w:eastAsia="Times New Roman"/>
          <w:vanish/>
        </w:rPr>
        <w:t>tEntityPrimaryBeneficiaryMember2022-12-310000927628us-gaap:VariableInterestEntityPrimaryBeneficiaryMember2021-12-310000927628us-gaap:PreferredStockMember2019-12-310000927628us-gaap:CommonStockMember2019-12-310000927628us-gaap:AdditionalPaidInCapitalMember2</w:t>
      </w:r>
      <w:r>
        <w:rPr>
          <w:rFonts w:eastAsia="Times New Roman"/>
          <w:vanish/>
        </w:rPr>
        <w:t>019-12-310000927628us-gaap:RetainedEarningsMember2019-12-310000927628us-gaap:AccumulatedOtherComprehensiveIncomeMember2019-12-310000927628us-gaap:TreasuryStockMember2019-12-3100009276282019-12-310000927628us-gaap:RetainedEarningsMembersrt:CumulativeEffectP</w:t>
      </w:r>
      <w:r>
        <w:rPr>
          <w:rFonts w:eastAsia="Times New Roman"/>
          <w:vanish/>
        </w:rPr>
        <w:t>eriodOfAdoptionAdjustmentMember2019-12-310000927628us-gaap:AccumulatedOtherComprehensiveIncomeMembersrt:CumulativeEffectPeriodOfAdoptionAdjustmentMember2019-12-310000927628srt:CumulativeEffectPeriodOfAdoptionAdjustmentMember2019-12-310000927628us-gaap:Reta</w:t>
      </w:r>
      <w:r>
        <w:rPr>
          <w:rFonts w:eastAsia="Times New Roman"/>
          <w:vanish/>
        </w:rPr>
        <w:t>inedEarningsMember2020-01-012020-12-310000927628us-gaap:AccumulatedOtherComprehensiveIncomeMember2020-01-012020-12-310000927628us-gaap:CommonStockMember2020-01-012020-12-310000927628us-gaap:AdditionalPaidInCapitalMember2020-01-012020-12-310000927628us-gaap</w:t>
      </w:r>
      <w:r>
        <w:rPr>
          <w:rFonts w:eastAsia="Times New Roman"/>
          <w:vanish/>
        </w:rPr>
        <w:t>:TreasuryStockMember2020-01-012020-12-310000927628us-gaap:PreferredStockMember2020-01-012020-12-310000927628us-gaap:PreferredStockMember2020-12-310000927628us-gaap:CommonStockMember2020-12-310000927628us-gaap:AdditionalPaidInCapitalMember2020-12-3100009276</w:t>
      </w:r>
      <w:r>
        <w:rPr>
          <w:rFonts w:eastAsia="Times New Roman"/>
          <w:vanish/>
        </w:rPr>
        <w:t>28us-gaap:RetainedEarningsMember2020-12-310000927628us-gaap:AccumulatedOtherComprehensiveIncomeMember2020-12-310000927628us-gaap:TreasuryStockMember2020-12-3100009276282020-12-310000927628us-gaap:RetainedEarningsMember2021-01-012021-12-310000927628us-gaap:</w:t>
      </w:r>
      <w:r>
        <w:rPr>
          <w:rFonts w:eastAsia="Times New Roman"/>
          <w:vanish/>
        </w:rPr>
        <w:t>AccumulatedOtherComprehensiveIncomeMember2021-01-012021-12-310000927628us-gaap:CommonStockMember2021-01-012021-12-310000927628us-gaap:AdditionalPaidInCapitalMember2021-01-012021-12-310000927628us-gaap:TreasuryStockMember2021-01-012021-12-310000927628us-gaa</w:t>
      </w:r>
      <w:r>
        <w:rPr>
          <w:rFonts w:eastAsia="Times New Roman"/>
          <w:vanish/>
        </w:rPr>
        <w:t>p:PreferredStockMember2021-01-012021-12-310000927628us-gaap:PreferredStockMember2021-12-310000927628us-gaap:CommonStockMember2021-12-310000927628us-gaap:AdditionalPaidInCapitalMember2021-12-310000927628us-gaap:RetainedEarningsMember2021-12-310000927628us-g</w:t>
      </w:r>
      <w:r>
        <w:rPr>
          <w:rFonts w:eastAsia="Times New Roman"/>
          <w:vanish/>
        </w:rPr>
        <w:t>aap:AccumulatedOtherComprehensiveIncomeMember2021-12-310000927628us-gaap:TreasuryStockMember2021-12-310000927628us-gaap:RetainedEarningsMember2022-01-012022-12-310000927628us-gaap:AccumulatedOtherComprehensiveIncomeMember2022-01-012022-12-310000927628us-ga</w:t>
      </w:r>
      <w:r>
        <w:rPr>
          <w:rFonts w:eastAsia="Times New Roman"/>
          <w:vanish/>
        </w:rPr>
        <w:t>ap:CommonStockMember2022-01-012022-12-310000927628us-gaap:AdditionalPaidInCapitalMember2022-01-012022-12-310000927628us-gaap:TreasuryStockMember2022-01-012022-12-310000927628us-gaap:PreferredStockMember2022-12-310000927628us-gaap:CommonStockMember2022-12-3</w:t>
      </w:r>
      <w:r>
        <w:rPr>
          <w:rFonts w:eastAsia="Times New Roman"/>
          <w:vanish/>
        </w:rPr>
        <w:t>10000927628us-gaap:AdditionalPaidInCapitalMember2022-12-310000927628us-gaap:RetainedEarningsMember2022-12-310000927628us-gaap:AccumulatedOtherComprehensiveIncomeMember2022-12-310000927628us-gaap:TreasuryStockMember2022-12-3100009276282022-07-012022-09-3000</w:t>
      </w:r>
      <w:r>
        <w:rPr>
          <w:rFonts w:eastAsia="Times New Roman"/>
          <w:vanish/>
        </w:rPr>
        <w:t>009276282022-04-012022-06-3000009276282022-10-012022-12-3100009276282022-01-012022-03-3100009276282021-10-012021-12-3100009276282021-07-012021-09-3000009276282020-04-012020-06-3000009276282021-01-012021-03-3100009276282021-04-012021-06-3000009276282020-01-</w:t>
      </w:r>
      <w:r>
        <w:rPr>
          <w:rFonts w:eastAsia="Times New Roman"/>
          <w:vanish/>
        </w:rPr>
        <w:t>012020-03-3100009276282020-07-012020-09-3000009276282020-10-012020-12-31cof:segment0000927628cof:CreditCardPortfolioSegmentMember2022-01-012022-12-310000927628us-gaap:ConsumerPortfolioSegmentMember2022-01-012022-12-310000927628cof:CreditCardPortfolioSegmen</w:t>
      </w:r>
      <w:r>
        <w:rPr>
          <w:rFonts w:eastAsia="Times New Roman"/>
          <w:vanish/>
        </w:rPr>
        <w:t>tMembercof:PrivilegesRevokedMember2022-01-012022-12-310000927628cof:ChapterSevenBankruptcyMembercof:CreditCardPortfolioSegmentMember2022-01-012022-12-310000927628cof:NotificationofDeathMembercof:CreditCardPortfolioSegmentMember2022-01-012022-12-31000092762</w:t>
      </w:r>
      <w:r>
        <w:rPr>
          <w:rFonts w:eastAsia="Times New Roman"/>
          <w:vanish/>
        </w:rPr>
        <w:t>8us-gaap:AutomobileLoanMemberus-gaap:ConsumerPortfolioSegmentMember2022-01-012022-12-310000927628srt:MaximumMembercof:SmallBusinessBankingLoansMemberus-gaap:ConsumerPortfolioSegmentMember2022-01-012022-12-310000927628cof:ChapterSevenBankruptcyMemberus-gaap</w:t>
      </w:r>
      <w:r>
        <w:rPr>
          <w:rFonts w:eastAsia="Times New Roman"/>
          <w:vanish/>
        </w:rPr>
        <w:t>:ConsumerPortfolioSegmentMember2022-01-012022-12-310000927628cof:OtherConsumerLoansMemberus-gaap:ConsumerPortfolioSegmentMember2022-01-012022-12-310000927628cof:NotificationofDeathMemberus-gaap:ConsumerPortfolioSegmentMember2022-01-012022-12-310000927628sr</w:t>
      </w:r>
      <w:r>
        <w:rPr>
          <w:rFonts w:eastAsia="Times New Roman"/>
          <w:vanish/>
        </w:rPr>
        <w:t>t:MinimumMemberus-gaap:BuildingAndBuildingImprovementsMember2022-01-012022-12-310000927628srt:MaximumMemberus-gaap:BuildingAndBuildingImprovementsMember2022-01-012022-12-310000927628srt:MinimumMembercof:FurnitureAndEquipmentMember2022-01-012022-12-31000092</w:t>
      </w:r>
      <w:r>
        <w:rPr>
          <w:rFonts w:eastAsia="Times New Roman"/>
          <w:vanish/>
        </w:rPr>
        <w:t>7628srt:MaximumMembercof:FurnitureAndEquipmentMember2022-01-012022-12-310000927628srt:MinimumMemberus-gaap:SoftwareAndSoftwareDevelopmentCostsMember2022-01-012022-12-310000927628srt:MaximumMemberus-gaap:SoftwareAndSoftwareDevelopmentCostsMember2022-01-0120</w:t>
      </w:r>
      <w:r>
        <w:rPr>
          <w:rFonts w:eastAsia="Times New Roman"/>
          <w:vanish/>
        </w:rPr>
        <w:t>22-12-310000927628us-gaap:CollaborativeArrangementMember2021-01-012021-12-310000927628us-gaap:CollaborativeArrangementMember2020-01-012020-12-310000927628us-gaap:AvailableforsaleSecuritiesMemberus-gaap:GovernmentContractsConcentrationRiskMemberus-gaap:USTr</w:t>
      </w:r>
      <w:r>
        <w:rPr>
          <w:rFonts w:eastAsia="Times New Roman"/>
          <w:vanish/>
        </w:rPr>
        <w:t>easuryAndGovernmentMember2022-12-312022-12-31xbrli:pure0000927628us-gaap:AvailableforsaleSecuritiesMemberus-gaap:GovernmentContractsConcentrationRiskMemberus-gaap:USTreasuryAndGovernmentMember2021-12-312021-12-3100009276282022-12-312022-12-3100009276282021</w:t>
      </w:r>
      <w:r>
        <w:rPr>
          <w:rFonts w:eastAsia="Times New Roman"/>
          <w:vanish/>
        </w:rPr>
        <w:t>-12-312021-12-310000927628us-gaap:USTreasurySecuritiesMember2022-12-310000927628cof:ResidentialMortgageBackedSecuritiesAgencyMember2022-12-310000927628cof:ResidentialMortgageBackedSecuritiesNonagencyMember2022-12-310000927628us-gaap:ResidentialMortgageBack</w:t>
      </w:r>
      <w:r>
        <w:rPr>
          <w:rFonts w:eastAsia="Times New Roman"/>
          <w:vanish/>
        </w:rPr>
        <w:t>edSecuritiesMember2022-12-310000927628cof:CommercialMortgageBackedSecuritiesAgencyMember2022-12-310000927628us-gaap:OtherDebtSecuritiesMember2022-12-310000927628us-gaap:USTreasurySecuritiesMember2021-12-310000927628cof:ResidentialMortgageBackedSecuritiesAg</w:t>
      </w:r>
      <w:r>
        <w:rPr>
          <w:rFonts w:eastAsia="Times New Roman"/>
          <w:vanish/>
        </w:rPr>
        <w:t>encyMember2021-12-310000927628cof:ResidentialMortgageBackedSecuritiesNonagencyMember2021-12-310000927628us-gaap:ResidentialMortgageBackedSecuritiesMember2021-12-310000927628cof:CommercialMortgageBackedSecuritiesAgencyMember2021-12-310000927628us-gaap:Other</w:t>
      </w:r>
      <w:r>
        <w:rPr>
          <w:rFonts w:eastAsia="Times New Roman"/>
          <w:vanish/>
        </w:rPr>
        <w:t>DebtSecuritiesMember2021-12-310000927628us-gaap:AssetBackedSecuritiesMember2022-12-310000927628us-gaap:AssetBackedSecuritiesMember2021-12-31cof:security0000927628us-gaap:ResidentialMortgageBackedSecuritiesMember2022-01-012022-12-310000927628cof:CommercialM</w:t>
      </w:r>
      <w:r>
        <w:rPr>
          <w:rFonts w:eastAsia="Times New Roman"/>
          <w:vanish/>
        </w:rPr>
        <w:t>ortgageBackedSecuritiesAgencyMember2022-01-012022-12-310000927628cof:CreditCardPortfolioSegmentMemberus-gaap:GeographicDistributionDomesticMember2022-12-310000927628us-gaap:FinancingReceivables30To59DaysPastDueMembercof:CreditCardPortfolioSegmentMemberus-g</w:t>
      </w:r>
      <w:r>
        <w:rPr>
          <w:rFonts w:eastAsia="Times New Roman"/>
          <w:vanish/>
        </w:rPr>
        <w:t>aap:GeographicDistributionDomesticMember2022-12-310000927628cof:CreditCardPortfolioSegmentMemberus-gaap:FinancingReceivables60To89DaysPastDueMemberus-gaap:GeographicDistributionDomesticMember2022-12-310000927628cof:CreditCardPortfolioSegmentMemberus-gaap:F</w:t>
      </w:r>
      <w:r>
        <w:rPr>
          <w:rFonts w:eastAsia="Times New Roman"/>
          <w:vanish/>
        </w:rPr>
        <w:t>inancingReceivablesEqualToGreaterThan90DaysPastDueMemberus-gaap:GeographicDistributionDomesticMember2022-12-310000927628cof:CreditCardPortfolioSegmentMemberus-gaap:FinancialAssetPastDueMemberus-gaap:GeographicDistributionDomesticMember2022-12-310000927628u</w:t>
      </w:r>
      <w:r>
        <w:rPr>
          <w:rFonts w:eastAsia="Times New Roman"/>
          <w:vanish/>
        </w:rPr>
        <w:t>s-gaap:GeographicDistributionForeignMembercof:CreditCardPortfolioSegmentMember2022-12-310000927628us-gaap:FinancingReceivables30To59DaysPastDueMemberus-gaap:GeographicDistributionForeignMembercof:CreditCardPortfolioSegmentMember2022-12-310000927628us-gaap:</w:t>
      </w:r>
      <w:r>
        <w:rPr>
          <w:rFonts w:eastAsia="Times New Roman"/>
          <w:vanish/>
        </w:rPr>
        <w:t>GeographicDistributionForeignMembercof:CreditCardPortfolioSegmentMemberus-gaap:FinancingReceivables60To89DaysPastDueMember2022-12-310000927628us-gaap:GeographicDistributionForeignMembercof:CreditCardPortfolioSegmentMemberus-gaap:FinancingReceivablesEqualTo</w:t>
      </w:r>
      <w:r>
        <w:rPr>
          <w:rFonts w:eastAsia="Times New Roman"/>
          <w:vanish/>
        </w:rPr>
        <w:t>GreaterThan90DaysPastDueMember2022-12-310000927628us-gaap:GeographicDistributionForeignMembercof:CreditCardPortfolioSegmentMemberus-gaap:FinancialAssetPastDueMember2022-12-310000927628cof:CreditCardPortfolioSegmentMember2022-12-310000927628us-gaap:Financin</w:t>
      </w:r>
      <w:r>
        <w:rPr>
          <w:rFonts w:eastAsia="Times New Roman"/>
          <w:vanish/>
        </w:rPr>
        <w:t>gReceivables30To59DaysPastDueMembercof:CreditCardPortfolioSegmentMember2022-12-310000927628cof:CreditCardPortfolioSegmentMemberus-gaap:FinancingReceivables60To89DaysPastDueMember2022-12-310000927628cof:CreditCardPortfolioSegmentMemberus-gaap:FinancingRecei</w:t>
      </w:r>
      <w:r>
        <w:rPr>
          <w:rFonts w:eastAsia="Times New Roman"/>
          <w:vanish/>
        </w:rPr>
        <w:t>vablesEqualToGreaterThan90DaysPastDueMember2022-12-310000927628cof:CreditCardPortfolioSegmentMemberus-gaap:FinancialAssetPastDueMember2022-12-310000927628us-gaap:AutomobileLoanMemberus-gaap:ConsumerPortfolioSegmentMember2022-12-310000927628us-gaap:Financin</w:t>
      </w:r>
      <w:r>
        <w:rPr>
          <w:rFonts w:eastAsia="Times New Roman"/>
          <w:vanish/>
        </w:rPr>
        <w:t>gReceivables30To59DaysPastDueMemberus-gaap:AutomobileLoanMemberus-gaap:ConsumerPortfolioSegmentMember2022-12-310000927628us-gaap:AutomobileLoanMemberus-gaap:FinancingReceivables60To89DaysPastDueMemberus-gaap:ConsumerPortfolioSegmentMember2022-12-3100009276</w:t>
      </w:r>
      <w:r>
        <w:rPr>
          <w:rFonts w:eastAsia="Times New Roman"/>
          <w:vanish/>
        </w:rPr>
        <w:t>28us-gaap:AutomobileLoanMemberus-gaap:FinancingReceivablesEqualToGreaterThan90DaysPastDueMemberus-gaap:ConsumerPortfolioSegmentMember2022-12-310000927628us-gaap:AutomobileLoanMemberus-gaap:FinancialAssetPastDueMemberus-gaap:ConsumerPortfolioSegmentMember20</w:t>
      </w:r>
      <w:r>
        <w:rPr>
          <w:rFonts w:eastAsia="Times New Roman"/>
          <w:vanish/>
        </w:rPr>
        <w:t>22-12-310000927628cof:RetailBankingMemberus-gaap:ConsumerPortfolioSegmentMember2022-12-310000927628cof:RetailBankingMemberus-gaap:FinancingReceivables30To59DaysPastDueMemberus-gaap:ConsumerPortfolioSegmentMember2022-12-310000927628cof:RetailBankingMemberus</w:t>
      </w:r>
      <w:r>
        <w:rPr>
          <w:rFonts w:eastAsia="Times New Roman"/>
          <w:vanish/>
        </w:rPr>
        <w:t>-gaap:FinancingReceivables60To89DaysPastDueMemberus-gaap:ConsumerPortfolioSegmentMember2022-12-310000927628cof:RetailBankingMemberus-gaap:FinancingReceivablesEqualToGreaterThan90DaysPastDueMemberus-gaap:ConsumerPortfolioSegmentMember2022-12-310000927628cof</w:t>
      </w:r>
      <w:r>
        <w:rPr>
          <w:rFonts w:eastAsia="Times New Roman"/>
          <w:vanish/>
        </w:rPr>
        <w:t>:RetailBankingMemberus-gaap:FinancialAssetPastDueMemberus-gaap:ConsumerPortfolioSegmentMember2022-12-310000927628us-gaap:ConsumerPortfolioSegmentMember2022-12-310000927628us-gaap:FinancingReceivables30To59DaysPastDueMemberus-gaap:ConsumerPortfolioSegmentMe</w:t>
      </w:r>
      <w:r>
        <w:rPr>
          <w:rFonts w:eastAsia="Times New Roman"/>
          <w:vanish/>
        </w:rPr>
        <w:t>mber2022-12-310000927628us-gaap:FinancingReceivables60To89DaysPastDueMemberus-gaap:ConsumerPortfolioSegmentMember2022-12-310000927628us-gaap:FinancingReceivablesEqualToGreaterThan90DaysPastDueMemberus-gaap:ConsumerPortfolioSegmentMember2022-12-310000927628</w:t>
      </w:r>
      <w:r>
        <w:rPr>
          <w:rFonts w:eastAsia="Times New Roman"/>
          <w:vanish/>
        </w:rPr>
        <w:t>us-gaap:FinancialAssetPastDueMemberus-gaap:ConsumerPortfolioSegmentMember2022-12-310000927628us-gaap:CommercialPortfolioSegmentMembercof:CommercialAndMultifamilyRealEstateMember2022-12-310000927628us-gaap:FinancingReceivables30To59DaysPastDueMemberus-gaap:</w:t>
      </w:r>
      <w:r>
        <w:rPr>
          <w:rFonts w:eastAsia="Times New Roman"/>
          <w:vanish/>
        </w:rPr>
        <w:t>CommercialPortfolioSegmentMembercof:CommercialAndMultifamilyRealEstateMember2022-12-310000927628us-gaap:CommercialPortfolioSegmentMemberus-gaap:FinancingReceivables60To89DaysPastDueMembercof:CommercialAndMultifamilyRealEstateMember2022-12-310000927628us-ga</w:t>
      </w:r>
      <w:r>
        <w:rPr>
          <w:rFonts w:eastAsia="Times New Roman"/>
          <w:vanish/>
        </w:rPr>
        <w:t>ap:CommercialPortfolioSegmentMemberus-gaap:FinancingReceivablesEqualToGreaterThan90DaysPastDueMembercof:CommercialAndMultifamilyRealEstateMember2022-12-310000927628us-gaap:CommercialPortfolioSegmentMemberus-gaap:FinancialAssetPastDueMembercof:CommercialAnd</w:t>
      </w:r>
      <w:r>
        <w:rPr>
          <w:rFonts w:eastAsia="Times New Roman"/>
          <w:vanish/>
        </w:rPr>
        <w:t>MultifamilyRealEstateMember2022-12-310000927628us-gaap:CommercialPortfolioSegmentMembercof:CommercialAndIndustrialMember2022-12-310000927628us-gaap:FinancingReceivables30To59DaysPastDueMemberus-gaap:CommercialPortfolioSegmentMembercof:CommercialAndIndustri</w:t>
      </w:r>
      <w:r>
        <w:rPr>
          <w:rFonts w:eastAsia="Times New Roman"/>
          <w:vanish/>
        </w:rPr>
        <w:t>alMember2022-12-310000927628us-gaap:CommercialPortfolioSegmentMembercof:CommercialAndIndustrialMemberus-gaap:FinancingReceivables60To89DaysPastDueMember2022-12-310000927628us-gaap:CommercialPortfolioSegmentMembercof:CommercialAndIndustrialMemberus-gaap:Fin</w:t>
      </w:r>
      <w:r>
        <w:rPr>
          <w:rFonts w:eastAsia="Times New Roman"/>
          <w:vanish/>
        </w:rPr>
        <w:t>ancingReceivablesEqualToGreaterThan90DaysPastDueMember2022-12-310000927628us-gaap:CommercialPortfolioSegmentMemberus-gaap:FinancialAssetPastDueMembercof:CommercialAndIndustrialMember2022-12-310000927628us-gaap:CommercialPortfolioSegmentMember2022-12-310000</w:t>
      </w:r>
      <w:r>
        <w:rPr>
          <w:rFonts w:eastAsia="Times New Roman"/>
          <w:vanish/>
        </w:rPr>
        <w:t>927628us-gaap:FinancingReceivables30To59DaysPastDueMemberus-gaap:CommercialPortfolioSegmentMember2022-12-310000927628us-gaap:CommercialPortfolioSegmentMemberus-gaap:FinancingReceivables60To89DaysPastDueMember2022-12-310000927628us-gaap:CommercialPortfolioS</w:t>
      </w:r>
      <w:r>
        <w:rPr>
          <w:rFonts w:eastAsia="Times New Roman"/>
          <w:vanish/>
        </w:rPr>
        <w:t>egmentMemberus-gaap:FinancingReceivablesEqualToGreaterThan90DaysPastDueMember2022-12-310000927628us-gaap:CommercialPortfolioSegmentMemberus-gaap:FinancialAssetPastDueMember2022-12-310000927628us-gaap:FinancingReceivables30To59DaysPastDueMember2022-12-31000</w:t>
      </w:r>
      <w:r>
        <w:rPr>
          <w:rFonts w:eastAsia="Times New Roman"/>
          <w:vanish/>
        </w:rPr>
        <w:t>0927628us-gaap:FinancingReceivables60To89DaysPastDueMember2022-12-310000927628us-gaap:FinancingReceivablesEqualToGreaterThan90DaysPastDueMember2022-12-310000927628us-gaap:FinancialAssetPastDueMember2022-12-310000927628cof:CreditCardPortfolioSegmentMemberus</w:t>
      </w:r>
      <w:r>
        <w:rPr>
          <w:rFonts w:eastAsia="Times New Roman"/>
          <w:vanish/>
        </w:rPr>
        <w:t>-gaap:GeographicDistributionDomesticMember2021-12-310000927628us-gaap:FinancingReceivables30To59DaysPastDueMembercof:CreditCardPortfolioSegmentMemberus-gaap:GeographicDistributionDomesticMember2021-12-310000927628cof:CreditCardPortfolioSegmentMemberus-gaap</w:t>
      </w:r>
      <w:r>
        <w:rPr>
          <w:rFonts w:eastAsia="Times New Roman"/>
          <w:vanish/>
        </w:rPr>
        <w:t>:FinancingReceivables60To89DaysPastDueMemberus-gaap:GeographicDistributionDomesticMember2021-12-310000927628cof:CreditCardPortfolioSegmentMemberus-gaap:FinancingReceivablesEqualToGreaterThan90DaysPastDueMemberus-gaap:GeographicDistributionDomesticMember202</w:t>
      </w:r>
      <w:r>
        <w:rPr>
          <w:rFonts w:eastAsia="Times New Roman"/>
          <w:vanish/>
        </w:rPr>
        <w:t>1-12-310000927628cof:CreditCardPortfolioSegmentMemberus-gaap:FinancialAssetPastDueMemberus-gaap:GeographicDistributionDomesticMember2021-12-310000927628us-gaap:GeographicDistributionForeignMembercof:CreditCardPortfolioSegmentMember2021-12-310000927628us-ga</w:t>
      </w:r>
      <w:r>
        <w:rPr>
          <w:rFonts w:eastAsia="Times New Roman"/>
          <w:vanish/>
        </w:rPr>
        <w:t>ap:FinancingReceivables30To59DaysPastDueMemberus-gaap:GeographicDistributionForeignMembercof:CreditCardPortfolioSegmentMember2021-12-310000927628us-gaap:GeographicDistributionForeignMembercof:CreditCardPortfolioSegmentMemberus-gaap:FinancingReceivables60To</w:t>
      </w:r>
      <w:r>
        <w:rPr>
          <w:rFonts w:eastAsia="Times New Roman"/>
          <w:vanish/>
        </w:rPr>
        <w:t>89DaysPastDueMember2021-12-310000927628us-gaap:GeographicDistributionForeignMembercof:CreditCardPortfolioSegmentMemberus-gaap:FinancingReceivablesEqualToGreaterThan90DaysPastDueMember2021-12-310000927628us-gaap:GeographicDistributionForeignMembercof:Credit</w:t>
      </w:r>
      <w:r>
        <w:rPr>
          <w:rFonts w:eastAsia="Times New Roman"/>
          <w:vanish/>
        </w:rPr>
        <w:t>CardPortfolioSegmentMemberus-gaap:FinancialAssetPastDueMember2021-12-310000927628cof:CreditCardPortfolioSegmentMember2021-12-310000927628us-gaap:FinancingReceivables30To59DaysPastDueMembercof:CreditCardPortfolioSegmentMember2021-12-310000927628cof:CreditCa</w:t>
      </w:r>
      <w:r>
        <w:rPr>
          <w:rFonts w:eastAsia="Times New Roman"/>
          <w:vanish/>
        </w:rPr>
        <w:t>rdPortfolioSegmentMemberus-gaap:FinancingReceivables60To89DaysPastDueMember2021-12-310000927628cof:CreditCardPortfolioSegmentMemberus-gaap:FinancingReceivablesEqualToGreaterThan90DaysPastDueMember2021-12-310000927628cof:CreditCardPortfolioSegmentMemberus-g</w:t>
      </w:r>
      <w:r>
        <w:rPr>
          <w:rFonts w:eastAsia="Times New Roman"/>
          <w:vanish/>
        </w:rPr>
        <w:t>aap:FinancialAssetPastDueMember2021-12-310000927628us-gaap:AutomobileLoanMemberus-gaap:ConsumerPortfolioSegmentMember2021-12-310000927628us-gaap:FinancingReceivables30To59DaysPastDueMemberus-gaap:AutomobileLoanMemberus-gaap:ConsumerPortfolioSegmentMember20</w:t>
      </w:r>
      <w:r>
        <w:rPr>
          <w:rFonts w:eastAsia="Times New Roman"/>
          <w:vanish/>
        </w:rPr>
        <w:t>21-12-310000927628us-gaap:AutomobileLoanMemberus-gaap:FinancingReceivables60To89DaysPastDueMemberus-gaap:ConsumerPortfolioSegmentMember2021-12-310000927628us-gaap:AutomobileLoanMemberus-gaap:FinancingReceivablesEqualToGreaterThan90DaysPastDueMemberus-gaap:</w:t>
      </w:r>
      <w:r>
        <w:rPr>
          <w:rFonts w:eastAsia="Times New Roman"/>
          <w:vanish/>
        </w:rPr>
        <w:t>ConsumerPortfolioSegmentMember2021-12-310000927628us-gaap:AutomobileLoanMemberus-gaap:FinancialAssetPastDueMemberus-gaap:ConsumerPortfolioSegmentMember2021-12-310000927628cof:RetailBankingMemberus-gaap:ConsumerPortfolioSegmentMember2021-12-310000927628cof:</w:t>
      </w:r>
      <w:r>
        <w:rPr>
          <w:rFonts w:eastAsia="Times New Roman"/>
          <w:vanish/>
        </w:rPr>
        <w:t>RetailBankingMemberus-gaap:FinancingReceivables30To59DaysPastDueMemberus-gaap:ConsumerPortfolioSegmentMember2021-12-310000927628cof:RetailBankingMemberus-gaap:FinancingReceivables60To89DaysPastDueMemberus-gaap:ConsumerPortfolioSegmentMember2021-12-31000092</w:t>
      </w:r>
      <w:r>
        <w:rPr>
          <w:rFonts w:eastAsia="Times New Roman"/>
          <w:vanish/>
        </w:rPr>
        <w:t>7628cof:RetailBankingMemberus-gaap:FinancingReceivablesEqualToGreaterThan90DaysPastDueMemberus-gaap:ConsumerPortfolioSegmentMember2021-12-310000927628cof:RetailBankingMemberus-gaap:FinancialAssetPastDueMemberus-gaap:ConsumerPortfolioSegmentMember2021-12-31</w:t>
      </w:r>
      <w:r>
        <w:rPr>
          <w:rFonts w:eastAsia="Times New Roman"/>
          <w:vanish/>
        </w:rPr>
        <w:t>0000927628us-gaap:ConsumerPortfolioSegmentMember2021-12-310000927628us-gaap:FinancingReceivables30To59DaysPastDueMemberus-gaap:ConsumerPortfolioSegmentMember2021-12-310000927628us-gaap:FinancingReceivables60To89DaysPastDueMemberus-gaap:ConsumerPortfolioSeg</w:t>
      </w:r>
      <w:r>
        <w:rPr>
          <w:rFonts w:eastAsia="Times New Roman"/>
          <w:vanish/>
        </w:rPr>
        <w:t>mentMember2021-12-310000927628us-gaap:FinancingReceivablesEqualToGreaterThan90DaysPastDueMemberus-gaap:ConsumerPortfolioSegmentMember2021-12-310000927628us-gaap:FinancialAssetPastDueMemberus-gaap:ConsumerPortfolioSegmentMember2021-12-310000927628us-gaap:Co</w:t>
      </w:r>
      <w:r>
        <w:rPr>
          <w:rFonts w:eastAsia="Times New Roman"/>
          <w:vanish/>
        </w:rPr>
        <w:t>mmercialPortfolioSegmentMembercof:CommercialAndMultifamilyRealEstateMember2021-12-310000927628us-gaap:FinancingReceivables30To59DaysPastDueMemberus-gaap:CommercialPortfolioSegmentMembercof:CommercialAndMultifamilyRealEstateMember2021-12-310000927628us-gaap</w:t>
      </w:r>
      <w:r>
        <w:rPr>
          <w:rFonts w:eastAsia="Times New Roman"/>
          <w:vanish/>
        </w:rPr>
        <w:t>:CommercialPortfolioSegmentMemberus-gaap:FinancingReceivables60To89DaysPastDueMembercof:CommercialAndMultifamilyRealEstateMember2021-12-310000927628us-gaap:CommercialPortfolioSegmentMemberus-gaap:FinancingReceivablesEqualToGreaterThan90DaysPastDueMembercof</w:t>
      </w:r>
      <w:r>
        <w:rPr>
          <w:rFonts w:eastAsia="Times New Roman"/>
          <w:vanish/>
        </w:rPr>
        <w:t>:CommercialAndMultifamilyRealEstateMember2021-12-310000927628us-gaap:CommercialPortfolioSegmentMemberus-gaap:FinancialAssetPastDueMembercof:CommercialAndMultifamilyRealEstateMember2021-12-310000927628us-gaap:CommercialPortfolioSegmentMembercof:CommercialAn</w:t>
      </w:r>
      <w:r>
        <w:rPr>
          <w:rFonts w:eastAsia="Times New Roman"/>
          <w:vanish/>
        </w:rPr>
        <w:t>dIndustrialMember2021-12-310000927628us-gaap:FinancingReceivables30To59DaysPastDueMemberus-gaap:CommercialPortfolioSegmentMembercof:CommercialAndIndustrialMember2021-12-310000927628us-gaap:CommercialPortfolioSegmentMembercof:CommercialAndIndustrialMemberus</w:t>
      </w:r>
      <w:r>
        <w:rPr>
          <w:rFonts w:eastAsia="Times New Roman"/>
          <w:vanish/>
        </w:rPr>
        <w:t>-gaap:FinancingReceivables60To89DaysPastDueMember2021-12-310000927628us-gaap:CommercialPortfolioSegmentMembercof:CommercialAndIndustrialMemberus-gaap:FinancingReceivablesEqualToGreaterThan90DaysPastDueMember2021-12-310000927628us-gaap:CommercialPortfolioSe</w:t>
      </w:r>
      <w:r>
        <w:rPr>
          <w:rFonts w:eastAsia="Times New Roman"/>
          <w:vanish/>
        </w:rPr>
        <w:t>gmentMemberus-gaap:FinancialAssetPastDueMembercof:CommercialAndIndustrialMember2021-12-310000927628us-gaap:CommercialPortfolioSegmentMember2021-12-310000927628us-gaap:FinancingReceivables30To59DaysPastDueMemberus-gaap:CommercialPortfolioSegmentMember2021-1</w:t>
      </w:r>
      <w:r>
        <w:rPr>
          <w:rFonts w:eastAsia="Times New Roman"/>
          <w:vanish/>
        </w:rPr>
        <w:t>2-310000927628us-gaap:CommercialPortfolioSegmentMemberus-gaap:FinancingReceivables60To89DaysPastDueMember2021-12-310000927628us-gaap:CommercialPortfolioSegmentMemberus-gaap:FinancingReceivablesEqualToGreaterThan90DaysPastDueMember2021-12-310000927628us-gaa</w:t>
      </w:r>
      <w:r>
        <w:rPr>
          <w:rFonts w:eastAsia="Times New Roman"/>
          <w:vanish/>
        </w:rPr>
        <w:t>p:CommercialPortfolioSegmentMemberus-gaap:FinancialAssetPastDueMember2021-12-310000927628us-gaap:FinancingReceivables30To59DaysPastDueMember2021-12-310000927628us-gaap:FinancingReceivables60To89DaysPastDueMember2021-12-310000927628us-gaap:FinancingReceivab</w:t>
      </w:r>
      <w:r>
        <w:rPr>
          <w:rFonts w:eastAsia="Times New Roman"/>
          <w:vanish/>
        </w:rPr>
        <w:t>lesEqualToGreaterThan90DaysPastDueMember2021-12-310000927628us-gaap:FinancialAssetPastDueMember2021-12-310000927628cof:FinancialAssetCurrentAndLessThan30DaysPastDueMembercof:CreditCardPortfolioSegmentMemberus-gaap:GeographicDistributionDomesticMember2022-1</w:t>
      </w:r>
      <w:r>
        <w:rPr>
          <w:rFonts w:eastAsia="Times New Roman"/>
          <w:vanish/>
        </w:rPr>
        <w:t>2-310000927628cof:FinancialAssetCurrentAndLessThan30DaysPastDueMembercof:CreditCardPortfolioSegmentMemberus-gaap:GeographicDistributionDomesticMember2021-12-310000927628cof:FinancialAssetCurrentAndLessThan30DaysPastDueMemberus-gaap:GeographicDistributionFo</w:t>
      </w:r>
      <w:r>
        <w:rPr>
          <w:rFonts w:eastAsia="Times New Roman"/>
          <w:vanish/>
        </w:rPr>
        <w:t>reignMembercof:CreditCardPortfolioSegmentMember2022-12-310000927628cof:FinancialAssetCurrentAndLessThan30DaysPastDueMemberus-gaap:GeographicDistributionForeignMembercof:CreditCardPortfolioSegmentMember2021-12-310000927628cof:FICOScoreGreaterThan660Memberus</w:t>
      </w:r>
      <w:r>
        <w:rPr>
          <w:rFonts w:eastAsia="Times New Roman"/>
          <w:vanish/>
        </w:rPr>
        <w:t>-gaap:AutomobileLoanMemberus-gaap:ConsumerPortfolioSegmentMember2022-12-310000927628us-gaap:AutomobileLoanMembercof:FICOScore621To660Memberus-gaap:ConsumerPortfolioSegmentMember2022-12-310000927628us-gaap:AutomobileLoanMembercof:FICOScoreLessThan620Memberu</w:t>
      </w:r>
      <w:r>
        <w:rPr>
          <w:rFonts w:eastAsia="Times New Roman"/>
          <w:vanish/>
        </w:rPr>
        <w:t>s-gaap:ConsumerPortfolioSegmentMember2022-12-310000927628cof:RetailBankingMembercof:FinancialAssetCurrentAndLessThan30DaysPastDueMemberus-gaap:ConsumerPortfolioSegmentMember2022-12-310000927628cof:FICOScoreGreaterThan660Memberus-gaap:AutomobileLoanMemberus</w:t>
      </w:r>
      <w:r>
        <w:rPr>
          <w:rFonts w:eastAsia="Times New Roman"/>
          <w:vanish/>
        </w:rPr>
        <w:t>-gaap:ConsumerPortfolioSegmentMember2021-12-310000927628us-gaap:AutomobileLoanMembercof:FICOScore621To660Memberus-gaap:ConsumerPortfolioSegmentMember2021-12-310000927628us-gaap:AutomobileLoanMembercof:FICOScoreLessThan620Memberus-gaap:ConsumerPortfolioSegm</w:t>
      </w:r>
      <w:r>
        <w:rPr>
          <w:rFonts w:eastAsia="Times New Roman"/>
          <w:vanish/>
        </w:rPr>
        <w:t>entMember2021-12-310000927628cof:RetailBankingMembercof:FinancialAssetCurrentAndLessThan30DaysPastDueMemberus-gaap:ConsumerPortfolioSegmentMember2021-12-310000927628us-gaap:CommercialPortfolioSegmentMember2022-01-012022-12-310000927628us-gaap:PassMemberus-</w:t>
      </w:r>
      <w:r>
        <w:rPr>
          <w:rFonts w:eastAsia="Times New Roman"/>
          <w:vanish/>
        </w:rPr>
        <w:t>gaap:CommercialPortfolioSegmentMembercof:CommercialAndMultifamilyRealEstateMember2022-12-310000927628us-gaap:CommercialPortfolioSegmentMemberus-gaap:PerformingFinancingReceivableMembercof:CommercialAndMultifamilyRealEstateMemberus-gaap:CriticizedMember2022</w:t>
      </w:r>
      <w:r>
        <w:rPr>
          <w:rFonts w:eastAsia="Times New Roman"/>
          <w:vanish/>
        </w:rPr>
        <w:t>-12-310000927628us-gaap:NonperformingFinancingReceivableMemberus-gaap:CommercialPortfolioSegmentMembercof:CommercialAndMultifamilyRealEstateMemberus-gaap:CriticizedMember2022-12-310000927628us-gaap:PassMemberus-gaap:CommercialPortfolioSegmentMembercof:Comm</w:t>
      </w:r>
      <w:r>
        <w:rPr>
          <w:rFonts w:eastAsia="Times New Roman"/>
          <w:vanish/>
        </w:rPr>
        <w:t>ercialAndIndustrialMember2022-12-310000927628us-gaap:CommercialPortfolioSegmentMemberus-gaap:PerformingFinancingReceivableMembercof:CommercialAndIndustrialMemberus-gaap:CriticizedMember2022-12-310000927628us-gaap:NonperformingFinancingReceivableMemberus-ga</w:t>
      </w:r>
      <w:r>
        <w:rPr>
          <w:rFonts w:eastAsia="Times New Roman"/>
          <w:vanish/>
        </w:rPr>
        <w:t>ap:CommercialPortfolioSegmentMembercof:CommercialAndIndustrialMemberus-gaap:CriticizedMember2022-12-310000927628us-gaap:PassMemberus-gaap:CommercialPortfolioSegmentMembercof:CommercialAndMultifamilyRealEstateMember2021-12-310000927628us-gaap:CommercialPort</w:t>
      </w:r>
      <w:r>
        <w:rPr>
          <w:rFonts w:eastAsia="Times New Roman"/>
          <w:vanish/>
        </w:rPr>
        <w:t>folioSegmentMemberus-gaap:PerformingFinancingReceivableMembercof:CommercialAndMultifamilyRealEstateMemberus-gaap:CriticizedMember2021-12-310000927628us-gaap:NonperformingFinancingReceivableMemberus-gaap:CommercialPortfolioSegmentMembercof:CommercialAndMult</w:t>
      </w:r>
      <w:r>
        <w:rPr>
          <w:rFonts w:eastAsia="Times New Roman"/>
          <w:vanish/>
        </w:rPr>
        <w:t>ifamilyRealEstateMemberus-gaap:CriticizedMember2021-12-310000927628us-gaap:PassMemberus-gaap:CommercialPortfolioSegmentMembercof:CommercialAndIndustrialMember2021-12-310000927628us-gaap:CommercialPortfolioSegmentMemberus-gaap:PerformingFinancingReceivableM</w:t>
      </w:r>
      <w:r>
        <w:rPr>
          <w:rFonts w:eastAsia="Times New Roman"/>
          <w:vanish/>
        </w:rPr>
        <w:t>embercof:CommercialAndIndustrialMemberus-gaap:CriticizedMember2021-12-310000927628us-gaap:NonperformingFinancingReceivableMemberus-gaap:CommercialPortfolioSegmentMembercof:CommercialAndIndustrialMemberus-gaap:CriticizedMember2021-12-310000927628us-gaap:Per</w:t>
      </w:r>
      <w:r>
        <w:rPr>
          <w:rFonts w:eastAsia="Times New Roman"/>
          <w:vanish/>
        </w:rPr>
        <w:t>formingFinancingReceivableMembercof:CreditCardandConsumerPortfoliosMember2022-12-310000927628us-gaap:PerformingFinancingReceivableMembercof:CreditCardandConsumerPortfoliosMember2021-12-310000927628us-gaap:CommercialPortfolioSegmentMemberus-gaap:PerformingF</w:t>
      </w:r>
      <w:r>
        <w:rPr>
          <w:rFonts w:eastAsia="Times New Roman"/>
          <w:vanish/>
        </w:rPr>
        <w:t>inancingReceivableMember2022-12-310000927628us-gaap:CommercialPortfolioSegmentMemberus-gaap:PerformingFinancingReceivableMember2021-12-310000927628cof:CreditCardPortfolioSegmentMemberus-gaap:GeographicDistributionDomesticMember2022-01-012022-12-31000092762</w:t>
      </w:r>
      <w:r>
        <w:rPr>
          <w:rFonts w:eastAsia="Times New Roman"/>
          <w:vanish/>
        </w:rPr>
        <w:t>8cof:CreditCardPortfolioSegmentMemberus-gaap:ContractualInterestRateReductionMemberus-gaap:GeographicDistributionDomesticMember2022-01-012022-12-310000927628us-gaap:GeographicDistributionForeignMembercof:CreditCardPortfolioSegmentMember2022-01-012022-12-31</w:t>
      </w:r>
      <w:r>
        <w:rPr>
          <w:rFonts w:eastAsia="Times New Roman"/>
          <w:vanish/>
        </w:rPr>
        <w:t>0000927628us-gaap:GeographicDistributionForeignMembercof:CreditCardPortfolioSegmentMemberus-gaap:ContractualInterestRateReductionMember2022-01-012022-12-310000927628cof:CreditCardPortfolioSegmentMemberus-gaap:ContractualInterestRateReductionMember2022-01-0</w:t>
      </w:r>
      <w:r>
        <w:rPr>
          <w:rFonts w:eastAsia="Times New Roman"/>
          <w:vanish/>
        </w:rPr>
        <w:t>12022-12-310000927628us-gaap:AutomobileLoanMemberus-gaap:ContractualInterestRateReductionMemberus-gaap:ConsumerPortfolioSegmentMember2022-01-012022-12-310000927628us-gaap:ExtendedMaturityMemberus-gaap:AutomobileLoanMemberus-gaap:ConsumerPortfolioSegmentMem</w:t>
      </w:r>
      <w:r>
        <w:rPr>
          <w:rFonts w:eastAsia="Times New Roman"/>
          <w:vanish/>
        </w:rPr>
        <w:t>ber2022-01-012022-12-310000927628cof:RetailBankingMemberus-gaap:ConsumerPortfolioSegmentMember2022-01-012022-12-310000927628cof:RetailBankingMemberus-gaap:ExtendedMaturityMemberus-gaap:ConsumerPortfolioSegmentMember2022-01-012022-12-310000927628us-gaap:Con</w:t>
      </w:r>
      <w:r>
        <w:rPr>
          <w:rFonts w:eastAsia="Times New Roman"/>
          <w:vanish/>
        </w:rPr>
        <w:t>tractualInterestRateReductionMemberus-gaap:ConsumerPortfolioSegmentMember2022-01-012022-12-310000927628us-gaap:ExtendedMaturityMemberus-gaap:ConsumerPortfolioSegmentMember2022-01-012022-12-310000927628us-gaap:CommercialPortfolioSegmentMembercof:CommercialA</w:t>
      </w:r>
      <w:r>
        <w:rPr>
          <w:rFonts w:eastAsia="Times New Roman"/>
          <w:vanish/>
        </w:rPr>
        <w:t>ndMultifamilyRealEstateMember2022-01-012022-12-310000927628us-gaap:CommercialPortfolioSegmentMemberus-gaap:ContractualInterestRateReductionMembercof:CommercialAndMultifamilyRealEstateMember2022-01-012022-12-310000927628us-gaap:ExtendedMaturityMemberus-gaap</w:t>
      </w:r>
      <w:r>
        <w:rPr>
          <w:rFonts w:eastAsia="Times New Roman"/>
          <w:vanish/>
        </w:rPr>
        <w:t>:CommercialPortfolioSegmentMembercof:CommercialAndMultifamilyRealEstateMember2022-01-012022-12-310000927628us-gaap:CommercialPortfolioSegmentMembercof:CommercialAndIndustrialMember2022-01-012022-12-310000927628us-gaap:ExtendedMaturityMemberus-gaap:Commerci</w:t>
      </w:r>
      <w:r>
        <w:rPr>
          <w:rFonts w:eastAsia="Times New Roman"/>
          <w:vanish/>
        </w:rPr>
        <w:t>alPortfolioSegmentMembercof:CommercialAndIndustrialMember2022-01-012022-12-310000927628us-gaap:CommercialPortfolioSegmentMemberus-gaap:ContractualInterestRateReductionMember2022-01-012022-12-310000927628us-gaap:ExtendedMaturityMemberus-gaap:CommercialPortf</w:t>
      </w:r>
      <w:r>
        <w:rPr>
          <w:rFonts w:eastAsia="Times New Roman"/>
          <w:vanish/>
        </w:rPr>
        <w:t>olioSegmentMember2022-01-012022-12-310000927628cof:CreditCardPortfolioSegmentMemberus-gaap:GeographicDistributionDomesticMember2021-01-012021-12-310000927628cof:CreditCardPortfolioSegmentMemberus-gaap:ContractualInterestRateReductionMemberus-gaap:Geographi</w:t>
      </w:r>
      <w:r>
        <w:rPr>
          <w:rFonts w:eastAsia="Times New Roman"/>
          <w:vanish/>
        </w:rPr>
        <w:t>cDistributionDomesticMember2021-01-012021-12-310000927628us-gaap:GeographicDistributionForeignMembercof:CreditCardPortfolioSegmentMember2021-01-012021-12-310000927628us-gaap:GeographicDistributionForeignMembercof:CreditCardPortfolioSegmentMemberus-gaap:Con</w:t>
      </w:r>
      <w:r>
        <w:rPr>
          <w:rFonts w:eastAsia="Times New Roman"/>
          <w:vanish/>
        </w:rPr>
        <w:t>tractualInterestRateReductionMember2021-01-012021-12-310000927628cof:CreditCardPortfolioSegmentMember2021-01-012021-12-310000927628cof:CreditCardPortfolioSegmentMemberus-gaap:ContractualInterestRateReductionMember2021-01-012021-12-310000927628us-gaap:Autom</w:t>
      </w:r>
      <w:r>
        <w:rPr>
          <w:rFonts w:eastAsia="Times New Roman"/>
          <w:vanish/>
        </w:rPr>
        <w:t>obileLoanMemberus-gaap:ConsumerPortfolioSegmentMember2021-01-012021-12-310000927628us-gaap:AutomobileLoanMemberus-gaap:ContractualInterestRateReductionMemberus-gaap:ConsumerPortfolioSegmentMember2021-01-012021-12-310000927628us-gaap:ExtendedMaturityMemberu</w:t>
      </w:r>
      <w:r>
        <w:rPr>
          <w:rFonts w:eastAsia="Times New Roman"/>
          <w:vanish/>
        </w:rPr>
        <w:t>s-gaap:AutomobileLoanMemberus-gaap:ConsumerPortfolioSegmentMember2021-01-012021-12-310000927628us-gaap:AutomobileLoanMemberus-gaap:PrincipalForgivenessMemberus-gaap:ConsumerPortfolioSegmentMember2021-01-012021-12-310000927628cof:RetailBankingMemberus-gaap:</w:t>
      </w:r>
      <w:r>
        <w:rPr>
          <w:rFonts w:eastAsia="Times New Roman"/>
          <w:vanish/>
        </w:rPr>
        <w:t>ConsumerPortfolioSegmentMember2021-01-012021-12-310000927628cof:RetailBankingMemberus-gaap:ContractualInterestRateReductionMemberus-gaap:ConsumerPortfolioSegmentMember2021-01-012021-12-310000927628cof:RetailBankingMemberus-gaap:ExtendedMaturityMemberus-gaa</w:t>
      </w:r>
      <w:r>
        <w:rPr>
          <w:rFonts w:eastAsia="Times New Roman"/>
          <w:vanish/>
        </w:rPr>
        <w:t>p:ConsumerPortfolioSegmentMember2021-01-012021-12-310000927628us-gaap:ConsumerPortfolioSegmentMember2021-01-012021-12-310000927628us-gaap:ContractualInterestRateReductionMemberus-gaap:ConsumerPortfolioSegmentMember2021-01-012021-12-310000927628us-gaap:Exte</w:t>
      </w:r>
      <w:r>
        <w:rPr>
          <w:rFonts w:eastAsia="Times New Roman"/>
          <w:vanish/>
        </w:rPr>
        <w:t>ndedMaturityMemberus-gaap:ConsumerPortfolioSegmentMember2021-01-012021-12-310000927628us-gaap:PrincipalForgivenessMemberus-gaap:ConsumerPortfolioSegmentMember2021-01-012021-12-310000927628us-gaap:CommercialPortfolioSegmentMembercof:CommercialAndMultifamily</w:t>
      </w:r>
      <w:r>
        <w:rPr>
          <w:rFonts w:eastAsia="Times New Roman"/>
          <w:vanish/>
        </w:rPr>
        <w:t>RealEstateMember2021-01-012021-12-310000927628us-gaap:CommercialPortfolioSegmentMemberus-gaap:ContractualInterestRateReductionMembercof:CommercialAndMultifamilyRealEstateMember2021-01-012021-12-310000927628us-gaap:ExtendedMaturityMemberus-gaap:CommercialPo</w:t>
      </w:r>
      <w:r>
        <w:rPr>
          <w:rFonts w:eastAsia="Times New Roman"/>
          <w:vanish/>
        </w:rPr>
        <w:t>rtfolioSegmentMembercof:CommercialAndMultifamilyRealEstateMember2021-01-012021-12-310000927628us-gaap:CommercialPortfolioSegmentMembercof:CommercialAndIndustrialMember2021-01-012021-12-310000927628us-gaap:ExtendedMaturityMemberus-gaap:CommercialPortfolioSe</w:t>
      </w:r>
      <w:r>
        <w:rPr>
          <w:rFonts w:eastAsia="Times New Roman"/>
          <w:vanish/>
        </w:rPr>
        <w:t>gmentMembercof:CommercialAndIndustrialMember2021-01-012021-12-310000927628us-gaap:CommercialPortfolioSegmentMember2021-01-012021-12-310000927628us-gaap:CommercialPortfolioSegmentMemberus-gaap:ContractualInterestRateReductionMember2021-01-012021-12-31000092</w:t>
      </w:r>
      <w:r>
        <w:rPr>
          <w:rFonts w:eastAsia="Times New Roman"/>
          <w:vanish/>
        </w:rPr>
        <w:t>7628us-gaap:ExtendedMaturityMemberus-gaap:CommercialPortfolioSegmentMember2021-01-012021-12-310000927628cof:CreditCardPortfolioSegmentMemberus-gaap:GeographicDistributionDomesticMember2020-01-012020-12-310000927628cof:CreditCardPortfolioSegmentMemberus-gaa</w:t>
      </w:r>
      <w:r>
        <w:rPr>
          <w:rFonts w:eastAsia="Times New Roman"/>
          <w:vanish/>
        </w:rPr>
        <w:t>p:ContractualInterestRateReductionMemberus-gaap:GeographicDistributionDomesticMember2020-01-012020-12-310000927628us-gaap:GeographicDistributionForeignMembercof:CreditCardPortfolioSegmentMember2020-01-012020-12-310000927628us-gaap:GeographicDistributionFor</w:t>
      </w:r>
      <w:r>
        <w:rPr>
          <w:rFonts w:eastAsia="Times New Roman"/>
          <w:vanish/>
        </w:rPr>
        <w:t>eignMembercof:CreditCardPortfolioSegmentMemberus-gaap:ContractualInterestRateReductionMember2020-01-012020-12-310000927628cof:CreditCardPortfolioSegmentMember2020-01-012020-12-310000927628cof:CreditCardPortfolioSegmentMemberus-gaap:ContractualInterestRateR</w:t>
      </w:r>
      <w:r>
        <w:rPr>
          <w:rFonts w:eastAsia="Times New Roman"/>
          <w:vanish/>
        </w:rPr>
        <w:t>eductionMember2020-01-012020-12-310000927628us-gaap:AutomobileLoanMemberus-gaap:ConsumerPortfolioSegmentMember2020-01-012020-12-310000927628us-gaap:AutomobileLoanMemberus-gaap:ContractualInterestRateReductionMemberus-gaap:ConsumerPortfolioSegmentMember2020</w:t>
      </w:r>
      <w:r>
        <w:rPr>
          <w:rFonts w:eastAsia="Times New Roman"/>
          <w:vanish/>
        </w:rPr>
        <w:t>-01-012020-12-310000927628us-gaap:ExtendedMaturityMemberus-gaap:AutomobileLoanMemberus-gaap:ConsumerPortfolioSegmentMember2020-01-012020-12-310000927628us-gaap:AutomobileLoanMemberus-gaap:PrincipalForgivenessMemberus-gaap:ConsumerPortfolioSegmentMember2020</w:t>
      </w:r>
      <w:r>
        <w:rPr>
          <w:rFonts w:eastAsia="Times New Roman"/>
          <w:vanish/>
        </w:rPr>
        <w:t>-01-012020-12-310000927628cof:RetailBankingMemberus-gaap:ConsumerPortfolioSegmentMember2020-01-012020-12-310000927628cof:RetailBankingMemberus-gaap:ContractualInterestRateReductionMemberus-gaap:ConsumerPortfolioSegmentMember2020-01-012020-12-310000927628co</w:t>
      </w:r>
      <w:r>
        <w:rPr>
          <w:rFonts w:eastAsia="Times New Roman"/>
          <w:vanish/>
        </w:rPr>
        <w:t>f:RetailBankingMemberus-gaap:ExtendedMaturityMemberus-gaap:ConsumerPortfolioSegmentMember2020-01-012020-12-310000927628us-gaap:ConsumerPortfolioSegmentMember2020-01-012020-12-310000927628us-gaap:ContractualInterestRateReductionMemberus-gaap:ConsumerPortfol</w:t>
      </w:r>
      <w:r>
        <w:rPr>
          <w:rFonts w:eastAsia="Times New Roman"/>
          <w:vanish/>
        </w:rPr>
        <w:t>ioSegmentMember2020-01-012020-12-310000927628us-gaap:ExtendedMaturityMemberus-gaap:ConsumerPortfolioSegmentMember2020-01-012020-12-310000927628us-gaap:PrincipalForgivenessMemberus-gaap:ConsumerPortfolioSegmentMember2020-01-012020-12-310000927628us-gaap:Com</w:t>
      </w:r>
      <w:r>
        <w:rPr>
          <w:rFonts w:eastAsia="Times New Roman"/>
          <w:vanish/>
        </w:rPr>
        <w:t>mercialPortfolioSegmentMembercof:CommercialAndMultifamilyRealEstateMember2020-01-012020-12-310000927628us-gaap:ExtendedMaturityMemberus-gaap:CommercialPortfolioSegmentMembercof:CommercialAndMultifamilyRealEstateMember2020-01-012020-12-310000927628us-gaap:C</w:t>
      </w:r>
      <w:r>
        <w:rPr>
          <w:rFonts w:eastAsia="Times New Roman"/>
          <w:vanish/>
        </w:rPr>
        <w:t>ommercialPortfolioSegmentMembercof:CommercialAndIndustrialMember2020-01-012020-12-310000927628us-gaap:CommercialPortfolioSegmentMemberus-gaap:ContractualInterestRateReductionMembercof:CommercialAndIndustrialMember2020-01-012020-12-310000927628us-gaap:Exten</w:t>
      </w:r>
      <w:r>
        <w:rPr>
          <w:rFonts w:eastAsia="Times New Roman"/>
          <w:vanish/>
        </w:rPr>
        <w:t>dedMaturityMemberus-gaap:CommercialPortfolioSegmentMembercof:CommercialAndIndustrialMember2020-01-012020-12-310000927628us-gaap:CommercialPortfolioSegmentMemberus-gaap:PrincipalForgivenessMembercof:CommercialAndIndustrialMember2020-01-012020-12-31000092762</w:t>
      </w:r>
      <w:r>
        <w:rPr>
          <w:rFonts w:eastAsia="Times New Roman"/>
          <w:vanish/>
        </w:rPr>
        <w:t>8us-gaap:CommercialPortfolioSegmentMember2020-01-012020-12-310000927628us-gaap:CommercialPortfolioSegmentMemberus-gaap:ContractualInterestRateReductionMember2020-01-012020-12-310000927628us-gaap:ExtendedMaturityMemberus-gaap:CommercialPortfolioSegmentMembe</w:t>
      </w:r>
      <w:r>
        <w:rPr>
          <w:rFonts w:eastAsia="Times New Roman"/>
          <w:vanish/>
        </w:rPr>
        <w:t>r2020-01-012020-12-310000927628us-gaap:CommercialPortfolioSegmentMemberus-gaap:PrincipalForgivenessMember2020-01-012020-12-31cof:contract0000927628cof:FederalHomeLoanbanksMember2022-12-310000927628cof:FederalHomeLoanbanksMember2021-12-310000927628cof:Feder</w:t>
      </w:r>
      <w:r>
        <w:rPr>
          <w:rFonts w:eastAsia="Times New Roman"/>
          <w:vanish/>
        </w:rPr>
        <w:t>alReserveDiscountWindowMember2022-12-310000927628cof:FederalReserveDiscountWindowMember2021-12-310000927628cof:CommercialAndMultifamilyRealEstateMember2022-01-012022-12-310000927628cof:CommercialAndMultifamilyRealEstateMember2021-01-012021-12-310000927628c</w:t>
      </w:r>
      <w:r>
        <w:rPr>
          <w:rFonts w:eastAsia="Times New Roman"/>
          <w:vanish/>
        </w:rPr>
        <w:t>of:CommercialAndMultifamilyRealEstateMember2020-01-012020-12-310000927628us-gaap:GeographicDistributionDomesticMembercof:DomesticCreditCardAndCommercialBankingPortfoliosMember2022-01-012022-12-310000927628us-gaap:GeographicDistributionDomesticMembercof:Dom</w:t>
      </w:r>
      <w:r>
        <w:rPr>
          <w:rFonts w:eastAsia="Times New Roman"/>
          <w:vanish/>
        </w:rPr>
        <w:t>esticCreditCardAndCommercialBankingPortfoliosMember2021-01-012021-12-310000927628us-gaap:AllowanceForLoanAndLeaseLossesMember2022-01-012022-12-310000927628us-gaap:AllowanceForLoanAndLeaseLossesMember2022-12-310000927628cof:CreditCardPortfolioSegmentMemberu</w:t>
      </w:r>
      <w:r>
        <w:rPr>
          <w:rFonts w:eastAsia="Times New Roman"/>
          <w:vanish/>
        </w:rPr>
        <w:t>s-gaap:AllowanceForLoanAndLeaseLossesMember2019-12-310000927628us-gaap:AllowanceForLoanAndLeaseLossesMemberus-gaap:ConsumerPortfolioSegmentMember2019-12-310000927628us-gaap:CommercialPortfolioSegmentMemberus-gaap:AllowanceForLoanAndLeaseLossesMember2019-12</w:t>
      </w:r>
      <w:r>
        <w:rPr>
          <w:rFonts w:eastAsia="Times New Roman"/>
          <w:vanish/>
        </w:rPr>
        <w:t>-310000927628us-gaap:AllowanceForLoanAndLeaseLossesMember2019-12-310000927628cof:CreditCardPortfolioSegmentMemberus-gaap:AllowanceForLoanAndLeaseLossesMembersrt:CumulativeEffectPeriodOfAdoptionAdjustmentMember2019-12-310000927628us-gaap:AllowanceForLoanAnd</w:t>
      </w:r>
      <w:r>
        <w:rPr>
          <w:rFonts w:eastAsia="Times New Roman"/>
          <w:vanish/>
        </w:rPr>
        <w:t>LeaseLossesMembersrt:CumulativeEffectPeriodOfAdoptionAdjustmentMemberus-gaap:ConsumerPortfolioSegmentMember2019-12-310000927628us-gaap:CommercialPortfolioSegmentMemberus-gaap:AllowanceForLoanAndLeaseLossesMembersrt:CumulativeEffectPeriodOfAdoptionAdjustmen</w:t>
      </w:r>
      <w:r>
        <w:rPr>
          <w:rFonts w:eastAsia="Times New Roman"/>
          <w:vanish/>
        </w:rPr>
        <w:t>tMember2019-12-310000927628us-gaap:AllowanceForLoanAndLeaseLossesMembersrt:CumulativeEffectPeriodOfAdoptionAdjustmentMember2019-12-310000927628us-gaap:ReclassificationOtherMembercof:CreditCardPortfolioSegmentMemberus-gaap:AllowanceForLoanAndLeaseLossesMemb</w:t>
      </w:r>
      <w:r>
        <w:rPr>
          <w:rFonts w:eastAsia="Times New Roman"/>
          <w:vanish/>
        </w:rPr>
        <w:t>er2019-12-310000927628us-gaap:ReclassificationOtherMemberus-gaap:AllowanceForLoanAndLeaseLossesMemberus-gaap:ConsumerPortfolioSegmentMember2019-12-310000927628us-gaap:ReclassificationOtherMemberus-gaap:CommercialPortfolioSegmentMemberus-gaap:AllowanceForLo</w:t>
      </w:r>
      <w:r>
        <w:rPr>
          <w:rFonts w:eastAsia="Times New Roman"/>
          <w:vanish/>
        </w:rPr>
        <w:t>anAndLeaseLossesMember2019-12-310000927628us-gaap:ReclassificationOtherMemberus-gaap:AllowanceForLoanAndLeaseLossesMember2019-12-310000927628cof:CreditCardPortfolioSegmentMembersrt:CumulativeEffectPeriodOfAdoptionAdjustedBalanceMemberus-gaap:AllowanceForLo</w:t>
      </w:r>
      <w:r>
        <w:rPr>
          <w:rFonts w:eastAsia="Times New Roman"/>
          <w:vanish/>
        </w:rPr>
        <w:t>anAndLeaseLossesMember2019-12-310000927628srt:CumulativeEffectPeriodOfAdoptionAdjustedBalanceMemberus-gaap:AllowanceForLoanAndLeaseLossesMemberus-gaap:ConsumerPortfolioSegmentMember2019-12-310000927628us-gaap:CommercialPortfolioSegmentMembersrt:CumulativeE</w:t>
      </w:r>
      <w:r>
        <w:rPr>
          <w:rFonts w:eastAsia="Times New Roman"/>
          <w:vanish/>
        </w:rPr>
        <w:t>ffectPeriodOfAdoptionAdjustedBalanceMemberus-gaap:AllowanceForLoanAndLeaseLossesMember2019-12-310000927628srt:CumulativeEffectPeriodOfAdoptionAdjustedBalanceMemberus-gaap:AllowanceForLoanAndLeaseLossesMember2019-12-310000927628cof:CreditCardPortfolioSegmen</w:t>
      </w:r>
      <w:r>
        <w:rPr>
          <w:rFonts w:eastAsia="Times New Roman"/>
          <w:vanish/>
        </w:rPr>
        <w:t>tMemberus-gaap:AllowanceForLoanAndLeaseLossesMember2020-01-012020-12-310000927628us-gaap:AllowanceForLoanAndLeaseLossesMemberus-gaap:ConsumerPortfolioSegmentMember2020-01-012020-12-310000927628us-gaap:CommercialPortfolioSegmentMemberus-gaap:AllowanceForLoa</w:t>
      </w:r>
      <w:r>
        <w:rPr>
          <w:rFonts w:eastAsia="Times New Roman"/>
          <w:vanish/>
        </w:rPr>
        <w:t>nAndLeaseLossesMember2020-01-012020-12-310000927628us-gaap:AllowanceForLoanAndLeaseLossesMember2020-01-012020-12-310000927628cof:CreditCardPortfolioSegmentMemberus-gaap:AllowanceForLoanAndLeaseLossesMember2020-12-310000927628us-gaap:AllowanceForLoanAndLeas</w:t>
      </w:r>
      <w:r>
        <w:rPr>
          <w:rFonts w:eastAsia="Times New Roman"/>
          <w:vanish/>
        </w:rPr>
        <w:t>eLossesMemberus-gaap:ConsumerPortfolioSegmentMember2020-12-310000927628us-gaap:CommercialPortfolioSegmentMemberus-gaap:AllowanceForLoanAndLeaseLossesMember2020-12-310000927628us-gaap:AllowanceForLoanAndLeaseLossesMember2020-12-310000927628cof:CreditCardPor</w:t>
      </w:r>
      <w:r>
        <w:rPr>
          <w:rFonts w:eastAsia="Times New Roman"/>
          <w:vanish/>
        </w:rPr>
        <w:t>tfolioSegmentMemberus-gaap:UnfundedLoanCommitmentMember2019-12-310000927628us-gaap:UnfundedLoanCommitmentMemberus-gaap:ConsumerPortfolioSegmentMember2019-12-310000927628us-gaap:CommercialPortfolioSegmentMemberus-gaap:UnfundedLoanCommitmentMember2019-12-310</w:t>
      </w:r>
      <w:r>
        <w:rPr>
          <w:rFonts w:eastAsia="Times New Roman"/>
          <w:vanish/>
        </w:rPr>
        <w:t>000927628us-gaap:UnfundedLoanCommitmentMember2019-12-310000927628cof:CreditCardPortfolioSegmentMembersrt:CumulativeEffectPeriodOfAdoptionAdjustmentMemberus-gaap:UnfundedLoanCommitmentMember2019-12-310000927628srt:CumulativeEffectPeriodOfAdoptionAdjustmentM</w:t>
      </w:r>
      <w:r>
        <w:rPr>
          <w:rFonts w:eastAsia="Times New Roman"/>
          <w:vanish/>
        </w:rPr>
        <w:t>emberus-gaap:UnfundedLoanCommitmentMemberus-gaap:ConsumerPortfolioSegmentMember2019-12-310000927628us-gaap:CommercialPortfolioSegmentMembersrt:CumulativeEffectPeriodOfAdoptionAdjustmentMemberus-gaap:UnfundedLoanCommitmentMember2019-12-310000927628srt:Cumul</w:t>
      </w:r>
      <w:r>
        <w:rPr>
          <w:rFonts w:eastAsia="Times New Roman"/>
          <w:vanish/>
        </w:rPr>
        <w:t>ativeEffectPeriodOfAdoptionAdjustmentMemberus-gaap:UnfundedLoanCommitmentMember2019-12-310000927628cof:CreditCardPortfolioSegmentMembersrt:CumulativeEffectPeriodOfAdoptionAdjustedBalanceMemberus-gaap:UnfundedLoanCommitmentMember2019-12-310000927628srt:Cumu</w:t>
      </w:r>
      <w:r>
        <w:rPr>
          <w:rFonts w:eastAsia="Times New Roman"/>
          <w:vanish/>
        </w:rPr>
        <w:t>lativeEffectPeriodOfAdoptionAdjustedBalanceMemberus-gaap:UnfundedLoanCommitmentMemberus-gaap:ConsumerPortfolioSegmentMember2019-12-310000927628us-gaap:CommercialPortfolioSegmentMembersrt:CumulativeEffectPeriodOfAdoptionAdjustedBalanceMemberus-gaap:Unfunded</w:t>
      </w:r>
      <w:r>
        <w:rPr>
          <w:rFonts w:eastAsia="Times New Roman"/>
          <w:vanish/>
        </w:rPr>
        <w:t>LoanCommitmentMember2019-12-310000927628srt:CumulativeEffectPeriodOfAdoptionAdjustedBalanceMemberus-gaap:UnfundedLoanCommitmentMember2019-12-310000927628cof:CreditCardPortfolioSegmentMemberus-gaap:UnfundedLoanCommitmentMember2020-01-012020-12-310000927628u</w:t>
      </w:r>
      <w:r>
        <w:rPr>
          <w:rFonts w:eastAsia="Times New Roman"/>
          <w:vanish/>
        </w:rPr>
        <w:t>s-gaap:UnfundedLoanCommitmentMemberus-gaap:ConsumerPortfolioSegmentMember2020-01-012020-12-310000927628us-gaap:CommercialPortfolioSegmentMemberus-gaap:UnfundedLoanCommitmentMember2020-01-012020-12-310000927628us-gaap:UnfundedLoanCommitmentMember2020-01-012</w:t>
      </w:r>
      <w:r>
        <w:rPr>
          <w:rFonts w:eastAsia="Times New Roman"/>
          <w:vanish/>
        </w:rPr>
        <w:t>020-12-310000927628cof:CreditCardPortfolioSegmentMemberus-gaap:UnfundedLoanCommitmentMember2020-12-310000927628us-gaap:UnfundedLoanCommitmentMemberus-gaap:ConsumerPortfolioSegmentMember2020-12-310000927628us-gaap:CommercialPortfolioSegmentMemberus-gaap:Unf</w:t>
      </w:r>
      <w:r>
        <w:rPr>
          <w:rFonts w:eastAsia="Times New Roman"/>
          <w:vanish/>
        </w:rPr>
        <w:t>undedLoanCommitmentMember2020-12-310000927628us-gaap:UnfundedLoanCommitmentMember2020-12-310000927628cof:CombinedAllowanceAndUnfundedReserveMembercof:CreditCardPortfolioSegmentMember2020-12-310000927628cof:CombinedAllowanceAndUnfundedReserveMemberus-gaap:C</w:t>
      </w:r>
      <w:r>
        <w:rPr>
          <w:rFonts w:eastAsia="Times New Roman"/>
          <w:vanish/>
        </w:rPr>
        <w:t>onsumerPortfolioSegmentMember2020-12-310000927628cof:CombinedAllowanceAndUnfundedReserveMemberus-gaap:CommercialPortfolioSegmentMember2020-12-310000927628cof:CombinedAllowanceAndUnfundedReserveMember2020-12-310000927628cof:CreditCardPortfolioSegmentMemberu</w:t>
      </w:r>
      <w:r>
        <w:rPr>
          <w:rFonts w:eastAsia="Times New Roman"/>
          <w:vanish/>
        </w:rPr>
        <w:t>s-gaap:AllowanceForLoanAndLeaseLossesMember2021-01-012021-12-310000927628us-gaap:AllowanceForLoanAndLeaseLossesMemberus-gaap:ConsumerPortfolioSegmentMember2021-01-012021-12-310000927628us-gaap:CommercialPortfolioSegmentMemberus-gaap:AllowanceForLoanAndLeas</w:t>
      </w:r>
      <w:r>
        <w:rPr>
          <w:rFonts w:eastAsia="Times New Roman"/>
          <w:vanish/>
        </w:rPr>
        <w:t>eLossesMember2021-01-012021-12-310000927628us-gaap:AllowanceForLoanAndLeaseLossesMember2021-01-012021-12-310000927628cof:CreditCardPortfolioSegmentMemberus-gaap:AllowanceForLoanAndLeaseLossesMember2021-12-310000927628us-gaap:AllowanceForLoanAndLeaseLossesM</w:t>
      </w:r>
      <w:r>
        <w:rPr>
          <w:rFonts w:eastAsia="Times New Roman"/>
          <w:vanish/>
        </w:rPr>
        <w:t>emberus-gaap:ConsumerPortfolioSegmentMember2021-12-310000927628us-gaap:CommercialPortfolioSegmentMemberus-gaap:AllowanceForLoanAndLeaseLossesMember2021-12-310000927628us-gaap:AllowanceForLoanAndLeaseLossesMember2021-12-310000927628cof:CreditCardPortfolioSe</w:t>
      </w:r>
      <w:r>
        <w:rPr>
          <w:rFonts w:eastAsia="Times New Roman"/>
          <w:vanish/>
        </w:rPr>
        <w:t>gmentMemberus-gaap:UnfundedLoanCommitmentMember2021-01-012021-12-310000927628us-gaap:UnfundedLoanCommitmentMemberus-gaap:ConsumerPortfolioSegmentMember2021-01-012021-12-310000927628us-gaap:CommercialPortfolioSegmentMemberus-gaap:UnfundedLoanCommitmentMembe</w:t>
      </w:r>
      <w:r>
        <w:rPr>
          <w:rFonts w:eastAsia="Times New Roman"/>
          <w:vanish/>
        </w:rPr>
        <w:t>r2021-01-012021-12-310000927628us-gaap:UnfundedLoanCommitmentMember2021-01-012021-12-310000927628cof:CreditCardPortfolioSegmentMemberus-gaap:UnfundedLoanCommitmentMember2021-12-310000927628us-gaap:UnfundedLoanCommitmentMemberus-gaap:ConsumerPortfolioSegmen</w:t>
      </w:r>
      <w:r>
        <w:rPr>
          <w:rFonts w:eastAsia="Times New Roman"/>
          <w:vanish/>
        </w:rPr>
        <w:t>tMember2021-12-310000927628us-gaap:CommercialPortfolioSegmentMemberus-gaap:UnfundedLoanCommitmentMember2021-12-310000927628us-gaap:UnfundedLoanCommitmentMember2021-12-310000927628cof:CombinedAllowanceAndUnfundedReserveMembercof:CreditCardPortfolioSegmentMe</w:t>
      </w:r>
      <w:r>
        <w:rPr>
          <w:rFonts w:eastAsia="Times New Roman"/>
          <w:vanish/>
        </w:rPr>
        <w:t>mber2021-12-310000927628cof:CombinedAllowanceAndUnfundedReserveMemberus-gaap:ConsumerPortfolioSegmentMember2021-12-310000927628cof:CombinedAllowanceAndUnfundedReserveMemberus-gaap:CommercialPortfolioSegmentMember2021-12-310000927628cof:CombinedAllowanceAnd</w:t>
      </w:r>
      <w:r>
        <w:rPr>
          <w:rFonts w:eastAsia="Times New Roman"/>
          <w:vanish/>
        </w:rPr>
        <w:t>UnfundedReserveMember2021-12-310000927628cof:CreditCardPortfolioSegmentMemberus-gaap:AllowanceForLoanAndLeaseLossesMember2022-01-012022-12-310000927628us-gaap:AllowanceForLoanAndLeaseLossesMemberus-gaap:ConsumerPortfolioSegmentMember2022-01-012022-12-31000</w:t>
      </w:r>
      <w:r>
        <w:rPr>
          <w:rFonts w:eastAsia="Times New Roman"/>
          <w:vanish/>
        </w:rPr>
        <w:t>0927628us-gaap:CommercialPortfolioSegmentMemberus-gaap:AllowanceForLoanAndLeaseLossesMember2022-01-012022-12-310000927628cof:CreditCardPortfolioSegmentMemberus-gaap:AllowanceForLoanAndLeaseLossesMember2022-12-310000927628us-gaap:AllowanceForLoanAndLeaseLos</w:t>
      </w:r>
      <w:r>
        <w:rPr>
          <w:rFonts w:eastAsia="Times New Roman"/>
          <w:vanish/>
        </w:rPr>
        <w:t>sesMemberus-gaap:ConsumerPortfolioSegmentMember2022-12-310000927628us-gaap:CommercialPortfolioSegmentMemberus-gaap:AllowanceForLoanAndLeaseLossesMember2022-12-310000927628cof:CreditCardPortfolioSegmentMemberus-gaap:UnfundedLoanCommitmentMember2022-01-01202</w:t>
      </w:r>
      <w:r>
        <w:rPr>
          <w:rFonts w:eastAsia="Times New Roman"/>
          <w:vanish/>
        </w:rPr>
        <w:t>2-12-310000927628us-gaap:UnfundedLoanCommitmentMemberus-gaap:ConsumerPortfolioSegmentMember2022-01-012022-12-310000927628us-gaap:CommercialPortfolioSegmentMemberus-gaap:UnfundedLoanCommitmentMember2022-01-012022-12-310000927628us-gaap:UnfundedLoanCommitmen</w:t>
      </w:r>
      <w:r>
        <w:rPr>
          <w:rFonts w:eastAsia="Times New Roman"/>
          <w:vanish/>
        </w:rPr>
        <w:t>tMember2022-01-012022-12-310000927628cof:CreditCardPortfolioSegmentMemberus-gaap:UnfundedLoanCommitmentMember2022-12-310000927628us-gaap:UnfundedLoanCommitmentMemberus-gaap:ConsumerPortfolioSegmentMember2022-12-310000927628us-gaap:CommercialPortfolioSegmen</w:t>
      </w:r>
      <w:r>
        <w:rPr>
          <w:rFonts w:eastAsia="Times New Roman"/>
          <w:vanish/>
        </w:rPr>
        <w:t>tMemberus-gaap:UnfundedLoanCommitmentMember2022-12-310000927628us-gaap:UnfundedLoanCommitmentMember2022-12-310000927628cof:CombinedAllowanceAndUnfundedReserveMembercof:CreditCardPortfolioSegmentMember2022-12-310000927628cof:CombinedAllowanceAndUnfundedRese</w:t>
      </w:r>
      <w:r>
        <w:rPr>
          <w:rFonts w:eastAsia="Times New Roman"/>
          <w:vanish/>
        </w:rPr>
        <w:t>rveMemberus-gaap:ConsumerPortfolioSegmentMember2022-12-310000927628cof:CombinedAllowanceAndUnfundedReserveMemberus-gaap:CommercialPortfolioSegmentMember2022-12-310000927628cof:CombinedAllowanceAndUnfundedReserveMember2022-12-310000927628cof:CreditCardPortf</w:t>
      </w:r>
      <w:r>
        <w:rPr>
          <w:rFonts w:eastAsia="Times New Roman"/>
          <w:vanish/>
        </w:rPr>
        <w:t>olioSegmentMemberus-gaap:AllowanceForLoanAndLeaseLossesMember2020-07-012020-09-300000927628cof:LossSharingAgreementMember2021-12-310000927628cof:LossSharingAgreementMember2020-12-310000927628cof:LossSharingAgreementMember2019-12-310000927628cof:LossSharing</w:t>
      </w:r>
      <w:r>
        <w:rPr>
          <w:rFonts w:eastAsia="Times New Roman"/>
          <w:vanish/>
        </w:rPr>
        <w:t>AgreementMember2022-01-012022-12-310000927628cof:LossSharingAgreementMember2021-01-012021-12-310000927628cof:LossSharingAgreementMember2020-01-012020-12-310000927628cof:LossSharingAgreementMember2022-12-310000927628us-gaap:CreditCardReceivablesMemberus-gaa</w:t>
      </w:r>
      <w:r>
        <w:rPr>
          <w:rFonts w:eastAsia="Times New Roman"/>
          <w:vanish/>
        </w:rPr>
        <w:t>p:VariableInterestEntityPrimaryBeneficiaryMember2022-12-310000927628us-gaap:CreditCardReceivablesMemberus-gaap:VariableInterestEntityNotPrimaryBeneficiaryMember2022-12-310000927628us-gaap:CreditCardReceivablesMember2022-12-310000927628us-gaap:Collateralize</w:t>
      </w:r>
      <w:r>
        <w:rPr>
          <w:rFonts w:eastAsia="Times New Roman"/>
          <w:vanish/>
        </w:rPr>
        <w:t>dAutoLoansMemberus-gaap:VariableInterestEntityPrimaryBeneficiaryMember2022-12-310000927628us-gaap:CollateralizedAutoLoansMemberus-gaap:VariableInterestEntityNotPrimaryBeneficiaryMember2022-12-310000927628us-gaap:CollateralizedAutoLoansMember2022-12-3100009</w:t>
      </w:r>
      <w:r>
        <w:rPr>
          <w:rFonts w:eastAsia="Times New Roman"/>
          <w:vanish/>
        </w:rPr>
        <w:t>27628cof:SecuritizationRelatedVariableInterestEntitiesMemberus-gaap:VariableInterestEntityPrimaryBeneficiaryMember2022-12-310000927628cof:SecuritizationRelatedVariableInterestEntitiesMemberus-gaap:VariableInterestEntityNotPrimaryBeneficiaryMember2022-12-31</w:t>
      </w:r>
      <w:r>
        <w:rPr>
          <w:rFonts w:eastAsia="Times New Roman"/>
          <w:vanish/>
        </w:rPr>
        <w:t>0000927628cof:SecuritizationRelatedVariableInterestEntitiesMember2022-12-310000927628cof:AffordableHousingEntitiesMemberus-gaap:VariableInterestEntityPrimaryBeneficiaryMember2022-12-310000927628cof:AffordableHousingEntitiesMemberus-gaap:VariableInterestEnt</w:t>
      </w:r>
      <w:r>
        <w:rPr>
          <w:rFonts w:eastAsia="Times New Roman"/>
          <w:vanish/>
        </w:rPr>
        <w:t>ityNotPrimaryBeneficiaryMember2022-12-310000927628cof:AffordableHousingEntitiesMember2022-12-310000927628cof:InvestmentCompaniesProvidingCapitaltoLowIncomeandRuralCommunitiesMemberus-gaap:VariableInterestEntityPrimaryBeneficiaryMember2022-12-310000927628co</w:t>
      </w:r>
      <w:r>
        <w:rPr>
          <w:rFonts w:eastAsia="Times New Roman"/>
          <w:vanish/>
        </w:rPr>
        <w:t>f:InvestmentCompaniesProvidingCapitaltoLowIncomeandRuralCommunitiesMemberus-gaap:VariableInterestEntityNotPrimaryBeneficiaryMember2022-12-310000927628cof:InvestmentCompaniesProvidingCapitaltoLowIncomeandRuralCommunitiesMember2022-12-310000927628us-gaap:Oth</w:t>
      </w:r>
      <w:r>
        <w:rPr>
          <w:rFonts w:eastAsia="Times New Roman"/>
          <w:vanish/>
        </w:rPr>
        <w:t>erInvestmentsMemberus-gaap:VariableInterestEntityPrimaryBeneficiaryMember2022-12-310000927628us-gaap:OtherInvestmentsMemberus-gaap:VariableInterestEntityNotPrimaryBeneficiaryMember2022-12-310000927628us-gaap:OtherInvestmentsMember2022-12-310000927628cof:No</w:t>
      </w:r>
      <w:r>
        <w:rPr>
          <w:rFonts w:eastAsia="Times New Roman"/>
          <w:vanish/>
        </w:rPr>
        <w:t>nsecuritizationRelatedVariableInterestEntitiesMemberus-gaap:VariableInterestEntityPrimaryBeneficiaryMember2022-12-310000927628cof:NonsecuritizationRelatedVariableInterestEntitiesMemberus-gaap:VariableInterestEntityNotPrimaryBeneficiaryMember2022-12-3100009</w:t>
      </w:r>
      <w:r>
        <w:rPr>
          <w:rFonts w:eastAsia="Times New Roman"/>
          <w:vanish/>
        </w:rPr>
        <w:t>27628cof:NonsecuritizationRelatedVariableInterestEntitiesMember2022-12-310000927628us-gaap:VariableInterestEntityNotPrimaryBeneficiaryMember2022-12-310000927628us-gaap:CreditCardReceivablesMemberus-gaap:VariableInterestEntityPrimaryBeneficiaryMember2021-12</w:t>
      </w:r>
      <w:r>
        <w:rPr>
          <w:rFonts w:eastAsia="Times New Roman"/>
          <w:vanish/>
        </w:rPr>
        <w:t>-310000927628us-gaap:CreditCardReceivablesMemberus-gaap:VariableInterestEntityNotPrimaryBeneficiaryMember2021-12-310000927628us-gaap:CreditCardReceivablesMember2021-12-310000927628us-gaap:CollateralizedAutoLoansMemberus-gaap:VariableInterestEntityPrimaryBe</w:t>
      </w:r>
      <w:r>
        <w:rPr>
          <w:rFonts w:eastAsia="Times New Roman"/>
          <w:vanish/>
        </w:rPr>
        <w:t>neficiaryMember2021-12-310000927628us-gaap:CollateralizedAutoLoansMemberus-gaap:VariableInterestEntityNotPrimaryBeneficiaryMember2021-12-310000927628us-gaap:CollateralizedAutoLoansMember2021-12-310000927628cof:SecuritizationRelatedVariableInterestEntitiesM</w:t>
      </w:r>
      <w:r>
        <w:rPr>
          <w:rFonts w:eastAsia="Times New Roman"/>
          <w:vanish/>
        </w:rPr>
        <w:t>emberus-gaap:VariableInterestEntityPrimaryBeneficiaryMember2021-12-310000927628cof:SecuritizationRelatedVariableInterestEntitiesMemberus-gaap:VariableInterestEntityNotPrimaryBeneficiaryMember2021-12-310000927628cof:SecuritizationRelatedVariableInterestEnti</w:t>
      </w:r>
      <w:r>
        <w:rPr>
          <w:rFonts w:eastAsia="Times New Roman"/>
          <w:vanish/>
        </w:rPr>
        <w:t>tiesMember2021-12-310000927628cof:AffordableHousingEntitiesMemberus-gaap:VariableInterestEntityPrimaryBeneficiaryMember2021-12-310000927628cof:AffordableHousingEntitiesMemberus-gaap:VariableInterestEntityNotPrimaryBeneficiaryMember2021-12-310000927628cof:A</w:t>
      </w:r>
      <w:r>
        <w:rPr>
          <w:rFonts w:eastAsia="Times New Roman"/>
          <w:vanish/>
        </w:rPr>
        <w:t>ffordableHousingEntitiesMember2021-12-310000927628cof:InvestmentCompaniesProvidingCapitaltoLowIncomeandRuralCommunitiesMemberus-gaap:VariableInterestEntityPrimaryBeneficiaryMember2021-12-310000927628cof:InvestmentCompaniesProvidingCapitaltoLowIncomeandRura</w:t>
      </w:r>
      <w:r>
        <w:rPr>
          <w:rFonts w:eastAsia="Times New Roman"/>
          <w:vanish/>
        </w:rPr>
        <w:t>lCommunitiesMemberus-gaap:VariableInterestEntityNotPrimaryBeneficiaryMember2021-12-310000927628cof:InvestmentCompaniesProvidingCapitaltoLowIncomeandRuralCommunitiesMember2021-12-310000927628us-gaap:OtherInvestmentsMemberus-gaap:VariableInterestEntityPrimar</w:t>
      </w:r>
      <w:r>
        <w:rPr>
          <w:rFonts w:eastAsia="Times New Roman"/>
          <w:vanish/>
        </w:rPr>
        <w:t>yBeneficiaryMember2021-12-310000927628us-gaap:OtherInvestmentsMemberus-gaap:VariableInterestEntityNotPrimaryBeneficiaryMember2021-12-310000927628us-gaap:OtherInvestmentsMember2021-12-310000927628cof:NonsecuritizationRelatedVariableInterestEntitiesMemberus-</w:t>
      </w:r>
      <w:r>
        <w:rPr>
          <w:rFonts w:eastAsia="Times New Roman"/>
          <w:vanish/>
        </w:rPr>
        <w:t>gaap:VariableInterestEntityPrimaryBeneficiaryMember2021-12-310000927628cof:NonsecuritizationRelatedVariableInterestEntitiesMemberus-gaap:VariableInterestEntityNotPrimaryBeneficiaryMember2021-12-310000927628cof:NonsecuritizationRelatedVariableInterestEntiti</w:t>
      </w:r>
      <w:r>
        <w:rPr>
          <w:rFonts w:eastAsia="Times New Roman"/>
          <w:vanish/>
        </w:rPr>
        <w:t>esMember2021-12-310000927628us-gaap:VariableInterestEntityNotPrimaryBeneficiaryMember2021-12-310000927628us-gaap:CustomerRelationshipsMember2022-12-310000927628us-gaap:CustomerRelationshipsMember2022-01-012022-12-310000927628us-gaap:OtherIntangibleAssetsMe</w:t>
      </w:r>
      <w:r>
        <w:rPr>
          <w:rFonts w:eastAsia="Times New Roman"/>
          <w:vanish/>
        </w:rPr>
        <w:t>mber2022-12-310000927628us-gaap:OtherIntangibleAssetsMember2022-01-012022-12-310000927628us-gaap:CustomerRelationshipsMember2021-12-310000927628us-gaap:CustomerRelationshipsMember2021-01-012021-12-310000927628us-gaap:OtherIntangibleAssetsMember2021-12-3100</w:t>
      </w:r>
      <w:r>
        <w:rPr>
          <w:rFonts w:eastAsia="Times New Roman"/>
          <w:vanish/>
        </w:rPr>
        <w:t>00927628us-gaap:OtherIntangibleAssetsMember2021-01-012021-12-310000927628cof:CreditCardSegmentMember2019-12-310000927628cof:ConsumerBankingSegmentMember2019-12-310000927628cof:CommercialBankingSegmentMember2019-12-310000927628cof:CreditCardSegmentMember202</w:t>
      </w:r>
      <w:r>
        <w:rPr>
          <w:rFonts w:eastAsia="Times New Roman"/>
          <w:vanish/>
        </w:rPr>
        <w:t>0-12-310000927628cof:ConsumerBankingSegmentMember2020-12-310000927628cof:CommercialBankingSegmentMember2020-12-310000927628cof:CreditCardSegmentMember2021-01-012021-12-310000927628cof:ConsumerBankingSegmentMember2021-01-012021-12-310000927628cof:Commercial</w:t>
      </w:r>
      <w:r>
        <w:rPr>
          <w:rFonts w:eastAsia="Times New Roman"/>
          <w:vanish/>
        </w:rPr>
        <w:t>BankingSegmentMember2021-01-012021-12-310000927628cof:CreditCardSegmentMember2021-12-310000927628cof:ConsumerBankingSegmentMember2021-12-310000927628cof:CommercialBankingSegmentMember2021-12-310000927628cof:CreditCardSegmentMember2022-01-012022-12-31000092</w:t>
      </w:r>
      <w:r>
        <w:rPr>
          <w:rFonts w:eastAsia="Times New Roman"/>
          <w:vanish/>
        </w:rPr>
        <w:t>7628cof:ConsumerBankingSegmentMember2022-01-012022-12-310000927628cof:CommercialBankingSegmentMember2022-01-012022-12-310000927628cof:CreditCardSegmentMember2022-12-310000927628cof:ConsumerBankingSegmentMember2022-12-310000927628cof:CommercialBankingSegmen</w:t>
      </w:r>
      <w:r>
        <w:rPr>
          <w:rFonts w:eastAsia="Times New Roman"/>
          <w:vanish/>
        </w:rPr>
        <w:t>tMember2022-12-310000927628us-gaap:LandMember2022-12-310000927628us-gaap:LandMember2021-12-310000927628us-gaap:BuildingAndBuildingImprovementsMember2022-12-310000927628us-gaap:BuildingAndBuildingImprovementsMember2021-12-310000927628cof:FurnitureAndEquipme</w:t>
      </w:r>
      <w:r>
        <w:rPr>
          <w:rFonts w:eastAsia="Times New Roman"/>
          <w:vanish/>
        </w:rPr>
        <w:t>ntMember2022-12-310000927628cof:FurnitureAndEquipmentMember2021-12-310000927628us-gaap:SoftwareAndSoftwareDevelopmentCostsMember2022-12-310000927628us-gaap:SoftwareAndSoftwareDevelopmentCostsMember2021-12-310000927628us-gaap:ConstructionInProgressMember202</w:t>
      </w:r>
      <w:r>
        <w:rPr>
          <w:rFonts w:eastAsia="Times New Roman"/>
          <w:vanish/>
        </w:rPr>
        <w:t>2-12-310000927628us-gaap:ConstructionInProgressMember2021-12-310000927628us-gaap:FederalFundsPurchasedAndSecuritiesSoldUnderAgreementsToRepurchaseMember2022-12-310000927628us-gaap:FederalFundsPurchasedAndSecuritiesSoldUnderAgreementsToRepurchaseMember2021-</w:t>
      </w:r>
      <w:r>
        <w:rPr>
          <w:rFonts w:eastAsia="Times New Roman"/>
          <w:vanish/>
        </w:rPr>
        <w:t>12-310000927628srt:MinimumMemberus-gaap:SecuredDebtMember2022-12-310000927628srt:MaximumMemberus-gaap:SecuredDebtMember2022-12-310000927628us-gaap:SecuredDebtMember2022-12-310000927628us-gaap:SecuredDebtMember2021-12-310000927628srt:MinimumMembercof:FixedU</w:t>
      </w:r>
      <w:r>
        <w:rPr>
          <w:rFonts w:eastAsia="Times New Roman"/>
          <w:vanish/>
        </w:rPr>
        <w:t>nsecuredSeniorDebtMemberus-gaap:SeniorNotesMember2022-12-310000927628srt:MaximumMembercof:FixedUnsecuredSeniorDebtMemberus-gaap:SeniorNotesMember2022-12-310000927628cof:FixedUnsecuredSeniorDebtMemberus-gaap:SeniorNotesMember2022-12-310000927628cof:FixedUns</w:t>
      </w:r>
      <w:r>
        <w:rPr>
          <w:rFonts w:eastAsia="Times New Roman"/>
          <w:vanish/>
        </w:rPr>
        <w:t>ecuredSeniorDebtMemberus-gaap:SeniorNotesMember2021-12-310000927628srt:MinimumMembercof:FloatingUnsecuredSeniorDebtMemberus-gaap:SeniorNotesMember2022-12-310000927628srt:MaximumMembercof:FloatingUnsecuredSeniorDebtMemberus-gaap:SeniorNotesMember2022-12-310</w:t>
      </w:r>
      <w:r>
        <w:rPr>
          <w:rFonts w:eastAsia="Times New Roman"/>
          <w:vanish/>
        </w:rPr>
        <w:t>000927628cof:FloatingUnsecuredSeniorDebtMemberus-gaap:SeniorNotesMember2022-12-310000927628cof:FloatingUnsecuredSeniorDebtMemberus-gaap:SeniorNotesMember2021-12-310000927628cof:UnsecuredSeniorDebtMemberus-gaap:SeniorNotesMember2022-12-310000927628cof:Unsec</w:t>
      </w:r>
      <w:r>
        <w:rPr>
          <w:rFonts w:eastAsia="Times New Roman"/>
          <w:vanish/>
        </w:rPr>
        <w:t>uredSeniorDebtMemberus-gaap:SeniorNotesMember2021-12-310000927628srt:MinimumMembercof:FixedUnsecuredSubordinatedDebtMemberus-gaap:SubordinatedDebtMember2022-12-310000927628srt:MaximumMembercof:FixedUnsecuredSubordinatedDebtMemberus-gaap:SubordinatedDebtMem</w:t>
      </w:r>
      <w:r>
        <w:rPr>
          <w:rFonts w:eastAsia="Times New Roman"/>
          <w:vanish/>
        </w:rPr>
        <w:t>ber2022-12-310000927628cof:FixedUnsecuredSubordinatedDebtMemberus-gaap:SubordinatedDebtMember2022-12-310000927628cof:FixedUnsecuredSubordinatedDebtMemberus-gaap:SubordinatedDebtMember2021-12-310000927628cof:SeniorAndSubordinatedNotesMember2022-12-310000927</w:t>
      </w:r>
      <w:r>
        <w:rPr>
          <w:rFonts w:eastAsia="Times New Roman"/>
          <w:vanish/>
        </w:rPr>
        <w:t>628cof:SeniorAndSubordinatedNotesMember2021-12-310000927628srt:MinimumMemberus-gaap:CapitalLeaseObligationsMember2022-12-310000927628srt:MaximumMemberus-gaap:CapitalLeaseObligationsMember2022-12-310000927628us-gaap:CapitalLeaseObligationsMember2022-12-3100</w:t>
      </w:r>
      <w:r>
        <w:rPr>
          <w:rFonts w:eastAsia="Times New Roman"/>
          <w:vanish/>
        </w:rPr>
        <w:t>00927628us-gaap:CapitalLeaseObligationsMember2021-12-310000927628cof:FHLBAdvanceCapitalLeaseObligationandGPMHMember2022-12-310000927628cof:FHLBAdvanceCapitalLeaseObligationandGPMHMember2021-12-310000927628currency:EUR2022-12-310000927628currency:EUR2021-12</w:t>
      </w:r>
      <w:r>
        <w:rPr>
          <w:rFonts w:eastAsia="Times New Roman"/>
          <w:vanish/>
        </w:rPr>
        <w:t>-310000927628cof:OtherborrowingsMember2022-12-310000927628us-gaap:DesignatedAsHedgingInstrumentMemberus-gaap:InterestRateContractMemberus-gaap:FairValueHedgingMember2022-12-310000927628us-gaap:DesignatedAsHedgingInstrumentMemberus-gaap:InterestRateContract</w:t>
      </w:r>
      <w:r>
        <w:rPr>
          <w:rFonts w:eastAsia="Times New Roman"/>
          <w:vanish/>
        </w:rPr>
        <w:t>Memberus-gaap:FairValueHedgingMember2021-12-310000927628us-gaap:DesignatedAsHedgingInstrumentMemberus-gaap:InterestRateContractMemberus-gaap:CashFlowHedgingMember2022-12-310000927628us-gaap:DesignatedAsHedgingInstrumentMemberus-gaap:InterestRateContractMem</w:t>
      </w:r>
      <w:r>
        <w:rPr>
          <w:rFonts w:eastAsia="Times New Roman"/>
          <w:vanish/>
        </w:rPr>
        <w:t>berus-gaap:CashFlowHedgingMember2021-12-310000927628us-gaap:DesignatedAsHedgingInstrumentMemberus-gaap:InterestRateContractMember2022-12-310000927628us-gaap:DesignatedAsHedgingInstrumentMemberus-gaap:InterestRateContractMember2021-12-310000927628us-gaap:De</w:t>
      </w:r>
      <w:r>
        <w:rPr>
          <w:rFonts w:eastAsia="Times New Roman"/>
          <w:vanish/>
        </w:rPr>
        <w:t>signatedAsHedgingInstrumentMemberus-gaap:ForeignExchangeContractMemberus-gaap:FairValueHedgingMember2022-12-310000927628us-gaap:DesignatedAsHedgingInstrumentMemberus-gaap:ForeignExchangeContractMemberus-gaap:FairValueHedgingMember2021-12-310000927628us-gaa</w:t>
      </w:r>
      <w:r>
        <w:rPr>
          <w:rFonts w:eastAsia="Times New Roman"/>
          <w:vanish/>
        </w:rPr>
        <w:t>p:DesignatedAsHedgingInstrumentMemberus-gaap:ForeignExchangeContractMemberus-gaap:CashFlowHedgingMember2022-12-310000927628us-gaap:DesignatedAsHedgingInstrumentMemberus-gaap:ForeignExchangeContractMemberus-gaap:CashFlowHedgingMember2021-12-310000927628us-g</w:t>
      </w:r>
      <w:r>
        <w:rPr>
          <w:rFonts w:eastAsia="Times New Roman"/>
          <w:vanish/>
        </w:rPr>
        <w:t>aap:DesignatedAsHedgingInstrumentMemberus-gaap:ForeignExchangeContractMemberus-gaap:NetInvestmentHedgingMember2022-12-310000927628us-gaap:DesignatedAsHedgingInstrumentMemberus-gaap:ForeignExchangeContractMemberus-gaap:NetInvestmentHedgingMember2021-12-3100</w:t>
      </w:r>
      <w:r>
        <w:rPr>
          <w:rFonts w:eastAsia="Times New Roman"/>
          <w:vanish/>
        </w:rPr>
        <w:t>00927628us-gaap:DesignatedAsHedgingInstrumentMemberus-gaap:ForeignExchangeContractMember2022-12-310000927628us-gaap:DesignatedAsHedgingInstrumentMemberus-gaap:ForeignExchangeContractMember2021-12-310000927628us-gaap:DesignatedAsHedgingInstrumentMember2022-</w:t>
      </w:r>
      <w:r>
        <w:rPr>
          <w:rFonts w:eastAsia="Times New Roman"/>
          <w:vanish/>
        </w:rPr>
        <w:t>12-310000927628us-gaap:DesignatedAsHedgingInstrumentMember2021-12-310000927628us-gaap:InterestRateContractMemberus-gaap:NondesignatedMembercof:CustomerAccommodationMember2022-12-310000927628us-gaap:InterestRateContractMemberus-gaap:NondesignatedMembercof:C</w:t>
      </w:r>
      <w:r>
        <w:rPr>
          <w:rFonts w:eastAsia="Times New Roman"/>
          <w:vanish/>
        </w:rPr>
        <w:t>ustomerAccommodationMember2021-12-310000927628us-gaap:CommodityContractMemberus-gaap:NondesignatedMembercof:CustomerAccommodationMember2022-12-310000927628us-gaap:CommodityContractMemberus-gaap:NondesignatedMembercof:CustomerAccommodationMember2021-12-3100</w:t>
      </w:r>
      <w:r>
        <w:rPr>
          <w:rFonts w:eastAsia="Times New Roman"/>
          <w:vanish/>
        </w:rPr>
        <w:t>00927628us-gaap:ForeignExchangeContractMemberus-gaap:NondesignatedMembercof:CustomerAccommodationMember2022-12-310000927628us-gaap:ForeignExchangeContractMemberus-gaap:NondesignatedMembercof:CustomerAccommodationMember2021-12-310000927628us-gaap:Nondesigna</w:t>
      </w:r>
      <w:r>
        <w:rPr>
          <w:rFonts w:eastAsia="Times New Roman"/>
          <w:vanish/>
        </w:rPr>
        <w:t>tedMembercof:CustomerAccommodationMember2022-12-310000927628us-gaap:NondesignatedMembercof:CustomerAccommodationMember2021-12-310000927628us-gaap:InterestRateContractMemberus-gaap:NondesignatedMembercof:OtherInterestRateExposuresMember2022-12-310000927628u</w:t>
      </w:r>
      <w:r>
        <w:rPr>
          <w:rFonts w:eastAsia="Times New Roman"/>
          <w:vanish/>
        </w:rPr>
        <w:t>s-gaap:InterestRateContractMemberus-gaap:NondesignatedMembercof:OtherInterestRateExposuresMember2021-12-310000927628us-gaap:OtherContractMemberus-gaap:NondesignatedMember2022-12-310000927628us-gaap:OtherContractMemberus-gaap:NondesignatedMember2021-12-3100</w:t>
      </w:r>
      <w:r>
        <w:rPr>
          <w:rFonts w:eastAsia="Times New Roman"/>
          <w:vanish/>
        </w:rPr>
        <w:t>00927628us-gaap:NondesignatedMember2022-12-310000927628us-gaap:NondesignatedMember2021-12-310000927628us-gaap:AvailableforsaleSecuritiesMember2022-12-310000927628us-gaap:AvailableforsaleSecuritiesMember2021-12-310000927628us-gaap:InterestBearingDepositsMem</w:t>
      </w:r>
      <w:r>
        <w:rPr>
          <w:rFonts w:eastAsia="Times New Roman"/>
          <w:vanish/>
        </w:rPr>
        <w:t>ber2022-12-310000927628us-gaap:InterestBearingDepositsMember2021-12-310000927628cof:SecuritizedDebtObligationsMember2022-12-310000927628cof:SecuritizedDebtObligationsMember2021-12-310000927628cof:SeniorAndSubordinatedNotesMember2022-12-310000927628cof:Seni</w:t>
      </w:r>
      <w:r>
        <w:rPr>
          <w:rFonts w:eastAsia="Times New Roman"/>
          <w:vanish/>
        </w:rPr>
        <w:t>orAndSubordinatedNotesMember2021-12-310000927628us-gaap:InterestRateContractMembercof:InterestincomeInvestmentsecuritiesMemberus-gaap:FairValueHedgingMember2022-01-012022-12-310000927628us-gaap:InterestRateContractMembercof:InterestincomeLoansMemberus-gaap</w:t>
      </w:r>
      <w:r>
        <w:rPr>
          <w:rFonts w:eastAsia="Times New Roman"/>
          <w:vanish/>
        </w:rPr>
        <w:t>:FairValueHedgingMember2022-01-012022-12-310000927628us-gaap:InterestRateContractMembercof:InterestincomeOtherMemberus-gaap:FairValueHedgingMember2022-01-012022-12-310000927628us-gaap:InterestRateContractMembercof:InterestexpenseDepositsMemberus-gaap:FairV</w:t>
      </w:r>
      <w:r>
        <w:rPr>
          <w:rFonts w:eastAsia="Times New Roman"/>
          <w:vanish/>
        </w:rPr>
        <w:t>alueHedgingMember2022-01-012022-12-310000927628us-gaap:InterestRateContractMembercof:InterestexpenseSecuritizedDebtObligationMemberus-gaap:FairValueHedgingMember2022-01-012022-12-310000927628us-gaap:InterestRateContractMembercof:InterestexpenseSeniorandSub</w:t>
      </w:r>
      <w:r>
        <w:rPr>
          <w:rFonts w:eastAsia="Times New Roman"/>
          <w:vanish/>
        </w:rPr>
        <w:t>ordinatedDebtMemberus-gaap:FairValueHedgingMember2022-01-012022-12-310000927628us-gaap:InterestRateContractMembercof:NonInterestIncomeOtherMemberus-gaap:FairValueHedgingMember2022-01-012022-12-310000927628cof:InterestincomeInvestmentsecuritiesMemberus-gaap</w:t>
      </w:r>
      <w:r>
        <w:rPr>
          <w:rFonts w:eastAsia="Times New Roman"/>
          <w:vanish/>
        </w:rPr>
        <w:t>:FairValueHedgingMember2022-01-012022-12-310000927628cof:InterestincomeLoansMemberus-gaap:FairValueHedgingMember2022-01-012022-12-310000927628cof:InterestincomeOtherMemberus-gaap:FairValueHedgingMember2022-01-012022-12-310000927628cof:InterestexpenseDeposi</w:t>
      </w:r>
      <w:r>
        <w:rPr>
          <w:rFonts w:eastAsia="Times New Roman"/>
          <w:vanish/>
        </w:rPr>
        <w:t>tsMemberus-gaap:FairValueHedgingMember2022-01-012022-12-310000927628cof:InterestexpenseSecuritizedDebtObligationMemberus-gaap:FairValueHedgingMember2022-01-012022-12-310000927628cof:InterestexpenseSeniorandSubordinatedDebtMemberus-gaap:FairValueHedgingMemb</w:t>
      </w:r>
      <w:r>
        <w:rPr>
          <w:rFonts w:eastAsia="Times New Roman"/>
          <w:vanish/>
        </w:rPr>
        <w:t>er2022-01-012022-12-310000927628cof:NonInterestIncomeOtherMemberus-gaap:FairValueHedgingMember2022-01-012022-12-310000927628us-gaap:InterestRateContractMembercof:InterestincomeInvestmentsecuritiesMemberus-gaap:CashFlowHedgingMember2022-01-012022-12-3100009</w:t>
      </w:r>
      <w:r>
        <w:rPr>
          <w:rFonts w:eastAsia="Times New Roman"/>
          <w:vanish/>
        </w:rPr>
        <w:t>27628us-gaap:InterestRateContractMembercof:InterestincomeLoansMemberus-gaap:CashFlowHedgingMember2022-01-012022-12-310000927628us-gaap:InterestRateContractMembercof:InterestincomeOtherMemberus-gaap:CashFlowHedgingMember2022-01-012022-12-310000927628us-gaap</w:t>
      </w:r>
      <w:r>
        <w:rPr>
          <w:rFonts w:eastAsia="Times New Roman"/>
          <w:vanish/>
        </w:rPr>
        <w:t>:InterestRateContractMembercof:InterestexpenseDepositsMemberus-gaap:CashFlowHedgingMember2022-01-012022-12-310000927628us-gaap:InterestRateContractMembercof:InterestexpenseSecuritizedDebtObligationMemberus-gaap:CashFlowHedgingMember2022-01-012022-12-310000</w:t>
      </w:r>
      <w:r>
        <w:rPr>
          <w:rFonts w:eastAsia="Times New Roman"/>
          <w:vanish/>
        </w:rPr>
        <w:t>927628us-gaap:InterestRateContractMemberus-gaap:CashFlowHedgingMembercof:InterestexpenseSeniorandSubordinatedDebtMember2022-01-012022-12-310000927628us-gaap:InterestRateContractMembercof:NonInterestIncomeOtherMemberus-gaap:CashFlowHedgingMember2022-01-0120</w:t>
      </w:r>
      <w:r>
        <w:rPr>
          <w:rFonts w:eastAsia="Times New Roman"/>
          <w:vanish/>
        </w:rPr>
        <w:t>22-12-310000927628us-gaap:ForeignExchangeContractMembercof:InterestincomeInvestmentsecuritiesMemberus-gaap:CashFlowHedgingMember2022-01-012022-12-310000927628us-gaap:ForeignExchangeContractMembercof:InterestincomeLoansMemberus-gaap:CashFlowHedgingMember202</w:t>
      </w:r>
      <w:r>
        <w:rPr>
          <w:rFonts w:eastAsia="Times New Roman"/>
          <w:vanish/>
        </w:rPr>
        <w:t>2-01-012022-12-310000927628us-gaap:ForeignExchangeContractMembercof:InterestincomeOtherMemberus-gaap:CashFlowHedgingMember2022-01-012022-12-310000927628us-gaap:ForeignExchangeContractMembercof:InterestexpenseDepositsMemberus-gaap:CashFlowHedgingMember2022-</w:t>
      </w:r>
      <w:r>
        <w:rPr>
          <w:rFonts w:eastAsia="Times New Roman"/>
          <w:vanish/>
        </w:rPr>
        <w:t>01-012022-12-310000927628us-gaap:ForeignExchangeContractMembercof:InterestexpenseSecuritizedDebtObligationMemberus-gaap:CashFlowHedgingMember2022-01-012022-12-310000927628us-gaap:ForeignExchangeContractMemberus-gaap:CashFlowHedgingMembercof:Interestexpense</w:t>
      </w:r>
      <w:r>
        <w:rPr>
          <w:rFonts w:eastAsia="Times New Roman"/>
          <w:vanish/>
        </w:rPr>
        <w:t>SeniorandSubordinatedDebtMember2022-01-012022-12-310000927628us-gaap:ForeignExchangeContractMembercof:NonInterestIncomeOtherMemberus-gaap:CashFlowHedgingMember2022-01-012022-12-310000927628cof:InterestincomeInvestmentsecuritiesMemberus-gaap:CashFlowHedging</w:t>
      </w:r>
      <w:r>
        <w:rPr>
          <w:rFonts w:eastAsia="Times New Roman"/>
          <w:vanish/>
        </w:rPr>
        <w:t>Member2022-01-012022-12-310000927628cof:InterestincomeLoansMemberus-gaap:CashFlowHedgingMember2022-01-012022-12-310000927628cof:InterestincomeOtherMemberus-gaap:CashFlowHedgingMember2022-01-012022-12-310000927628cof:InterestexpenseDepositsMemberus-gaap:Cas</w:t>
      </w:r>
      <w:r>
        <w:rPr>
          <w:rFonts w:eastAsia="Times New Roman"/>
          <w:vanish/>
        </w:rPr>
        <w:t>hFlowHedgingMember2022-01-012022-12-310000927628cof:InterestexpenseSecuritizedDebtObligationMemberus-gaap:CashFlowHedgingMember2022-01-012022-12-310000927628us-gaap:CashFlowHedgingMembercof:InterestexpenseSeniorandSubordinatedDebtMember2022-01-012022-12-31</w:t>
      </w:r>
      <w:r>
        <w:rPr>
          <w:rFonts w:eastAsia="Times New Roman"/>
          <w:vanish/>
        </w:rPr>
        <w:t>0000927628cof:NonInterestIncomeOtherMemberus-gaap:CashFlowHedgingMember2022-01-012022-12-310000927628us-gaap:InterestRateContractMembercof:InterestincomeInvestmentsecuritiesMemberus-gaap:FairValueHedgingMember2021-01-012021-12-310000927628us-gaap:InterestR</w:t>
      </w:r>
      <w:r>
        <w:rPr>
          <w:rFonts w:eastAsia="Times New Roman"/>
          <w:vanish/>
        </w:rPr>
        <w:t>ateContractMembercof:InterestincomeLoansMemberus-gaap:FairValueHedgingMember2021-01-012021-12-310000927628us-gaap:InterestRateContractMembercof:InterestincomeOtherMemberus-gaap:FairValueHedgingMember2021-01-012021-12-310000927628us-gaap:InterestRateContrac</w:t>
      </w:r>
      <w:r>
        <w:rPr>
          <w:rFonts w:eastAsia="Times New Roman"/>
          <w:vanish/>
        </w:rPr>
        <w:t>tMembercof:InterestexpenseDepositsMemberus-gaap:FairValueHedgingMember2021-01-012021-12-310000927628us-gaap:InterestRateContractMembercof:InterestexpenseSecuritizedDebtObligationMemberus-gaap:FairValueHedgingMember2021-01-012021-12-310000927628us-gaap:Inte</w:t>
      </w:r>
      <w:r>
        <w:rPr>
          <w:rFonts w:eastAsia="Times New Roman"/>
          <w:vanish/>
        </w:rPr>
        <w:t>restRateContractMembercof:InterestexpenseSeniorandSubordinatedDebtMemberus-gaap:FairValueHedgingMember2021-01-012021-12-310000927628us-gaap:InterestRateContractMembercof:NonInterestIncomeOtherMemberus-gaap:FairValueHedgingMember2021-01-012021-12-3100009276</w:t>
      </w:r>
      <w:r>
        <w:rPr>
          <w:rFonts w:eastAsia="Times New Roman"/>
          <w:vanish/>
        </w:rPr>
        <w:t>28cof:InterestincomeInvestmentsecuritiesMemberus-gaap:FairValueHedgingMember2021-01-012021-12-310000927628cof:InterestincomeLoansMemberus-gaap:FairValueHedgingMember2021-01-012021-12-310000927628cof:InterestincomeOtherMemberus-gaap:FairValueHedgingMember20</w:t>
      </w:r>
      <w:r>
        <w:rPr>
          <w:rFonts w:eastAsia="Times New Roman"/>
          <w:vanish/>
        </w:rPr>
        <w:t>21-01-012021-12-310000927628cof:InterestexpenseDepositsMemberus-gaap:FairValueHedgingMember2021-01-012021-12-310000927628cof:InterestexpenseSecuritizedDebtObligationMemberus-gaap:FairValueHedgingMember2021-01-012021-12-310000927628cof:InterestexpenseSenior</w:t>
      </w:r>
      <w:r>
        <w:rPr>
          <w:rFonts w:eastAsia="Times New Roman"/>
          <w:vanish/>
        </w:rPr>
        <w:t>andSubordinatedDebtMemberus-gaap:FairValueHedgingMember2021-01-012021-12-310000927628cof:NonInterestIncomeOtherMemberus-gaap:FairValueHedgingMember2021-01-012021-12-310000927628us-gaap:InterestRateContractMembercof:InterestincomeInvestmentsecuritiesMemberu</w:t>
      </w:r>
      <w:r>
        <w:rPr>
          <w:rFonts w:eastAsia="Times New Roman"/>
          <w:vanish/>
        </w:rPr>
        <w:t>s-gaap:CashFlowHedgingMember2021-01-012021-12-310000927628us-gaap:InterestRateContractMembercof:InterestincomeLoansMemberus-gaap:CashFlowHedgingMember2021-01-012021-12-310000927628us-gaap:InterestRateContractMembercof:InterestincomeOtherMemberus-gaap:CashF</w:t>
      </w:r>
      <w:r>
        <w:rPr>
          <w:rFonts w:eastAsia="Times New Roman"/>
          <w:vanish/>
        </w:rPr>
        <w:t>lowHedgingMember2021-01-012021-12-310000927628us-gaap:InterestRateContractMembercof:InterestexpenseDepositsMemberus-gaap:CashFlowHedgingMember2021-01-012021-12-310000927628us-gaap:InterestRateContractMembercof:InterestexpenseSecuritizedDebtObligationMember</w:t>
      </w:r>
      <w:r>
        <w:rPr>
          <w:rFonts w:eastAsia="Times New Roman"/>
          <w:vanish/>
        </w:rPr>
        <w:t>us-gaap:CashFlowHedgingMember2021-01-012021-12-310000927628us-gaap:InterestRateContractMemberus-gaap:CashFlowHedgingMembercof:InterestexpenseSeniorandSubordinatedDebtMember2021-01-012021-12-310000927628us-gaap:InterestRateContractMembercof:NonInterestIncom</w:t>
      </w:r>
      <w:r>
        <w:rPr>
          <w:rFonts w:eastAsia="Times New Roman"/>
          <w:vanish/>
        </w:rPr>
        <w:t>eOtherMemberus-gaap:CashFlowHedgingMember2021-01-012021-12-310000927628us-gaap:ForeignExchangeContractMembercof:InterestincomeInvestmentsecuritiesMemberus-gaap:CashFlowHedgingMember2021-01-012021-12-310000927628us-gaap:ForeignExchangeContractMembercof:Inte</w:t>
      </w:r>
      <w:r>
        <w:rPr>
          <w:rFonts w:eastAsia="Times New Roman"/>
          <w:vanish/>
        </w:rPr>
        <w:t>restincomeLoansMemberus-gaap:CashFlowHedgingMember2021-01-012021-12-310000927628us-gaap:ForeignExchangeContractMembercof:InterestincomeOtherMemberus-gaap:CashFlowHedgingMember2021-01-012021-12-310000927628us-gaap:ForeignExchangeContractMembercof:Interestex</w:t>
      </w:r>
      <w:r>
        <w:rPr>
          <w:rFonts w:eastAsia="Times New Roman"/>
          <w:vanish/>
        </w:rPr>
        <w:t>penseDepositsMemberus-gaap:CashFlowHedgingMember2021-01-012021-12-310000927628us-gaap:ForeignExchangeContractMembercof:InterestexpenseSecuritizedDebtObligationMemberus-gaap:CashFlowHedgingMember2021-01-012021-12-310000927628us-gaap:ForeignExchangeContractM</w:t>
      </w:r>
      <w:r>
        <w:rPr>
          <w:rFonts w:eastAsia="Times New Roman"/>
          <w:vanish/>
        </w:rPr>
        <w:t>emberus-gaap:CashFlowHedgingMembercof:InterestexpenseSeniorandSubordinatedDebtMember2021-01-012021-12-310000927628us-gaap:ForeignExchangeContractMembercof:NonInterestIncomeOtherMemberus-gaap:CashFlowHedgingMember2021-01-012021-12-310000927628cof:Interestin</w:t>
      </w:r>
      <w:r>
        <w:rPr>
          <w:rFonts w:eastAsia="Times New Roman"/>
          <w:vanish/>
        </w:rPr>
        <w:t>comeInvestmentsecuritiesMemberus-gaap:CashFlowHedgingMember2021-01-012021-12-310000927628cof:InterestincomeLoansMemberus-gaap:CashFlowHedgingMember2021-01-012021-12-310000927628cof:InterestincomeOtherMemberus-gaap:CashFlowHedgingMember2021-01-012021-12-310</w:t>
      </w:r>
      <w:r>
        <w:rPr>
          <w:rFonts w:eastAsia="Times New Roman"/>
          <w:vanish/>
        </w:rPr>
        <w:t>000927628cof:InterestexpenseDepositsMemberus-gaap:CashFlowHedgingMember2021-01-012021-12-310000927628cof:InterestexpenseSecuritizedDebtObligationMemberus-gaap:CashFlowHedgingMember2021-01-012021-12-310000927628us-gaap:CashFlowHedgingMembercof:Interestexpen</w:t>
      </w:r>
      <w:r>
        <w:rPr>
          <w:rFonts w:eastAsia="Times New Roman"/>
          <w:vanish/>
        </w:rPr>
        <w:t>seSeniorandSubordinatedDebtMember2021-01-012021-12-310000927628cof:NonInterestIncomeOtherMemberus-gaap:CashFlowHedgingMember2021-01-012021-12-310000927628us-gaap:InterestRateContractMembercof:InterestincomeInvestmentsecuritiesMemberus-gaap:FairValueHedging</w:t>
      </w:r>
      <w:r>
        <w:rPr>
          <w:rFonts w:eastAsia="Times New Roman"/>
          <w:vanish/>
        </w:rPr>
        <w:t>Member2020-01-012020-12-310000927628us-gaap:InterestRateContractMembercof:InterestincomeLoansMemberus-gaap:FairValueHedgingMember2020-01-012020-12-310000927628us-gaap:InterestRateContractMembercof:InterestincomeOtherMemberus-gaap:FairValueHedgingMember2020</w:t>
      </w:r>
      <w:r>
        <w:rPr>
          <w:rFonts w:eastAsia="Times New Roman"/>
          <w:vanish/>
        </w:rPr>
        <w:t>-01-012020-12-310000927628us-gaap:InterestRateContractMembercof:InterestexpenseDepositsMemberus-gaap:FairValueHedgingMember2020-01-012020-12-310000927628us-gaap:InterestRateContractMembercof:InterestexpenseSecuritizedDebtObligationMemberus-gaap:FairValueHe</w:t>
      </w:r>
      <w:r>
        <w:rPr>
          <w:rFonts w:eastAsia="Times New Roman"/>
          <w:vanish/>
        </w:rPr>
        <w:t>dgingMember2020-01-012020-12-310000927628us-gaap:InterestRateContractMembercof:InterestexpenseSeniorandSubordinatedDebtMemberus-gaap:FairValueHedgingMember2020-01-012020-12-310000927628us-gaap:InterestRateContractMembercof:NonInterestIncomeOtherMemberus-ga</w:t>
      </w:r>
      <w:r>
        <w:rPr>
          <w:rFonts w:eastAsia="Times New Roman"/>
          <w:vanish/>
        </w:rPr>
        <w:t>ap:FairValueHedgingMember2020-01-012020-12-310000927628cof:InterestincomeInvestmentsecuritiesMemberus-gaap:FairValueHedgingMember2020-01-012020-12-310000927628cof:InterestincomeLoansMemberus-gaap:FairValueHedgingMember2020-01-012020-12-310000927628cof:Inte</w:t>
      </w:r>
      <w:r>
        <w:rPr>
          <w:rFonts w:eastAsia="Times New Roman"/>
          <w:vanish/>
        </w:rPr>
        <w:t>restincomeOtherMemberus-gaap:FairValueHedgingMember2020-01-012020-12-310000927628cof:InterestexpenseDepositsMemberus-gaap:FairValueHedgingMember2020-01-012020-12-310000927628cof:InterestexpenseSecuritizedDebtObligationMemberus-gaap:FairValueHedgingMember20</w:t>
      </w:r>
      <w:r>
        <w:rPr>
          <w:rFonts w:eastAsia="Times New Roman"/>
          <w:vanish/>
        </w:rPr>
        <w:t>20-01-012020-12-310000927628cof:InterestexpenseSeniorandSubordinatedDebtMemberus-gaap:FairValueHedgingMember2020-01-012020-12-310000927628cof:NonInterestIncomeOtherMemberus-gaap:FairValueHedgingMember2020-01-012020-12-310000927628us-gaap:InterestRateContra</w:t>
      </w:r>
      <w:r>
        <w:rPr>
          <w:rFonts w:eastAsia="Times New Roman"/>
          <w:vanish/>
        </w:rPr>
        <w:t>ctMembercof:InterestincomeInvestmentsecuritiesMemberus-gaap:CashFlowHedgingMember2020-01-012020-12-310000927628us-gaap:InterestRateContractMembercof:InterestincomeLoansMemberus-gaap:CashFlowHedgingMember2020-01-012020-12-310000927628us-gaap:InterestRateCon</w:t>
      </w:r>
      <w:r>
        <w:rPr>
          <w:rFonts w:eastAsia="Times New Roman"/>
          <w:vanish/>
        </w:rPr>
        <w:t>tractMembercof:InterestincomeOtherMemberus-gaap:CashFlowHedgingMember2020-01-012020-12-310000927628us-gaap:InterestRateContractMembercof:InterestexpenseDepositsMemberus-gaap:CashFlowHedgingMember2020-01-012020-12-310000927628us-gaap:InterestRateContractMem</w:t>
      </w:r>
      <w:r>
        <w:rPr>
          <w:rFonts w:eastAsia="Times New Roman"/>
          <w:vanish/>
        </w:rPr>
        <w:t>bercof:InterestexpenseSecuritizedDebtObligationMemberus-gaap:CashFlowHedgingMember2020-01-012020-12-310000927628us-gaap:InterestRateContractMemberus-gaap:CashFlowHedgingMembercof:InterestexpenseSeniorandSubordinatedDebtMember2020-01-012020-12-310000927628u</w:t>
      </w:r>
      <w:r>
        <w:rPr>
          <w:rFonts w:eastAsia="Times New Roman"/>
          <w:vanish/>
        </w:rPr>
        <w:t>s-gaap:InterestRateContractMembercof:NonInterestIncomeOtherMemberus-gaap:CashFlowHedgingMember2020-01-012020-12-310000927628us-gaap:ForeignExchangeContractMembercof:InterestincomeInvestmentsecuritiesMemberus-gaap:CashFlowHedgingMember2020-01-012020-12-3100</w:t>
      </w:r>
      <w:r>
        <w:rPr>
          <w:rFonts w:eastAsia="Times New Roman"/>
          <w:vanish/>
        </w:rPr>
        <w:t>00927628us-gaap:ForeignExchangeContractMembercof:InterestincomeLoansMemberus-gaap:CashFlowHedgingMember2020-01-012020-12-310000927628us-gaap:ForeignExchangeContractMembercof:InterestincomeOtherMemberus-gaap:CashFlowHedgingMember2020-01-012020-12-3100009276</w:t>
      </w:r>
      <w:r>
        <w:rPr>
          <w:rFonts w:eastAsia="Times New Roman"/>
          <w:vanish/>
        </w:rPr>
        <w:t>28us-gaap:ForeignExchangeContractMembercof:InterestexpenseDepositsMemberus-gaap:CashFlowHedgingMember2020-01-012020-12-310000927628us-gaap:ForeignExchangeContractMembercof:InterestexpenseSecuritizedDebtObligationMemberus-gaap:CashFlowHedgingMember2020-01-0</w:t>
      </w:r>
      <w:r>
        <w:rPr>
          <w:rFonts w:eastAsia="Times New Roman"/>
          <w:vanish/>
        </w:rPr>
        <w:t>12020-12-310000927628us-gaap:ForeignExchangeContractMemberus-gaap:CashFlowHedgingMembercof:InterestexpenseSeniorandSubordinatedDebtMember2020-01-012020-12-310000927628us-gaap:ForeignExchangeContractMembercof:NonInterestIncomeOtherMemberus-gaap:CashFlowHedg</w:t>
      </w:r>
      <w:r>
        <w:rPr>
          <w:rFonts w:eastAsia="Times New Roman"/>
          <w:vanish/>
        </w:rPr>
        <w:t>ingMember2020-01-012020-12-310000927628cof:InterestincomeInvestmentsecuritiesMemberus-gaap:CashFlowHedgingMember2020-01-012020-12-310000927628cof:InterestincomeLoansMemberus-gaap:CashFlowHedgingMember2020-01-012020-12-310000927628cof:InterestincomeOtherMem</w:t>
      </w:r>
      <w:r>
        <w:rPr>
          <w:rFonts w:eastAsia="Times New Roman"/>
          <w:vanish/>
        </w:rPr>
        <w:t>berus-gaap:CashFlowHedgingMember2020-01-012020-12-310000927628cof:InterestexpenseDepositsMemberus-gaap:CashFlowHedgingMember2020-01-012020-12-310000927628cof:InterestexpenseSecuritizedDebtObligationMemberus-gaap:CashFlowHedgingMember2020-01-012020-12-31000</w:t>
      </w:r>
      <w:r>
        <w:rPr>
          <w:rFonts w:eastAsia="Times New Roman"/>
          <w:vanish/>
        </w:rPr>
        <w:t>0927628us-gaap:CashFlowHedgingMembercof:InterestexpenseSeniorandSubordinatedDebtMember2020-01-012020-12-310000927628cof:NonInterestIncomeOtherMemberus-gaap:CashFlowHedgingMember2020-01-012020-12-310000927628cof:NonInterestIncomeOtherMember2022-01-012022-12</w:t>
      </w:r>
      <w:r>
        <w:rPr>
          <w:rFonts w:eastAsia="Times New Roman"/>
          <w:vanish/>
        </w:rPr>
        <w:t>-310000927628cof:NonInterestIncomeOtherMember2021-01-012021-12-310000927628cof:NonInterestIncomeOtherMember2020-01-012020-12-310000927628cof:OtherNonInterestIncomeMemberus-gaap:InterestRateContractMembercof:CustomerAccommodationMember2022-01-012022-12-3100</w:t>
      </w:r>
      <w:r>
        <w:rPr>
          <w:rFonts w:eastAsia="Times New Roman"/>
          <w:vanish/>
        </w:rPr>
        <w:t>00927628cof:OtherNonInterestIncomeMemberus-gaap:InterestRateContractMembercof:CustomerAccommodationMember2021-01-012021-12-310000927628cof:OtherNonInterestIncomeMemberus-gaap:InterestRateContractMembercof:CustomerAccommodationMember2020-01-012020-12-310000</w:t>
      </w:r>
      <w:r>
        <w:rPr>
          <w:rFonts w:eastAsia="Times New Roman"/>
          <w:vanish/>
        </w:rPr>
        <w:t>927628us-gaap:CommodityContractMembercof:OtherNonInterestIncomeMembercof:CustomerAccommodationMember2022-01-012022-12-310000927628us-gaap:CommodityContractMembercof:OtherNonInterestIncomeMembercof:CustomerAccommodationMember2021-01-012021-12-310000927628us</w:t>
      </w:r>
      <w:r>
        <w:rPr>
          <w:rFonts w:eastAsia="Times New Roman"/>
          <w:vanish/>
        </w:rPr>
        <w:t>-gaap:CommodityContractMembercof:OtherNonInterestIncomeMembercof:CustomerAccommodationMember2020-01-012020-12-310000927628cof:OtherNonInterestIncomeMemberus-gaap:ForeignExchangeContractMembercof:CustomerAccommodationMember2022-01-012022-12-310000927628cof:</w:t>
      </w:r>
      <w:r>
        <w:rPr>
          <w:rFonts w:eastAsia="Times New Roman"/>
          <w:vanish/>
        </w:rPr>
        <w:t>OtherNonInterestIncomeMemberus-gaap:ForeignExchangeContractMembercof:CustomerAccommodationMember2021-01-012021-12-310000927628cof:OtherNonInterestIncomeMemberus-gaap:ForeignExchangeContractMembercof:CustomerAccommodationMember2020-01-012020-12-310000927628</w:t>
      </w:r>
      <w:r>
        <w:rPr>
          <w:rFonts w:eastAsia="Times New Roman"/>
          <w:vanish/>
        </w:rPr>
        <w:t>cof:OtherNonInterestIncomeMemberus-gaap:InterestRateContractMember2022-01-012022-12-310000927628cof:OtherNonInterestIncomeMemberus-gaap:InterestRateContractMember2021-01-012021-12-310000927628cof:OtherNonInterestIncomeMemberus-gaap:InterestRateContractMemb</w:t>
      </w:r>
      <w:r>
        <w:rPr>
          <w:rFonts w:eastAsia="Times New Roman"/>
          <w:vanish/>
        </w:rPr>
        <w:t>er2020-01-012020-12-310000927628cof:OtherNonInterestIncomeMemberus-gaap:InterestRateContractMembercof:OtherInterestRateExposuresMember2022-01-012022-12-310000927628cof:OtherNonInterestIncomeMemberus-gaap:InterestRateContractMembercof:OtherInterestRateExpos</w:t>
      </w:r>
      <w:r>
        <w:rPr>
          <w:rFonts w:eastAsia="Times New Roman"/>
          <w:vanish/>
        </w:rPr>
        <w:t>uresMember2021-01-012021-12-310000927628cof:OtherNonInterestIncomeMemberus-gaap:InterestRateContractMembercof:OtherInterestRateExposuresMember2020-01-012020-12-310000927628us-gaap:OtherContractMembercof:OtherNonInterestIncomeMember2022-01-012022-12-3100009</w:t>
      </w:r>
      <w:r>
        <w:rPr>
          <w:rFonts w:eastAsia="Times New Roman"/>
          <w:vanish/>
        </w:rPr>
        <w:t>27628us-gaap:OtherContractMembercof:OtherNonInterestIncomeMember2021-01-012021-12-310000927628us-gaap:OtherContractMembercof:OtherNonInterestIncomeMember2020-01-012020-12-310000927628cof:OtherNonInterestIncomeMember2022-01-012022-12-310000927628cof:OtherNo</w:t>
      </w:r>
      <w:r>
        <w:rPr>
          <w:rFonts w:eastAsia="Times New Roman"/>
          <w:vanish/>
        </w:rPr>
        <w:t>nInterestIncomeMember2021-01-012021-12-310000927628cof:OtherNonInterestIncomeMember2020-01-012020-12-310000927628cof:SeriesIPreferredStockMember2022-12-310000927628cof:SeriesIPreferredStockMember2021-12-310000927628cof:SeriesJPreferredStockMember2022-12-31</w:t>
      </w:r>
      <w:r>
        <w:rPr>
          <w:rFonts w:eastAsia="Times New Roman"/>
          <w:vanish/>
        </w:rPr>
        <w:t>0000927628cof:SeriesJPreferredStockMember2021-12-310000927628cof:SeriesKPreferredStockMember2022-12-310000927628cof:SeriesKPreferredStockMember2021-12-310000927628cof:SeriesLPreferredStockMember2022-12-310000927628cof:SeriesLPreferredStockMember2021-12-310</w:t>
      </w:r>
      <w:r>
        <w:rPr>
          <w:rFonts w:eastAsia="Times New Roman"/>
          <w:vanish/>
        </w:rPr>
        <w:t>000927628cof:SeriesMPreferredStockMember2022-01-012022-12-310000927628cof:SeriesMPreferredStockMember2022-12-310000927628cof:SeriesMPreferredStockMember2021-12-310000927628cof:SeriesNPreferredStockMember2022-12-310000927628cof:SeriesNPreferredStockMember20</w:t>
      </w:r>
      <w:r>
        <w:rPr>
          <w:rFonts w:eastAsia="Times New Roman"/>
          <w:vanish/>
        </w:rPr>
        <w:t>21-12-310000927628us-gaap:AvailableforsaleSecuritiesMemberus-gaap:AccumulatedNetUnrealizedInvestmentGainLossMember2019-12-310000927628us-gaap:AccumulatedNetGainLossFromDesignatedOrQualifyingCashFlowHedgesMember2019-12-310000927628us-gaap:AccumulatedTransla</w:t>
      </w:r>
      <w:r>
        <w:rPr>
          <w:rFonts w:eastAsia="Times New Roman"/>
          <w:vanish/>
        </w:rPr>
        <w:t>tionAdjustmentMember2019-12-310000927628cof:AccumulatedOtherComprehensiveIncomeLossOtherComponentMember2019-12-310000927628us-gaap:AvailableforsaleSecuritiesMemberus-gaap:AccumulatedNetUnrealizedInvestmentGainLossMembersrt:CumulativeEffectPeriodOfAdoptionA</w:t>
      </w:r>
      <w:r>
        <w:rPr>
          <w:rFonts w:eastAsia="Times New Roman"/>
          <w:vanish/>
        </w:rPr>
        <w:t>djustmentMember2020-01-012020-12-310000927628us-gaap:AccumulatedNetGainLossFromDesignatedOrQualifyingCashFlowHedgesMembersrt:CumulativeEffectPeriodOfAdoptionAdjustmentMember2020-01-012020-12-310000927628us-gaap:AccumulatedTranslationAdjustmentMembersrt:Cum</w:t>
      </w:r>
      <w:r>
        <w:rPr>
          <w:rFonts w:eastAsia="Times New Roman"/>
          <w:vanish/>
        </w:rPr>
        <w:t>ulativeEffectPeriodOfAdoptionAdjustmentMember2020-01-012020-12-310000927628cof:AccumulatedOtherComprehensiveIncomeLossOtherComponentMembersrt:CumulativeEffectPeriodOfAdoptionAdjustmentMember2020-01-012020-12-310000927628us-gaap:AccumulatedOtherComprehensiv</w:t>
      </w:r>
      <w:r>
        <w:rPr>
          <w:rFonts w:eastAsia="Times New Roman"/>
          <w:vanish/>
        </w:rPr>
        <w:t>eIncomeMembersrt:CumulativeEffectPeriodOfAdoptionAdjustmentMember2020-01-012020-12-310000927628us-gaap:AvailableforsaleSecuritiesMemberus-gaap:AccumulatedNetUnrealizedInvestmentGainLossMember2020-01-012020-12-310000927628us-gaap:AccumulatedNetGainLossFromD</w:t>
      </w:r>
      <w:r>
        <w:rPr>
          <w:rFonts w:eastAsia="Times New Roman"/>
          <w:vanish/>
        </w:rPr>
        <w:t>esignatedOrQualifyingCashFlowHedgesMember2020-01-012020-12-310000927628us-gaap:AccumulatedTranslationAdjustmentMember2020-01-012020-12-310000927628cof:AccumulatedOtherComprehensiveIncomeLossOtherComponentMember2020-01-012020-12-310000927628us-gaap:Availabl</w:t>
      </w:r>
      <w:r>
        <w:rPr>
          <w:rFonts w:eastAsia="Times New Roman"/>
          <w:vanish/>
        </w:rPr>
        <w:t>eforsaleSecuritiesMemberus-gaap:AccumulatedNetUnrealizedInvestmentGainLossMember2020-12-310000927628us-gaap:AccumulatedNetGainLossFromDesignatedOrQualifyingCashFlowHedgesMember2020-12-310000927628us-gaap:AccumulatedTranslationAdjustmentMember2020-12-310000</w:t>
      </w:r>
      <w:r>
        <w:rPr>
          <w:rFonts w:eastAsia="Times New Roman"/>
          <w:vanish/>
        </w:rPr>
        <w:t>927628cof:AccumulatedOtherComprehensiveIncomeLossOtherComponentMember2020-12-310000927628us-gaap:AvailableforsaleSecuritiesMemberus-gaap:AccumulatedNetUnrealizedInvestmentGainLossMember2021-01-012021-12-310000927628us-gaap:AccumulatedNetGainLossFromDesigna</w:t>
      </w:r>
      <w:r>
        <w:rPr>
          <w:rFonts w:eastAsia="Times New Roman"/>
          <w:vanish/>
        </w:rPr>
        <w:t>tedOrQualifyingCashFlowHedgesMember2021-01-012021-12-310000927628us-gaap:AccumulatedTranslationAdjustmentMember2021-01-012021-12-310000927628cof:AccumulatedOtherComprehensiveIncomeLossOtherComponentMember2021-01-012021-12-310000927628us-gaap:Availableforsa</w:t>
      </w:r>
      <w:r>
        <w:rPr>
          <w:rFonts w:eastAsia="Times New Roman"/>
          <w:vanish/>
        </w:rPr>
        <w:t>leSecuritiesMemberus-gaap:AccumulatedNetUnrealizedInvestmentGainLossMember2021-12-310000927628us-gaap:AccumulatedNetGainLossFromDesignatedOrQualifyingCashFlowHedgesMember2021-12-310000927628us-gaap:AccumulatedTranslationAdjustmentMember2021-12-310000927628</w:t>
      </w:r>
      <w:r>
        <w:rPr>
          <w:rFonts w:eastAsia="Times New Roman"/>
          <w:vanish/>
        </w:rPr>
        <w:t>cof:AccumulatedOtherComprehensiveIncomeLossOtherComponentMember2021-12-310000927628us-gaap:AvailableforsaleSecuritiesMemberus-gaap:AccumulatedNetUnrealizedInvestmentGainLossMember2022-01-012022-12-310000927628us-gaap:AccumulatedNetGainLossFromDesignatedOrQ</w:t>
      </w:r>
      <w:r>
        <w:rPr>
          <w:rFonts w:eastAsia="Times New Roman"/>
          <w:vanish/>
        </w:rPr>
        <w:t>ualifyingCashFlowHedgesMember2022-01-012022-12-310000927628us-gaap:AccumulatedTranslationAdjustmentMember2022-01-012022-12-310000927628cof:AccumulatedOtherComprehensiveIncomeLossOtherComponentMember2022-01-012022-12-310000927628us-gaap:AvailableforsaleSecu</w:t>
      </w:r>
      <w:r>
        <w:rPr>
          <w:rFonts w:eastAsia="Times New Roman"/>
          <w:vanish/>
        </w:rPr>
        <w:t>ritiesMemberus-gaap:AccumulatedNetUnrealizedInvestmentGainLossMember2022-12-310000927628us-gaap:AccumulatedNetGainLossFromDesignatedOrQualifyingCashFlowHedgesMember2022-12-310000927628us-gaap:AccumulatedTranslationAdjustmentMember2022-12-310000927628cof:Ac</w:t>
      </w:r>
      <w:r>
        <w:rPr>
          <w:rFonts w:eastAsia="Times New Roman"/>
          <w:vanish/>
        </w:rPr>
        <w:t>cumulatedOtherComprehensiveIncomeLossOtherComponentMember2022-12-310000927628us-gaap:NetInvestmentHedgingMember2022-01-012022-12-310000927628us-gaap:NetInvestmentHedgingMember2021-01-012021-12-310000927628us-gaap:NetInvestmentHedgingMember2020-01-012020-12</w:t>
      </w:r>
      <w:r>
        <w:rPr>
          <w:rFonts w:eastAsia="Times New Roman"/>
          <w:vanish/>
        </w:rPr>
        <w:t>-310000927628us-gaap:AccumulatedNetUnrealizedInvestmentGainLossMemberus-gaap:ReclassificationOutOfAccumulatedOtherComprehensiveIncomeMember2022-01-012022-12-310000927628us-gaap:AccumulatedNetUnrealizedInvestmentGainLossMemberus-gaap:ReclassificationOutOfAc</w:t>
      </w:r>
      <w:r>
        <w:rPr>
          <w:rFonts w:eastAsia="Times New Roman"/>
          <w:vanish/>
        </w:rPr>
        <w:t>cumulatedOtherComprehensiveIncomeMember2021-01-012021-12-310000927628us-gaap:AccumulatedNetUnrealizedInvestmentGainLossMemberus-gaap:ReclassificationOutOfAccumulatedOtherComprehensiveIncomeMember2020-01-012020-12-310000927628us-gaap:InterestRateContractMem</w:t>
      </w:r>
      <w:r>
        <w:rPr>
          <w:rFonts w:eastAsia="Times New Roman"/>
          <w:vanish/>
        </w:rPr>
        <w:t>berus-gaap:AccumulatedNetGainLossFromDesignatedOrQualifyingCashFlowHedgesMemberus-gaap:ReclassificationOutOfAccumulatedOtherComprehensiveIncomeMember2022-01-012022-12-310000927628us-gaap:InterestRateContractMemberus-gaap:AccumulatedNetGainLossFromDesignate</w:t>
      </w:r>
      <w:r>
        <w:rPr>
          <w:rFonts w:eastAsia="Times New Roman"/>
          <w:vanish/>
        </w:rPr>
        <w:t>dOrQualifyingCashFlowHedgesMemberus-gaap:ReclassificationOutOfAccumulatedOtherComprehensiveIncomeMember2021-01-012021-12-310000927628us-gaap:InterestRateContractMemberus-gaap:AccumulatedNetGainLossFromDesignatedOrQualifyingCashFlowHedgesMemberus-gaap:Recla</w:t>
      </w:r>
      <w:r>
        <w:rPr>
          <w:rFonts w:eastAsia="Times New Roman"/>
          <w:vanish/>
        </w:rPr>
        <w:t>ssificationOutOfAccumulatedOtherComprehensiveIncomeMember2020-01-012020-12-310000927628us-gaap:ForeignExchangeContractMemberus-gaap:AccumulatedNetGainLossFromDesignatedOrQualifyingCashFlowHedgesMemberus-gaap:ReclassificationOutOfAccumulatedOtherComprehensi</w:t>
      </w:r>
      <w:r>
        <w:rPr>
          <w:rFonts w:eastAsia="Times New Roman"/>
          <w:vanish/>
        </w:rPr>
        <w:t>veIncomeMember2022-01-012022-12-310000927628us-gaap:ForeignExchangeContractMemberus-gaap:AccumulatedNetGainLossFromDesignatedOrQualifyingCashFlowHedgesMemberus-gaap:ReclassificationOutOfAccumulatedOtherComprehensiveIncomeMember2021-01-012021-12-31000092762</w:t>
      </w:r>
      <w:r>
        <w:rPr>
          <w:rFonts w:eastAsia="Times New Roman"/>
          <w:vanish/>
        </w:rPr>
        <w:t>8us-gaap:ForeignExchangeContractMemberus-gaap:AccumulatedNetGainLossFromDesignatedOrQualifyingCashFlowHedgesMemberus-gaap:ReclassificationOutOfAccumulatedOtherComprehensiveIncomeMember2020-01-012020-12-310000927628cof:AccumulatedOtherComprehensiveIncomeLos</w:t>
      </w:r>
      <w:r>
        <w:rPr>
          <w:rFonts w:eastAsia="Times New Roman"/>
          <w:vanish/>
        </w:rPr>
        <w:t>sOtherComponentMemberus-gaap:ReclassificationOutOfAccumulatedOtherComprehensiveIncomeMember2022-01-012022-12-310000927628cof:AccumulatedOtherComprehensiveIncomeLossOtherComponentMemberus-gaap:ReclassificationOutOfAccumulatedOtherComprehensiveIncomeMember20</w:t>
      </w:r>
      <w:r>
        <w:rPr>
          <w:rFonts w:eastAsia="Times New Roman"/>
          <w:vanish/>
        </w:rPr>
        <w:t>21-01-012021-12-310000927628cof:AccumulatedOtherComprehensiveIncomeLossOtherComponentMemberus-gaap:ReclassificationOutOfAccumulatedOtherComprehensiveIncomeMember2020-01-012020-12-310000927628us-gaap:ReclassificationOutOfAccumulatedOtherComprehensiveIncomeM</w:t>
      </w:r>
      <w:r>
        <w:rPr>
          <w:rFonts w:eastAsia="Times New Roman"/>
          <w:vanish/>
        </w:rPr>
        <w:t>ember2022-01-012022-12-310000927628us-gaap:ReclassificationOutOfAccumulatedOtherComprehensiveIncomeMember2021-01-012021-12-310000927628us-gaap:ReclassificationOutOfAccumulatedOtherComprehensiveIncomeMember2020-01-012020-12-3100009276282022-01-012022-01-010</w:t>
      </w:r>
      <w:r>
        <w:rPr>
          <w:rFonts w:eastAsia="Times New Roman"/>
          <w:vanish/>
        </w:rPr>
        <w:t>000927628srt:ScenarioForecastMember2023-01-012025-12-310000927628cof:CapitalOneN.A.Member2022-12-310000927628cof:CapitalOneN.A.Member2021-12-310000927628cof:CapitalOneBankUSAN.A.Member2022-12-310000927628us-gaap:StockCompensationPlanMember2022-01-012022-12</w:t>
      </w:r>
      <w:r>
        <w:rPr>
          <w:rFonts w:eastAsia="Times New Roman"/>
          <w:vanish/>
        </w:rPr>
        <w:t>-310000927628us-gaap:StockCompensationPlanMember2021-01-012021-12-310000927628us-gaap:StockCompensationPlanMember2020-01-012020-12-310000927628us-gaap:EmployeeStockOptionMember2020-01-012020-12-310000927628us-gaap:EmployeeStockOptionMember2021-01-012021-12</w:t>
      </w:r>
      <w:r>
        <w:rPr>
          <w:rFonts w:eastAsia="Times New Roman"/>
          <w:vanish/>
        </w:rPr>
        <w:t>-310000927628us-gaap:EmployeeStockOptionMember2022-01-012022-12-31cof:plan0000927628cof:CashSettledUnitsMembercof:StockIncentivePlan2004Member2022-01-012022-12-310000927628cof:CashSettledUnitsMembercof:StockIncentivePlan2004Member2021-01-012021-12-31000092</w:t>
      </w:r>
      <w:r>
        <w:rPr>
          <w:rFonts w:eastAsia="Times New Roman"/>
          <w:vanish/>
        </w:rPr>
        <w:t>7628cof:CashSettledUnitsMembercof:StockIncentivePlan2004Member2020-01-012020-12-310000927628cof:AssociateStockPurchasePlanMember2022-01-012022-12-310000927628cof:AssociateStockPurchasePlanMember2021-01-012021-12-310000927628cof:AssociateStockPurchasePlanMe</w:t>
      </w:r>
      <w:r>
        <w:rPr>
          <w:rFonts w:eastAsia="Times New Roman"/>
          <w:vanish/>
        </w:rPr>
        <w:t>mber2020-01-012020-12-310000927628us-gaap:RestrictedStockUnitsRSUMembercof:StockIncentivePlan2004Member2022-01-012022-12-310000927628cof:StockIncentivePlan2004Membercof:PerformanceShareUnitsMember2022-01-012022-12-310000927628srt:MinimumMembercof:StockInce</w:t>
      </w:r>
      <w:r>
        <w:rPr>
          <w:rFonts w:eastAsia="Times New Roman"/>
          <w:vanish/>
        </w:rPr>
        <w:t>ntivePlan2004Membercof:PerformanceShareUnitsMember2022-01-012022-12-310000927628srt:MaximumMembercof:StockIncentivePlan2004Membercof:PerformanceShareUnitsMember2022-01-012022-12-310000927628us-gaap:RestrictedStockUnitsRSUMembercof:StockIncentivePlan2004Mem</w:t>
      </w:r>
      <w:r>
        <w:rPr>
          <w:rFonts w:eastAsia="Times New Roman"/>
          <w:vanish/>
        </w:rPr>
        <w:t>ber2021-12-310000927628cof:StockIncentivePlan2004Membercof:PerformanceShareUnitsMember2021-12-310000927628us-gaap:RestrictedStockUnitsRSUMembercof:StockIncentivePlan2004Member2022-12-310000927628cof:StockIncentivePlan2004Membercof:PerformanceShareUnitsMemb</w:t>
      </w:r>
      <w:r>
        <w:rPr>
          <w:rFonts w:eastAsia="Times New Roman"/>
          <w:vanish/>
        </w:rPr>
        <w:t>er2022-12-310000927628us-gaap:RestrictedStockUnitsRSUMembercof:StockIncentivePlan2004Member2021-01-012021-12-310000927628us-gaap:RestrictedStockUnitsRSUMembercof:StockIncentivePlan2004Member2020-01-012020-12-310000927628cof:StockIncentivePlan2004Membercof:</w:t>
      </w:r>
      <w:r>
        <w:rPr>
          <w:rFonts w:eastAsia="Times New Roman"/>
          <w:vanish/>
        </w:rPr>
        <w:t>PerformanceShareUnitsMember2021-01-012021-12-310000927628cof:StockIncentivePlan2004Membercof:PerformanceShareUnitsMember2020-01-012020-12-310000927628cof:StockIncentivePlan2004Memberus-gaap:EmployeeStockOptionMember2022-01-012022-12-310000927628cof:StockIn</w:t>
      </w:r>
      <w:r>
        <w:rPr>
          <w:rFonts w:eastAsia="Times New Roman"/>
          <w:vanish/>
        </w:rPr>
        <w:t>centivePlan2004Member2021-12-310000927628cof:StockIncentivePlan2004Member2022-01-012022-12-310000927628cof:StockIncentivePlan2004Member2022-12-310000927628cof:StockIncentivePlan2004Memberus-gaap:EmployeeStockOptionMember2020-01-012020-12-310000927628cof:St</w:t>
      </w:r>
      <w:r>
        <w:rPr>
          <w:rFonts w:eastAsia="Times New Roman"/>
          <w:vanish/>
        </w:rPr>
        <w:t>ockIncentivePlan2004Memberus-gaap:EmployeeStockOptionMember2021-01-012021-12-310000927628cof:AssociateSavingsPlanMember2022-12-31cof:age0000927628us-gaap:PensionPlansDefinedBenefitMember2021-12-310000927628us-gaap:PensionPlansDefinedBenefitMember2020-12-31</w:t>
      </w:r>
      <w:r>
        <w:rPr>
          <w:rFonts w:eastAsia="Times New Roman"/>
          <w:vanish/>
        </w:rPr>
        <w:t>0000927628us-gaap:OtherPostretirementBenefitPlansDefinedBenefitMember2021-12-310000927628us-gaap:OtherPostretirementBenefitPlansDefinedBenefitMember2020-12-310000927628us-gaap:PensionPlansDefinedBenefitMember2022-01-012022-12-310000927628us-gaap:PensionPla</w:t>
      </w:r>
      <w:r>
        <w:rPr>
          <w:rFonts w:eastAsia="Times New Roman"/>
          <w:vanish/>
        </w:rPr>
        <w:t>nsDefinedBenefitMember2021-01-012021-12-310000927628us-gaap:OtherPostretirementBenefitPlansDefinedBenefitMember2022-01-012022-12-310000927628us-gaap:OtherPostretirementBenefitPlansDefinedBenefitMember2021-01-012021-12-310000927628us-gaap:PensionPlansDefine</w:t>
      </w:r>
      <w:r>
        <w:rPr>
          <w:rFonts w:eastAsia="Times New Roman"/>
          <w:vanish/>
        </w:rPr>
        <w:t>dBenefitMember2022-12-310000927628us-gaap:OtherPostretirementBenefitPlansDefinedBenefitMember2022-12-310000927628us-gaap:InternalRevenueServiceIRSMember2022-12-310000927628us-gaap:InternalRevenueServiceIRSMember2021-12-310000927628us-gaap:StateAndLocalJuri</w:t>
      </w:r>
      <w:r>
        <w:rPr>
          <w:rFonts w:eastAsia="Times New Roman"/>
          <w:vanish/>
        </w:rPr>
        <w:t>sdictionMember2022-12-310000927628us-gaap:StateAndLocalJurisdictionMember2021-12-310000927628us-gaap:ForeignCountryMember2022-12-310000927628us-gaap:ForeignCountryMember2021-12-310000927628cof:ForeignTaxCreditCarryforwardMember2022-01-012022-12-31000092762</w:t>
      </w:r>
      <w:r>
        <w:rPr>
          <w:rFonts w:eastAsia="Times New Roman"/>
          <w:vanish/>
        </w:rPr>
        <w:t>8cof:NetOperatingStateLossesAndInterestCarryforwardsMember2022-01-012022-12-310000927628cof:GrossUnrecognizedTaxBenefitsMember2019-12-310000927628cof:AccruedInterestAndPenaltiesMember2019-12-310000927628cof:GrossTaxInterestAndPenaltiesMember2019-12-3100009</w:t>
      </w:r>
      <w:r>
        <w:rPr>
          <w:rFonts w:eastAsia="Times New Roman"/>
          <w:vanish/>
        </w:rPr>
        <w:t>27628cof:GrossUnrecognizedTaxBenefitsMember2020-01-012020-12-310000927628cof:AccruedInterestAndPenaltiesMember2020-01-012020-12-310000927628cof:GrossTaxInterestAndPenaltiesMember2020-01-012020-12-310000927628cof:GrossUnrecognizedTaxBenefitsMember2020-12-31</w:t>
      </w:r>
      <w:r>
        <w:rPr>
          <w:rFonts w:eastAsia="Times New Roman"/>
          <w:vanish/>
        </w:rPr>
        <w:t>0000927628cof:AccruedInterestAndPenaltiesMember2020-12-310000927628cof:GrossTaxInterestAndPenaltiesMember2020-12-310000927628cof:GrossUnrecognizedTaxBenefitsMember2021-01-012021-12-310000927628cof:AccruedInterestAndPenaltiesMember2021-01-012021-12-31000092</w:t>
      </w:r>
      <w:r>
        <w:rPr>
          <w:rFonts w:eastAsia="Times New Roman"/>
          <w:vanish/>
        </w:rPr>
        <w:t>7628cof:GrossTaxInterestAndPenaltiesMember2021-01-012021-12-310000927628cof:GrossUnrecognizedTaxBenefitsMember2021-12-310000927628cof:AccruedInterestAndPenaltiesMember2021-12-310000927628cof:GrossTaxInterestAndPenaltiesMember2021-12-310000927628cof:GrossUn</w:t>
      </w:r>
      <w:r>
        <w:rPr>
          <w:rFonts w:eastAsia="Times New Roman"/>
          <w:vanish/>
        </w:rPr>
        <w:t>recognizedTaxBenefitsMember2022-01-012022-12-310000927628cof:AccruedInterestAndPenaltiesMember2022-01-012022-12-310000927628cof:GrossTaxInterestAndPenaltiesMember2022-01-012022-12-310000927628cof:GrossUnrecognizedTaxBenefitsMember2022-12-310000927628cof:Ac</w:t>
      </w:r>
      <w:r>
        <w:rPr>
          <w:rFonts w:eastAsia="Times New Roman"/>
          <w:vanish/>
        </w:rPr>
        <w:t>cruedInterestAndPenaltiesMember2022-12-310000927628cof:GrossTaxInterestAndPenaltiesMember2022-12-310000927628us-gaap:USTreasurySecuritiesMemberus-gaap:FairValueMeasurementsRecurringMemberus-gaap:FairValueInputsLevel1Member2022-12-310000927628us-gaap:FairVa</w:t>
      </w:r>
      <w:r>
        <w:rPr>
          <w:rFonts w:eastAsia="Times New Roman"/>
          <w:vanish/>
        </w:rPr>
        <w:t>lueInputsLevel2Memberus-gaap:USTreasurySecuritiesMemberus-gaap:FairValueMeasurementsRecurringMember2022-12-310000927628us-gaap:USTreasurySecuritiesMemberus-gaap:FairValueMeasurementsRecurringMemberus-gaap:FairValueInputsLevel3Member2022-12-310000927628us-g</w:t>
      </w:r>
      <w:r>
        <w:rPr>
          <w:rFonts w:eastAsia="Times New Roman"/>
          <w:vanish/>
        </w:rPr>
        <w:t>aap:USTreasurySecuritiesMemberus-gaap:FairValueMeasurementsRecurringMember2022-12-310000927628us-gaap:ResidentialMortgageBackedSecuritiesMemberus-gaap:FairValueMeasurementsRecurringMemberus-gaap:FairValueInputsLevel1Member2022-12-310000927628us-gaap:Reside</w:t>
      </w:r>
      <w:r>
        <w:rPr>
          <w:rFonts w:eastAsia="Times New Roman"/>
          <w:vanish/>
        </w:rPr>
        <w:t>ntialMortgageBackedSecuritiesMemberus-gaap:FairValueInputsLevel2Memberus-gaap:FairValueMeasurementsRecurringMember2022-12-310000927628us-gaap:ResidentialMortgageBackedSecuritiesMemberus-gaap:FairValueMeasurementsRecurringMemberus-gaap:FairValueInputsLevel3</w:t>
      </w:r>
      <w:r>
        <w:rPr>
          <w:rFonts w:eastAsia="Times New Roman"/>
          <w:vanish/>
        </w:rPr>
        <w:t>Member2022-12-310000927628us-gaap:ResidentialMortgageBackedSecuritiesMemberus-gaap:FairValueMeasurementsRecurringMember2022-12-310000927628us-gaap:FairValueMeasurementsRecurringMemberus-gaap:FairValueInputsLevel1Memberus-gaap:CommercialMortgageBackedSecuri</w:t>
      </w:r>
      <w:r>
        <w:rPr>
          <w:rFonts w:eastAsia="Times New Roman"/>
          <w:vanish/>
        </w:rPr>
        <w:t>tiesMember2022-12-310000927628us-gaap:FairValueInputsLevel2Memberus-gaap:FairValueMeasurementsRecurringMemberus-gaap:CommercialMortgageBackedSecuritiesMember2022-12-310000927628us-gaap:FairValueMeasurementsRecurringMemberus-gaap:FairValueInputsLevel3Member</w:t>
      </w:r>
      <w:r>
        <w:rPr>
          <w:rFonts w:eastAsia="Times New Roman"/>
          <w:vanish/>
        </w:rPr>
        <w:t>us-gaap:CommercialMortgageBackedSecuritiesMember2022-12-310000927628us-gaap:FairValueMeasurementsRecurringMemberus-gaap:CommercialMortgageBackedSecuritiesMember2022-12-310000927628us-gaap:OtherDebtSecuritiesMemberus-gaap:FairValueMeasurementsRecurringMembe</w:t>
      </w:r>
      <w:r>
        <w:rPr>
          <w:rFonts w:eastAsia="Times New Roman"/>
          <w:vanish/>
        </w:rPr>
        <w:t>rus-gaap:FairValueInputsLevel1Member2022-12-310000927628us-gaap:OtherDebtSecuritiesMemberus-gaap:FairValueInputsLevel2Memberus-gaap:FairValueMeasurementsRecurringMember2022-12-310000927628us-gaap:OtherDebtSecuritiesMemberus-gaap:FairValueMeasurementsRecurr</w:t>
      </w:r>
      <w:r>
        <w:rPr>
          <w:rFonts w:eastAsia="Times New Roman"/>
          <w:vanish/>
        </w:rPr>
        <w:t>ingMemberus-gaap:FairValueInputsLevel3Member2022-12-310000927628us-gaap:OtherDebtSecuritiesMemberus-gaap:FairValueMeasurementsRecurringMember2022-12-310000927628us-gaap:FairValueMeasurementsRecurringMemberus-gaap:FairValueInputsLevel1Member2022-12-31000092</w:t>
      </w:r>
      <w:r>
        <w:rPr>
          <w:rFonts w:eastAsia="Times New Roman"/>
          <w:vanish/>
        </w:rPr>
        <w:t>7628us-gaap:FairValueInputsLevel2Memberus-gaap:FairValueMeasurementsRecurringMember2022-12-310000927628us-gaap:FairValueMeasurementsRecurringMemberus-gaap:FairValueInputsLevel3Member2022-12-310000927628us-gaap:FairValueMeasurementsRecurringMember2022-12-31</w:t>
      </w:r>
      <w:r>
        <w:rPr>
          <w:rFonts w:eastAsia="Times New Roman"/>
          <w:vanish/>
        </w:rPr>
        <w:t>0000927628us-gaap:USTreasurySecuritiesMemberus-gaap:FairValueMeasurementsRecurringMemberus-gaap:FairValueInputsLevel1Member2021-12-310000927628us-gaap:FairValueInputsLevel2Memberus-gaap:USTreasurySecuritiesMemberus-gaap:FairValueMeasurementsRecurringMember</w:t>
      </w:r>
      <w:r>
        <w:rPr>
          <w:rFonts w:eastAsia="Times New Roman"/>
          <w:vanish/>
        </w:rPr>
        <w:t>2021-12-310000927628us-gaap:USTreasurySecuritiesMemberus-gaap:FairValueMeasurementsRecurringMemberus-gaap:FairValueInputsLevel3Member2021-12-310000927628us-gaap:USTreasurySecuritiesMemberus-gaap:FairValueMeasurementsRecurringMember2021-12-310000927628us-ga</w:t>
      </w:r>
      <w:r>
        <w:rPr>
          <w:rFonts w:eastAsia="Times New Roman"/>
          <w:vanish/>
        </w:rPr>
        <w:t>ap:ResidentialMortgageBackedSecuritiesMemberus-gaap:FairValueMeasurementsRecurringMemberus-gaap:FairValueInputsLevel1Member2021-12-310000927628us-gaap:ResidentialMortgageBackedSecuritiesMemberus-gaap:FairValueInputsLevel2Memberus-gaap:FairValueMeasurements</w:t>
      </w:r>
      <w:r>
        <w:rPr>
          <w:rFonts w:eastAsia="Times New Roman"/>
          <w:vanish/>
        </w:rPr>
        <w:t>RecurringMember2021-12-310000927628us-gaap:ResidentialMortgageBackedSecuritiesMemberus-gaap:FairValueMeasurementsRecurringMemberus-gaap:FairValueInputsLevel3Member2021-12-310000927628us-gaap:ResidentialMortgageBackedSecuritiesMemberus-gaap:FairValueMeasure</w:t>
      </w:r>
      <w:r>
        <w:rPr>
          <w:rFonts w:eastAsia="Times New Roman"/>
          <w:vanish/>
        </w:rPr>
        <w:t>mentsRecurringMember2021-12-310000927628us-gaap:FairValueMeasurementsRecurringMemberus-gaap:FairValueInputsLevel1Memberus-gaap:CommercialMortgageBackedSecuritiesMember2021-12-310000927628us-gaap:FairValueInputsLevel2Memberus-gaap:FairValueMeasurementsRecur</w:t>
      </w:r>
      <w:r>
        <w:rPr>
          <w:rFonts w:eastAsia="Times New Roman"/>
          <w:vanish/>
        </w:rPr>
        <w:t>ringMemberus-gaap:CommercialMortgageBackedSecuritiesMember2021-12-310000927628us-gaap:FairValueMeasurementsRecurringMemberus-gaap:FairValueInputsLevel3Memberus-gaap:CommercialMortgageBackedSecuritiesMember2021-12-310000927628us-gaap:FairValueMeasurementsRe</w:t>
      </w:r>
      <w:r>
        <w:rPr>
          <w:rFonts w:eastAsia="Times New Roman"/>
          <w:vanish/>
        </w:rPr>
        <w:t>curringMemberus-gaap:CommercialMortgageBackedSecuritiesMember2021-12-310000927628us-gaap:OtherDebtSecuritiesMemberus-gaap:FairValueMeasurementsRecurringMemberus-gaap:FairValueInputsLevel1Member2021-12-310000927628us-gaap:OtherDebtSecuritiesMemberus-gaap:Fa</w:t>
      </w:r>
      <w:r>
        <w:rPr>
          <w:rFonts w:eastAsia="Times New Roman"/>
          <w:vanish/>
        </w:rPr>
        <w:t>irValueInputsLevel2Memberus-gaap:FairValueMeasurementsRecurringMember2021-12-310000927628us-gaap:OtherDebtSecuritiesMemberus-gaap:FairValueMeasurementsRecurringMemberus-gaap:FairValueInputsLevel3Member2021-12-310000927628us-gaap:OtherDebtSecuritiesMemberus</w:t>
      </w:r>
      <w:r>
        <w:rPr>
          <w:rFonts w:eastAsia="Times New Roman"/>
          <w:vanish/>
        </w:rPr>
        <w:t>-gaap:FairValueMeasurementsRecurringMember2021-12-310000927628us-gaap:FairValueMeasurementsRecurringMemberus-gaap:FairValueInputsLevel1Member2021-12-310000927628us-gaap:FairValueInputsLevel2Memberus-gaap:FairValueMeasurementsRecurringMember2021-12-31000092</w:t>
      </w:r>
      <w:r>
        <w:rPr>
          <w:rFonts w:eastAsia="Times New Roman"/>
          <w:vanish/>
        </w:rPr>
        <w:t>7628us-gaap:FairValueMeasurementsRecurringMemberus-gaap:FairValueInputsLevel3Member2021-12-310000927628us-gaap:FairValueMeasurementsRecurringMember2021-12-310000927628cof:FairValueInputsLevel1AndLevel2Memberus-gaap:FairValueMeasurementsRecurringMember2022-</w:t>
      </w:r>
      <w:r>
        <w:rPr>
          <w:rFonts w:eastAsia="Times New Roman"/>
          <w:vanish/>
        </w:rPr>
        <w:t>12-310000927628cof:FairValueInputsLevel1AndLevel2Memberus-gaap:FairValueMeasurementsRecurringMember2022-01-012022-12-310000927628cof:FairValueInputsLevel1AndLevel2Memberus-gaap:FairValueMeasurementsRecurringMember2021-12-310000927628cof:FairValueInputsLeve</w:t>
      </w:r>
      <w:r>
        <w:rPr>
          <w:rFonts w:eastAsia="Times New Roman"/>
          <w:vanish/>
        </w:rPr>
        <w:t>l1AndLevel2Memberus-gaap:FairValueMeasurementsRecurringMember2021-01-012021-12-310000927628us-gaap:ResidentialMortgageBackedSecuritiesMemberus-gaap:FairValueMeasurementsRecurringMemberus-gaap:FairValueInputsLevel3Member2022-01-012022-12-310000927628us-gaap</w:t>
      </w:r>
      <w:r>
        <w:rPr>
          <w:rFonts w:eastAsia="Times New Roman"/>
          <w:vanish/>
        </w:rPr>
        <w:t>:FairValueMeasurementsRecurringMemberus-gaap:FairValueInputsLevel3Memberus-gaap:CommercialMortgageBackedSecuritiesMember2022-01-012022-12-310000927628us-gaap:AvailableforsaleSecuritiesMemberus-gaap:FairValueMeasurementsRecurringMemberus-gaap:FairValueInput</w:t>
      </w:r>
      <w:r>
        <w:rPr>
          <w:rFonts w:eastAsia="Times New Roman"/>
          <w:vanish/>
        </w:rPr>
        <w:t>sLevel3Member2021-12-310000927628us-gaap:AvailableforsaleSecuritiesMemberus-gaap:FairValueMeasurementsRecurringMemberus-gaap:FairValueInputsLevel3Member2022-01-012022-12-310000927628us-gaap:AvailableforsaleSecuritiesMemberus-gaap:FairValueMeasurementsRecur</w:t>
      </w:r>
      <w:r>
        <w:rPr>
          <w:rFonts w:eastAsia="Times New Roman"/>
          <w:vanish/>
        </w:rPr>
        <w:t>ringMemberus-gaap:FairValueInputsLevel3Member2022-12-310000927628us-gaap:RetainedInterestMemberus-gaap:FairValueMeasurementsRecurringMemberus-gaap:FairValueInputsLevel3Member2021-12-310000927628us-gaap:RetainedInterestMemberus-gaap:FairValueMeasurementsRec</w:t>
      </w:r>
      <w:r>
        <w:rPr>
          <w:rFonts w:eastAsia="Times New Roman"/>
          <w:vanish/>
        </w:rPr>
        <w:t>urringMemberus-gaap:FairValueInputsLevel3Member2022-01-012022-12-310000927628us-gaap:RetainedInterestMemberus-gaap:FairValueMeasurementsRecurringMemberus-gaap:FairValueInputsLevel3Member2022-12-310000927628us-gaap:FairValueMeasurementsRecurringMemberus-gaa</w:t>
      </w:r>
      <w:r>
        <w:rPr>
          <w:rFonts w:eastAsia="Times New Roman"/>
          <w:vanish/>
        </w:rPr>
        <w:t>p:FairValueInputsLevel3Member2022-01-012022-12-310000927628cof:NetDerivativeAssetsLiabilitiesMemberus-gaap:FairValueMeasurementsRecurringMemberus-gaap:FairValueInputsLevel3Member2022-01-012022-12-310000927628us-gaap:ResidentialMortgageBackedSecuritiesMembe</w:t>
      </w:r>
      <w:r>
        <w:rPr>
          <w:rFonts w:eastAsia="Times New Roman"/>
          <w:vanish/>
        </w:rPr>
        <w:t>rus-gaap:FairValueMeasurementsRecurringMemberus-gaap:FairValueInputsLevel3Member2020-12-310000927628us-gaap:ResidentialMortgageBackedSecuritiesMemberus-gaap:FairValueMeasurementsRecurringMemberus-gaap:FairValueInputsLevel3Member2021-01-012021-12-3100009276</w:t>
      </w:r>
      <w:r>
        <w:rPr>
          <w:rFonts w:eastAsia="Times New Roman"/>
          <w:vanish/>
        </w:rPr>
        <w:t>28us-gaap:FairValueMeasurementsRecurringMemberus-gaap:FairValueInputsLevel3Memberus-gaap:CommercialMortgageBackedSecuritiesMember2020-12-310000927628us-gaap:FairValueMeasurementsRecurringMemberus-gaap:FairValueInputsLevel3Memberus-gaap:CommercialMortgageBa</w:t>
      </w:r>
      <w:r>
        <w:rPr>
          <w:rFonts w:eastAsia="Times New Roman"/>
          <w:vanish/>
        </w:rPr>
        <w:t>ckedSecuritiesMember2021-01-012021-12-310000927628us-gaap:AvailableforsaleSecuritiesMemberus-gaap:FairValueMeasurementsRecurringMemberus-gaap:FairValueInputsLevel3Member2020-12-310000927628us-gaap:AvailableforsaleSecuritiesMemberus-gaap:FairValueMeasuremen</w:t>
      </w:r>
      <w:r>
        <w:rPr>
          <w:rFonts w:eastAsia="Times New Roman"/>
          <w:vanish/>
        </w:rPr>
        <w:t>tsRecurringMemberus-gaap:FairValueInputsLevel3Member2021-01-012021-12-310000927628us-gaap:RetainedInterestMemberus-gaap:FairValueMeasurementsRecurringMemberus-gaap:FairValueInputsLevel3Member2020-12-310000927628us-gaap:RetainedInterestMemberus-gaap:FairVal</w:t>
      </w:r>
      <w:r>
        <w:rPr>
          <w:rFonts w:eastAsia="Times New Roman"/>
          <w:vanish/>
        </w:rPr>
        <w:t>ueMeasurementsRecurringMemberus-gaap:FairValueInputsLevel3Member2021-01-012021-12-310000927628us-gaap:FairValueMeasurementsRecurringMemberus-gaap:FairValueInputsLevel3Member2020-12-310000927628us-gaap:FairValueMeasurementsRecurringMemberus-gaap:FairValueIn</w:t>
      </w:r>
      <w:r>
        <w:rPr>
          <w:rFonts w:eastAsia="Times New Roman"/>
          <w:vanish/>
        </w:rPr>
        <w:t>putsLevel3Member2021-01-012021-12-310000927628cof:NetDerivativeAssetsLiabilitiesMemberus-gaap:FairValueMeasurementsRecurringMemberus-gaap:FairValueInputsLevel3Member2021-01-012021-12-310000927628us-gaap:ResidentialMortgageBackedSecuritiesMemberus-gaap:Fair</w:t>
      </w:r>
      <w:r>
        <w:rPr>
          <w:rFonts w:eastAsia="Times New Roman"/>
          <w:vanish/>
        </w:rPr>
        <w:t>ValueMeasurementsRecurringMemberus-gaap:FairValueInputsLevel3Member2019-12-310000927628us-gaap:ResidentialMortgageBackedSecuritiesMemberus-gaap:FairValueMeasurementsRecurringMemberus-gaap:FairValueInputsLevel3Member2020-01-012020-12-310000927628us-gaap:Fai</w:t>
      </w:r>
      <w:r>
        <w:rPr>
          <w:rFonts w:eastAsia="Times New Roman"/>
          <w:vanish/>
        </w:rPr>
        <w:t>rValueMeasurementsRecurringMemberus-gaap:FairValueInputsLevel3Memberus-gaap:CommercialMortgageBackedSecuritiesMember2019-12-310000927628us-gaap:FairValueMeasurementsRecurringMemberus-gaap:FairValueInputsLevel3Memberus-gaap:CommercialMortgageBackedSecuritie</w:t>
      </w:r>
      <w:r>
        <w:rPr>
          <w:rFonts w:eastAsia="Times New Roman"/>
          <w:vanish/>
        </w:rPr>
        <w:t>sMember2020-01-012020-12-310000927628us-gaap:AvailableforsaleSecuritiesMemberus-gaap:FairValueMeasurementsRecurringMemberus-gaap:FairValueInputsLevel3Member2019-12-310000927628us-gaap:AvailableforsaleSecuritiesMemberus-gaap:FairValueMeasurementsRecurringMe</w:t>
      </w:r>
      <w:r>
        <w:rPr>
          <w:rFonts w:eastAsia="Times New Roman"/>
          <w:vanish/>
        </w:rPr>
        <w:t>mberus-gaap:FairValueInputsLevel3Member2020-01-012020-12-310000927628us-gaap:RetainedInterestMemberus-gaap:FairValueMeasurementsRecurringMemberus-gaap:FairValueInputsLevel3Member2019-12-310000927628us-gaap:RetainedInterestMemberus-gaap:FairValueMeasurement</w:t>
      </w:r>
      <w:r>
        <w:rPr>
          <w:rFonts w:eastAsia="Times New Roman"/>
          <w:vanish/>
        </w:rPr>
        <w:t>sRecurringMemberus-gaap:FairValueInputsLevel3Member2020-01-012020-12-310000927628us-gaap:FairValueMeasurementsRecurringMemberus-gaap:FairValueInputsLevel3Member2019-12-310000927628us-gaap:FairValueMeasurementsRecurringMemberus-gaap:FairValueInputsLevel3Mem</w:t>
      </w:r>
      <w:r>
        <w:rPr>
          <w:rFonts w:eastAsia="Times New Roman"/>
          <w:vanish/>
        </w:rPr>
        <w:t>ber2020-01-012020-12-310000927628cof:NetDerivativeAssetsLiabilitiesMemberus-gaap:FairValueMeasurementsRecurringMemberus-gaap:FairValueInputsLevel3Member2020-01-012020-12-3100009276282020-01-010000927628us-gaap:ResidentialMortgageBackedSecuritiesMembersrt:M</w:t>
      </w:r>
      <w:r>
        <w:rPr>
          <w:rFonts w:eastAsia="Times New Roman"/>
          <w:vanish/>
        </w:rPr>
        <w:t>inimumMemberus-gaap:FairValueMeasurementsRecurringMembercof:MeasurementInputYieldMemberus-gaap:ValuationTechniqueDiscountedCashFlowMemberus-gaap:FairValueInputsLevel3Member2022-12-310000927628us-gaap:ResidentialMortgageBackedSecuritiesMembersrt:MaximumMemb</w:t>
      </w:r>
      <w:r>
        <w:rPr>
          <w:rFonts w:eastAsia="Times New Roman"/>
          <w:vanish/>
        </w:rPr>
        <w:t>erus-gaap:FairValueMeasurementsRecurringMembercof:MeasurementInputYieldMemberus-gaap:ValuationTechniqueDiscountedCashFlowMemberus-gaap:FairValueInputsLevel3Member2022-12-310000927628us-gaap:ResidentialMortgageBackedSecuritiesMembersrt:MinimumMemberus-gaap:</w:t>
      </w:r>
      <w:r>
        <w:rPr>
          <w:rFonts w:eastAsia="Times New Roman"/>
          <w:vanish/>
        </w:rPr>
        <w:t>FairValueMeasurementsRecurringMemberus-gaap:ValuationTechniqueDiscountedCashFlowMemberus-gaap:FairValueInputsLevel3Memberus-gaap:MeasurementInputConstantPrepaymentRateMember2022-12-310000927628us-gaap:ResidentialMortgageBackedSecuritiesMembersrt:MaximumMem</w:t>
      </w:r>
      <w:r>
        <w:rPr>
          <w:rFonts w:eastAsia="Times New Roman"/>
          <w:vanish/>
        </w:rPr>
        <w:t>berus-gaap:FairValueMeasurementsRecurringMemberus-gaap:ValuationTechniqueDiscountedCashFlowMemberus-gaap:FairValueInputsLevel3Memberus-gaap:MeasurementInputConstantPrepaymentRateMember2022-12-310000927628us-gaap:ResidentialMortgageBackedSecuritiesMembersrt</w:t>
      </w:r>
      <w:r>
        <w:rPr>
          <w:rFonts w:eastAsia="Times New Roman"/>
          <w:vanish/>
        </w:rPr>
        <w:t>:MinimumMemberus-gaap:FairValueMeasurementsRecurringMemberus-gaap:ValuationTechniqueDiscountedCashFlowMemberus-gaap:FairValueInputsLevel3Memberus-gaap:MeasurementInputDefaultRateMember2022-12-310000927628us-gaap:ResidentialMortgageBackedSecuritiesMembersrt</w:t>
      </w:r>
      <w:r>
        <w:rPr>
          <w:rFonts w:eastAsia="Times New Roman"/>
          <w:vanish/>
        </w:rPr>
        <w:t>:MaximumMemberus-gaap:FairValueMeasurementsRecurringMemberus-gaap:ValuationTechniqueDiscountedCashFlowMemberus-gaap:FairValueInputsLevel3Memberus-gaap:MeasurementInputDefaultRateMember2022-12-310000927628us-gaap:ResidentialMortgageBackedSecuritiesMembersrt</w:t>
      </w:r>
      <w:r>
        <w:rPr>
          <w:rFonts w:eastAsia="Times New Roman"/>
          <w:vanish/>
        </w:rPr>
        <w:t>:MinimumMemberus-gaap:FairValueMeasurementsRecurringMemberus-gaap:MeasurementInputLossSeverityMemberus-gaap:ValuationTechniqueDiscountedCashFlowMemberus-gaap:FairValueInputsLevel3Member2022-12-310000927628us-gaap:ResidentialMortgageBackedSecuritiesMembersr</w:t>
      </w:r>
      <w:r>
        <w:rPr>
          <w:rFonts w:eastAsia="Times New Roman"/>
          <w:vanish/>
        </w:rPr>
        <w:t>t:MaximumMemberus-gaap:FairValueMeasurementsRecurringMemberus-gaap:MeasurementInputLossSeverityMemberus-gaap:ValuationTechniqueDiscountedCashFlowMemberus-gaap:FairValueInputsLevel3Member2022-12-310000927628us-gaap:ResidentialMortgageBackedSecuritiesMemberu</w:t>
      </w:r>
      <w:r>
        <w:rPr>
          <w:rFonts w:eastAsia="Times New Roman"/>
          <w:vanish/>
        </w:rPr>
        <w:t>s-gaap:FairValueMeasurementsRecurringMembersrt:WeightedAverageMembercof:MeasurementInputYieldMemberus-gaap:ValuationTechniqueDiscountedCashFlowMemberus-gaap:FairValueInputsLevel3Member2022-12-310000927628us-gaap:ResidentialMortgageBackedSecuritiesMemberus-</w:t>
      </w:r>
      <w:r>
        <w:rPr>
          <w:rFonts w:eastAsia="Times New Roman"/>
          <w:vanish/>
        </w:rPr>
        <w:t>gaap:FairValueMeasurementsRecurringMembersrt:WeightedAverageMemberus-gaap:ValuationTechniqueDiscountedCashFlowMemberus-gaap:FairValueInputsLevel3Memberus-gaap:MeasurementInputConstantPrepaymentRateMember2022-12-310000927628us-gaap:ResidentialMortgageBacked</w:t>
      </w:r>
      <w:r>
        <w:rPr>
          <w:rFonts w:eastAsia="Times New Roman"/>
          <w:vanish/>
        </w:rPr>
        <w:t>SecuritiesMemberus-gaap:FairValueMeasurementsRecurringMembersrt:WeightedAverageMemberus-gaap:ValuationTechniqueDiscountedCashFlowMemberus-gaap:FairValueInputsLevel3Memberus-gaap:MeasurementInputDefaultRateMember2022-12-310000927628us-gaap:ResidentialMortga</w:t>
      </w:r>
      <w:r>
        <w:rPr>
          <w:rFonts w:eastAsia="Times New Roman"/>
          <w:vanish/>
        </w:rPr>
        <w:t>geBackedSecuritiesMemberus-gaap:FairValueMeasurementsRecurringMembersrt:WeightedAverageMemberus-gaap:MeasurementInputLossSeverityMemberus-gaap:ValuationTechniqueDiscountedCashFlowMemberus-gaap:FairValueInputsLevel3Member2022-12-310000927628srt:MinimumMembe</w:t>
      </w:r>
      <w:r>
        <w:rPr>
          <w:rFonts w:eastAsia="Times New Roman"/>
          <w:vanish/>
        </w:rPr>
        <w:t>rus-gaap:FairValueMeasurementsRecurringMembercof:MeasurementInputYieldMemberus-gaap:ValuationTechniqueDiscountedCashFlowMemberus-gaap:FairValueInputsLevel3Memberus-gaap:CommercialMortgageBackedSecuritiesMember2022-12-310000927628srt:MaximumMemberus-gaap:Fa</w:t>
      </w:r>
      <w:r>
        <w:rPr>
          <w:rFonts w:eastAsia="Times New Roman"/>
          <w:vanish/>
        </w:rPr>
        <w:t>irValueMeasurementsRecurringMembercof:MeasurementInputYieldMemberus-gaap:ValuationTechniqueDiscountedCashFlowMemberus-gaap:FairValueInputsLevel3Memberus-gaap:CommercialMortgageBackedSecuritiesMember2022-12-310000927628us-gaap:FairValueMeasurementsRecurring</w:t>
      </w:r>
      <w:r>
        <w:rPr>
          <w:rFonts w:eastAsia="Times New Roman"/>
          <w:vanish/>
        </w:rPr>
        <w:t>Membersrt:WeightedAverageMembercof:MeasurementInputYieldMemberus-gaap:ValuationTechniqueDiscountedCashFlowMemberus-gaap:FairValueInputsLevel3Memberus-gaap:CommercialMortgageBackedSecuritiesMember2022-12-310000927628srt:MinimumMembercof:MeasurementInputLife</w:t>
      </w:r>
      <w:r>
        <w:rPr>
          <w:rFonts w:eastAsia="Times New Roman"/>
          <w:vanish/>
        </w:rPr>
        <w:t>ofReceivablesMemberus-gaap:FairValueMeasurementsRecurringMemberus-gaap:ValuationTechniqueDiscountedCashFlowMemberus-gaap:FairValueInputsLevel3Member2022-01-012022-12-310000927628srt:MaximumMembercof:MeasurementInputLifeofReceivablesMemberus-gaap:FairValueM</w:t>
      </w:r>
      <w:r>
        <w:rPr>
          <w:rFonts w:eastAsia="Times New Roman"/>
          <w:vanish/>
        </w:rPr>
        <w:t>easurementsRecurringMemberus-gaap:ValuationTechniqueDiscountedCashFlowMemberus-gaap:FairValueInputsLevel3Member2022-01-012022-12-310000927628srt:MinimumMemberus-gaap:FairValueMeasurementsRecurringMemberus-gaap:ValuationTechniqueDiscountedCashFlowMemberus-g</w:t>
      </w:r>
      <w:r>
        <w:rPr>
          <w:rFonts w:eastAsia="Times New Roman"/>
          <w:vanish/>
        </w:rPr>
        <w:t>aap:FairValueInputsLevel3Memberus-gaap:MeasurementInputConstantPrepaymentRateMember2022-12-310000927628srt:MaximumMemberus-gaap:FairValueMeasurementsRecurringMemberus-gaap:ValuationTechniqueDiscountedCashFlowMemberus-gaap:FairValueInputsLevel3Memberus-gaap</w:t>
      </w:r>
      <w:r>
        <w:rPr>
          <w:rFonts w:eastAsia="Times New Roman"/>
          <w:vanish/>
        </w:rPr>
        <w:t>:MeasurementInputConstantPrepaymentRateMember2022-12-310000927628srt:MinimumMemberus-gaap:FairValueMeasurementsRecurringMemberus-gaap:MeasurementInputDiscountRateMemberus-gaap:ValuationTechniqueDiscountedCashFlowMemberus-gaap:FairValueInputsLevel3Member202</w:t>
      </w:r>
      <w:r>
        <w:rPr>
          <w:rFonts w:eastAsia="Times New Roman"/>
          <w:vanish/>
        </w:rPr>
        <w:t>2-12-310000927628srt:MaximumMemberus-gaap:FairValueMeasurementsRecurringMemberus-gaap:MeasurementInputDiscountRateMemberus-gaap:ValuationTechniqueDiscountedCashFlowMemberus-gaap:FairValueInputsLevel3Member2022-12-310000927628srt:MinimumMemberus-gaap:FairVa</w:t>
      </w:r>
      <w:r>
        <w:rPr>
          <w:rFonts w:eastAsia="Times New Roman"/>
          <w:vanish/>
        </w:rPr>
        <w:t>lueMeasurementsRecurringMemberus-gaap:ValuationTechniqueDiscountedCashFlowMemberus-gaap:FairValueInputsLevel3Memberus-gaap:MeasurementInputDefaultRateMember2022-12-310000927628srt:MaximumMemberus-gaap:FairValueMeasurementsRecurringMemberus-gaap:ValuationTe</w:t>
      </w:r>
      <w:r>
        <w:rPr>
          <w:rFonts w:eastAsia="Times New Roman"/>
          <w:vanish/>
        </w:rPr>
        <w:t>chniqueDiscountedCashFlowMemberus-gaap:FairValueInputsLevel3Memberus-gaap:MeasurementInputDefaultRateMember2022-12-310000927628srt:MinimumMemberus-gaap:FairValueMeasurementsRecurringMemberus-gaap:MeasurementInputLossSeverityMemberus-gaap:ValuationTechnique</w:t>
      </w:r>
      <w:r>
        <w:rPr>
          <w:rFonts w:eastAsia="Times New Roman"/>
          <w:vanish/>
        </w:rPr>
        <w:t>DiscountedCashFlowMemberus-gaap:FairValueInputsLevel3Member2022-12-310000927628srt:MaximumMemberus-gaap:FairValueMeasurementsRecurringMemberus-gaap:MeasurementInputLossSeverityMemberus-gaap:ValuationTechniqueDiscountedCashFlowMemberus-gaap:FairValueInputsL</w:t>
      </w:r>
      <w:r>
        <w:rPr>
          <w:rFonts w:eastAsia="Times New Roman"/>
          <w:vanish/>
        </w:rPr>
        <w:t>evel3Member2022-12-310000927628srt:MinimumMemberus-gaap:FairValueMeasurementsRecurringMembercof:MeasurementInputSwapRatesMemberus-gaap:ValuationTechniqueDiscountedCashFlowMemberus-gaap:FairValueInputsLevel3Member2022-12-310000927628srt:MaximumMemberus-gaap</w:t>
      </w:r>
      <w:r>
        <w:rPr>
          <w:rFonts w:eastAsia="Times New Roman"/>
          <w:vanish/>
        </w:rPr>
        <w:t>:FairValueMeasurementsRecurringMembercof:MeasurementInputSwapRatesMemberus-gaap:ValuationTechniqueDiscountedCashFlowMemberus-gaap:FairValueInputsLevel3Member2022-12-310000927628us-gaap:FairValueMeasurementsRecurringMembersrt:WeightedAverageMembercof:Measur</w:t>
      </w:r>
      <w:r>
        <w:rPr>
          <w:rFonts w:eastAsia="Times New Roman"/>
          <w:vanish/>
        </w:rPr>
        <w:t>ementInputSwapRatesMemberus-gaap:ValuationTechniqueDiscountedCashFlowMemberus-gaap:FairValueInputsLevel3Member2022-12-310000927628us-gaap:ResidentialMortgageBackedSecuritiesMembersrt:MinimumMemberus-gaap:FairValueMeasurementsRecurringMembercof:MeasurementI</w:t>
      </w:r>
      <w:r>
        <w:rPr>
          <w:rFonts w:eastAsia="Times New Roman"/>
          <w:vanish/>
        </w:rPr>
        <w:t>nputYieldMemberus-gaap:ValuationTechniqueDiscountedCashFlowMemberus-gaap:FairValueInputsLevel3Member2021-12-310000927628us-gaap:ResidentialMortgageBackedSecuritiesMembersrt:MaximumMemberus-gaap:FairValueMeasurementsRecurringMembercof:MeasurementInputYieldM</w:t>
      </w:r>
      <w:r>
        <w:rPr>
          <w:rFonts w:eastAsia="Times New Roman"/>
          <w:vanish/>
        </w:rPr>
        <w:t>emberus-gaap:ValuationTechniqueDiscountedCashFlowMemberus-gaap:FairValueInputsLevel3Member2021-12-310000927628us-gaap:ResidentialMortgageBackedSecuritiesMembersrt:MinimumMemberus-gaap:FairValueMeasurementsRecurringMemberus-gaap:ValuationTechniqueDiscounted</w:t>
      </w:r>
      <w:r>
        <w:rPr>
          <w:rFonts w:eastAsia="Times New Roman"/>
          <w:vanish/>
        </w:rPr>
        <w:t>CashFlowMemberus-gaap:FairValueInputsLevel3Memberus-gaap:MeasurementInputConstantPrepaymentRateMember2021-12-310000927628us-gaap:ResidentialMortgageBackedSecuritiesMembersrt:MaximumMemberus-gaap:FairValueMeasurementsRecurringMemberus-gaap:ValuationTechniqu</w:t>
      </w:r>
      <w:r>
        <w:rPr>
          <w:rFonts w:eastAsia="Times New Roman"/>
          <w:vanish/>
        </w:rPr>
        <w:t>eDiscountedCashFlowMemberus-gaap:FairValueInputsLevel3Memberus-gaap:MeasurementInputConstantPrepaymentRateMember2021-12-310000927628us-gaap:ResidentialMortgageBackedSecuritiesMembersrt:MinimumMemberus-gaap:FairValueMeasurementsRecurringMemberus-gaap:Valuat</w:t>
      </w:r>
      <w:r>
        <w:rPr>
          <w:rFonts w:eastAsia="Times New Roman"/>
          <w:vanish/>
        </w:rPr>
        <w:t>ionTechniqueDiscountedCashFlowMemberus-gaap:FairValueInputsLevel3Memberus-gaap:MeasurementInputDefaultRateMember2021-12-310000927628us-gaap:ResidentialMortgageBackedSecuritiesMembersrt:MaximumMemberus-gaap:FairValueMeasurementsRecurringMemberus-gaap:Valuat</w:t>
      </w:r>
      <w:r>
        <w:rPr>
          <w:rFonts w:eastAsia="Times New Roman"/>
          <w:vanish/>
        </w:rPr>
        <w:t>ionTechniqueDiscountedCashFlowMemberus-gaap:FairValueInputsLevel3Memberus-gaap:MeasurementInputDefaultRateMember2021-12-310000927628us-gaap:ResidentialMortgageBackedSecuritiesMembersrt:MinimumMemberus-gaap:FairValueMeasurementsRecurringMemberus-gaap:Measur</w:t>
      </w:r>
      <w:r>
        <w:rPr>
          <w:rFonts w:eastAsia="Times New Roman"/>
          <w:vanish/>
        </w:rPr>
        <w:t>ementInputLossSeverityMemberus-gaap:ValuationTechniqueDiscountedCashFlowMemberus-gaap:FairValueInputsLevel3Member2021-12-310000927628us-gaap:ResidentialMortgageBackedSecuritiesMembersrt:MaximumMemberus-gaap:FairValueMeasurementsRecurringMemberus-gaap:Measu</w:t>
      </w:r>
      <w:r>
        <w:rPr>
          <w:rFonts w:eastAsia="Times New Roman"/>
          <w:vanish/>
        </w:rPr>
        <w:t>rementInputLossSeverityMemberus-gaap:ValuationTechniqueDiscountedCashFlowMemberus-gaap:FairValueInputsLevel3Member2021-12-310000927628us-gaap:ResidentialMortgageBackedSecuritiesMemberus-gaap:FairValueMeasurementsRecurringMembersrt:WeightedAverageMembercof:</w:t>
      </w:r>
      <w:r>
        <w:rPr>
          <w:rFonts w:eastAsia="Times New Roman"/>
          <w:vanish/>
        </w:rPr>
        <w:t>MeasurementInputYieldMemberus-gaap:ValuationTechniqueDiscountedCashFlowMemberus-gaap:FairValueInputsLevel3Member2021-12-310000927628us-gaap:ResidentialMortgageBackedSecuritiesMemberus-gaap:FairValueMeasurementsRecurringMembersrt:WeightedAverageMemberus-gaa</w:t>
      </w:r>
      <w:r>
        <w:rPr>
          <w:rFonts w:eastAsia="Times New Roman"/>
          <w:vanish/>
        </w:rPr>
        <w:t>p:ValuationTechniqueDiscountedCashFlowMemberus-gaap:FairValueInputsLevel3Memberus-gaap:MeasurementInputConstantPrepaymentRateMember2021-12-310000927628us-gaap:ResidentialMortgageBackedSecuritiesMemberus-gaap:FairValueMeasurementsRecurringMembersrt:Weighted</w:t>
      </w:r>
      <w:r>
        <w:rPr>
          <w:rFonts w:eastAsia="Times New Roman"/>
          <w:vanish/>
        </w:rPr>
        <w:t>AverageMemberus-gaap:ValuationTechniqueDiscountedCashFlowMemberus-gaap:FairValueInputsLevel3Memberus-gaap:MeasurementInputDefaultRateMember2021-12-310000927628us-gaap:ResidentialMortgageBackedSecuritiesMemberus-gaap:FairValueMeasurementsRecurringMembersrt:</w:t>
      </w:r>
      <w:r>
        <w:rPr>
          <w:rFonts w:eastAsia="Times New Roman"/>
          <w:vanish/>
        </w:rPr>
        <w:t>WeightedAverageMemberus-gaap:MeasurementInputLossSeverityMemberus-gaap:ValuationTechniqueDiscountedCashFlowMemberus-gaap:FairValueInputsLevel3Member2021-12-310000927628srt:MinimumMemberus-gaap:FairValueMeasurementsRecurringMembercof:MeasurementInputYieldMe</w:t>
      </w:r>
      <w:r>
        <w:rPr>
          <w:rFonts w:eastAsia="Times New Roman"/>
          <w:vanish/>
        </w:rPr>
        <w:t>mberus-gaap:ValuationTechniqueDiscountedCashFlowMemberus-gaap:FairValueInputsLevel3Memberus-gaap:CommercialMortgageBackedSecuritiesMember2021-12-310000927628srt:MaximumMemberus-gaap:FairValueMeasurementsRecurringMembercof:MeasurementInputYieldMemberus-gaap</w:t>
      </w:r>
      <w:r>
        <w:rPr>
          <w:rFonts w:eastAsia="Times New Roman"/>
          <w:vanish/>
        </w:rPr>
        <w:t>:ValuationTechniqueDiscountedCashFlowMemberus-gaap:FairValueInputsLevel3Memberus-gaap:CommercialMortgageBackedSecuritiesMember2021-12-310000927628us-gaap:FairValueMeasurementsRecurringMembersrt:WeightedAverageMembercof:MeasurementInputYieldMemberus-gaap:Va</w:t>
      </w:r>
      <w:r>
        <w:rPr>
          <w:rFonts w:eastAsia="Times New Roman"/>
          <w:vanish/>
        </w:rPr>
        <w:t>luationTechniqueDiscountedCashFlowMemberus-gaap:FairValueInputsLevel3Memberus-gaap:CommercialMortgageBackedSecuritiesMember2021-12-310000927628srt:MinimumMembercof:MeasurementInputLifeofReceivablesMemberus-gaap:FairValueMeasurementsRecurringMemberus-gaap:V</w:t>
      </w:r>
      <w:r>
        <w:rPr>
          <w:rFonts w:eastAsia="Times New Roman"/>
          <w:vanish/>
        </w:rPr>
        <w:t>aluationTechniqueDiscountedCashFlowMemberus-gaap:FairValueInputsLevel3Member2021-01-012021-12-310000927628srt:MaximumMembercof:MeasurementInputLifeofReceivablesMemberus-gaap:FairValueMeasurementsRecurringMemberus-gaap:ValuationTechniqueDiscountedCashFlowMe</w:t>
      </w:r>
      <w:r>
        <w:rPr>
          <w:rFonts w:eastAsia="Times New Roman"/>
          <w:vanish/>
        </w:rPr>
        <w:t>mberus-gaap:FairValueInputsLevel3Member2021-01-012021-12-310000927628srt:MinimumMemberus-gaap:FairValueMeasurementsRecurringMemberus-gaap:ValuationTechniqueDiscountedCashFlowMemberus-gaap:FairValueInputsLevel3Memberus-gaap:MeasurementInputConstantPrepaymen</w:t>
      </w:r>
      <w:r>
        <w:rPr>
          <w:rFonts w:eastAsia="Times New Roman"/>
          <w:vanish/>
        </w:rPr>
        <w:t>tRateMember2021-12-310000927628srt:MaximumMemberus-gaap:FairValueMeasurementsRecurringMemberus-gaap:ValuationTechniqueDiscountedCashFlowMemberus-gaap:FairValueInputsLevel3Memberus-gaap:MeasurementInputConstantPrepaymentRateMember2021-12-310000927628srt:Min</w:t>
      </w:r>
      <w:r>
        <w:rPr>
          <w:rFonts w:eastAsia="Times New Roman"/>
          <w:vanish/>
        </w:rPr>
        <w:t>imumMemberus-gaap:FairValueMeasurementsRecurringMemberus-gaap:MeasurementInputDiscountRateMemberus-gaap:ValuationTechniqueDiscountedCashFlowMemberus-gaap:FairValueInputsLevel3Member2021-12-310000927628srt:MaximumMemberus-gaap:FairValueMeasurementsRecurring</w:t>
      </w:r>
      <w:r>
        <w:rPr>
          <w:rFonts w:eastAsia="Times New Roman"/>
          <w:vanish/>
        </w:rPr>
        <w:t>Memberus-gaap:MeasurementInputDiscountRateMemberus-gaap:ValuationTechniqueDiscountedCashFlowMemberus-gaap:FairValueInputsLevel3Member2021-12-310000927628srt:MinimumMemberus-gaap:FairValueMeasurementsRecurringMemberus-gaap:ValuationTechniqueDiscountedCashFl</w:t>
      </w:r>
      <w:r>
        <w:rPr>
          <w:rFonts w:eastAsia="Times New Roman"/>
          <w:vanish/>
        </w:rPr>
        <w:t>owMemberus-gaap:FairValueInputsLevel3Memberus-gaap:MeasurementInputDefaultRateMember2021-12-310000927628srt:MaximumMemberus-gaap:FairValueMeasurementsRecurringMemberus-gaap:ValuationTechniqueDiscountedCashFlowMemberus-gaap:FairValueInputsLevel3Memberus-gaa</w:t>
      </w:r>
      <w:r>
        <w:rPr>
          <w:rFonts w:eastAsia="Times New Roman"/>
          <w:vanish/>
        </w:rPr>
        <w:t>p:MeasurementInputDefaultRateMember2021-12-310000927628srt:MinimumMemberus-gaap:FairValueMeasurementsRecurringMemberus-gaap:MeasurementInputLossSeverityMemberus-gaap:ValuationTechniqueDiscountedCashFlowMemberus-gaap:FairValueInputsLevel3Member2021-12-31000</w:t>
      </w:r>
      <w:r>
        <w:rPr>
          <w:rFonts w:eastAsia="Times New Roman"/>
          <w:vanish/>
        </w:rPr>
        <w:t>0927628srt:MaximumMemberus-gaap:FairValueMeasurementsRecurringMemberus-gaap:MeasurementInputLossSeverityMemberus-gaap:ValuationTechniqueDiscountedCashFlowMemberus-gaap:FairValueInputsLevel3Member2021-12-310000927628srt:MinimumMemberus-gaap:FairValueMeasure</w:t>
      </w:r>
      <w:r>
        <w:rPr>
          <w:rFonts w:eastAsia="Times New Roman"/>
          <w:vanish/>
        </w:rPr>
        <w:t>mentsRecurringMembercof:MeasurementInputSwapRatesMemberus-gaap:ValuationTechniqueDiscountedCashFlowMemberus-gaap:FairValueInputsLevel3Member2021-12-310000927628srt:MaximumMemberus-gaap:FairValueMeasurementsRecurringMembercof:MeasurementInputSwapRatesMember</w:t>
      </w:r>
      <w:r>
        <w:rPr>
          <w:rFonts w:eastAsia="Times New Roman"/>
          <w:vanish/>
        </w:rPr>
        <w:t>us-gaap:ValuationTechniqueDiscountedCashFlowMemberus-gaap:FairValueInputsLevel3Member2021-12-310000927628us-gaap:FairValueMeasurementsRecurringMembersrt:WeightedAverageMembercof:MeasurementInputSwapRatesMemberus-gaap:ValuationTechniqueDiscountedCashFlowMem</w:t>
      </w:r>
      <w:r>
        <w:rPr>
          <w:rFonts w:eastAsia="Times New Roman"/>
          <w:vanish/>
        </w:rPr>
        <w:t>berus-gaap:FairValueInputsLevel3Member2021-12-310000927628us-gaap:FairValueInputsLevel2Memberus-gaap:FairValueMeasurementsNonrecurringMember2022-12-310000927628us-gaap:FairValueInputsLevel3Memberus-gaap:FairValueMeasurementsNonrecurringMember2022-12-310000</w:t>
      </w:r>
      <w:r>
        <w:rPr>
          <w:rFonts w:eastAsia="Times New Roman"/>
          <w:vanish/>
        </w:rPr>
        <w:t>927628us-gaap:FairValueMeasurementsNonrecurringMember2022-12-310000927628us-gaap:FairValueInputsLevel2Memberus-gaap:FairValueMeasurementsNonrecurringMember2021-12-310000927628us-gaap:FairValueInputsLevel3Memberus-gaap:FairValueMeasurementsNonrecurringMembe</w:t>
      </w:r>
      <w:r>
        <w:rPr>
          <w:rFonts w:eastAsia="Times New Roman"/>
          <w:vanish/>
        </w:rPr>
        <w:t>r2021-12-310000927628us-gaap:FairValueMeasurementsNonrecurringMember2021-12-310000927628srt:MinimumMembercof:NonRecoverableRateMembercof:AppraisalValueMemberus-gaap:FairValueInputsLevel3Member2022-12-310000927628srt:MaximumMembercof:NonRecoverableRateMembe</w:t>
      </w:r>
      <w:r>
        <w:rPr>
          <w:rFonts w:eastAsia="Times New Roman"/>
          <w:vanish/>
        </w:rPr>
        <w:t>rcof:AppraisalValueMemberus-gaap:FairValueInputsLevel3Member2022-12-310000927628srt:WeightedAverageMembercof:NonRecoverableRateMembercof:AppraisalValueMemberus-gaap:FairValueInputsLevel3Member2022-12-310000927628srt:MinimumMembercof:NonRecoverableRateMembe</w:t>
      </w:r>
      <w:r>
        <w:rPr>
          <w:rFonts w:eastAsia="Times New Roman"/>
          <w:vanish/>
        </w:rPr>
        <w:t>rcof:AppraisalValueMemberus-gaap:FairValueInputsLevel3Member2021-12-310000927628srt:MaximumMembercof:NonRecoverableRateMembercof:AppraisalValueMemberus-gaap:FairValueInputsLevel3Member2021-12-310000927628srt:WeightedAverageMembercof:NonRecoverableRateMembe</w:t>
      </w:r>
      <w:r>
        <w:rPr>
          <w:rFonts w:eastAsia="Times New Roman"/>
          <w:vanish/>
        </w:rPr>
        <w:t>rcof:AppraisalValueMemberus-gaap:FairValueInputsLevel3Member2021-12-310000927628us-gaap:FairValueMeasurementsNonrecurringMember2022-01-012022-12-310000927628us-gaap:FairValueMeasurementsNonrecurringMember2021-01-012021-12-310000927628us-gaap:CarryingReport</w:t>
      </w:r>
      <w:r>
        <w:rPr>
          <w:rFonts w:eastAsia="Times New Roman"/>
          <w:vanish/>
        </w:rPr>
        <w:t>edAmountFairValueDisclosureMember2022-12-310000927628us-gaap:EstimateOfFairValueFairValueDisclosureMember2022-12-310000927628us-gaap:FairValueInputsLevel1Member2022-12-310000927628us-gaap:FairValueInputsLevel2Member2022-12-310000927628us-gaap:FairValueInpu</w:t>
      </w:r>
      <w:r>
        <w:rPr>
          <w:rFonts w:eastAsia="Times New Roman"/>
          <w:vanish/>
        </w:rPr>
        <w:t>tsLevel3Member2022-12-310000927628us-gaap:CarryingReportedAmountFairValueDisclosureMember2021-12-310000927628us-gaap:EstimateOfFairValueFairValueDisclosureMember2021-12-310000927628us-gaap:FairValueInputsLevel1Member2021-12-310000927628us-gaap:FairValueInp</w:t>
      </w:r>
      <w:r>
        <w:rPr>
          <w:rFonts w:eastAsia="Times New Roman"/>
          <w:vanish/>
        </w:rPr>
        <w:t>utsLevel2Member2021-12-310000927628us-gaap:FairValueInputsLevel3Member2021-12-310000927628srt:MinimumMembercof:CommercialBankingSegmentMember2022-01-012022-12-310000927628srt:MaximumMembercof:CommercialBankingSegmentMember2022-01-012022-12-310000927628us-g</w:t>
      </w:r>
      <w:r>
        <w:rPr>
          <w:rFonts w:eastAsia="Times New Roman"/>
          <w:vanish/>
        </w:rPr>
        <w:t>aap:OperatingSegmentsMembercof:CreditCardSegmentMember2022-01-012022-12-310000927628us-gaap:OperatingSegmentsMembercof:ConsumerBankingSegmentMember2022-01-012022-12-310000927628cof:CommercialBankingSegmentMemberus-gaap:OperatingSegmentsMember2022-01-012022</w:t>
      </w:r>
      <w:r>
        <w:rPr>
          <w:rFonts w:eastAsia="Times New Roman"/>
          <w:vanish/>
        </w:rPr>
        <w:t>-12-310000927628us-gaap:CorporateNonSegmentMember2022-01-012022-12-310000927628us-gaap:OperatingSegmentsMembercof:CreditCardSegmentMember2022-12-310000927628us-gaap:OperatingSegmentsMembercof:ConsumerBankingSegmentMember2022-12-310000927628cof:CommercialBa</w:t>
      </w:r>
      <w:r>
        <w:rPr>
          <w:rFonts w:eastAsia="Times New Roman"/>
          <w:vanish/>
        </w:rPr>
        <w:t>nkingSegmentMemberus-gaap:OperatingSegmentsMember2022-12-310000927628us-gaap:CorporateNonSegmentMember2022-12-310000927628us-gaap:OperatingSegmentsMembercof:CreditCardSegmentMember2021-01-012021-12-310000927628us-gaap:OperatingSegmentsMembercof:ConsumerBan</w:t>
      </w:r>
      <w:r>
        <w:rPr>
          <w:rFonts w:eastAsia="Times New Roman"/>
          <w:vanish/>
        </w:rPr>
        <w:t>kingSegmentMember2021-01-012021-12-310000927628cof:CommercialBankingSegmentMemberus-gaap:OperatingSegmentsMember2021-01-012021-12-310000927628us-gaap:CorporateNonSegmentMember2021-01-012021-12-310000927628us-gaap:OperatingSegmentsMembercof:CreditCardSegmen</w:t>
      </w:r>
      <w:r>
        <w:rPr>
          <w:rFonts w:eastAsia="Times New Roman"/>
          <w:vanish/>
        </w:rPr>
        <w:t>tMember2021-12-310000927628us-gaap:OperatingSegmentsMembercof:ConsumerBankingSegmentMember2021-12-310000927628cof:CommercialBankingSegmentMemberus-gaap:OperatingSegmentsMember2021-12-310000927628us-gaap:CorporateNonSegmentMember2021-12-310000927628us-gaap:</w:t>
      </w:r>
      <w:r>
        <w:rPr>
          <w:rFonts w:eastAsia="Times New Roman"/>
          <w:vanish/>
        </w:rPr>
        <w:t>OperatingSegmentsMembercof:CreditCardSegmentMember2020-01-012020-12-310000927628us-gaap:OperatingSegmentsMembercof:ConsumerBankingSegmentMember2020-01-012020-12-310000927628cof:CommercialBankingSegmentMemberus-gaap:OperatingSegmentsMember2020-01-012020-12-</w:t>
      </w:r>
      <w:r>
        <w:rPr>
          <w:rFonts w:eastAsia="Times New Roman"/>
          <w:vanish/>
        </w:rPr>
        <w:t>310000927628us-gaap:CorporateNonSegmentMember2020-01-012020-12-310000927628us-gaap:OperatingSegmentsMembercof:CreditCardSegmentMember2020-12-310000927628us-gaap:OperatingSegmentsMembercof:ConsumerBankingSegmentMember2020-12-310000927628cof:CommercialBankin</w:t>
      </w:r>
      <w:r>
        <w:rPr>
          <w:rFonts w:eastAsia="Times New Roman"/>
          <w:vanish/>
        </w:rPr>
        <w:t>gSegmentMemberus-gaap:OperatingSegmentsMember2020-12-310000927628us-gaap:CorporateNonSegmentMember2020-12-310000927628cof:InterchangeFeesContractsMemberus-gaap:OperatingSegmentsMembercof:CreditCardSegmentMember2022-01-012022-12-310000927628cof:InterchangeF</w:t>
      </w:r>
      <w:r>
        <w:rPr>
          <w:rFonts w:eastAsia="Times New Roman"/>
          <w:vanish/>
        </w:rPr>
        <w:t>eesContractsMemberus-gaap:OperatingSegmentsMembercof:ConsumerBankingSegmentMember2022-01-012022-12-310000927628cof:CommercialBankingSegmentMembercof:InterchangeFeesContractsMemberus-gaap:OperatingSegmentsMember2022-01-012022-12-310000927628cof:InterchangeF</w:t>
      </w:r>
      <w:r>
        <w:rPr>
          <w:rFonts w:eastAsia="Times New Roman"/>
          <w:vanish/>
        </w:rPr>
        <w:t>eesContractsMemberus-gaap:CorporateNonSegmentMember2022-01-012022-12-310000927628cof:InterchangeFeesContractsMember2022-01-012022-12-310000927628cof:ServiceChargesAndOtherCustomerFeesContractsMemberus-gaap:OperatingSegmentsMembercof:CreditCardSegmentMember</w:t>
      </w:r>
      <w:r>
        <w:rPr>
          <w:rFonts w:eastAsia="Times New Roman"/>
          <w:vanish/>
        </w:rPr>
        <w:t>2022-01-012022-12-310000927628cof:ServiceChargesAndOtherCustomerFeesContractsMemberus-gaap:OperatingSegmentsMembercof:ConsumerBankingSegmentMember2022-01-012022-12-310000927628cof:CommercialBankingSegmentMembercof:ServiceChargesAndOtherCustomerFeesContract</w:t>
      </w:r>
      <w:r>
        <w:rPr>
          <w:rFonts w:eastAsia="Times New Roman"/>
          <w:vanish/>
        </w:rPr>
        <w:t>sMemberus-gaap:OperatingSegmentsMember2022-01-012022-12-310000927628cof:ServiceChargesAndOtherCustomerFeesContractsMemberus-gaap:CorporateNonSegmentMember2022-01-012022-12-310000927628cof:ServiceChargesAndOtherCustomerFeesContractsMember2022-01-012022-12-3</w:t>
      </w:r>
      <w:r>
        <w:rPr>
          <w:rFonts w:eastAsia="Times New Roman"/>
          <w:vanish/>
        </w:rPr>
        <w:t>10000927628us-gaap:OperatingSegmentsMembercof:CreditCardSegmentMembercof:OtherContractRevenueMember2022-01-012022-12-310000927628us-gaap:OperatingSegmentsMembercof:ConsumerBankingSegmentMembercof:OtherContractRevenueMember2022-01-012022-12-310000927628cof:</w:t>
      </w:r>
      <w:r>
        <w:rPr>
          <w:rFonts w:eastAsia="Times New Roman"/>
          <w:vanish/>
        </w:rPr>
        <w:t>CommercialBankingSegmentMemberus-gaap:OperatingSegmentsMembercof:OtherContractRevenueMember2022-01-012022-12-310000927628us-gaap:CorporateNonSegmentMembercof:OtherContractRevenueMember2022-01-012022-12-310000927628cof:OtherContractRevenueMember2022-01-0120</w:t>
      </w:r>
      <w:r>
        <w:rPr>
          <w:rFonts w:eastAsia="Times New Roman"/>
          <w:vanish/>
        </w:rPr>
        <w:t>22-12-310000927628cof:InterchangeFeesContractsMemberus-gaap:OperatingSegmentsMembercof:CreditCardSegmentMember2021-01-012021-12-310000927628cof:InterchangeFeesContractsMemberus-gaap:OperatingSegmentsMembercof:ConsumerBankingSegmentMember2021-01-012021-12-3</w:t>
      </w:r>
      <w:r>
        <w:rPr>
          <w:rFonts w:eastAsia="Times New Roman"/>
          <w:vanish/>
        </w:rPr>
        <w:t>10000927628cof:CommercialBankingSegmentMembercof:InterchangeFeesContractsMemberus-gaap:OperatingSegmentsMember2021-01-012021-12-310000927628cof:InterchangeFeesContractsMemberus-gaap:CorporateNonSegmentMember2021-01-012021-12-310000927628cof:InterchangeFees</w:t>
      </w:r>
      <w:r>
        <w:rPr>
          <w:rFonts w:eastAsia="Times New Roman"/>
          <w:vanish/>
        </w:rPr>
        <w:t>ContractsMember2021-01-012021-12-310000927628cof:ServiceChargesAndOtherCustomerFeesContractsMemberus-gaap:OperatingSegmentsMembercof:CreditCardSegmentMember2021-01-012021-12-310000927628cof:ServiceChargesAndOtherCustomerFeesContractsMemberus-gaap:Operating</w:t>
      </w:r>
      <w:r>
        <w:rPr>
          <w:rFonts w:eastAsia="Times New Roman"/>
          <w:vanish/>
        </w:rPr>
        <w:t>SegmentsMembercof:ConsumerBankingSegmentMember2021-01-012021-12-310000927628cof:CommercialBankingSegmentMembercof:ServiceChargesAndOtherCustomerFeesContractsMemberus-gaap:OperatingSegmentsMember2021-01-012021-12-310000927628cof:ServiceChargesAndOtherCustom</w:t>
      </w:r>
      <w:r>
        <w:rPr>
          <w:rFonts w:eastAsia="Times New Roman"/>
          <w:vanish/>
        </w:rPr>
        <w:t>erFeesContractsMemberus-gaap:CorporateNonSegmentMember2021-01-012021-12-310000927628cof:ServiceChargesAndOtherCustomerFeesContractsMember2021-01-012021-12-310000927628us-gaap:OperatingSegmentsMembercof:CreditCardSegmentMembercof:OtherContractRevenueMember2</w:t>
      </w:r>
      <w:r>
        <w:rPr>
          <w:rFonts w:eastAsia="Times New Roman"/>
          <w:vanish/>
        </w:rPr>
        <w:t>021-01-012021-12-310000927628us-gaap:OperatingSegmentsMembercof:ConsumerBankingSegmentMembercof:OtherContractRevenueMember2021-01-012021-12-310000927628cof:CommercialBankingSegmentMemberus-gaap:OperatingSegmentsMembercof:OtherContractRevenueMember2021-01-0</w:t>
      </w:r>
      <w:r>
        <w:rPr>
          <w:rFonts w:eastAsia="Times New Roman"/>
          <w:vanish/>
        </w:rPr>
        <w:t>12021-12-310000927628us-gaap:CorporateNonSegmentMembercof:OtherContractRevenueMember2021-01-012021-12-310000927628cof:OtherContractRevenueMember2021-01-012021-12-310000927628cof:InterchangeFeesContractsMemberus-gaap:OperatingSegmentsMembercof:CreditCardSeg</w:t>
      </w:r>
      <w:r>
        <w:rPr>
          <w:rFonts w:eastAsia="Times New Roman"/>
          <w:vanish/>
        </w:rPr>
        <w:t>mentMember2020-01-012020-12-310000927628cof:InterchangeFeesContractsMemberus-gaap:OperatingSegmentsMembercof:ConsumerBankingSegmentMember2020-01-012020-12-310000927628cof:CommercialBankingSegmentMembercof:InterchangeFeesContractsMemberus-gaap:OperatingSegm</w:t>
      </w:r>
      <w:r>
        <w:rPr>
          <w:rFonts w:eastAsia="Times New Roman"/>
          <w:vanish/>
        </w:rPr>
        <w:t>entsMember2020-01-012020-12-310000927628cof:InterchangeFeesContractsMemberus-gaap:CorporateNonSegmentMember2020-01-012020-12-310000927628cof:InterchangeFeesContractsMember2020-01-012020-12-310000927628cof:ServiceChargesAndOtherCustomerFeesContractsMemberus</w:t>
      </w:r>
      <w:r>
        <w:rPr>
          <w:rFonts w:eastAsia="Times New Roman"/>
          <w:vanish/>
        </w:rPr>
        <w:t>-gaap:OperatingSegmentsMembercof:CreditCardSegmentMember2020-01-012020-12-310000927628cof:ServiceChargesAndOtherCustomerFeesContractsMemberus-gaap:OperatingSegmentsMembercof:ConsumerBankingSegmentMember2020-01-012020-12-310000927628cof:CommercialBankingSeg</w:t>
      </w:r>
      <w:r>
        <w:rPr>
          <w:rFonts w:eastAsia="Times New Roman"/>
          <w:vanish/>
        </w:rPr>
        <w:t>mentMembercof:ServiceChargesAndOtherCustomerFeesContractsMemberus-gaap:OperatingSegmentsMember2020-01-012020-12-310000927628cof:ServiceChargesAndOtherCustomerFeesContractsMemberus-gaap:CorporateNonSegmentMember2020-01-012020-12-310000927628cof:ServiceCharg</w:t>
      </w:r>
      <w:r>
        <w:rPr>
          <w:rFonts w:eastAsia="Times New Roman"/>
          <w:vanish/>
        </w:rPr>
        <w:t>esAndOtherCustomerFeesContractsMember2020-01-012020-12-310000927628us-gaap:OperatingSegmentsMembercof:CreditCardSegmentMembercof:OtherContractRevenueMember2020-01-012020-12-310000927628us-gaap:OperatingSegmentsMembercof:ConsumerBankingSegmentMembercof:Othe</w:t>
      </w:r>
      <w:r>
        <w:rPr>
          <w:rFonts w:eastAsia="Times New Roman"/>
          <w:vanish/>
        </w:rPr>
        <w:t>rContractRevenueMember2020-01-012020-12-310000927628cof:CommercialBankingSegmentMemberus-gaap:OperatingSegmentsMembercof:OtherContractRevenueMember2020-01-012020-12-310000927628us-gaap:CorporateNonSegmentMembercof:OtherContractRevenueMember2020-01-012020-1</w:t>
      </w:r>
      <w:r>
        <w:rPr>
          <w:rFonts w:eastAsia="Times New Roman"/>
          <w:vanish/>
        </w:rPr>
        <w:t>2-310000927628cof:OtherContractRevenueMember2020-01-012020-12-310000927628cof:OtherPortfolioSegmentsExcludingCreditCardMember2022-12-310000927628cof:OtherPortfolioSegmentsExcludingCreditCardMember2021-12-310000927628us-gaap:LetterOfCreditMember2022-12-3100</w:t>
      </w:r>
      <w:r>
        <w:rPr>
          <w:rFonts w:eastAsia="Times New Roman"/>
          <w:vanish/>
        </w:rPr>
        <w:t>00927628us-gaap:LetterOfCreditMember2021-12-310000927628cof:LossSharingAgreementMember2022-12-310000927628cof:LossSharingAgreementMember2021-12-310000927628cof:InterchangeLitigationMemberus-gaap:PendingLitigationMember2022-01-012022-12-310000927628cof:Cybe</w:t>
      </w:r>
      <w:r>
        <w:rPr>
          <w:rFonts w:eastAsia="Times New Roman"/>
          <w:vanish/>
        </w:rPr>
        <w:t>rsecurityIncidentMember2022-12-31cof:claim0000927628srt:ParentCompanyMember2022-01-012022-12-310000927628srt:ParentCompanyMember2021-01-012021-12-310000927628srt:ParentCompanyMember2020-01-012020-12-310000927628srt:ParentCompanyMember2020-12-310000927628sr</w:t>
      </w:r>
      <w:r>
        <w:rPr>
          <w:rFonts w:eastAsia="Times New Roman"/>
          <w:vanish/>
        </w:rPr>
        <w:t>t:ParentCompanyMember2019-12-31</w:t>
      </w:r>
    </w:p>
    <w:p w:rsidR="00000000" w:rsidRDefault="0094004B">
      <w:pPr>
        <w:jc w:val="both"/>
        <w:divId w:val="1401947215"/>
        <w:rPr>
          <w:rFonts w:eastAsia="Times New Roman"/>
        </w:rPr>
      </w:pPr>
    </w:p>
    <w:tbl>
      <w:tblPr>
        <w:tblW w:w="4973" w:type="pct"/>
        <w:jc w:val="center"/>
        <w:tblCellMar>
          <w:top w:w="15" w:type="dxa"/>
          <w:left w:w="15" w:type="dxa"/>
          <w:bottom w:w="15" w:type="dxa"/>
          <w:right w:w="15" w:type="dxa"/>
        </w:tblCellMar>
        <w:tblLook w:val="04A0" w:firstRow="1" w:lastRow="0" w:firstColumn="1" w:lastColumn="0" w:noHBand="0" w:noVBand="1"/>
      </w:tblPr>
      <w:tblGrid>
        <w:gridCol w:w="69"/>
        <w:gridCol w:w="1547"/>
        <w:gridCol w:w="36"/>
        <w:gridCol w:w="69"/>
        <w:gridCol w:w="1547"/>
        <w:gridCol w:w="36"/>
        <w:gridCol w:w="69"/>
        <w:gridCol w:w="1547"/>
        <w:gridCol w:w="36"/>
        <w:gridCol w:w="69"/>
        <w:gridCol w:w="1547"/>
        <w:gridCol w:w="36"/>
        <w:gridCol w:w="69"/>
        <w:gridCol w:w="1548"/>
        <w:gridCol w:w="36"/>
      </w:tblGrid>
      <w:tr w:rsidR="00000000">
        <w:trPr>
          <w:jc w:val="center"/>
        </w:trPr>
        <w:tc>
          <w:tcPr>
            <w:tcW w:w="50" w:type="pct"/>
            <w:vAlign w:val="center"/>
            <w:hideMark/>
          </w:tcPr>
          <w:p w:rsidR="00000000" w:rsidRDefault="0094004B">
            <w:pPr>
              <w:jc w:val="both"/>
              <w:rPr>
                <w:rFonts w:eastAsia="Times New Roman"/>
              </w:rPr>
            </w:pPr>
          </w:p>
        </w:tc>
        <w:tc>
          <w:tcPr>
            <w:tcW w:w="94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94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94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94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94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trHeight w:val="60"/>
          <w:jc w:val="center"/>
        </w:trPr>
        <w:tc>
          <w:tcPr>
            <w:tcW w:w="0" w:type="auto"/>
            <w:gridSpan w:val="15"/>
            <w:tcBorders>
              <w:top w:val="single" w:sz="1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r>
    </w:tbl>
    <w:p w:rsidR="00000000" w:rsidRDefault="0094004B">
      <w:pPr>
        <w:jc w:val="center"/>
        <w:divId w:val="1181973892"/>
        <w:rPr>
          <w:rFonts w:eastAsia="Times New Roman"/>
        </w:rPr>
      </w:pPr>
      <w:r>
        <w:rPr>
          <w:rFonts w:eastAsia="Times New Roman"/>
          <w:b/>
          <w:bCs/>
          <w:color w:val="000000"/>
          <w:sz w:val="22"/>
          <w:szCs w:val="22"/>
        </w:rPr>
        <w:t>UNITED STATES</w:t>
      </w:r>
    </w:p>
    <w:p w:rsidR="00000000" w:rsidRDefault="0094004B">
      <w:pPr>
        <w:jc w:val="center"/>
        <w:rPr>
          <w:rFonts w:eastAsia="Times New Roman"/>
        </w:rPr>
      </w:pPr>
      <w:r>
        <w:rPr>
          <w:rFonts w:eastAsia="Times New Roman"/>
          <w:b/>
          <w:bCs/>
          <w:color w:val="000000"/>
          <w:sz w:val="22"/>
          <w:szCs w:val="22"/>
        </w:rPr>
        <w:t>SECURITIES AND EXCHANGE COMMISSION</w:t>
      </w:r>
    </w:p>
    <w:p w:rsidR="00000000" w:rsidRDefault="0094004B">
      <w:pPr>
        <w:jc w:val="center"/>
        <w:rPr>
          <w:rFonts w:eastAsia="Times New Roman"/>
        </w:rPr>
      </w:pPr>
      <w:r>
        <w:rPr>
          <w:rFonts w:eastAsia="Times New Roman"/>
          <w:b/>
          <w:bCs/>
          <w:color w:val="000000"/>
          <w:sz w:val="18"/>
          <w:szCs w:val="18"/>
        </w:rPr>
        <w:t>Washington, D.C. 20549</w:t>
      </w:r>
    </w:p>
    <w:p w:rsidR="00000000" w:rsidRDefault="0094004B">
      <w:pPr>
        <w:jc w:val="center"/>
        <w:rPr>
          <w:rFonts w:eastAsia="Times New Roman"/>
        </w:rPr>
      </w:pPr>
      <w:r>
        <w:rPr>
          <w:rFonts w:eastAsia="Times New Roman"/>
          <w:color w:val="000000"/>
          <w:sz w:val="12"/>
          <w:szCs w:val="12"/>
        </w:rPr>
        <w:t>____________________________________</w:t>
      </w:r>
    </w:p>
    <w:p w:rsidR="00000000" w:rsidRDefault="0094004B">
      <w:pPr>
        <w:jc w:val="center"/>
        <w:rPr>
          <w:rFonts w:eastAsia="Times New Roman"/>
        </w:rPr>
      </w:pPr>
      <w:r>
        <w:rPr>
          <w:rFonts w:eastAsia="Times New Roman"/>
          <w:b/>
          <w:bCs/>
          <w:color w:val="000000"/>
          <w:sz w:val="28"/>
          <w:szCs w:val="28"/>
        </w:rPr>
        <w:t xml:space="preserve">FORM 10-K </w:t>
      </w:r>
    </w:p>
    <w:p w:rsidR="00000000" w:rsidRDefault="0094004B">
      <w:pPr>
        <w:jc w:val="center"/>
        <w:rPr>
          <w:rFonts w:eastAsia="Times New Roman"/>
        </w:rPr>
      </w:pPr>
      <w:r>
        <w:rPr>
          <w:rFonts w:eastAsia="Times New Roman"/>
          <w:color w:val="000000"/>
          <w:sz w:val="12"/>
          <w:szCs w:val="12"/>
        </w:rPr>
        <w:t>___________________________________</w:t>
      </w:r>
    </w:p>
    <w:tbl>
      <w:tblPr>
        <w:tblW w:w="4462" w:type="pct"/>
        <w:jc w:val="center"/>
        <w:tblCellMar>
          <w:top w:w="15" w:type="dxa"/>
          <w:left w:w="15" w:type="dxa"/>
          <w:bottom w:w="15" w:type="dxa"/>
          <w:right w:w="15" w:type="dxa"/>
        </w:tblCellMar>
        <w:tblLook w:val="04A0" w:firstRow="1" w:lastRow="0" w:firstColumn="1" w:lastColumn="0" w:noHBand="0" w:noVBand="1"/>
      </w:tblPr>
      <w:tblGrid>
        <w:gridCol w:w="59"/>
        <w:gridCol w:w="272"/>
        <w:gridCol w:w="36"/>
        <w:gridCol w:w="60"/>
        <w:gridCol w:w="6949"/>
        <w:gridCol w:w="36"/>
      </w:tblGrid>
      <w:tr w:rsidR="00000000">
        <w:trPr>
          <w:jc w:val="center"/>
        </w:trPr>
        <w:tc>
          <w:tcPr>
            <w:tcW w:w="50" w:type="pct"/>
            <w:vAlign w:val="center"/>
            <w:hideMark/>
          </w:tcPr>
          <w:p w:rsidR="00000000" w:rsidRDefault="0094004B">
            <w:pPr>
              <w:jc w:val="center"/>
              <w:rPr>
                <w:rFonts w:eastAsia="Times New Roman"/>
              </w:rPr>
            </w:pPr>
          </w:p>
        </w:tc>
        <w:tc>
          <w:tcPr>
            <w:tcW w:w="19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69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ascii="Segoe UI Symbol" w:eastAsia="Times New Roman" w:hAnsi="Segoe UI Symbol" w:cs="Segoe UI Symbol"/>
                <w:color w:val="000000"/>
                <w:sz w:val="17"/>
                <w:szCs w:val="17"/>
              </w:rPr>
              <w:t>☒</w:t>
            </w: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7"/>
                <w:szCs w:val="17"/>
              </w:rPr>
              <w:t>ANNUAL REPORT PURSUANT TO SECTION 13 OR 15(d) OF THE SECURITIES EXCHANGE ACT OF 1934</w:t>
            </w:r>
          </w:p>
        </w:tc>
      </w:tr>
    </w:tbl>
    <w:p w:rsidR="00000000" w:rsidRDefault="0094004B">
      <w:pPr>
        <w:jc w:val="center"/>
        <w:divId w:val="1473209351"/>
        <w:rPr>
          <w:rFonts w:eastAsia="Times New Roman"/>
        </w:rPr>
      </w:pPr>
      <w:r>
        <w:rPr>
          <w:rFonts w:eastAsia="Times New Roman"/>
          <w:b/>
          <w:bCs/>
          <w:color w:val="000000"/>
          <w:sz w:val="18"/>
          <w:szCs w:val="18"/>
        </w:rPr>
        <w:t xml:space="preserve">For the fiscal year ended December 31, 2022 </w:t>
      </w:r>
    </w:p>
    <w:p w:rsidR="00000000" w:rsidRDefault="0094004B">
      <w:pPr>
        <w:ind w:firstLine="720"/>
        <w:jc w:val="center"/>
        <w:divId w:val="29451754"/>
        <w:rPr>
          <w:rFonts w:eastAsia="Times New Roman"/>
        </w:rPr>
      </w:pPr>
      <w:r>
        <w:rPr>
          <w:rFonts w:eastAsia="Times New Roman"/>
          <w:b/>
          <w:bCs/>
          <w:color w:val="000000"/>
          <w:sz w:val="15"/>
          <w:szCs w:val="15"/>
        </w:rPr>
        <w:t>OR</w:t>
      </w:r>
    </w:p>
    <w:tbl>
      <w:tblPr>
        <w:tblW w:w="4462" w:type="pct"/>
        <w:jc w:val="center"/>
        <w:tblCellMar>
          <w:top w:w="15" w:type="dxa"/>
          <w:left w:w="15" w:type="dxa"/>
          <w:bottom w:w="15" w:type="dxa"/>
          <w:right w:w="15" w:type="dxa"/>
        </w:tblCellMar>
        <w:tblLook w:val="04A0" w:firstRow="1" w:lastRow="0" w:firstColumn="1" w:lastColumn="0" w:noHBand="0" w:noVBand="1"/>
      </w:tblPr>
      <w:tblGrid>
        <w:gridCol w:w="59"/>
        <w:gridCol w:w="272"/>
        <w:gridCol w:w="36"/>
        <w:gridCol w:w="60"/>
        <w:gridCol w:w="6949"/>
        <w:gridCol w:w="36"/>
      </w:tblGrid>
      <w:tr w:rsidR="00000000">
        <w:trPr>
          <w:jc w:val="center"/>
        </w:trPr>
        <w:tc>
          <w:tcPr>
            <w:tcW w:w="50" w:type="pct"/>
            <w:vAlign w:val="center"/>
            <w:hideMark/>
          </w:tcPr>
          <w:p w:rsidR="00000000" w:rsidRDefault="0094004B">
            <w:pPr>
              <w:ind w:firstLine="720"/>
              <w:jc w:val="center"/>
              <w:rPr>
                <w:rFonts w:eastAsia="Times New Roman"/>
              </w:rPr>
            </w:pPr>
          </w:p>
        </w:tc>
        <w:tc>
          <w:tcPr>
            <w:tcW w:w="19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69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ascii="Segoe UI Symbol" w:eastAsia="Times New Roman" w:hAnsi="Segoe UI Symbol" w:cs="Segoe UI Symbol"/>
                <w:color w:val="000000"/>
                <w:sz w:val="17"/>
                <w:szCs w:val="17"/>
              </w:rPr>
              <w:t>☐</w:t>
            </w: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7"/>
                <w:szCs w:val="17"/>
              </w:rPr>
              <w:t>TRANSITION REPORT PURSUANT TO SECTION 13 OR 15(d) OF THE SECURITIES EXCHANGE ACT OF 1934</w:t>
            </w:r>
          </w:p>
        </w:tc>
      </w:tr>
    </w:tbl>
    <w:p w:rsidR="00000000" w:rsidRDefault="0094004B">
      <w:pPr>
        <w:jc w:val="center"/>
        <w:rPr>
          <w:rFonts w:eastAsia="Times New Roman"/>
        </w:rPr>
      </w:pPr>
      <w:r>
        <w:rPr>
          <w:rFonts w:eastAsia="Times New Roman"/>
          <w:b/>
          <w:bCs/>
          <w:color w:val="000000"/>
          <w:sz w:val="18"/>
          <w:szCs w:val="18"/>
        </w:rPr>
        <w:t xml:space="preserve">For the transition period from </w:t>
      </w:r>
      <w:r>
        <w:rPr>
          <w:rFonts w:eastAsia="Times New Roman"/>
          <w:b/>
          <w:bCs/>
          <w:color w:val="000000"/>
          <w:sz w:val="18"/>
          <w:szCs w:val="18"/>
          <w:u w:val="single"/>
        </w:rPr>
        <w:t>            </w:t>
      </w:r>
      <w:r>
        <w:rPr>
          <w:rFonts w:eastAsia="Times New Roman"/>
          <w:b/>
          <w:bCs/>
          <w:color w:val="000000"/>
          <w:sz w:val="18"/>
          <w:szCs w:val="18"/>
        </w:rPr>
        <w:t xml:space="preserve"> to </w:t>
      </w:r>
      <w:r>
        <w:rPr>
          <w:rFonts w:eastAsia="Times New Roman"/>
          <w:b/>
          <w:bCs/>
          <w:color w:val="000000"/>
          <w:sz w:val="18"/>
          <w:szCs w:val="18"/>
          <w:u w:val="single"/>
        </w:rPr>
        <w:t>            </w:t>
      </w:r>
    </w:p>
    <w:p w:rsidR="00000000" w:rsidRDefault="0094004B">
      <w:pPr>
        <w:jc w:val="center"/>
        <w:rPr>
          <w:rFonts w:eastAsia="Times New Roman"/>
        </w:rPr>
      </w:pPr>
      <w:r>
        <w:rPr>
          <w:rFonts w:eastAsia="Times New Roman"/>
          <w:b/>
          <w:bCs/>
          <w:color w:val="000000"/>
          <w:sz w:val="18"/>
          <w:szCs w:val="18"/>
        </w:rPr>
        <w:t xml:space="preserve">Commission File No. 001-13300 </w:t>
      </w:r>
    </w:p>
    <w:p w:rsidR="00000000" w:rsidRDefault="0094004B">
      <w:pPr>
        <w:jc w:val="center"/>
        <w:rPr>
          <w:rFonts w:eastAsia="Times New Roman"/>
        </w:rPr>
      </w:pPr>
      <w:r>
        <w:rPr>
          <w:rFonts w:eastAsia="Times New Roman"/>
          <w:color w:val="000000"/>
          <w:sz w:val="12"/>
          <w:szCs w:val="12"/>
        </w:rPr>
        <w:t>____________________________________</w:t>
      </w:r>
    </w:p>
    <w:p w:rsidR="00000000" w:rsidRDefault="0094004B">
      <w:pPr>
        <w:jc w:val="center"/>
        <w:divId w:val="766006129"/>
        <w:rPr>
          <w:rFonts w:eastAsia="Times New Roman"/>
        </w:rPr>
      </w:pPr>
      <w:r>
        <w:rPr>
          <w:rFonts w:eastAsia="Times New Roman"/>
          <w:b/>
          <w:bCs/>
          <w:color w:val="000000"/>
          <w:sz w:val="32"/>
          <w:szCs w:val="32"/>
        </w:rPr>
        <w:t>CAPITAL ONE FINANCIAL CORP</w:t>
      </w:r>
      <w:r>
        <w:rPr>
          <w:rFonts w:eastAsia="Times New Roman"/>
          <w:b/>
          <w:bCs/>
          <w:color w:val="000000"/>
          <w:sz w:val="32"/>
          <w:szCs w:val="32"/>
        </w:rPr>
        <w:t>ORATION</w:t>
      </w:r>
    </w:p>
    <w:p w:rsidR="00000000" w:rsidRDefault="0094004B">
      <w:pPr>
        <w:jc w:val="center"/>
        <w:rPr>
          <w:rFonts w:eastAsia="Times New Roman"/>
        </w:rPr>
      </w:pPr>
      <w:r>
        <w:rPr>
          <w:rFonts w:eastAsia="Times New Roman"/>
          <w:b/>
          <w:bCs/>
          <w:color w:val="000000"/>
          <w:sz w:val="16"/>
          <w:szCs w:val="16"/>
        </w:rPr>
        <w:t>(Exact name of registrant as specified in its charter)</w:t>
      </w:r>
      <w:r>
        <w:rPr>
          <w:rFonts w:eastAsia="Times New Roman"/>
          <w:color w:val="000000"/>
          <w:sz w:val="16"/>
          <w:szCs w:val="16"/>
        </w:rPr>
        <w:t> </w:t>
      </w:r>
    </w:p>
    <w:p w:rsidR="00000000" w:rsidRDefault="0094004B">
      <w:pPr>
        <w:jc w:val="center"/>
        <w:rPr>
          <w:rFonts w:eastAsia="Times New Roman"/>
        </w:rPr>
      </w:pPr>
      <w:r>
        <w:rPr>
          <w:rFonts w:eastAsia="Times New Roman"/>
          <w:color w:val="000000"/>
          <w:sz w:val="12"/>
          <w:szCs w:val="12"/>
        </w:rPr>
        <w:t>____________________________________</w:t>
      </w:r>
    </w:p>
    <w:tbl>
      <w:tblPr>
        <w:tblW w:w="4993" w:type="pct"/>
        <w:jc w:val="center"/>
        <w:tblCellMar>
          <w:top w:w="15" w:type="dxa"/>
          <w:left w:w="15" w:type="dxa"/>
          <w:bottom w:w="15" w:type="dxa"/>
          <w:right w:w="15" w:type="dxa"/>
        </w:tblCellMar>
        <w:tblLook w:val="04A0" w:firstRow="1" w:lastRow="0" w:firstColumn="1" w:lastColumn="0" w:noHBand="0" w:noVBand="1"/>
      </w:tblPr>
      <w:tblGrid>
        <w:gridCol w:w="69"/>
        <w:gridCol w:w="2361"/>
        <w:gridCol w:w="39"/>
        <w:gridCol w:w="69"/>
        <w:gridCol w:w="2361"/>
        <w:gridCol w:w="37"/>
        <w:gridCol w:w="69"/>
        <w:gridCol w:w="173"/>
        <w:gridCol w:w="36"/>
        <w:gridCol w:w="69"/>
        <w:gridCol w:w="2975"/>
        <w:gridCol w:w="36"/>
      </w:tblGrid>
      <w:tr w:rsidR="00000000">
        <w:trPr>
          <w:divId w:val="2124883835"/>
          <w:jc w:val="center"/>
        </w:trPr>
        <w:tc>
          <w:tcPr>
            <w:tcW w:w="50" w:type="pct"/>
            <w:vAlign w:val="center"/>
            <w:hideMark/>
          </w:tcPr>
          <w:p w:rsidR="00000000" w:rsidRDefault="0094004B">
            <w:pPr>
              <w:jc w:val="center"/>
              <w:rPr>
                <w:rFonts w:eastAsia="Times New Roman"/>
              </w:rPr>
            </w:pPr>
          </w:p>
        </w:tc>
        <w:tc>
          <w:tcPr>
            <w:tcW w:w="143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43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1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80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2124883835"/>
          <w:jc w:val="center"/>
        </w:trPr>
        <w:tc>
          <w:tcPr>
            <w:tcW w:w="0" w:type="auto"/>
            <w:gridSpan w:val="6"/>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b/>
                <w:bCs/>
                <w:color w:val="000000"/>
                <w:sz w:val="16"/>
                <w:szCs w:val="16"/>
              </w:rPr>
              <w:t>Delaware</w:t>
            </w:r>
          </w:p>
        </w:tc>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b/>
                <w:bCs/>
                <w:color w:val="000000"/>
                <w:sz w:val="16"/>
                <w:szCs w:val="16"/>
              </w:rPr>
              <w:t>54-1719854</w:t>
            </w:r>
          </w:p>
        </w:tc>
      </w:tr>
      <w:tr w:rsidR="00000000">
        <w:trPr>
          <w:divId w:val="2124883835"/>
          <w:jc w:val="center"/>
        </w:trPr>
        <w:tc>
          <w:tcPr>
            <w:tcW w:w="0" w:type="auto"/>
            <w:gridSpan w:val="6"/>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(State or other jurisdiction of incorporation or organization)</w:t>
            </w:r>
          </w:p>
        </w:tc>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(I.R.S. Employer Identification No.)</w:t>
            </w:r>
          </w:p>
        </w:tc>
      </w:tr>
      <w:tr w:rsidR="00000000">
        <w:trPr>
          <w:divId w:val="2124883835"/>
          <w:jc w:val="center"/>
        </w:trPr>
        <w:tc>
          <w:tcPr>
            <w:tcW w:w="0" w:type="auto"/>
            <w:gridSpan w:val="6"/>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1680 Capital One Drive,</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2124883835"/>
          <w:jc w:val="center"/>
        </w:trPr>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b/>
                <w:bCs/>
                <w:color w:val="000000"/>
                <w:sz w:val="16"/>
                <w:szCs w:val="16"/>
              </w:rPr>
              <w:t>McLean,</w:t>
            </w:r>
          </w:p>
        </w:tc>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16"/>
                <w:szCs w:val="16"/>
              </w:rPr>
              <w:t>Virginia</w:t>
            </w:r>
          </w:p>
        </w:tc>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22102</w:t>
            </w:r>
          </w:p>
        </w:tc>
      </w:tr>
      <w:tr w:rsidR="00000000">
        <w:trPr>
          <w:divId w:val="2124883835"/>
          <w:jc w:val="center"/>
        </w:trPr>
        <w:tc>
          <w:tcPr>
            <w:tcW w:w="0" w:type="auto"/>
            <w:gridSpan w:val="6"/>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b/>
                <w:bCs/>
                <w:color w:val="000000"/>
                <w:sz w:val="16"/>
                <w:szCs w:val="16"/>
              </w:rPr>
              <w:t>(Address of principal executive offices)</w:t>
            </w:r>
          </w:p>
        </w:tc>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b/>
                <w:bCs/>
                <w:color w:val="000000"/>
                <w:sz w:val="16"/>
                <w:szCs w:val="16"/>
              </w:rPr>
              <w:t>(Zip Code)</w:t>
            </w:r>
          </w:p>
        </w:tc>
      </w:tr>
    </w:tbl>
    <w:p w:rsidR="00000000" w:rsidRDefault="0094004B">
      <w:pPr>
        <w:jc w:val="center"/>
        <w:rPr>
          <w:rFonts w:eastAsia="Times New Roman"/>
        </w:rPr>
      </w:pPr>
      <w:r>
        <w:rPr>
          <w:rFonts w:eastAsia="Times New Roman"/>
          <w:b/>
          <w:bCs/>
          <w:color w:val="000000"/>
          <w:sz w:val="16"/>
          <w:szCs w:val="16"/>
        </w:rPr>
        <w:t>Registrant’s telephone number, including area code: (703) 720-1000</w:t>
      </w:r>
    </w:p>
    <w:p w:rsidR="00000000" w:rsidRDefault="0094004B">
      <w:pPr>
        <w:jc w:val="center"/>
        <w:rPr>
          <w:rFonts w:eastAsia="Times New Roman"/>
        </w:rPr>
      </w:pPr>
      <w:r>
        <w:rPr>
          <w:rFonts w:eastAsia="Times New Roman"/>
          <w:color w:val="000000"/>
          <w:sz w:val="12"/>
          <w:szCs w:val="12"/>
        </w:rPr>
        <w:t>____________________________________</w:t>
      </w:r>
    </w:p>
    <w:p w:rsidR="00000000" w:rsidRDefault="0094004B">
      <w:pPr>
        <w:jc w:val="center"/>
        <w:divId w:val="607591035"/>
        <w:rPr>
          <w:rFonts w:eastAsia="Times New Roman"/>
        </w:rPr>
      </w:pPr>
      <w:r>
        <w:rPr>
          <w:rFonts w:eastAsia="Times New Roman"/>
          <w:b/>
          <w:bCs/>
          <w:color w:val="000000"/>
          <w:sz w:val="16"/>
          <w:szCs w:val="16"/>
        </w:rPr>
        <w:t>Securities registered pursuant to Section 12(b) of the Act:</w:t>
      </w:r>
    </w:p>
    <w:tbl>
      <w:tblPr>
        <w:tblW w:w="4993" w:type="pct"/>
        <w:jc w:val="center"/>
        <w:tblCellMar>
          <w:top w:w="15" w:type="dxa"/>
          <w:left w:w="15" w:type="dxa"/>
          <w:bottom w:w="15" w:type="dxa"/>
          <w:right w:w="15" w:type="dxa"/>
        </w:tblCellMar>
        <w:tblLook w:val="04A0" w:firstRow="1" w:lastRow="0" w:firstColumn="1" w:lastColumn="0" w:noHBand="0" w:noVBand="1"/>
      </w:tblPr>
      <w:tblGrid>
        <w:gridCol w:w="50"/>
        <w:gridCol w:w="5201"/>
        <w:gridCol w:w="38"/>
        <w:gridCol w:w="89"/>
        <w:gridCol w:w="628"/>
        <w:gridCol w:w="36"/>
        <w:gridCol w:w="50"/>
        <w:gridCol w:w="2166"/>
        <w:gridCol w:w="36"/>
      </w:tblGrid>
      <w:tr w:rsidR="00000000">
        <w:trPr>
          <w:jc w:val="center"/>
        </w:trPr>
        <w:tc>
          <w:tcPr>
            <w:tcW w:w="50" w:type="pct"/>
            <w:vAlign w:val="center"/>
            <w:hideMark/>
          </w:tcPr>
          <w:p w:rsidR="00000000" w:rsidRDefault="0094004B">
            <w:pPr>
              <w:jc w:val="center"/>
              <w:rPr>
                <w:rFonts w:eastAsia="Times New Roman"/>
              </w:rPr>
            </w:pPr>
          </w:p>
        </w:tc>
        <w:tc>
          <w:tcPr>
            <w:tcW w:w="315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5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32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Title of Each Class</w:t>
            </w: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Trading Symbol(s)</w:t>
            </w: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Name of Each Exchange on Which Registered</w:t>
            </w:r>
          </w:p>
        </w:tc>
      </w:tr>
      <w:tr w:rsidR="00000000">
        <w:trPr>
          <w:jc w:val="center"/>
        </w:trPr>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6"/>
                <w:szCs w:val="16"/>
              </w:rPr>
              <w:t>Common Stock (par value $.01 per share)</w:t>
            </w:r>
          </w:p>
        </w:tc>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6"/>
                <w:szCs w:val="16"/>
              </w:rPr>
              <w:t>COF</w:t>
            </w:r>
          </w:p>
        </w:tc>
        <w:tc>
          <w:tcPr>
            <w:tcW w:w="0" w:type="auto"/>
            <w:gridSpan w:val="3"/>
            <w:tcMar>
              <w:top w:w="30" w:type="dxa"/>
              <w:left w:w="20" w:type="dxa"/>
              <w:bottom w:w="30" w:type="dxa"/>
              <w:right w:w="20" w:type="dxa"/>
            </w:tcMar>
            <w:hideMark/>
          </w:tcPr>
          <w:p w:rsidR="00000000" w:rsidRDefault="0094004B">
            <w:pPr>
              <w:spacing w:after="100"/>
              <w:jc w:val="center"/>
              <w:divId w:val="1787701730"/>
              <w:rPr>
                <w:rFonts w:eastAsia="Times New Roman"/>
              </w:rPr>
            </w:pPr>
            <w:r>
              <w:rPr>
                <w:rFonts w:eastAsia="Times New Roman"/>
                <w:color w:val="000000"/>
                <w:sz w:val="16"/>
                <w:szCs w:val="16"/>
              </w:rPr>
              <w:t>New York Stock Exchange</w:t>
            </w:r>
          </w:p>
        </w:tc>
      </w:tr>
      <w:tr w:rsidR="00000000">
        <w:trPr>
          <w:jc w:val="center"/>
        </w:trPr>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6"/>
                <w:szCs w:val="16"/>
              </w:rPr>
              <w:t>Depositary Shares, Each Representing a 1/40th Interest in a Share of Fixed Rate Non-Cumulative Perpetual Preferred Stock, Series I</w:t>
            </w:r>
          </w:p>
        </w:tc>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6"/>
                <w:szCs w:val="16"/>
              </w:rPr>
              <w:t>COF PRI</w:t>
            </w:r>
          </w:p>
        </w:tc>
        <w:tc>
          <w:tcPr>
            <w:tcW w:w="0" w:type="auto"/>
            <w:gridSpan w:val="3"/>
            <w:tcMar>
              <w:top w:w="30" w:type="dxa"/>
              <w:left w:w="20" w:type="dxa"/>
              <w:bottom w:w="30" w:type="dxa"/>
              <w:right w:w="20" w:type="dxa"/>
            </w:tcMar>
            <w:hideMark/>
          </w:tcPr>
          <w:p w:rsidR="00000000" w:rsidRDefault="0094004B">
            <w:pPr>
              <w:spacing w:after="100"/>
              <w:jc w:val="center"/>
              <w:divId w:val="1531184850"/>
              <w:rPr>
                <w:rFonts w:eastAsia="Times New Roman"/>
              </w:rPr>
            </w:pPr>
            <w:r>
              <w:rPr>
                <w:rFonts w:eastAsia="Times New Roman"/>
                <w:color w:val="000000"/>
                <w:sz w:val="16"/>
                <w:szCs w:val="16"/>
              </w:rPr>
              <w:t>New York Stock Exchange</w:t>
            </w:r>
          </w:p>
        </w:tc>
      </w:tr>
      <w:tr w:rsidR="00000000">
        <w:trPr>
          <w:jc w:val="center"/>
        </w:trPr>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6"/>
                <w:szCs w:val="16"/>
              </w:rPr>
              <w:t>Depositary Shares, Each Representing a 1/40th Interest in a Share of Fixed Rate Non-Cumulative Perpetual Preferred Stock, Series J</w:t>
            </w:r>
          </w:p>
        </w:tc>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6"/>
                <w:szCs w:val="16"/>
              </w:rPr>
              <w:t>COF PRJ</w:t>
            </w:r>
          </w:p>
        </w:tc>
        <w:tc>
          <w:tcPr>
            <w:tcW w:w="0" w:type="auto"/>
            <w:gridSpan w:val="3"/>
            <w:tcMar>
              <w:top w:w="30" w:type="dxa"/>
              <w:left w:w="20" w:type="dxa"/>
              <w:bottom w:w="30" w:type="dxa"/>
              <w:right w:w="20" w:type="dxa"/>
            </w:tcMar>
            <w:hideMark/>
          </w:tcPr>
          <w:p w:rsidR="00000000" w:rsidRDefault="0094004B">
            <w:pPr>
              <w:spacing w:after="100"/>
              <w:jc w:val="center"/>
              <w:divId w:val="704210684"/>
              <w:rPr>
                <w:rFonts w:eastAsia="Times New Roman"/>
              </w:rPr>
            </w:pPr>
            <w:r>
              <w:rPr>
                <w:rFonts w:eastAsia="Times New Roman"/>
                <w:color w:val="000000"/>
                <w:sz w:val="16"/>
                <w:szCs w:val="16"/>
              </w:rPr>
              <w:t>New York Stock Exchange</w:t>
            </w:r>
          </w:p>
        </w:tc>
      </w:tr>
      <w:tr w:rsidR="00000000">
        <w:trPr>
          <w:jc w:val="center"/>
        </w:trPr>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6"/>
                <w:szCs w:val="16"/>
              </w:rPr>
              <w:t>Depositary Shares, Each Representing a 1/40th Interest in a Share of Fixed Rate Non-Cumulative Perpetual Preferred Stock, Series K</w:t>
            </w:r>
          </w:p>
        </w:tc>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6"/>
                <w:szCs w:val="16"/>
              </w:rPr>
              <w:t>COF PRK</w:t>
            </w:r>
          </w:p>
        </w:tc>
        <w:tc>
          <w:tcPr>
            <w:tcW w:w="0" w:type="auto"/>
            <w:gridSpan w:val="3"/>
            <w:tcMar>
              <w:top w:w="30" w:type="dxa"/>
              <w:left w:w="20" w:type="dxa"/>
              <w:bottom w:w="30" w:type="dxa"/>
              <w:right w:w="20" w:type="dxa"/>
            </w:tcMar>
            <w:hideMark/>
          </w:tcPr>
          <w:p w:rsidR="00000000" w:rsidRDefault="0094004B">
            <w:pPr>
              <w:spacing w:after="100"/>
              <w:jc w:val="center"/>
              <w:divId w:val="2147241440"/>
              <w:rPr>
                <w:rFonts w:eastAsia="Times New Roman"/>
              </w:rPr>
            </w:pPr>
            <w:r>
              <w:rPr>
                <w:rFonts w:eastAsia="Times New Roman"/>
                <w:color w:val="000000"/>
                <w:sz w:val="16"/>
                <w:szCs w:val="16"/>
              </w:rPr>
              <w:t>New York Stock Exchange</w:t>
            </w:r>
          </w:p>
        </w:tc>
      </w:tr>
      <w:tr w:rsidR="00000000">
        <w:trPr>
          <w:jc w:val="center"/>
        </w:trPr>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6"/>
                <w:szCs w:val="16"/>
              </w:rPr>
              <w:t>Depositary Shares, Each Representing a 1/40th Interest in a Share of Fixed Rate Non-Cu</w:t>
            </w:r>
            <w:r>
              <w:rPr>
                <w:rFonts w:eastAsia="Times New Roman"/>
                <w:color w:val="000000"/>
                <w:sz w:val="16"/>
                <w:szCs w:val="16"/>
              </w:rPr>
              <w:t>mulative Perpetual Preferred Stock, Series L</w:t>
            </w:r>
          </w:p>
        </w:tc>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6"/>
                <w:szCs w:val="16"/>
              </w:rPr>
              <w:t>COF PRL</w:t>
            </w:r>
          </w:p>
        </w:tc>
        <w:tc>
          <w:tcPr>
            <w:tcW w:w="0" w:type="auto"/>
            <w:gridSpan w:val="3"/>
            <w:tcMar>
              <w:top w:w="30" w:type="dxa"/>
              <w:left w:w="20" w:type="dxa"/>
              <w:bottom w:w="30" w:type="dxa"/>
              <w:right w:w="20" w:type="dxa"/>
            </w:tcMar>
            <w:hideMark/>
          </w:tcPr>
          <w:p w:rsidR="00000000" w:rsidRDefault="0094004B">
            <w:pPr>
              <w:spacing w:after="100"/>
              <w:jc w:val="center"/>
              <w:divId w:val="509683907"/>
              <w:rPr>
                <w:rFonts w:eastAsia="Times New Roman"/>
              </w:rPr>
            </w:pPr>
            <w:r>
              <w:rPr>
                <w:rFonts w:eastAsia="Times New Roman"/>
                <w:color w:val="000000"/>
                <w:sz w:val="16"/>
                <w:szCs w:val="16"/>
              </w:rPr>
              <w:t>New York Stock Exchange</w:t>
            </w:r>
          </w:p>
        </w:tc>
      </w:tr>
      <w:tr w:rsidR="00000000">
        <w:trPr>
          <w:jc w:val="center"/>
        </w:trPr>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6"/>
                <w:szCs w:val="16"/>
              </w:rPr>
              <w:t>Depositary Shares, Each Representing a 1/40th Interest in a Share of Fixed Rate Non-Cumulative Perpetual Preferred Stock, Series N</w:t>
            </w:r>
          </w:p>
        </w:tc>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6"/>
                <w:szCs w:val="16"/>
              </w:rPr>
              <w:t>COF PRN</w:t>
            </w:r>
          </w:p>
        </w:tc>
        <w:tc>
          <w:tcPr>
            <w:tcW w:w="0" w:type="auto"/>
            <w:gridSpan w:val="3"/>
            <w:tcMar>
              <w:top w:w="30" w:type="dxa"/>
              <w:left w:w="20" w:type="dxa"/>
              <w:bottom w:w="30" w:type="dxa"/>
              <w:right w:w="20" w:type="dxa"/>
            </w:tcMar>
            <w:hideMark/>
          </w:tcPr>
          <w:p w:rsidR="00000000" w:rsidRDefault="0094004B">
            <w:pPr>
              <w:spacing w:after="100"/>
              <w:jc w:val="center"/>
              <w:divId w:val="1179586182"/>
              <w:rPr>
                <w:rFonts w:eastAsia="Times New Roman"/>
              </w:rPr>
            </w:pPr>
            <w:r>
              <w:rPr>
                <w:rFonts w:eastAsia="Times New Roman"/>
                <w:color w:val="000000"/>
                <w:sz w:val="16"/>
                <w:szCs w:val="16"/>
              </w:rPr>
              <w:t>New York Stock Exchange</w:t>
            </w:r>
          </w:p>
        </w:tc>
      </w:tr>
      <w:tr w:rsidR="00000000">
        <w:trPr>
          <w:jc w:val="center"/>
        </w:trPr>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6"/>
                <w:szCs w:val="16"/>
              </w:rPr>
              <w:t>0.800% Senior Notes Due 2024</w:t>
            </w:r>
          </w:p>
        </w:tc>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6"/>
                <w:szCs w:val="16"/>
              </w:rPr>
              <w:t>COF24</w:t>
            </w:r>
          </w:p>
        </w:tc>
        <w:tc>
          <w:tcPr>
            <w:tcW w:w="0" w:type="auto"/>
            <w:gridSpan w:val="3"/>
            <w:tcMar>
              <w:top w:w="30" w:type="dxa"/>
              <w:left w:w="20" w:type="dxa"/>
              <w:bottom w:w="30" w:type="dxa"/>
              <w:right w:w="20" w:type="dxa"/>
            </w:tcMar>
            <w:hideMark/>
          </w:tcPr>
          <w:p w:rsidR="00000000" w:rsidRDefault="0094004B">
            <w:pPr>
              <w:spacing w:after="100"/>
              <w:jc w:val="center"/>
              <w:divId w:val="1094320385"/>
              <w:rPr>
                <w:rFonts w:eastAsia="Times New Roman"/>
              </w:rPr>
            </w:pPr>
            <w:r>
              <w:rPr>
                <w:rFonts w:eastAsia="Times New Roman"/>
                <w:color w:val="000000"/>
                <w:sz w:val="16"/>
                <w:szCs w:val="16"/>
              </w:rPr>
              <w:t>New York Stock Exchange</w:t>
            </w:r>
          </w:p>
        </w:tc>
      </w:tr>
      <w:tr w:rsidR="00000000">
        <w:trPr>
          <w:jc w:val="center"/>
        </w:trPr>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6"/>
                <w:szCs w:val="16"/>
              </w:rPr>
              <w:t xml:space="preserve">1.650% Senior Notes </w:t>
            </w:r>
            <w:r>
              <w:rPr>
                <w:rFonts w:eastAsia="Times New Roman"/>
                <w:color w:val="000000"/>
                <w:sz w:val="16"/>
                <w:szCs w:val="16"/>
              </w:rPr>
              <w:t>Due 2029</w:t>
            </w:r>
          </w:p>
        </w:tc>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6"/>
                <w:szCs w:val="16"/>
              </w:rPr>
              <w:t>COF29</w:t>
            </w:r>
          </w:p>
        </w:tc>
        <w:tc>
          <w:tcPr>
            <w:tcW w:w="0" w:type="auto"/>
            <w:gridSpan w:val="3"/>
            <w:tcMar>
              <w:top w:w="30" w:type="dxa"/>
              <w:left w:w="20" w:type="dxa"/>
              <w:bottom w:w="30" w:type="dxa"/>
              <w:right w:w="20" w:type="dxa"/>
            </w:tcMar>
            <w:hideMark/>
          </w:tcPr>
          <w:p w:rsidR="00000000" w:rsidRDefault="0094004B">
            <w:pPr>
              <w:spacing w:after="100"/>
              <w:jc w:val="center"/>
              <w:divId w:val="259946110"/>
              <w:rPr>
                <w:rFonts w:eastAsia="Times New Roman"/>
              </w:rPr>
            </w:pPr>
            <w:r>
              <w:rPr>
                <w:rFonts w:eastAsia="Times New Roman"/>
                <w:color w:val="000000"/>
                <w:sz w:val="16"/>
                <w:szCs w:val="16"/>
              </w:rPr>
              <w:t>New York Stock Exchange</w:t>
            </w:r>
          </w:p>
        </w:tc>
      </w:tr>
    </w:tbl>
    <w:p w:rsidR="00000000" w:rsidRDefault="0094004B">
      <w:pPr>
        <w:jc w:val="center"/>
        <w:rPr>
          <w:rFonts w:eastAsia="Times New Roman"/>
        </w:rPr>
      </w:pPr>
      <w:r>
        <w:rPr>
          <w:rFonts w:eastAsia="Times New Roman"/>
          <w:b/>
          <w:bCs/>
          <w:color w:val="000000"/>
          <w:sz w:val="16"/>
          <w:szCs w:val="16"/>
        </w:rPr>
        <w:t>Securities registered pursuant to section 12(g) of the Act: None</w:t>
      </w:r>
    </w:p>
    <w:p w:rsidR="00000000" w:rsidRDefault="0094004B">
      <w:pPr>
        <w:jc w:val="center"/>
        <w:rPr>
          <w:rFonts w:eastAsia="Times New Roman"/>
        </w:rPr>
      </w:pPr>
      <w:r>
        <w:rPr>
          <w:rFonts w:eastAsia="Times New Roman"/>
          <w:color w:val="000000"/>
          <w:sz w:val="12"/>
          <w:szCs w:val="12"/>
        </w:rPr>
        <w:t>____________________________________</w:t>
      </w:r>
    </w:p>
    <w:p w:rsidR="00000000" w:rsidRDefault="0094004B">
      <w:pPr>
        <w:divId w:val="312174426"/>
        <w:rPr>
          <w:rFonts w:eastAsia="Times New Roman"/>
        </w:rPr>
      </w:pPr>
      <w:r>
        <w:rPr>
          <w:rFonts w:eastAsia="Times New Roman"/>
          <w:color w:val="000000"/>
          <w:sz w:val="15"/>
          <w:szCs w:val="15"/>
        </w:rPr>
        <w:t>Indicate by check mark if the registrant is a well-known seasoned issuer, as defined in Rule 405 of the Securities Act. Yes </w:t>
      </w:r>
      <w:r>
        <w:rPr>
          <w:rFonts w:ascii="Segoe UI Symbol" w:eastAsia="Times New Roman" w:hAnsi="Segoe UI Symbol" w:cs="Segoe UI Symbol"/>
          <w:color w:val="000000"/>
          <w:sz w:val="15"/>
          <w:szCs w:val="15"/>
        </w:rPr>
        <w:t>☒</w:t>
      </w:r>
      <w:r>
        <w:rPr>
          <w:rFonts w:eastAsia="Times New Roman"/>
          <w:color w:val="000000"/>
          <w:sz w:val="15"/>
          <w:szCs w:val="15"/>
        </w:rPr>
        <w:t xml:space="preserve"> No </w:t>
      </w:r>
      <w:r>
        <w:rPr>
          <w:rFonts w:ascii="Segoe UI Symbol" w:eastAsia="Times New Roman" w:hAnsi="Segoe UI Symbol" w:cs="Segoe UI Symbol"/>
          <w:color w:val="000000"/>
          <w:sz w:val="15"/>
          <w:szCs w:val="15"/>
        </w:rPr>
        <w:t>☐</w:t>
      </w:r>
    </w:p>
    <w:p w:rsidR="00000000" w:rsidRDefault="0094004B">
      <w:pPr>
        <w:divId w:val="203250946"/>
        <w:rPr>
          <w:rFonts w:eastAsia="Times New Roman"/>
        </w:rPr>
      </w:pPr>
      <w:r>
        <w:rPr>
          <w:rFonts w:eastAsia="Times New Roman"/>
          <w:color w:val="000000"/>
          <w:sz w:val="15"/>
          <w:szCs w:val="15"/>
        </w:rPr>
        <w:t xml:space="preserve">Indicate by check mark if the registrant is not required to file reports pursuant to Section 13 or Section 15(d) of the Act. </w:t>
      </w:r>
      <w:r>
        <w:rPr>
          <w:rFonts w:eastAsia="Times New Roman"/>
          <w:color w:val="000000"/>
          <w:sz w:val="15"/>
          <w:szCs w:val="15"/>
        </w:rPr>
        <w:t>Yes </w:t>
      </w:r>
      <w:r>
        <w:rPr>
          <w:rFonts w:ascii="Segoe UI Symbol" w:eastAsia="Times New Roman" w:hAnsi="Segoe UI Symbol" w:cs="Segoe UI Symbol"/>
          <w:color w:val="000000"/>
          <w:sz w:val="15"/>
          <w:szCs w:val="15"/>
        </w:rPr>
        <w:t>☐</w:t>
      </w:r>
      <w:r>
        <w:rPr>
          <w:rFonts w:eastAsia="Times New Roman"/>
          <w:color w:val="000000"/>
          <w:sz w:val="15"/>
          <w:szCs w:val="15"/>
        </w:rPr>
        <w:t xml:space="preserve"> No </w:t>
      </w:r>
      <w:r>
        <w:rPr>
          <w:rFonts w:ascii="Segoe UI Symbol" w:eastAsia="Times New Roman" w:hAnsi="Segoe UI Symbol" w:cs="Segoe UI Symbol"/>
          <w:color w:val="000000"/>
          <w:sz w:val="15"/>
          <w:szCs w:val="15"/>
        </w:rPr>
        <w:t>☒</w:t>
      </w:r>
      <w:r>
        <w:rPr>
          <w:rFonts w:ascii="Arial Unicode MS" w:eastAsia="Times New Roman" w:hAnsi="Arial Unicode MS"/>
          <w:color w:val="000000"/>
          <w:sz w:val="15"/>
          <w:szCs w:val="15"/>
        </w:rPr>
        <w:br/>
      </w:r>
      <w:r>
        <w:rPr>
          <w:rFonts w:eastAsia="Times New Roman"/>
          <w:color w:val="000000"/>
          <w:sz w:val="15"/>
          <w:szCs w:val="15"/>
        </w:rPr>
        <w:t>Indicate by check mark whether the registrant (1) has filed all reports required to be filed by Section 13 or 15(d) of the Securities Exchange Act of 1934 during the preceding 12 months (or for such shorter period that the registrant was require</w:t>
      </w:r>
      <w:r>
        <w:rPr>
          <w:rFonts w:eastAsia="Times New Roman"/>
          <w:color w:val="000000"/>
          <w:sz w:val="15"/>
          <w:szCs w:val="15"/>
        </w:rPr>
        <w:t>d to file such reports), and (2) has been subject to such filing requirements for the past 90 days. Yes </w:t>
      </w:r>
      <w:r>
        <w:rPr>
          <w:rFonts w:ascii="Segoe UI Symbol" w:eastAsia="Times New Roman" w:hAnsi="Segoe UI Symbol" w:cs="Segoe UI Symbol"/>
          <w:color w:val="000000"/>
          <w:sz w:val="15"/>
          <w:szCs w:val="15"/>
        </w:rPr>
        <w:t>☒</w:t>
      </w:r>
      <w:r>
        <w:rPr>
          <w:rFonts w:eastAsia="Times New Roman"/>
          <w:color w:val="000000"/>
          <w:sz w:val="15"/>
          <w:szCs w:val="15"/>
        </w:rPr>
        <w:t xml:space="preserve">  No </w:t>
      </w:r>
      <w:r>
        <w:rPr>
          <w:rFonts w:ascii="Segoe UI Symbol" w:eastAsia="Times New Roman" w:hAnsi="Segoe UI Symbol" w:cs="Segoe UI Symbol"/>
          <w:color w:val="000000"/>
          <w:sz w:val="15"/>
          <w:szCs w:val="15"/>
        </w:rPr>
        <w:t>☐</w:t>
      </w:r>
    </w:p>
    <w:p w:rsidR="00000000" w:rsidRDefault="0094004B">
      <w:pPr>
        <w:jc w:val="both"/>
        <w:divId w:val="1146241690"/>
        <w:rPr>
          <w:rFonts w:eastAsia="Times New Roman"/>
        </w:rPr>
      </w:pPr>
      <w:r>
        <w:rPr>
          <w:rFonts w:eastAsia="Times New Roman"/>
          <w:color w:val="000000"/>
          <w:sz w:val="15"/>
          <w:szCs w:val="15"/>
        </w:rPr>
        <w:t>Indicate by check mark whether the registrant has submitted electronically every Interactive Data File required to be submitted pursuant to Rule 405 of Regulation S-T (§232.405 of this chapter) during the preceding 12 months (or for such shorter period tha</w:t>
      </w:r>
      <w:r>
        <w:rPr>
          <w:rFonts w:eastAsia="Times New Roman"/>
          <w:color w:val="000000"/>
          <w:sz w:val="15"/>
          <w:szCs w:val="15"/>
        </w:rPr>
        <w:t>t the registrant was required to submit such files). Yes </w:t>
      </w:r>
      <w:r>
        <w:rPr>
          <w:rFonts w:ascii="Segoe UI Symbol" w:eastAsia="Times New Roman" w:hAnsi="Segoe UI Symbol" w:cs="Segoe UI Symbol"/>
          <w:color w:val="000000"/>
          <w:sz w:val="15"/>
          <w:szCs w:val="15"/>
        </w:rPr>
        <w:t>☒</w:t>
      </w:r>
      <w:r>
        <w:rPr>
          <w:rFonts w:eastAsia="Times New Roman"/>
          <w:color w:val="000000"/>
          <w:sz w:val="15"/>
          <w:szCs w:val="15"/>
        </w:rPr>
        <w:t xml:space="preserve"> No </w:t>
      </w:r>
      <w:r>
        <w:rPr>
          <w:rFonts w:ascii="Segoe UI Symbol" w:eastAsia="Times New Roman" w:hAnsi="Segoe UI Symbol" w:cs="Segoe UI Symbol"/>
          <w:color w:val="000000"/>
          <w:sz w:val="15"/>
          <w:szCs w:val="15"/>
        </w:rPr>
        <w:t>☐</w:t>
      </w:r>
    </w:p>
    <w:p w:rsidR="00000000" w:rsidRDefault="0094004B">
      <w:pPr>
        <w:jc w:val="both"/>
        <w:rPr>
          <w:rFonts w:eastAsia="Times New Roman"/>
        </w:rPr>
      </w:pPr>
      <w:r>
        <w:rPr>
          <w:rFonts w:eastAsia="Times New Roman"/>
          <w:color w:val="000000"/>
          <w:sz w:val="15"/>
          <w:szCs w:val="15"/>
        </w:rPr>
        <w:lastRenderedPageBreak/>
        <w:t>Indicate by check mark whether the registrant is a large accelerated filer, an accelerated filer, a non-accelerated filer, a smaller reporting company, or an emerging growth company. See the d</w:t>
      </w:r>
      <w:r>
        <w:rPr>
          <w:rFonts w:eastAsia="Times New Roman"/>
          <w:color w:val="000000"/>
          <w:sz w:val="15"/>
          <w:szCs w:val="15"/>
        </w:rPr>
        <w:t>efinitions of “large accelerated filer,” “accelerated filer,” “smaller reporting company,” and “emerging growth company” in Rule 12b-2 of the Exchange Act.</w:t>
      </w:r>
    </w:p>
    <w:tbl>
      <w:tblPr>
        <w:tblW w:w="5000" w:type="pct"/>
        <w:tblCellMar>
          <w:top w:w="15" w:type="dxa"/>
          <w:left w:w="15" w:type="dxa"/>
          <w:bottom w:w="15" w:type="dxa"/>
          <w:right w:w="15" w:type="dxa"/>
        </w:tblCellMar>
        <w:tblLook w:val="04A0" w:firstRow="1" w:lastRow="0" w:firstColumn="1" w:lastColumn="0" w:noHBand="0" w:noVBand="1"/>
      </w:tblPr>
      <w:tblGrid>
        <w:gridCol w:w="57"/>
        <w:gridCol w:w="1715"/>
        <w:gridCol w:w="36"/>
        <w:gridCol w:w="36"/>
        <w:gridCol w:w="168"/>
        <w:gridCol w:w="36"/>
        <w:gridCol w:w="58"/>
        <w:gridCol w:w="3769"/>
        <w:gridCol w:w="36"/>
        <w:gridCol w:w="37"/>
        <w:gridCol w:w="148"/>
        <w:gridCol w:w="36"/>
        <w:gridCol w:w="81"/>
        <w:gridCol w:w="1593"/>
        <w:gridCol w:w="36"/>
        <w:gridCol w:w="36"/>
        <w:gridCol w:w="147"/>
        <w:gridCol w:w="36"/>
        <w:gridCol w:w="58"/>
        <w:gridCol w:w="151"/>
        <w:gridCol w:w="36"/>
      </w:tblGrid>
      <w:tr w:rsidR="00000000">
        <w:tc>
          <w:tcPr>
            <w:tcW w:w="50" w:type="pct"/>
            <w:vAlign w:val="center"/>
            <w:hideMark/>
          </w:tcPr>
          <w:p w:rsidR="00000000" w:rsidRDefault="0094004B">
            <w:pPr>
              <w:jc w:val="both"/>
              <w:rPr>
                <w:rFonts w:eastAsia="Times New Roman"/>
              </w:rPr>
            </w:pPr>
          </w:p>
        </w:tc>
        <w:tc>
          <w:tcPr>
            <w:tcW w:w="104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11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28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10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98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10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5"/>
                <w:szCs w:val="15"/>
              </w:rPr>
              <w:t>Large accelerated filer</w:t>
            </w:r>
          </w:p>
        </w:tc>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5"/>
                <w:szCs w:val="15"/>
              </w:rPr>
              <w:t> </w:t>
            </w:r>
          </w:p>
        </w:tc>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ascii="Segoe UI Symbol" w:eastAsia="Times New Roman" w:hAnsi="Segoe UI Symbol" w:cs="Segoe UI Symbol"/>
                <w:color w:val="000000"/>
                <w:sz w:val="15"/>
                <w:szCs w:val="15"/>
              </w:rPr>
              <w:t>☒</w:t>
            </w:r>
          </w:p>
        </w:tc>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5"/>
                <w:szCs w:val="15"/>
              </w:rPr>
              <w:t>  </w:t>
            </w:r>
          </w:p>
        </w:tc>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5"/>
                <w:szCs w:val="15"/>
              </w:rPr>
              <w:t>Accelerated filer</w:t>
            </w:r>
          </w:p>
        </w:tc>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5"/>
                <w:szCs w:val="15"/>
              </w:rPr>
              <w:t> </w:t>
            </w:r>
          </w:p>
        </w:tc>
        <w:tc>
          <w:tcPr>
            <w:tcW w:w="0" w:type="auto"/>
            <w:gridSpan w:val="3"/>
            <w:tcMar>
              <w:top w:w="30" w:type="dxa"/>
              <w:left w:w="20" w:type="dxa"/>
              <w:bottom w:w="30" w:type="dxa"/>
              <w:right w:w="20" w:type="dxa"/>
            </w:tcMar>
            <w:vAlign w:val="bottom"/>
            <w:hideMark/>
          </w:tcPr>
          <w:p w:rsidR="00000000" w:rsidRDefault="0094004B">
            <w:pPr>
              <w:spacing w:after="100"/>
              <w:divId w:val="417169069"/>
              <w:rPr>
                <w:rFonts w:eastAsia="Times New Roman"/>
              </w:rPr>
            </w:pPr>
            <w:r>
              <w:rPr>
                <w:rFonts w:ascii="Segoe UI Symbol" w:eastAsia="Times New Roman" w:hAnsi="Segoe UI Symbol" w:cs="Segoe UI Symbol"/>
                <w:color w:val="000000"/>
                <w:sz w:val="15"/>
                <w:szCs w:val="15"/>
              </w:rPr>
              <w:t>☐</w:t>
            </w:r>
          </w:p>
        </w:tc>
      </w:tr>
      <w:tr w:rsidR="00000000">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5"/>
                <w:szCs w:val="15"/>
              </w:rPr>
              <w:t>Non-accelerated filer</w:t>
            </w:r>
          </w:p>
        </w:tc>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5"/>
                <w:szCs w:val="15"/>
              </w:rPr>
              <w:t> </w:t>
            </w:r>
          </w:p>
        </w:tc>
        <w:tc>
          <w:tcPr>
            <w:tcW w:w="0" w:type="auto"/>
            <w:gridSpan w:val="3"/>
            <w:tcMar>
              <w:top w:w="30" w:type="dxa"/>
              <w:left w:w="20" w:type="dxa"/>
              <w:bottom w:w="30" w:type="dxa"/>
              <w:right w:w="20" w:type="dxa"/>
            </w:tcMar>
            <w:vAlign w:val="bottom"/>
            <w:hideMark/>
          </w:tcPr>
          <w:p w:rsidR="00000000" w:rsidRDefault="0094004B">
            <w:pPr>
              <w:spacing w:after="100"/>
              <w:divId w:val="1386223810"/>
              <w:rPr>
                <w:rFonts w:eastAsia="Times New Roman"/>
              </w:rPr>
            </w:pPr>
            <w:r>
              <w:rPr>
                <w:rFonts w:ascii="Segoe UI Symbol" w:eastAsia="Times New Roman" w:hAnsi="Segoe UI Symbol" w:cs="Segoe UI Symbol"/>
                <w:color w:val="000000"/>
                <w:sz w:val="15"/>
                <w:szCs w:val="15"/>
              </w:rPr>
              <w:t>☐</w:t>
            </w:r>
          </w:p>
        </w:tc>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5"/>
                <w:szCs w:val="15"/>
              </w:rPr>
              <w:t>  </w:t>
            </w:r>
          </w:p>
        </w:tc>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5"/>
                <w:szCs w:val="15"/>
              </w:rPr>
              <w:t>Smaller reporting company</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divId w:val="1747148564"/>
              <w:rPr>
                <w:rFonts w:eastAsia="Times New Roman"/>
              </w:rPr>
            </w:pPr>
            <w:r>
              <w:rPr>
                <w:rFonts w:ascii="Segoe UI Symbol" w:eastAsia="Times New Roman" w:hAnsi="Segoe UI Symbol" w:cs="Segoe UI Symbol"/>
                <w:color w:val="000000"/>
                <w:sz w:val="15"/>
                <w:szCs w:val="15"/>
              </w:rPr>
              <w:t>☐</w:t>
            </w:r>
          </w:p>
        </w:tc>
      </w:tr>
      <w:tr w:rsidR="00000000">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5"/>
                <w:szCs w:val="15"/>
              </w:rPr>
              <w:t>Emerging growth company</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divId w:val="822895734"/>
              <w:rPr>
                <w:rFonts w:eastAsia="Times New Roman"/>
              </w:rPr>
            </w:pPr>
            <w:r>
              <w:rPr>
                <w:rFonts w:ascii="Segoe UI Symbol" w:eastAsia="Times New Roman" w:hAnsi="Segoe UI Symbol" w:cs="Segoe UI Symbol"/>
                <w:color w:val="000000"/>
                <w:sz w:val="15"/>
                <w:szCs w:val="15"/>
              </w:rPr>
              <w:t>☐</w:t>
            </w:r>
          </w:p>
        </w:tc>
      </w:tr>
    </w:tbl>
    <w:p w:rsidR="00000000" w:rsidRDefault="0094004B">
      <w:pPr>
        <w:jc w:val="both"/>
        <w:rPr>
          <w:rFonts w:eastAsia="Times New Roman"/>
        </w:rPr>
      </w:pPr>
      <w:r>
        <w:rPr>
          <w:rFonts w:eastAsia="Times New Roman"/>
          <w:color w:val="000000"/>
          <w:sz w:val="15"/>
          <w:szCs w:val="15"/>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15"/>
          <w:szCs w:val="15"/>
        </w:rPr>
        <w:t>☐</w:t>
      </w:r>
    </w:p>
    <w:p w:rsidR="00000000" w:rsidRDefault="0094004B">
      <w:pPr>
        <w:jc w:val="both"/>
        <w:rPr>
          <w:rFonts w:eastAsia="Times New Roman"/>
        </w:rPr>
      </w:pPr>
      <w:r>
        <w:rPr>
          <w:rFonts w:eastAsia="Times New Roman"/>
          <w:color w:val="000000"/>
          <w:sz w:val="15"/>
          <w:szCs w:val="15"/>
        </w:rPr>
        <w:t>Ind</w:t>
      </w:r>
      <w:r>
        <w:rPr>
          <w:rFonts w:eastAsia="Times New Roman"/>
          <w:color w:val="000000"/>
          <w:sz w:val="15"/>
          <w:szCs w:val="15"/>
        </w:rPr>
        <w:t>icate by check mark whether the registrant has filed a report on and attestation to its management’s assessment of the effectiveness of its internal control over financial reporting under Section 404(b) of the Sarbanes-Oxley Act (15 U.S.C.7262(b)) by the r</w:t>
      </w:r>
      <w:r>
        <w:rPr>
          <w:rFonts w:eastAsia="Times New Roman"/>
          <w:color w:val="000000"/>
          <w:sz w:val="15"/>
          <w:szCs w:val="15"/>
        </w:rPr>
        <w:t xml:space="preserve">egistered public accounting firm that prepared or issued its audit report. </w:t>
      </w:r>
      <w:r>
        <w:rPr>
          <w:rFonts w:ascii="Segoe UI Symbol" w:eastAsia="Times New Roman" w:hAnsi="Segoe UI Symbol" w:cs="Segoe UI Symbol"/>
          <w:color w:val="000000"/>
          <w:sz w:val="15"/>
          <w:szCs w:val="15"/>
        </w:rPr>
        <w:t>☒</w:t>
      </w:r>
    </w:p>
    <w:p w:rsidR="00000000" w:rsidRDefault="0094004B">
      <w:pPr>
        <w:jc w:val="both"/>
        <w:rPr>
          <w:rFonts w:eastAsia="Times New Roman"/>
        </w:rPr>
      </w:pPr>
      <w:r>
        <w:rPr>
          <w:rFonts w:eastAsia="Times New Roman"/>
          <w:color w:val="000000"/>
          <w:sz w:val="15"/>
          <w:szCs w:val="15"/>
        </w:rPr>
        <w:t>If securities are registered pursuant to Section 12(b) of the Act, indicate by check mark whether the financial statements of the registrant included in the filing reflect the cor</w:t>
      </w:r>
      <w:r>
        <w:rPr>
          <w:rFonts w:eastAsia="Times New Roman"/>
          <w:color w:val="000000"/>
          <w:sz w:val="15"/>
          <w:szCs w:val="15"/>
        </w:rPr>
        <w:t>rection of an error to previously issued financial statements.</w:t>
      </w:r>
      <w:r>
        <w:rPr>
          <w:rFonts w:ascii="Segoe UI Symbol" w:eastAsia="Times New Roman" w:hAnsi="Segoe UI Symbol" w:cs="Segoe UI Symbol"/>
          <w:color w:val="000000"/>
          <w:sz w:val="15"/>
          <w:szCs w:val="15"/>
        </w:rPr>
        <w:t>☐</w:t>
      </w:r>
    </w:p>
    <w:p w:rsidR="00000000" w:rsidRDefault="0094004B">
      <w:pPr>
        <w:jc w:val="both"/>
        <w:rPr>
          <w:rFonts w:eastAsia="Times New Roman"/>
        </w:rPr>
      </w:pPr>
      <w:r>
        <w:rPr>
          <w:rFonts w:eastAsia="Times New Roman"/>
          <w:color w:val="000000"/>
          <w:sz w:val="15"/>
          <w:szCs w:val="15"/>
        </w:rPr>
        <w:t>Indicate by check mark whether any of those error corrections are restatements that required a recovery analysis of incentive-based compensation received by any of the registrant’s executive o</w:t>
      </w:r>
      <w:r>
        <w:rPr>
          <w:rFonts w:eastAsia="Times New Roman"/>
          <w:color w:val="000000"/>
          <w:sz w:val="15"/>
          <w:szCs w:val="15"/>
        </w:rPr>
        <w:t>fficers during the relevant recovery period pursuant to §240.10D-1(b).</w:t>
      </w:r>
      <w:r>
        <w:rPr>
          <w:rFonts w:ascii="Segoe UI Symbol" w:eastAsia="Times New Roman" w:hAnsi="Segoe UI Symbol" w:cs="Segoe UI Symbol"/>
          <w:color w:val="000000"/>
          <w:sz w:val="15"/>
          <w:szCs w:val="15"/>
        </w:rPr>
        <w:t>☐</w:t>
      </w:r>
    </w:p>
    <w:p w:rsidR="00000000" w:rsidRDefault="0094004B">
      <w:pPr>
        <w:jc w:val="both"/>
        <w:rPr>
          <w:rFonts w:eastAsia="Times New Roman"/>
        </w:rPr>
      </w:pPr>
      <w:r>
        <w:rPr>
          <w:rFonts w:eastAsia="Times New Roman"/>
          <w:color w:val="000000"/>
          <w:sz w:val="15"/>
          <w:szCs w:val="15"/>
        </w:rPr>
        <w:t xml:space="preserve">Indicate by check mark whether the registrant is a shell company (as defined in Rule 12b-2 of the Exchange Act). Yes </w:t>
      </w:r>
      <w:r>
        <w:rPr>
          <w:rFonts w:ascii="Segoe UI Symbol" w:eastAsia="Times New Roman" w:hAnsi="Segoe UI Symbol" w:cs="Segoe UI Symbol"/>
          <w:color w:val="000000"/>
          <w:sz w:val="15"/>
          <w:szCs w:val="15"/>
        </w:rPr>
        <w:t>☐</w:t>
      </w:r>
      <w:r>
        <w:rPr>
          <w:rFonts w:eastAsia="Times New Roman"/>
          <w:color w:val="000000"/>
          <w:sz w:val="15"/>
          <w:szCs w:val="15"/>
        </w:rPr>
        <w:t xml:space="preserve"> No </w:t>
      </w:r>
      <w:r>
        <w:rPr>
          <w:rFonts w:ascii="Segoe UI Symbol" w:eastAsia="Times New Roman" w:hAnsi="Segoe UI Symbol" w:cs="Segoe UI Symbol"/>
          <w:color w:val="000000"/>
          <w:sz w:val="15"/>
          <w:szCs w:val="15"/>
        </w:rPr>
        <w:t>☒</w:t>
      </w:r>
    </w:p>
    <w:p w:rsidR="00000000" w:rsidRDefault="0094004B">
      <w:pPr>
        <w:jc w:val="both"/>
        <w:rPr>
          <w:rFonts w:eastAsia="Times New Roman"/>
        </w:rPr>
      </w:pPr>
      <w:r>
        <w:rPr>
          <w:rFonts w:eastAsia="Times New Roman"/>
          <w:color w:val="000000"/>
          <w:sz w:val="15"/>
          <w:szCs w:val="15"/>
        </w:rPr>
        <w:t>The aggregate market value of the voting and non-voting stock held by non-affiliates of the registrant as of the close of business o</w:t>
      </w:r>
      <w:r>
        <w:rPr>
          <w:rFonts w:eastAsia="Times New Roman"/>
          <w:color w:val="000000"/>
          <w:sz w:val="15"/>
          <w:szCs w:val="15"/>
        </w:rPr>
        <w:t xml:space="preserve">n June 30, 2022 was approximately $39.6 billion. As of </w:t>
      </w:r>
      <w:r>
        <w:rPr>
          <w:rFonts w:eastAsia="Times New Roman"/>
          <w:color w:val="000000"/>
          <w:sz w:val="15"/>
          <w:szCs w:val="15"/>
          <w:shd w:val="clear" w:color="auto" w:fill="FFFFFF"/>
        </w:rPr>
        <w:t>January 31, 2023</w:t>
      </w:r>
      <w:r>
        <w:rPr>
          <w:rFonts w:eastAsia="Times New Roman"/>
          <w:color w:val="000000"/>
          <w:sz w:val="15"/>
          <w:szCs w:val="15"/>
        </w:rPr>
        <w:t>, there were 381,079,743 shares of the registrant’s Common Stock outstanding.</w:t>
      </w:r>
    </w:p>
    <w:p w:rsidR="00000000" w:rsidRDefault="0094004B">
      <w:pPr>
        <w:jc w:val="center"/>
        <w:divId w:val="990018223"/>
        <w:rPr>
          <w:rFonts w:eastAsia="Times New Roman"/>
        </w:rPr>
      </w:pPr>
      <w:r>
        <w:rPr>
          <w:rFonts w:eastAsia="Times New Roman"/>
          <w:b/>
          <w:bCs/>
          <w:color w:val="000000"/>
          <w:sz w:val="15"/>
          <w:szCs w:val="15"/>
        </w:rPr>
        <w:t>DOCUMENTS INCORPORATED BY REFERENCE</w:t>
      </w:r>
    </w:p>
    <w:p w:rsidR="00000000" w:rsidRDefault="0094004B">
      <w:pPr>
        <w:ind w:hanging="450"/>
        <w:divId w:val="1053046657"/>
        <w:rPr>
          <w:rFonts w:eastAsia="Times New Roman"/>
        </w:rPr>
      </w:pPr>
      <w:r>
        <w:rPr>
          <w:rFonts w:eastAsia="Times New Roman"/>
          <w:b/>
          <w:bCs/>
          <w:color w:val="000000"/>
          <w:sz w:val="15"/>
          <w:szCs w:val="15"/>
        </w:rPr>
        <w:t>1.</w:t>
      </w:r>
      <w:r>
        <w:rPr>
          <w:rFonts w:eastAsia="Times New Roman"/>
          <w:color w:val="000000"/>
          <w:sz w:val="15"/>
          <w:szCs w:val="15"/>
        </w:rPr>
        <w:t>Portions of the Proxy Statement for the annual meeting of stockholders to be held on May 4, 2023, are incorporated by reference into Part III.</w:t>
      </w:r>
    </w:p>
    <w:tbl>
      <w:tblPr>
        <w:tblW w:w="4771" w:type="pct"/>
        <w:tblCellMar>
          <w:top w:w="15" w:type="dxa"/>
          <w:left w:w="15" w:type="dxa"/>
          <w:bottom w:w="15" w:type="dxa"/>
          <w:right w:w="15" w:type="dxa"/>
        </w:tblCellMar>
        <w:tblLook w:val="04A0" w:firstRow="1" w:lastRow="0" w:firstColumn="1" w:lastColumn="0" w:noHBand="0" w:noVBand="1"/>
      </w:tblPr>
      <w:tblGrid>
        <w:gridCol w:w="65"/>
        <w:gridCol w:w="1484"/>
        <w:gridCol w:w="36"/>
        <w:gridCol w:w="65"/>
        <w:gridCol w:w="1484"/>
        <w:gridCol w:w="36"/>
        <w:gridCol w:w="65"/>
        <w:gridCol w:w="1484"/>
        <w:gridCol w:w="36"/>
        <w:gridCol w:w="65"/>
        <w:gridCol w:w="1484"/>
        <w:gridCol w:w="36"/>
        <w:gridCol w:w="65"/>
        <w:gridCol w:w="1485"/>
        <w:gridCol w:w="36"/>
      </w:tblGrid>
      <w:tr w:rsidR="00000000">
        <w:trPr>
          <w:divId w:val="1053046657"/>
        </w:trPr>
        <w:tc>
          <w:tcPr>
            <w:tcW w:w="50" w:type="pct"/>
            <w:vAlign w:val="center"/>
            <w:hideMark/>
          </w:tcPr>
          <w:p w:rsidR="00000000" w:rsidRDefault="0094004B">
            <w:pPr>
              <w:ind w:hanging="450"/>
              <w:rPr>
                <w:rFonts w:eastAsia="Times New Roman"/>
              </w:rPr>
            </w:pPr>
          </w:p>
        </w:tc>
        <w:tc>
          <w:tcPr>
            <w:tcW w:w="94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94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94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94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94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053046657"/>
          <w:trHeight w:val="60"/>
        </w:trPr>
        <w:tc>
          <w:tcPr>
            <w:tcW w:w="0" w:type="auto"/>
            <w:gridSpan w:val="15"/>
            <w:tcBorders>
              <w:bottom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r>
    </w:tbl>
    <w:p w:rsidR="00000000" w:rsidRDefault="0094004B">
      <w:pPr>
        <w:jc w:val="both"/>
        <w:divId w:val="1653177245"/>
        <w:rPr>
          <w:rFonts w:eastAsia="Times New Roman"/>
        </w:rPr>
      </w:pPr>
    </w:p>
    <w:p w:rsidR="00000000" w:rsidRDefault="0094004B">
      <w:pPr>
        <w:rPr>
          <w:rFonts w:eastAsia="Times New Roman"/>
        </w:rPr>
      </w:pPr>
      <w:r>
        <w:rPr>
          <w:rFonts w:eastAsia="Times New Roman"/>
        </w:rPr>
        <w:pict>
          <v:rect id="_x0000_i1025" style="width:0;height:1.5pt" o:hralign="center" o:hrstd="t" o:hr="t" fillcolor="#a0a0a0" stroked="f"/>
        </w:pict>
      </w:r>
    </w:p>
    <w:p w:rsidR="00000000" w:rsidRDefault="0094004B">
      <w:pPr>
        <w:jc w:val="both"/>
        <w:divId w:val="1325015756"/>
        <w:rPr>
          <w:rFonts w:eastAsia="Times New Roman"/>
        </w:rPr>
      </w:pPr>
    </w:p>
    <w:p w:rsidR="00000000" w:rsidRDefault="0094004B">
      <w:pPr>
        <w:jc w:val="center"/>
        <w:divId w:val="1611662160"/>
        <w:rPr>
          <w:rFonts w:eastAsia="Times New Roman"/>
        </w:rPr>
      </w:pPr>
      <w:r>
        <w:rPr>
          <w:rFonts w:eastAsia="Times New Roman"/>
          <w:b/>
          <w:bCs/>
          <w:color w:val="000000"/>
          <w:sz w:val="20"/>
          <w:szCs w:val="20"/>
        </w:rPr>
        <w:t>TABLE OF CONTENTS</w:t>
      </w:r>
    </w:p>
    <w:tbl>
      <w:tblPr>
        <w:tblW w:w="4830" w:type="pct"/>
        <w:tblCellMar>
          <w:top w:w="15" w:type="dxa"/>
          <w:left w:w="15" w:type="dxa"/>
          <w:bottom w:w="15" w:type="dxa"/>
          <w:right w:w="15" w:type="dxa"/>
        </w:tblCellMar>
        <w:tblLook w:val="04A0" w:firstRow="1" w:lastRow="0" w:firstColumn="1" w:lastColumn="0" w:noHBand="0" w:noVBand="1"/>
      </w:tblPr>
      <w:tblGrid>
        <w:gridCol w:w="75"/>
        <w:gridCol w:w="543"/>
        <w:gridCol w:w="38"/>
        <w:gridCol w:w="65"/>
        <w:gridCol w:w="6608"/>
        <w:gridCol w:w="39"/>
        <w:gridCol w:w="66"/>
        <w:gridCol w:w="554"/>
        <w:gridCol w:w="36"/>
      </w:tblGrid>
      <w:tr w:rsidR="00000000">
        <w:trPr>
          <w:divId w:val="1267494434"/>
        </w:trPr>
        <w:tc>
          <w:tcPr>
            <w:tcW w:w="50" w:type="pct"/>
            <w:vAlign w:val="center"/>
            <w:hideMark/>
          </w:tcPr>
          <w:p w:rsidR="00000000" w:rsidRDefault="0094004B">
            <w:pPr>
              <w:jc w:val="center"/>
              <w:rPr>
                <w:rFonts w:eastAsia="Times New Roman"/>
              </w:rPr>
            </w:pPr>
          </w:p>
        </w:tc>
        <w:tc>
          <w:tcPr>
            <w:tcW w:w="35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1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5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267494434"/>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Page</w:t>
            </w:r>
          </w:p>
        </w:tc>
      </w:tr>
      <w:tr w:rsidR="00000000">
        <w:trPr>
          <w:divId w:val="1267494434"/>
        </w:trPr>
        <w:tc>
          <w:tcPr>
            <w:tcW w:w="0" w:type="auto"/>
            <w:gridSpan w:val="6"/>
            <w:tcMar>
              <w:top w:w="30" w:type="dxa"/>
              <w:left w:w="20" w:type="dxa"/>
              <w:bottom w:w="30" w:type="dxa"/>
              <w:right w:w="20" w:type="dxa"/>
            </w:tcMar>
            <w:vAlign w:val="bottom"/>
            <w:hideMark/>
          </w:tcPr>
          <w:p w:rsidR="00000000" w:rsidRDefault="0094004B">
            <w:pPr>
              <w:spacing w:after="100"/>
              <w:divId w:val="547960852"/>
              <w:rPr>
                <w:rFonts w:eastAsia="Times New Roman"/>
              </w:rPr>
            </w:pPr>
            <w:hyperlink w:anchor="ia820611622d9441b977884dac00e0ebd_22" w:history="1">
              <w:r>
                <w:rPr>
                  <w:rStyle w:val="a3"/>
                  <w:rFonts w:eastAsia="Times New Roman"/>
                  <w:b/>
                  <w:bCs/>
                  <w:color w:val="000000"/>
                  <w:sz w:val="20"/>
                  <w:szCs w:val="20"/>
                  <w:u w:val="none"/>
                </w:rPr>
                <w:t>PART I</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22" w:history="1">
              <w:r>
                <w:rPr>
                  <w:rStyle w:val="a3"/>
                  <w:rFonts w:eastAsia="Times New Roman"/>
                  <w:b/>
                  <w:bCs/>
                  <w:color w:val="000000"/>
                  <w:sz w:val="20"/>
                  <w:szCs w:val="20"/>
                  <w:u w:val="none"/>
                </w:rPr>
                <w:t>4</w:t>
              </w:r>
            </w:hyperlink>
          </w:p>
        </w:tc>
      </w:tr>
      <w:tr w:rsidR="00000000">
        <w:trPr>
          <w:divId w:val="1267494434"/>
        </w:trPr>
        <w:tc>
          <w:tcPr>
            <w:tcW w:w="0" w:type="auto"/>
            <w:gridSpan w:val="3"/>
            <w:tcMar>
              <w:top w:w="30" w:type="dxa"/>
              <w:left w:w="20" w:type="dxa"/>
              <w:bottom w:w="30" w:type="dxa"/>
              <w:right w:w="20" w:type="dxa"/>
            </w:tcMar>
            <w:vAlign w:val="center"/>
            <w:hideMark/>
          </w:tcPr>
          <w:p w:rsidR="00000000" w:rsidRDefault="0094004B">
            <w:pPr>
              <w:spacing w:after="100"/>
              <w:divId w:val="42292293"/>
              <w:rPr>
                <w:rFonts w:eastAsia="Times New Roman"/>
              </w:rPr>
            </w:pPr>
            <w:hyperlink w:anchor="ia820611622d9441b977884dac00e0ebd_25" w:history="1">
              <w:r>
                <w:rPr>
                  <w:rStyle w:val="a3"/>
                  <w:rFonts w:eastAsia="Times New Roman"/>
                  <w:color w:val="000000"/>
                  <w:sz w:val="20"/>
                  <w:szCs w:val="20"/>
                  <w:u w:val="none"/>
                </w:rPr>
                <w:t>Item 1.</w:t>
              </w:r>
            </w:hyperlink>
          </w:p>
        </w:tc>
        <w:tc>
          <w:tcPr>
            <w:tcW w:w="0" w:type="auto"/>
            <w:gridSpan w:val="3"/>
            <w:tcMar>
              <w:top w:w="30" w:type="dxa"/>
              <w:left w:w="20" w:type="dxa"/>
              <w:bottom w:w="30" w:type="dxa"/>
              <w:right w:w="20" w:type="dxa"/>
            </w:tcMar>
            <w:vAlign w:val="bottom"/>
            <w:hideMark/>
          </w:tcPr>
          <w:p w:rsidR="00000000" w:rsidRDefault="0094004B">
            <w:pPr>
              <w:spacing w:after="100"/>
              <w:divId w:val="26493251"/>
              <w:rPr>
                <w:rFonts w:eastAsia="Times New Roman"/>
              </w:rPr>
            </w:pPr>
            <w:hyperlink w:anchor="ia820611622d9441b977884dac00e0ebd_25" w:history="1">
              <w:r>
                <w:rPr>
                  <w:rStyle w:val="a3"/>
                  <w:rFonts w:eastAsia="Times New Roman"/>
                  <w:color w:val="000000"/>
                  <w:sz w:val="20"/>
                  <w:szCs w:val="20"/>
                  <w:u w:val="none"/>
                </w:rPr>
                <w:t>Business</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25" w:history="1">
              <w:r>
                <w:rPr>
                  <w:rStyle w:val="a3"/>
                  <w:rFonts w:eastAsia="Times New Roman"/>
                  <w:color w:val="000000"/>
                  <w:sz w:val="20"/>
                  <w:szCs w:val="20"/>
                  <w:u w:val="none"/>
                </w:rPr>
                <w:t>4</w:t>
              </w:r>
            </w:hyperlink>
          </w:p>
        </w:tc>
      </w:tr>
      <w:tr w:rsidR="00000000">
        <w:trPr>
          <w:divId w:val="1267494434"/>
        </w:trPr>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divId w:val="1128398962"/>
              <w:rPr>
                <w:rFonts w:eastAsia="Times New Roman"/>
              </w:rPr>
            </w:pPr>
            <w:hyperlink w:anchor="ia820611622d9441b977884dac00e0ebd_28" w:history="1">
              <w:r>
                <w:rPr>
                  <w:rStyle w:val="a3"/>
                  <w:rFonts w:eastAsia="Times New Roman"/>
                  <w:color w:val="000000"/>
                  <w:sz w:val="20"/>
                  <w:szCs w:val="20"/>
                  <w:u w:val="none"/>
                </w:rPr>
                <w:t>Overview</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31" w:history="1">
              <w:r>
                <w:rPr>
                  <w:rStyle w:val="a3"/>
                  <w:rFonts w:eastAsia="Times New Roman"/>
                  <w:color w:val="000000"/>
                  <w:sz w:val="20"/>
                  <w:szCs w:val="20"/>
                  <w:u w:val="none"/>
                </w:rPr>
                <w:t>4</w:t>
              </w:r>
            </w:hyperlink>
          </w:p>
        </w:tc>
      </w:tr>
      <w:tr w:rsidR="00000000">
        <w:trPr>
          <w:divId w:val="1267494434"/>
        </w:trPr>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divId w:val="219946501"/>
              <w:rPr>
                <w:rFonts w:eastAsia="Times New Roman"/>
              </w:rPr>
            </w:pPr>
            <w:hyperlink w:anchor="ia820611622d9441b977884dac00e0ebd_46" w:history="1">
              <w:r>
                <w:rPr>
                  <w:rStyle w:val="a3"/>
                  <w:rFonts w:eastAsia="Times New Roman"/>
                  <w:color w:val="000000"/>
                  <w:sz w:val="20"/>
                  <w:szCs w:val="20"/>
                  <w:u w:val="none"/>
                </w:rPr>
                <w:t>Operations and Business Segments</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46" w:history="1">
              <w:r>
                <w:rPr>
                  <w:rStyle w:val="a3"/>
                  <w:rFonts w:eastAsia="Times New Roman"/>
                  <w:color w:val="000000"/>
                  <w:sz w:val="20"/>
                  <w:szCs w:val="20"/>
                  <w:u w:val="none"/>
                </w:rPr>
                <w:t>6</w:t>
              </w:r>
            </w:hyperlink>
          </w:p>
        </w:tc>
      </w:tr>
      <w:tr w:rsidR="00000000">
        <w:trPr>
          <w:divId w:val="1267494434"/>
        </w:trPr>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divId w:val="1185291892"/>
              <w:rPr>
                <w:rFonts w:eastAsia="Times New Roman"/>
              </w:rPr>
            </w:pPr>
            <w:hyperlink w:anchor="ia820611622d9441b977884dac00e0ebd_49" w:history="1">
              <w:r>
                <w:rPr>
                  <w:rStyle w:val="a3"/>
                  <w:rFonts w:eastAsia="Times New Roman"/>
                  <w:color w:val="000000"/>
                  <w:sz w:val="20"/>
                  <w:szCs w:val="20"/>
                  <w:u w:val="none"/>
                </w:rPr>
                <w:t>Competition</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49" w:history="1">
              <w:r>
                <w:rPr>
                  <w:rStyle w:val="a3"/>
                  <w:rFonts w:eastAsia="Times New Roman"/>
                  <w:color w:val="000000"/>
                  <w:sz w:val="20"/>
                  <w:szCs w:val="20"/>
                  <w:u w:val="none"/>
                </w:rPr>
                <w:t>7</w:t>
              </w:r>
            </w:hyperlink>
          </w:p>
        </w:tc>
      </w:tr>
      <w:tr w:rsidR="00000000">
        <w:trPr>
          <w:divId w:val="1267494434"/>
        </w:trPr>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divId w:val="1302728407"/>
              <w:rPr>
                <w:rFonts w:eastAsia="Times New Roman"/>
              </w:rPr>
            </w:pPr>
            <w:hyperlink w:anchor="ia820611622d9441b977884dac00e0ebd_307" w:history="1">
              <w:r>
                <w:rPr>
                  <w:rStyle w:val="a3"/>
                  <w:rFonts w:eastAsia="Times New Roman"/>
                  <w:color w:val="000000"/>
                  <w:sz w:val="20"/>
                  <w:szCs w:val="20"/>
                  <w:u w:val="none"/>
                </w:rPr>
                <w:t>Supervision and Regulation</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307" w:history="1">
              <w:r>
                <w:rPr>
                  <w:rStyle w:val="a3"/>
                  <w:rFonts w:eastAsia="Times New Roman"/>
                  <w:color w:val="000000"/>
                  <w:sz w:val="20"/>
                  <w:szCs w:val="20"/>
                  <w:u w:val="none"/>
                </w:rPr>
                <w:t>7</w:t>
              </w:r>
            </w:hyperlink>
          </w:p>
        </w:tc>
      </w:tr>
      <w:tr w:rsidR="00000000">
        <w:trPr>
          <w:divId w:val="1267494434"/>
        </w:trPr>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divId w:val="1545679024"/>
              <w:rPr>
                <w:rFonts w:eastAsia="Times New Roman"/>
              </w:rPr>
            </w:pPr>
            <w:hyperlink w:anchor="ia820611622d9441b977884dac00e0ebd_52" w:history="1">
              <w:r>
                <w:rPr>
                  <w:rStyle w:val="a3"/>
                  <w:rFonts w:eastAsia="Times New Roman"/>
                  <w:color w:val="000000"/>
                  <w:sz w:val="20"/>
                  <w:szCs w:val="20"/>
                  <w:u w:val="none"/>
                </w:rPr>
                <w:t>Human Capital Resources</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52" w:history="1">
              <w:r>
                <w:rPr>
                  <w:rStyle w:val="a3"/>
                  <w:rFonts w:eastAsia="Times New Roman"/>
                  <w:color w:val="000000"/>
                  <w:sz w:val="20"/>
                  <w:szCs w:val="20"/>
                  <w:u w:val="none"/>
                </w:rPr>
                <w:t>17</w:t>
              </w:r>
            </w:hyperlink>
          </w:p>
        </w:tc>
      </w:tr>
      <w:tr w:rsidR="00000000">
        <w:trPr>
          <w:divId w:val="1267494434"/>
        </w:trPr>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divId w:val="1427192539"/>
              <w:rPr>
                <w:rFonts w:eastAsia="Times New Roman"/>
              </w:rPr>
            </w:pPr>
            <w:hyperlink w:anchor="ia820611622d9441b977884dac00e0ebd_55" w:history="1">
              <w:r>
                <w:rPr>
                  <w:rStyle w:val="a3"/>
                  <w:rFonts w:eastAsia="Times New Roman"/>
                  <w:color w:val="000000"/>
                  <w:sz w:val="20"/>
                  <w:szCs w:val="20"/>
                  <w:u w:val="none"/>
                </w:rPr>
                <w:t>Technology and Intellectual Property</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55" w:history="1">
              <w:r>
                <w:rPr>
                  <w:rStyle w:val="a3"/>
                  <w:rFonts w:eastAsia="Times New Roman"/>
                  <w:color w:val="000000"/>
                  <w:sz w:val="20"/>
                  <w:szCs w:val="20"/>
                  <w:u w:val="none"/>
                </w:rPr>
                <w:t>19</w:t>
              </w:r>
            </w:hyperlink>
          </w:p>
        </w:tc>
      </w:tr>
      <w:tr w:rsidR="00000000">
        <w:trPr>
          <w:divId w:val="1267494434"/>
        </w:trPr>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divId w:val="1799637929"/>
              <w:rPr>
                <w:rFonts w:eastAsia="Times New Roman"/>
              </w:rPr>
            </w:pPr>
            <w:hyperlink w:anchor="ia820611622d9441b977884dac00e0ebd_310" w:history="1">
              <w:r>
                <w:rPr>
                  <w:rStyle w:val="a3"/>
                  <w:rFonts w:eastAsia="Times New Roman"/>
                  <w:color w:val="000000"/>
                  <w:sz w:val="20"/>
                  <w:szCs w:val="20"/>
                  <w:u w:val="none"/>
                </w:rPr>
                <w:t>Forward-Looking Statements</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310" w:history="1">
              <w:r>
                <w:rPr>
                  <w:rStyle w:val="a3"/>
                  <w:rFonts w:eastAsia="Times New Roman"/>
                  <w:color w:val="000000"/>
                  <w:sz w:val="20"/>
                  <w:szCs w:val="20"/>
                  <w:u w:val="none"/>
                </w:rPr>
                <w:t>20</w:t>
              </w:r>
            </w:hyperlink>
          </w:p>
        </w:tc>
      </w:tr>
      <w:tr w:rsidR="00000000">
        <w:trPr>
          <w:divId w:val="1267494434"/>
        </w:trPr>
        <w:tc>
          <w:tcPr>
            <w:tcW w:w="0" w:type="auto"/>
            <w:gridSpan w:val="3"/>
            <w:tcMar>
              <w:top w:w="30" w:type="dxa"/>
              <w:left w:w="20" w:type="dxa"/>
              <w:bottom w:w="30" w:type="dxa"/>
              <w:right w:w="20" w:type="dxa"/>
            </w:tcMar>
            <w:vAlign w:val="center"/>
            <w:hideMark/>
          </w:tcPr>
          <w:p w:rsidR="00000000" w:rsidRDefault="0094004B">
            <w:pPr>
              <w:spacing w:after="100"/>
              <w:divId w:val="689184012"/>
              <w:rPr>
                <w:rFonts w:eastAsia="Times New Roman"/>
              </w:rPr>
            </w:pPr>
            <w:hyperlink w:anchor="ia820611622d9441b977884dac00e0ebd_469" w:history="1">
              <w:r>
                <w:rPr>
                  <w:rStyle w:val="a3"/>
                  <w:rFonts w:eastAsia="Times New Roman"/>
                  <w:color w:val="000000"/>
                  <w:sz w:val="20"/>
                  <w:szCs w:val="20"/>
                  <w:u w:val="none"/>
                </w:rPr>
                <w:t>Item 1A.</w:t>
              </w:r>
            </w:hyperlink>
          </w:p>
        </w:tc>
        <w:tc>
          <w:tcPr>
            <w:tcW w:w="0" w:type="auto"/>
            <w:gridSpan w:val="3"/>
            <w:tcMar>
              <w:top w:w="30" w:type="dxa"/>
              <w:left w:w="20" w:type="dxa"/>
              <w:bottom w:w="30" w:type="dxa"/>
              <w:right w:w="20" w:type="dxa"/>
            </w:tcMar>
            <w:vAlign w:val="bottom"/>
            <w:hideMark/>
          </w:tcPr>
          <w:p w:rsidR="00000000" w:rsidRDefault="0094004B">
            <w:pPr>
              <w:spacing w:after="100"/>
              <w:divId w:val="2006860116"/>
              <w:rPr>
                <w:rFonts w:eastAsia="Times New Roman"/>
              </w:rPr>
            </w:pPr>
            <w:hyperlink w:anchor="ia820611622d9441b977884dac00e0ebd_469" w:history="1">
              <w:r>
                <w:rPr>
                  <w:rStyle w:val="a3"/>
                  <w:rFonts w:eastAsia="Times New Roman"/>
                  <w:color w:val="000000"/>
                  <w:sz w:val="20"/>
                  <w:szCs w:val="20"/>
                  <w:u w:val="none"/>
                </w:rPr>
                <w:t>Risk Factors</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469" w:history="1">
              <w:r>
                <w:rPr>
                  <w:rStyle w:val="a3"/>
                  <w:rFonts w:eastAsia="Times New Roman"/>
                  <w:color w:val="000000"/>
                  <w:sz w:val="20"/>
                  <w:szCs w:val="20"/>
                  <w:u w:val="none"/>
                </w:rPr>
                <w:t>21</w:t>
              </w:r>
            </w:hyperlink>
          </w:p>
        </w:tc>
      </w:tr>
      <w:tr w:rsidR="00000000">
        <w:trPr>
          <w:divId w:val="1267494434"/>
        </w:trPr>
        <w:tc>
          <w:tcPr>
            <w:tcW w:w="0" w:type="auto"/>
            <w:gridSpan w:val="3"/>
            <w:tcMar>
              <w:top w:w="30" w:type="dxa"/>
              <w:left w:w="20" w:type="dxa"/>
              <w:bottom w:w="30" w:type="dxa"/>
              <w:right w:w="20" w:type="dxa"/>
            </w:tcMar>
            <w:vAlign w:val="center"/>
            <w:hideMark/>
          </w:tcPr>
          <w:p w:rsidR="00000000" w:rsidRDefault="0094004B">
            <w:pPr>
              <w:spacing w:after="100"/>
              <w:divId w:val="1554580767"/>
              <w:rPr>
                <w:rFonts w:eastAsia="Times New Roman"/>
              </w:rPr>
            </w:pPr>
            <w:hyperlink w:anchor="ia820611622d9441b977884dac00e0ebd_64" w:history="1">
              <w:r>
                <w:rPr>
                  <w:rStyle w:val="a3"/>
                  <w:rFonts w:eastAsia="Times New Roman"/>
                  <w:color w:val="000000"/>
                  <w:sz w:val="20"/>
                  <w:szCs w:val="20"/>
                  <w:u w:val="none"/>
                </w:rPr>
                <w:t>Item 1B.</w:t>
              </w:r>
            </w:hyperlink>
          </w:p>
        </w:tc>
        <w:tc>
          <w:tcPr>
            <w:tcW w:w="0" w:type="auto"/>
            <w:gridSpan w:val="3"/>
            <w:tcMar>
              <w:top w:w="30" w:type="dxa"/>
              <w:left w:w="20" w:type="dxa"/>
              <w:bottom w:w="30" w:type="dxa"/>
              <w:right w:w="20" w:type="dxa"/>
            </w:tcMar>
            <w:vAlign w:val="bottom"/>
            <w:hideMark/>
          </w:tcPr>
          <w:p w:rsidR="00000000" w:rsidRDefault="0094004B">
            <w:pPr>
              <w:spacing w:after="100"/>
              <w:divId w:val="162862618"/>
              <w:rPr>
                <w:rFonts w:eastAsia="Times New Roman"/>
              </w:rPr>
            </w:pPr>
            <w:hyperlink w:anchor="ia820611622d9441b977884dac00e0ebd_64" w:history="1">
              <w:r>
                <w:rPr>
                  <w:rStyle w:val="a3"/>
                  <w:rFonts w:eastAsia="Times New Roman"/>
                  <w:color w:val="000000"/>
                  <w:sz w:val="20"/>
                  <w:szCs w:val="20"/>
                  <w:u w:val="none"/>
                </w:rPr>
                <w:t>Unresolved Staff Comments</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64" w:history="1">
              <w:r>
                <w:rPr>
                  <w:rStyle w:val="a3"/>
                  <w:rFonts w:eastAsia="Times New Roman"/>
                  <w:color w:val="000000"/>
                  <w:sz w:val="20"/>
                  <w:szCs w:val="20"/>
                  <w:u w:val="none"/>
                </w:rPr>
                <w:t>40</w:t>
              </w:r>
            </w:hyperlink>
          </w:p>
        </w:tc>
      </w:tr>
      <w:tr w:rsidR="00000000">
        <w:trPr>
          <w:divId w:val="1267494434"/>
        </w:trPr>
        <w:tc>
          <w:tcPr>
            <w:tcW w:w="0" w:type="auto"/>
            <w:gridSpan w:val="3"/>
            <w:tcMar>
              <w:top w:w="30" w:type="dxa"/>
              <w:left w:w="20" w:type="dxa"/>
              <w:bottom w:w="30" w:type="dxa"/>
              <w:right w:w="20" w:type="dxa"/>
            </w:tcMar>
            <w:vAlign w:val="center"/>
            <w:hideMark/>
          </w:tcPr>
          <w:p w:rsidR="00000000" w:rsidRDefault="0094004B">
            <w:pPr>
              <w:spacing w:after="100"/>
              <w:divId w:val="1718434718"/>
              <w:rPr>
                <w:rFonts w:eastAsia="Times New Roman"/>
              </w:rPr>
            </w:pPr>
            <w:hyperlink w:anchor="ia820611622d9441b977884dac00e0ebd_67" w:history="1">
              <w:r>
                <w:rPr>
                  <w:rStyle w:val="a3"/>
                  <w:rFonts w:eastAsia="Times New Roman"/>
                  <w:color w:val="000000"/>
                  <w:sz w:val="20"/>
                  <w:szCs w:val="20"/>
                  <w:u w:val="none"/>
                </w:rPr>
                <w:t>Item 2.</w:t>
              </w:r>
            </w:hyperlink>
          </w:p>
        </w:tc>
        <w:tc>
          <w:tcPr>
            <w:tcW w:w="0" w:type="auto"/>
            <w:gridSpan w:val="3"/>
            <w:tcMar>
              <w:top w:w="30" w:type="dxa"/>
              <w:left w:w="20" w:type="dxa"/>
              <w:bottom w:w="30" w:type="dxa"/>
              <w:right w:w="20" w:type="dxa"/>
            </w:tcMar>
            <w:vAlign w:val="bottom"/>
            <w:hideMark/>
          </w:tcPr>
          <w:p w:rsidR="00000000" w:rsidRDefault="0094004B">
            <w:pPr>
              <w:spacing w:after="100"/>
              <w:divId w:val="1221748315"/>
              <w:rPr>
                <w:rFonts w:eastAsia="Times New Roman"/>
              </w:rPr>
            </w:pPr>
            <w:hyperlink w:anchor="ia820611622d9441b977884dac00e0ebd_67" w:history="1">
              <w:r>
                <w:rPr>
                  <w:rStyle w:val="a3"/>
                  <w:rFonts w:eastAsia="Times New Roman"/>
                  <w:color w:val="000000"/>
                  <w:sz w:val="20"/>
                  <w:szCs w:val="20"/>
                  <w:u w:val="none"/>
                </w:rPr>
                <w:t>Properties</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67" w:history="1">
              <w:r>
                <w:rPr>
                  <w:rStyle w:val="a3"/>
                  <w:rFonts w:eastAsia="Times New Roman"/>
                  <w:color w:val="000000"/>
                  <w:sz w:val="20"/>
                  <w:szCs w:val="20"/>
                  <w:u w:val="none"/>
                </w:rPr>
                <w:t>40</w:t>
              </w:r>
            </w:hyperlink>
          </w:p>
        </w:tc>
      </w:tr>
      <w:tr w:rsidR="00000000">
        <w:trPr>
          <w:divId w:val="1267494434"/>
        </w:trPr>
        <w:tc>
          <w:tcPr>
            <w:tcW w:w="0" w:type="auto"/>
            <w:gridSpan w:val="3"/>
            <w:tcMar>
              <w:top w:w="30" w:type="dxa"/>
              <w:left w:w="20" w:type="dxa"/>
              <w:bottom w:w="30" w:type="dxa"/>
              <w:right w:w="20" w:type="dxa"/>
            </w:tcMar>
            <w:vAlign w:val="center"/>
            <w:hideMark/>
          </w:tcPr>
          <w:p w:rsidR="00000000" w:rsidRDefault="0094004B">
            <w:pPr>
              <w:spacing w:after="100"/>
              <w:divId w:val="1229464065"/>
              <w:rPr>
                <w:rFonts w:eastAsia="Times New Roman"/>
              </w:rPr>
            </w:pPr>
            <w:hyperlink w:anchor="ia820611622d9441b977884dac00e0ebd_466" w:history="1">
              <w:r>
                <w:rPr>
                  <w:rStyle w:val="a3"/>
                  <w:rFonts w:eastAsia="Times New Roman"/>
                  <w:color w:val="000000"/>
                  <w:sz w:val="20"/>
                  <w:szCs w:val="20"/>
                  <w:u w:val="none"/>
                </w:rPr>
                <w:t>Item 3.</w:t>
              </w:r>
            </w:hyperlink>
          </w:p>
        </w:tc>
        <w:tc>
          <w:tcPr>
            <w:tcW w:w="0" w:type="auto"/>
            <w:gridSpan w:val="3"/>
            <w:tcMar>
              <w:top w:w="30" w:type="dxa"/>
              <w:left w:w="20" w:type="dxa"/>
              <w:bottom w:w="30" w:type="dxa"/>
              <w:right w:w="20" w:type="dxa"/>
            </w:tcMar>
            <w:vAlign w:val="bottom"/>
            <w:hideMark/>
          </w:tcPr>
          <w:p w:rsidR="00000000" w:rsidRDefault="0094004B">
            <w:pPr>
              <w:spacing w:after="100"/>
              <w:divId w:val="603466637"/>
              <w:rPr>
                <w:rFonts w:eastAsia="Times New Roman"/>
              </w:rPr>
            </w:pPr>
            <w:hyperlink w:anchor="ia820611622d9441b977884dac00e0ebd_466" w:history="1">
              <w:r>
                <w:rPr>
                  <w:rStyle w:val="a3"/>
                  <w:rFonts w:eastAsia="Times New Roman"/>
                  <w:color w:val="000000"/>
                  <w:sz w:val="20"/>
                  <w:szCs w:val="20"/>
                  <w:u w:val="none"/>
                </w:rPr>
                <w:t>Legal Proceedings</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466" w:history="1">
              <w:r>
                <w:rPr>
                  <w:rStyle w:val="a3"/>
                  <w:rFonts w:eastAsia="Times New Roman"/>
                  <w:color w:val="000000"/>
                  <w:sz w:val="20"/>
                  <w:szCs w:val="20"/>
                  <w:u w:val="none"/>
                </w:rPr>
                <w:t>40</w:t>
              </w:r>
            </w:hyperlink>
          </w:p>
        </w:tc>
      </w:tr>
      <w:tr w:rsidR="00000000">
        <w:trPr>
          <w:divId w:val="1267494434"/>
        </w:trPr>
        <w:tc>
          <w:tcPr>
            <w:tcW w:w="0" w:type="auto"/>
            <w:gridSpan w:val="3"/>
            <w:tcMar>
              <w:top w:w="30" w:type="dxa"/>
              <w:left w:w="20" w:type="dxa"/>
              <w:bottom w:w="30" w:type="dxa"/>
              <w:right w:w="20" w:type="dxa"/>
            </w:tcMar>
            <w:vAlign w:val="center"/>
            <w:hideMark/>
          </w:tcPr>
          <w:p w:rsidR="00000000" w:rsidRDefault="0094004B">
            <w:pPr>
              <w:spacing w:after="100"/>
              <w:divId w:val="1402752760"/>
              <w:rPr>
                <w:rFonts w:eastAsia="Times New Roman"/>
              </w:rPr>
            </w:pPr>
            <w:hyperlink w:anchor="ia820611622d9441b977884dac00e0ebd_478" w:history="1">
              <w:r>
                <w:rPr>
                  <w:rStyle w:val="a3"/>
                  <w:rFonts w:eastAsia="Times New Roman"/>
                  <w:color w:val="000000"/>
                  <w:sz w:val="20"/>
                  <w:szCs w:val="20"/>
                  <w:u w:val="none"/>
                </w:rPr>
                <w:t>Item 4.</w:t>
              </w:r>
            </w:hyperlink>
          </w:p>
        </w:tc>
        <w:tc>
          <w:tcPr>
            <w:tcW w:w="0" w:type="auto"/>
            <w:gridSpan w:val="3"/>
            <w:tcMar>
              <w:top w:w="30" w:type="dxa"/>
              <w:left w:w="20" w:type="dxa"/>
              <w:bottom w:w="30" w:type="dxa"/>
              <w:right w:w="20" w:type="dxa"/>
            </w:tcMar>
            <w:vAlign w:val="bottom"/>
            <w:hideMark/>
          </w:tcPr>
          <w:p w:rsidR="00000000" w:rsidRDefault="0094004B">
            <w:pPr>
              <w:spacing w:after="100"/>
              <w:divId w:val="471485681"/>
              <w:rPr>
                <w:rFonts w:eastAsia="Times New Roman"/>
              </w:rPr>
            </w:pPr>
            <w:hyperlink w:anchor="ia820611622d9441b977884dac00e0ebd_478" w:history="1">
              <w:r>
                <w:rPr>
                  <w:rStyle w:val="a3"/>
                  <w:rFonts w:eastAsia="Times New Roman"/>
                  <w:color w:val="000000"/>
                  <w:sz w:val="20"/>
                  <w:szCs w:val="20"/>
                  <w:u w:val="none"/>
                </w:rPr>
                <w:t>Mine Safety Disclosures</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478" w:history="1">
              <w:r>
                <w:rPr>
                  <w:rStyle w:val="a3"/>
                  <w:rFonts w:eastAsia="Times New Roman"/>
                  <w:color w:val="000000"/>
                  <w:sz w:val="20"/>
                  <w:szCs w:val="20"/>
                  <w:u w:val="none"/>
                </w:rPr>
                <w:t>40</w:t>
              </w:r>
            </w:hyperlink>
          </w:p>
        </w:tc>
      </w:tr>
      <w:tr w:rsidR="00000000">
        <w:trPr>
          <w:divId w:val="1267494434"/>
        </w:trPr>
        <w:tc>
          <w:tcPr>
            <w:tcW w:w="0" w:type="auto"/>
            <w:gridSpan w:val="3"/>
            <w:vAlign w:val="center"/>
            <w:hideMark/>
          </w:tcPr>
          <w:p w:rsidR="00000000" w:rsidRDefault="0094004B">
            <w:pPr>
              <w:spacing w:after="100"/>
              <w:jc w:val="center"/>
              <w:rPr>
                <w:rFonts w:eastAsia="Times New Roman"/>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267494434"/>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267494434"/>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267494434"/>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267494434"/>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267494434"/>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267494434"/>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267494434"/>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267494434"/>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267494434"/>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267494434"/>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267494434"/>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267494434"/>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267494434"/>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267494434"/>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267494434"/>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267494434"/>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267494434"/>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267494434"/>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267494434"/>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267494434"/>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267494434"/>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267494434"/>
          <w:trHeight w:val="280"/>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267494434"/>
        </w:trPr>
        <w:tc>
          <w:tcPr>
            <w:tcW w:w="0" w:type="auto"/>
            <w:gridSpan w:val="6"/>
            <w:tcMar>
              <w:top w:w="30" w:type="dxa"/>
              <w:left w:w="20" w:type="dxa"/>
              <w:bottom w:w="30" w:type="dxa"/>
              <w:right w:w="20" w:type="dxa"/>
            </w:tcMar>
            <w:vAlign w:val="bottom"/>
            <w:hideMark/>
          </w:tcPr>
          <w:p w:rsidR="00000000" w:rsidRDefault="0094004B">
            <w:pPr>
              <w:spacing w:after="100"/>
              <w:divId w:val="1441410098"/>
              <w:rPr>
                <w:rFonts w:eastAsia="Times New Roman"/>
              </w:rPr>
            </w:pPr>
            <w:hyperlink w:anchor="ia820611622d9441b977884dac00e0ebd_70" w:history="1">
              <w:r>
                <w:rPr>
                  <w:rStyle w:val="a3"/>
                  <w:rFonts w:eastAsia="Times New Roman"/>
                  <w:b/>
                  <w:bCs/>
                  <w:color w:val="000000"/>
                  <w:sz w:val="20"/>
                  <w:szCs w:val="20"/>
                  <w:u w:val="none"/>
                </w:rPr>
                <w:t>PART II</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70" w:history="1">
              <w:r>
                <w:rPr>
                  <w:rStyle w:val="a3"/>
                  <w:rFonts w:eastAsia="Times New Roman"/>
                  <w:b/>
                  <w:bCs/>
                  <w:color w:val="000000"/>
                  <w:sz w:val="20"/>
                  <w:szCs w:val="20"/>
                  <w:u w:val="none"/>
                </w:rPr>
                <w:t>41</w:t>
              </w:r>
            </w:hyperlink>
          </w:p>
        </w:tc>
      </w:tr>
      <w:tr w:rsidR="00000000">
        <w:trPr>
          <w:divId w:val="1267494434"/>
        </w:trPr>
        <w:tc>
          <w:tcPr>
            <w:tcW w:w="0" w:type="auto"/>
            <w:gridSpan w:val="3"/>
            <w:tcMar>
              <w:top w:w="30" w:type="dxa"/>
              <w:left w:w="20" w:type="dxa"/>
              <w:bottom w:w="30" w:type="dxa"/>
              <w:right w:w="20" w:type="dxa"/>
            </w:tcMar>
            <w:vAlign w:val="center"/>
            <w:hideMark/>
          </w:tcPr>
          <w:p w:rsidR="00000000" w:rsidRDefault="0094004B">
            <w:pPr>
              <w:spacing w:after="100"/>
              <w:divId w:val="212809932"/>
              <w:rPr>
                <w:rFonts w:eastAsia="Times New Roman"/>
              </w:rPr>
            </w:pPr>
            <w:hyperlink w:anchor="ia820611622d9441b977884dac00e0ebd_73" w:history="1">
              <w:r>
                <w:rPr>
                  <w:rStyle w:val="a3"/>
                  <w:rFonts w:eastAsia="Times New Roman"/>
                  <w:color w:val="000000"/>
                  <w:sz w:val="20"/>
                  <w:szCs w:val="20"/>
                  <w:u w:val="none"/>
                </w:rPr>
                <w:t>Item 5.</w:t>
              </w:r>
            </w:hyperlink>
          </w:p>
        </w:tc>
        <w:tc>
          <w:tcPr>
            <w:tcW w:w="0" w:type="auto"/>
            <w:gridSpan w:val="3"/>
            <w:tcMar>
              <w:top w:w="30" w:type="dxa"/>
              <w:left w:w="20" w:type="dxa"/>
              <w:bottom w:w="30" w:type="dxa"/>
              <w:right w:w="20" w:type="dxa"/>
            </w:tcMar>
            <w:vAlign w:val="bottom"/>
            <w:hideMark/>
          </w:tcPr>
          <w:p w:rsidR="00000000" w:rsidRDefault="0094004B">
            <w:pPr>
              <w:spacing w:after="100"/>
              <w:jc w:val="both"/>
              <w:divId w:val="130947940"/>
              <w:rPr>
                <w:rFonts w:eastAsia="Times New Roman"/>
              </w:rPr>
            </w:pPr>
            <w:hyperlink w:anchor="ia820611622d9441b977884dac00e0ebd_73" w:history="1">
              <w:r>
                <w:rPr>
                  <w:rStyle w:val="a3"/>
                  <w:rFonts w:eastAsia="Times New Roman"/>
                  <w:color w:val="000000"/>
                  <w:sz w:val="20"/>
                  <w:szCs w:val="20"/>
                  <w:u w:val="none"/>
                </w:rPr>
                <w:t>Market for Registrant’</w:t>
              </w:r>
              <w:r>
                <w:rPr>
                  <w:rStyle w:val="a3"/>
                  <w:rFonts w:eastAsia="Times New Roman"/>
                  <w:color w:val="000000"/>
                  <w:sz w:val="20"/>
                  <w:szCs w:val="20"/>
                  <w:u w:val="none"/>
                </w:rPr>
                <w:t>s Common Equity, Related Stockholder Matters and Issuer Purchases of Equity Securities</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73" w:history="1">
              <w:r>
                <w:rPr>
                  <w:rStyle w:val="a3"/>
                  <w:rFonts w:eastAsia="Times New Roman"/>
                  <w:color w:val="000000"/>
                  <w:sz w:val="20"/>
                  <w:szCs w:val="20"/>
                  <w:u w:val="none"/>
                </w:rPr>
                <w:t>41</w:t>
              </w:r>
            </w:hyperlink>
          </w:p>
        </w:tc>
      </w:tr>
      <w:tr w:rsidR="00000000">
        <w:trPr>
          <w:divId w:val="1267494434"/>
        </w:trPr>
        <w:tc>
          <w:tcPr>
            <w:tcW w:w="0" w:type="auto"/>
            <w:gridSpan w:val="3"/>
            <w:tcMar>
              <w:top w:w="30" w:type="dxa"/>
              <w:left w:w="20" w:type="dxa"/>
              <w:bottom w:w="30" w:type="dxa"/>
              <w:right w:w="20" w:type="dxa"/>
            </w:tcMar>
            <w:vAlign w:val="center"/>
            <w:hideMark/>
          </w:tcPr>
          <w:p w:rsidR="00000000" w:rsidRDefault="0094004B">
            <w:pPr>
              <w:spacing w:after="100"/>
              <w:divId w:val="1782919587"/>
              <w:rPr>
                <w:rFonts w:eastAsia="Times New Roman"/>
              </w:rPr>
            </w:pPr>
            <w:hyperlink w:anchor="ia820611622d9441b977884dac00e0ebd_94" w:history="1">
              <w:r>
                <w:rPr>
                  <w:rStyle w:val="a3"/>
                  <w:rFonts w:eastAsia="Times New Roman"/>
                  <w:color w:val="000000"/>
                  <w:sz w:val="20"/>
                  <w:szCs w:val="20"/>
                  <w:u w:val="none"/>
                </w:rPr>
                <w:t>Item 6.</w:t>
              </w:r>
            </w:hyperlink>
          </w:p>
        </w:tc>
        <w:tc>
          <w:tcPr>
            <w:tcW w:w="0" w:type="auto"/>
            <w:gridSpan w:val="3"/>
            <w:tcMar>
              <w:top w:w="30" w:type="dxa"/>
              <w:left w:w="20" w:type="dxa"/>
              <w:bottom w:w="30" w:type="dxa"/>
              <w:right w:w="20" w:type="dxa"/>
            </w:tcMar>
            <w:vAlign w:val="bottom"/>
            <w:hideMark/>
          </w:tcPr>
          <w:p w:rsidR="00000000" w:rsidRDefault="0094004B">
            <w:pPr>
              <w:spacing w:after="100"/>
              <w:divId w:val="1111126530"/>
              <w:rPr>
                <w:rFonts w:eastAsia="Times New Roman"/>
              </w:rPr>
            </w:pPr>
            <w:hyperlink w:anchor="ia820611622d9441b977884dac00e0ebd_94" w:history="1">
              <w:r>
                <w:rPr>
                  <w:rStyle w:val="a3"/>
                  <w:rFonts w:eastAsia="Times New Roman"/>
                  <w:color w:val="000000"/>
                  <w:sz w:val="20"/>
                  <w:szCs w:val="20"/>
                  <w:u w:val="none"/>
                </w:rPr>
                <w:t>[Reserved]</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94" w:history="1">
              <w:r>
                <w:rPr>
                  <w:rStyle w:val="a3"/>
                  <w:rFonts w:eastAsia="Times New Roman"/>
                  <w:color w:val="000000"/>
                  <w:sz w:val="20"/>
                  <w:szCs w:val="20"/>
                  <w:u w:val="none"/>
                </w:rPr>
                <w:t>44</w:t>
              </w:r>
            </w:hyperlink>
          </w:p>
        </w:tc>
      </w:tr>
      <w:tr w:rsidR="00000000">
        <w:trPr>
          <w:divId w:val="1267494434"/>
        </w:trPr>
        <w:tc>
          <w:tcPr>
            <w:tcW w:w="0" w:type="auto"/>
            <w:gridSpan w:val="3"/>
            <w:tcMar>
              <w:top w:w="30" w:type="dxa"/>
              <w:left w:w="20" w:type="dxa"/>
              <w:bottom w:w="30" w:type="dxa"/>
              <w:right w:w="20" w:type="dxa"/>
            </w:tcMar>
            <w:vAlign w:val="center"/>
            <w:hideMark/>
          </w:tcPr>
          <w:p w:rsidR="00000000" w:rsidRDefault="0094004B">
            <w:pPr>
              <w:spacing w:after="100"/>
              <w:divId w:val="1783527090"/>
              <w:rPr>
                <w:rFonts w:eastAsia="Times New Roman"/>
              </w:rPr>
            </w:pPr>
            <w:hyperlink w:anchor="ia820611622d9441b977884dac00e0ebd_82" w:history="1">
              <w:r>
                <w:rPr>
                  <w:rStyle w:val="a3"/>
                  <w:rFonts w:eastAsia="Times New Roman"/>
                  <w:color w:val="000000"/>
                  <w:sz w:val="20"/>
                  <w:szCs w:val="20"/>
                  <w:u w:val="none"/>
                </w:rPr>
                <w:t xml:space="preserve">Item </w:t>
              </w:r>
            </w:hyperlink>
            <w:hyperlink w:anchor="ia820611622d9441b977884dac00e0ebd_82" w:history="1">
              <w:r>
                <w:rPr>
                  <w:rStyle w:val="a3"/>
                  <w:rFonts w:eastAsia="Times New Roman"/>
                  <w:color w:val="000000"/>
                  <w:sz w:val="20"/>
                  <w:szCs w:val="20"/>
                  <w:u w:val="none"/>
                </w:rPr>
                <w:t>7</w:t>
              </w:r>
            </w:hyperlink>
            <w:hyperlink w:anchor="ia820611622d9441b977884dac00e0ebd_82" w:history="1">
              <w:r>
                <w:rPr>
                  <w:rStyle w:val="a3"/>
                  <w:rFonts w:eastAsia="Times New Roman"/>
                  <w:color w:val="000000"/>
                  <w:sz w:val="20"/>
                  <w:szCs w:val="20"/>
                  <w:u w:val="none"/>
                </w:rPr>
                <w:t>.</w:t>
              </w:r>
            </w:hyperlink>
          </w:p>
        </w:tc>
        <w:tc>
          <w:tcPr>
            <w:tcW w:w="0" w:type="auto"/>
            <w:gridSpan w:val="3"/>
            <w:tcMar>
              <w:top w:w="30" w:type="dxa"/>
              <w:left w:w="20" w:type="dxa"/>
              <w:bottom w:w="30" w:type="dxa"/>
              <w:right w:w="20" w:type="dxa"/>
            </w:tcMar>
            <w:vAlign w:val="bottom"/>
            <w:hideMark/>
          </w:tcPr>
          <w:p w:rsidR="00000000" w:rsidRDefault="0094004B">
            <w:pPr>
              <w:spacing w:after="100"/>
              <w:divId w:val="941648429"/>
              <w:rPr>
                <w:rFonts w:eastAsia="Times New Roman"/>
              </w:rPr>
            </w:pPr>
            <w:hyperlink w:anchor="ia820611622d9441b977884dac00e0ebd_82" w:history="1">
              <w:r>
                <w:rPr>
                  <w:rStyle w:val="a3"/>
                  <w:rFonts w:eastAsia="Times New Roman"/>
                  <w:color w:val="000000"/>
                  <w:sz w:val="20"/>
                  <w:szCs w:val="20"/>
                  <w:u w:val="none"/>
                </w:rPr>
                <w:t>Management’s Discussion and Analysis of Financial Condition and Results of Operations (“MD&amp;A”)</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82" w:history="1">
              <w:r>
                <w:rPr>
                  <w:rStyle w:val="a3"/>
                  <w:rFonts w:eastAsia="Times New Roman"/>
                  <w:color w:val="000000"/>
                  <w:sz w:val="20"/>
                  <w:szCs w:val="20"/>
                  <w:u w:val="none"/>
                </w:rPr>
                <w:t>44</w:t>
              </w:r>
            </w:hyperlink>
          </w:p>
        </w:tc>
      </w:tr>
      <w:tr w:rsidR="00000000">
        <w:trPr>
          <w:divId w:val="1267494434"/>
        </w:trPr>
        <w:tc>
          <w:tcPr>
            <w:tcW w:w="0" w:type="auto"/>
            <w:gridSpan w:val="3"/>
            <w:vAlign w:val="center"/>
            <w:hideMark/>
          </w:tcPr>
          <w:p w:rsidR="00000000" w:rsidRDefault="0094004B">
            <w:pPr>
              <w:spacing w:after="100"/>
              <w:jc w:val="center"/>
              <w:rPr>
                <w:rFonts w:eastAsia="Times New Roman"/>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267494434"/>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267494434"/>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divId w:val="1800301595"/>
              <w:rPr>
                <w:rFonts w:eastAsia="Times New Roman"/>
              </w:rPr>
            </w:pPr>
            <w:hyperlink w:anchor="ia820611622d9441b977884dac00e0ebd_43980" w:history="1">
              <w:r>
                <w:rPr>
                  <w:rStyle w:val="a3"/>
                  <w:rFonts w:eastAsia="Times New Roman"/>
                  <w:color w:val="000000"/>
                  <w:sz w:val="20"/>
                  <w:szCs w:val="20"/>
                  <w:u w:val="none"/>
                </w:rPr>
                <w:t>Selected Financial Data</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43980" w:history="1">
              <w:r>
                <w:rPr>
                  <w:rStyle w:val="a3"/>
                  <w:rFonts w:eastAsia="Times New Roman"/>
                  <w:color w:val="000000"/>
                  <w:sz w:val="20"/>
                  <w:szCs w:val="20"/>
                  <w:u w:val="none"/>
                </w:rPr>
                <w:t>45</w:t>
              </w:r>
            </w:hyperlink>
          </w:p>
        </w:tc>
      </w:tr>
      <w:tr w:rsidR="00000000">
        <w:trPr>
          <w:divId w:val="1267494434"/>
        </w:trPr>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divId w:val="1998418915"/>
              <w:rPr>
                <w:rFonts w:eastAsia="Times New Roman"/>
              </w:rPr>
            </w:pPr>
            <w:hyperlink w:anchor="ia820611622d9441b977884dac00e0ebd_100" w:history="1">
              <w:r>
                <w:rPr>
                  <w:rStyle w:val="a3"/>
                  <w:rFonts w:eastAsia="Times New Roman"/>
                  <w:color w:val="000000"/>
                  <w:sz w:val="20"/>
                  <w:szCs w:val="20"/>
                  <w:u w:val="none"/>
                </w:rPr>
                <w:t>Executive Summary</w:t>
              </w:r>
            </w:hyperlink>
            <w:r>
              <w:rPr>
                <w:rFonts w:eastAsia="Times New Roman"/>
                <w:color w:val="000000"/>
                <w:sz w:val="20"/>
                <w:szCs w:val="20"/>
              </w:rPr>
              <w:t xml:space="preserve"> </w:t>
            </w: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100" w:history="1">
              <w:r>
                <w:rPr>
                  <w:rStyle w:val="a3"/>
                  <w:rFonts w:eastAsia="Times New Roman"/>
                  <w:color w:val="000000"/>
                  <w:sz w:val="20"/>
                  <w:szCs w:val="20"/>
                  <w:u w:val="none"/>
                </w:rPr>
                <w:t>48</w:t>
              </w:r>
            </w:hyperlink>
          </w:p>
        </w:tc>
      </w:tr>
      <w:tr w:rsidR="00000000">
        <w:trPr>
          <w:divId w:val="1267494434"/>
        </w:trPr>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divId w:val="1693873331"/>
              <w:rPr>
                <w:rFonts w:eastAsia="Times New Roman"/>
              </w:rPr>
            </w:pPr>
            <w:hyperlink w:anchor="ia820611622d9441b977884dac00e0ebd_109" w:history="1">
              <w:r>
                <w:rPr>
                  <w:rStyle w:val="a3"/>
                  <w:rFonts w:eastAsia="Times New Roman"/>
                  <w:color w:val="000000"/>
                  <w:sz w:val="20"/>
                  <w:szCs w:val="20"/>
                  <w:u w:val="none"/>
                </w:rPr>
                <w:t>Consolidated Results of Operations</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109" w:history="1">
              <w:r>
                <w:rPr>
                  <w:rStyle w:val="a3"/>
                  <w:rFonts w:eastAsia="Times New Roman"/>
                  <w:color w:val="000000"/>
                  <w:sz w:val="20"/>
                  <w:szCs w:val="20"/>
                  <w:u w:val="none"/>
                </w:rPr>
                <w:t>49</w:t>
              </w:r>
            </w:hyperlink>
          </w:p>
        </w:tc>
      </w:tr>
      <w:tr w:rsidR="00000000">
        <w:trPr>
          <w:divId w:val="1267494434"/>
        </w:trPr>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divId w:val="623117799"/>
              <w:rPr>
                <w:rFonts w:eastAsia="Times New Roman"/>
              </w:rPr>
            </w:pPr>
            <w:hyperlink w:anchor="ia820611622d9441b977884dac00e0ebd_133" w:history="1">
              <w:r>
                <w:rPr>
                  <w:rStyle w:val="a3"/>
                  <w:rFonts w:eastAsia="Times New Roman"/>
                  <w:color w:val="000000"/>
                  <w:sz w:val="20"/>
                  <w:szCs w:val="20"/>
                  <w:u w:val="none"/>
                </w:rPr>
                <w:t>Consolidated Balance Sheets Analysis</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133" w:history="1">
              <w:r>
                <w:rPr>
                  <w:rStyle w:val="a3"/>
                  <w:rFonts w:eastAsia="Times New Roman"/>
                  <w:color w:val="000000"/>
                  <w:sz w:val="20"/>
                  <w:szCs w:val="20"/>
                  <w:u w:val="none"/>
                </w:rPr>
                <w:t>54</w:t>
              </w:r>
            </w:hyperlink>
          </w:p>
        </w:tc>
      </w:tr>
      <w:tr w:rsidR="00000000">
        <w:trPr>
          <w:divId w:val="1267494434"/>
        </w:trPr>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divId w:val="2119133542"/>
              <w:rPr>
                <w:rFonts w:eastAsia="Times New Roman"/>
              </w:rPr>
            </w:pPr>
            <w:hyperlink w:anchor="ia820611622d9441b977884dac00e0ebd_151" w:history="1">
              <w:r>
                <w:rPr>
                  <w:rStyle w:val="a3"/>
                  <w:rFonts w:eastAsia="Times New Roman"/>
                  <w:color w:val="000000"/>
                  <w:sz w:val="20"/>
                  <w:szCs w:val="20"/>
                  <w:u w:val="none"/>
                </w:rPr>
                <w:t>Off-Balance Sheet Arrangements</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151" w:history="1">
              <w:r>
                <w:rPr>
                  <w:rStyle w:val="a3"/>
                  <w:rFonts w:eastAsia="Times New Roman"/>
                  <w:color w:val="000000"/>
                  <w:sz w:val="20"/>
                  <w:szCs w:val="20"/>
                  <w:u w:val="none"/>
                </w:rPr>
                <w:t>56</w:t>
              </w:r>
            </w:hyperlink>
          </w:p>
        </w:tc>
      </w:tr>
      <w:tr w:rsidR="00000000">
        <w:trPr>
          <w:divId w:val="1267494434"/>
        </w:trPr>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divId w:val="217209156"/>
              <w:rPr>
                <w:rFonts w:eastAsia="Times New Roman"/>
              </w:rPr>
            </w:pPr>
            <w:hyperlink w:anchor="ia820611622d9441b977884dac00e0ebd_154" w:history="1">
              <w:r>
                <w:rPr>
                  <w:rStyle w:val="a3"/>
                  <w:rFonts w:eastAsia="Times New Roman"/>
                  <w:color w:val="000000"/>
                  <w:sz w:val="20"/>
                  <w:szCs w:val="20"/>
                  <w:u w:val="none"/>
                </w:rPr>
                <w:t>Business Segment Financial Perform</w:t>
              </w:r>
              <w:r>
                <w:rPr>
                  <w:rStyle w:val="a3"/>
                  <w:rFonts w:eastAsia="Times New Roman"/>
                  <w:color w:val="000000"/>
                  <w:sz w:val="20"/>
                  <w:szCs w:val="20"/>
                  <w:u w:val="none"/>
                </w:rPr>
                <w:t>ance</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154" w:history="1">
              <w:r>
                <w:rPr>
                  <w:rStyle w:val="a3"/>
                  <w:rFonts w:eastAsia="Times New Roman"/>
                  <w:color w:val="000000"/>
                  <w:sz w:val="20"/>
                  <w:szCs w:val="20"/>
                  <w:u w:val="none"/>
                </w:rPr>
                <w:t>56</w:t>
              </w:r>
            </w:hyperlink>
          </w:p>
        </w:tc>
      </w:tr>
      <w:tr w:rsidR="00000000">
        <w:trPr>
          <w:divId w:val="1267494434"/>
        </w:trPr>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divId w:val="450520722"/>
              <w:rPr>
                <w:rFonts w:eastAsia="Times New Roman"/>
              </w:rPr>
            </w:pPr>
            <w:hyperlink w:anchor="ia820611622d9441b977884dac00e0ebd_181" w:history="1">
              <w:r>
                <w:rPr>
                  <w:rStyle w:val="a3"/>
                  <w:rFonts w:eastAsia="Times New Roman"/>
                  <w:color w:val="000000"/>
                  <w:sz w:val="20"/>
                  <w:szCs w:val="20"/>
                  <w:u w:val="none"/>
                </w:rPr>
                <w:t>Critical Accounting Policies and Estimates</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181" w:history="1">
              <w:r>
                <w:rPr>
                  <w:rStyle w:val="a3"/>
                  <w:rFonts w:eastAsia="Times New Roman"/>
                  <w:color w:val="000000"/>
                  <w:sz w:val="20"/>
                  <w:szCs w:val="20"/>
                  <w:u w:val="none"/>
                </w:rPr>
                <w:t>65</w:t>
              </w:r>
            </w:hyperlink>
          </w:p>
        </w:tc>
      </w:tr>
      <w:tr w:rsidR="00000000">
        <w:trPr>
          <w:divId w:val="1267494434"/>
        </w:trPr>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divId w:val="495923214"/>
              <w:rPr>
                <w:rFonts w:eastAsia="Times New Roman"/>
              </w:rPr>
            </w:pPr>
            <w:hyperlink w:anchor="ia820611622d9441b977884dac00e0ebd_184" w:history="1">
              <w:r>
                <w:rPr>
                  <w:rStyle w:val="a3"/>
                  <w:rFonts w:eastAsia="Times New Roman"/>
                  <w:color w:val="000000"/>
                  <w:sz w:val="20"/>
                  <w:szCs w:val="20"/>
                  <w:u w:val="none"/>
                </w:rPr>
                <w:t>Accounting Changes and Developments</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184" w:history="1">
              <w:r>
                <w:rPr>
                  <w:rStyle w:val="a3"/>
                  <w:rFonts w:eastAsia="Times New Roman"/>
                  <w:color w:val="000000"/>
                  <w:sz w:val="20"/>
                  <w:szCs w:val="20"/>
                  <w:u w:val="none"/>
                </w:rPr>
                <w:t>69</w:t>
              </w:r>
            </w:hyperlink>
          </w:p>
        </w:tc>
      </w:tr>
      <w:tr w:rsidR="00000000">
        <w:trPr>
          <w:divId w:val="1267494434"/>
        </w:trPr>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divId w:val="381058365"/>
              <w:rPr>
                <w:rFonts w:eastAsia="Times New Roman"/>
              </w:rPr>
            </w:pPr>
            <w:hyperlink w:anchor="ia820611622d9441b977884dac00e0ebd_187" w:history="1">
              <w:r>
                <w:rPr>
                  <w:rStyle w:val="a3"/>
                  <w:rFonts w:eastAsia="Times New Roman"/>
                  <w:color w:val="000000"/>
                  <w:sz w:val="20"/>
                  <w:szCs w:val="20"/>
                  <w:u w:val="none"/>
                </w:rPr>
                <w:t>Capital Management</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187" w:history="1">
              <w:r>
                <w:rPr>
                  <w:rStyle w:val="a3"/>
                  <w:rFonts w:eastAsia="Times New Roman"/>
                  <w:color w:val="000000"/>
                  <w:sz w:val="20"/>
                  <w:szCs w:val="20"/>
                  <w:u w:val="none"/>
                </w:rPr>
                <w:t>70</w:t>
              </w:r>
            </w:hyperlink>
          </w:p>
        </w:tc>
      </w:tr>
      <w:tr w:rsidR="00000000">
        <w:trPr>
          <w:divId w:val="1267494434"/>
        </w:trPr>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divId w:val="678390871"/>
              <w:rPr>
                <w:rFonts w:eastAsia="Times New Roman"/>
              </w:rPr>
            </w:pPr>
            <w:hyperlink w:anchor="ia820611622d9441b977884dac00e0ebd_208" w:history="1">
              <w:r>
                <w:rPr>
                  <w:rStyle w:val="a3"/>
                  <w:rFonts w:eastAsia="Times New Roman"/>
                  <w:color w:val="000000"/>
                  <w:sz w:val="20"/>
                  <w:szCs w:val="20"/>
                  <w:u w:val="none"/>
                </w:rPr>
                <w:t>Risk Management</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208" w:history="1">
              <w:r>
                <w:rPr>
                  <w:rStyle w:val="a3"/>
                  <w:rFonts w:eastAsia="Times New Roman"/>
                  <w:color w:val="000000"/>
                  <w:sz w:val="20"/>
                  <w:szCs w:val="20"/>
                  <w:u w:val="none"/>
                </w:rPr>
                <w:t>75</w:t>
              </w:r>
            </w:hyperlink>
          </w:p>
        </w:tc>
      </w:tr>
      <w:tr w:rsidR="00000000">
        <w:trPr>
          <w:divId w:val="1267494434"/>
        </w:trPr>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divId w:val="2090301921"/>
              <w:rPr>
                <w:rFonts w:eastAsia="Times New Roman"/>
              </w:rPr>
            </w:pPr>
            <w:hyperlink w:anchor="ia820611622d9441b977884dac00e0ebd_211" w:history="1">
              <w:r>
                <w:rPr>
                  <w:rStyle w:val="a3"/>
                  <w:rFonts w:eastAsia="Times New Roman"/>
                  <w:color w:val="000000"/>
                  <w:sz w:val="20"/>
                  <w:szCs w:val="20"/>
                  <w:u w:val="none"/>
                </w:rPr>
                <w:t>Credit Risk Profile</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211" w:history="1">
              <w:r>
                <w:rPr>
                  <w:rStyle w:val="a3"/>
                  <w:rFonts w:eastAsia="Times New Roman"/>
                  <w:color w:val="000000"/>
                  <w:sz w:val="20"/>
                  <w:szCs w:val="20"/>
                  <w:u w:val="none"/>
                </w:rPr>
                <w:t>81</w:t>
              </w:r>
            </w:hyperlink>
          </w:p>
        </w:tc>
      </w:tr>
      <w:tr w:rsidR="00000000">
        <w:trPr>
          <w:divId w:val="1267494434"/>
        </w:trPr>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divId w:val="1298995132"/>
              <w:rPr>
                <w:rFonts w:eastAsia="Times New Roman"/>
              </w:rPr>
            </w:pPr>
            <w:hyperlink w:anchor="ia820611622d9441b977884dac00e0ebd_265" w:history="1">
              <w:r>
                <w:rPr>
                  <w:rStyle w:val="a3"/>
                  <w:rFonts w:eastAsia="Times New Roman"/>
                  <w:color w:val="000000"/>
                  <w:sz w:val="20"/>
                  <w:szCs w:val="20"/>
                  <w:u w:val="none"/>
                </w:rPr>
                <w:t>Liquidity Risk Profile</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265" w:history="1">
              <w:r>
                <w:rPr>
                  <w:rStyle w:val="a3"/>
                  <w:rFonts w:eastAsia="Times New Roman"/>
                  <w:color w:val="000000"/>
                  <w:sz w:val="20"/>
                  <w:szCs w:val="20"/>
                  <w:u w:val="none"/>
                </w:rPr>
                <w:t>92</w:t>
              </w:r>
            </w:hyperlink>
          </w:p>
        </w:tc>
      </w:tr>
      <w:tr w:rsidR="00000000">
        <w:trPr>
          <w:divId w:val="1267494434"/>
        </w:trPr>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divId w:val="530191922"/>
              <w:rPr>
                <w:rFonts w:eastAsia="Times New Roman"/>
              </w:rPr>
            </w:pPr>
            <w:hyperlink w:anchor="ia820611622d9441b977884dac00e0ebd_295" w:history="1">
              <w:r>
                <w:rPr>
                  <w:rStyle w:val="a3"/>
                  <w:rFonts w:eastAsia="Times New Roman"/>
                  <w:color w:val="000000"/>
                  <w:sz w:val="20"/>
                  <w:szCs w:val="20"/>
                  <w:u w:val="none"/>
                </w:rPr>
                <w:t>Market Risk Profile</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295" w:history="1">
              <w:r>
                <w:rPr>
                  <w:rStyle w:val="a3"/>
                  <w:rFonts w:eastAsia="Times New Roman"/>
                  <w:color w:val="000000"/>
                  <w:sz w:val="20"/>
                  <w:szCs w:val="20"/>
                  <w:u w:val="none"/>
                </w:rPr>
                <w:t>97</w:t>
              </w:r>
            </w:hyperlink>
          </w:p>
        </w:tc>
      </w:tr>
      <w:tr w:rsidR="00000000">
        <w:trPr>
          <w:divId w:val="1267494434"/>
        </w:trPr>
        <w:tc>
          <w:tcPr>
            <w:tcW w:w="0" w:type="auto"/>
            <w:gridSpan w:val="3"/>
            <w:vAlign w:val="center"/>
            <w:hideMark/>
          </w:tcPr>
          <w:p w:rsidR="00000000" w:rsidRDefault="0094004B">
            <w:pPr>
              <w:spacing w:after="100"/>
              <w:jc w:val="center"/>
              <w:rPr>
                <w:rFonts w:eastAsia="Times New Roman"/>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267494434"/>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267494434"/>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divId w:val="57368461"/>
              <w:rPr>
                <w:rFonts w:eastAsia="Times New Roman"/>
              </w:rPr>
            </w:pPr>
            <w:hyperlink w:anchor="ia820611622d9441b977884dac00e0ebd_313" w:history="1">
              <w:r>
                <w:rPr>
                  <w:rStyle w:val="a3"/>
                  <w:rFonts w:eastAsia="Times New Roman"/>
                  <w:color w:val="000000"/>
                  <w:sz w:val="20"/>
                  <w:szCs w:val="20"/>
                  <w:u w:val="none"/>
                </w:rPr>
                <w:t>Supplemental Table</w:t>
              </w:r>
            </w:hyperlink>
            <w:r>
              <w:rPr>
                <w:rFonts w:eastAsia="Times New Roman"/>
                <w:color w:val="000000"/>
                <w:sz w:val="20"/>
                <w:szCs w:val="20"/>
              </w:rPr>
              <w:t>s</w:t>
            </w: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313" w:history="1">
              <w:r>
                <w:rPr>
                  <w:rStyle w:val="a3"/>
                  <w:rFonts w:eastAsia="Times New Roman"/>
                  <w:color w:val="000000"/>
                  <w:sz w:val="20"/>
                  <w:szCs w:val="20"/>
                  <w:u w:val="none"/>
                </w:rPr>
                <w:t>102</w:t>
              </w:r>
            </w:hyperlink>
          </w:p>
        </w:tc>
      </w:tr>
      <w:tr w:rsidR="00000000">
        <w:trPr>
          <w:divId w:val="1267494434"/>
        </w:trPr>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divId w:val="1180042427"/>
              <w:rPr>
                <w:rFonts w:eastAsia="Times New Roman"/>
              </w:rPr>
            </w:pPr>
            <w:hyperlink w:anchor="ia820611622d9441b977884dac00e0ebd_325" w:history="1">
              <w:r>
                <w:rPr>
                  <w:rStyle w:val="a3"/>
                  <w:rFonts w:eastAsia="Times New Roman"/>
                  <w:color w:val="000000"/>
                  <w:sz w:val="20"/>
                  <w:szCs w:val="20"/>
                  <w:u w:val="none"/>
                </w:rPr>
                <w:t>Glossary and Acronyms</w:t>
              </w:r>
            </w:hyperlink>
            <w:r>
              <w:rPr>
                <w:rFonts w:eastAsia="Times New Roman"/>
                <w:color w:val="000000"/>
                <w:sz w:val="20"/>
                <w:szCs w:val="20"/>
              </w:rPr>
              <w:t xml:space="preserve"> </w:t>
            </w: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325" w:history="1">
              <w:r>
                <w:rPr>
                  <w:rStyle w:val="a3"/>
                  <w:rFonts w:eastAsia="Times New Roman"/>
                  <w:color w:val="000000"/>
                  <w:sz w:val="20"/>
                  <w:szCs w:val="20"/>
                  <w:u w:val="none"/>
                </w:rPr>
                <w:t>104</w:t>
              </w:r>
            </w:hyperlink>
          </w:p>
        </w:tc>
      </w:tr>
      <w:tr w:rsidR="00000000">
        <w:trPr>
          <w:divId w:val="1267494434"/>
        </w:trPr>
        <w:tc>
          <w:tcPr>
            <w:tcW w:w="0" w:type="auto"/>
            <w:gridSpan w:val="3"/>
            <w:tcMar>
              <w:top w:w="30" w:type="dxa"/>
              <w:left w:w="20" w:type="dxa"/>
              <w:bottom w:w="30" w:type="dxa"/>
              <w:right w:w="20" w:type="dxa"/>
            </w:tcMar>
            <w:vAlign w:val="center"/>
            <w:hideMark/>
          </w:tcPr>
          <w:p w:rsidR="00000000" w:rsidRDefault="0094004B">
            <w:pPr>
              <w:spacing w:after="100"/>
              <w:divId w:val="55321189"/>
              <w:rPr>
                <w:rFonts w:eastAsia="Times New Roman"/>
              </w:rPr>
            </w:pPr>
            <w:hyperlink w:anchor="ia820611622d9441b977884dac00e0ebd_454" w:history="1">
              <w:r>
                <w:rPr>
                  <w:rStyle w:val="a3"/>
                  <w:rFonts w:eastAsia="Times New Roman"/>
                  <w:color w:val="000000"/>
                  <w:sz w:val="20"/>
                  <w:szCs w:val="20"/>
                  <w:u w:val="none"/>
                </w:rPr>
                <w:t>Item 7A.</w:t>
              </w:r>
            </w:hyperlink>
          </w:p>
        </w:tc>
        <w:tc>
          <w:tcPr>
            <w:tcW w:w="0" w:type="auto"/>
            <w:gridSpan w:val="3"/>
            <w:tcMar>
              <w:top w:w="30" w:type="dxa"/>
              <w:left w:w="20" w:type="dxa"/>
              <w:bottom w:w="30" w:type="dxa"/>
              <w:right w:w="20" w:type="dxa"/>
            </w:tcMar>
            <w:vAlign w:val="bottom"/>
            <w:hideMark/>
          </w:tcPr>
          <w:p w:rsidR="00000000" w:rsidRDefault="0094004B">
            <w:pPr>
              <w:spacing w:after="100"/>
              <w:divId w:val="219218118"/>
              <w:rPr>
                <w:rFonts w:eastAsia="Times New Roman"/>
              </w:rPr>
            </w:pPr>
            <w:hyperlink w:anchor="ia820611622d9441b977884dac00e0ebd_454" w:history="1">
              <w:r>
                <w:rPr>
                  <w:rStyle w:val="a3"/>
                  <w:rFonts w:eastAsia="Times New Roman"/>
                  <w:color w:val="000000"/>
                  <w:sz w:val="20"/>
                  <w:szCs w:val="20"/>
                  <w:u w:val="none"/>
                </w:rPr>
                <w:t>Quantitative and Qualitative Disclosures about Market Risk</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454" w:history="1">
              <w:r>
                <w:rPr>
                  <w:rStyle w:val="a3"/>
                  <w:rFonts w:eastAsia="Times New Roman"/>
                  <w:color w:val="000000"/>
                  <w:sz w:val="20"/>
                  <w:szCs w:val="20"/>
                  <w:u w:val="none"/>
                </w:rPr>
                <w:t>111</w:t>
              </w:r>
            </w:hyperlink>
          </w:p>
        </w:tc>
      </w:tr>
      <w:tr w:rsidR="00000000">
        <w:trPr>
          <w:divId w:val="1267494434"/>
        </w:trPr>
        <w:tc>
          <w:tcPr>
            <w:tcW w:w="0" w:type="auto"/>
            <w:gridSpan w:val="3"/>
            <w:tcMar>
              <w:top w:w="30" w:type="dxa"/>
              <w:left w:w="20" w:type="dxa"/>
              <w:bottom w:w="30" w:type="dxa"/>
              <w:right w:w="20" w:type="dxa"/>
            </w:tcMar>
            <w:vAlign w:val="center"/>
            <w:hideMark/>
          </w:tcPr>
          <w:p w:rsidR="00000000" w:rsidRDefault="0094004B">
            <w:pPr>
              <w:spacing w:after="100"/>
              <w:divId w:val="874587278"/>
              <w:rPr>
                <w:rFonts w:eastAsia="Times New Roman"/>
              </w:rPr>
            </w:pPr>
            <w:hyperlink w:anchor="ia820611622d9441b977884dac00e0ebd_328" w:history="1">
              <w:r>
                <w:rPr>
                  <w:rStyle w:val="a3"/>
                  <w:rFonts w:eastAsia="Times New Roman"/>
                  <w:color w:val="000000"/>
                  <w:sz w:val="20"/>
                  <w:szCs w:val="20"/>
                  <w:u w:val="none"/>
                </w:rPr>
                <w:t>Item 8.</w:t>
              </w:r>
            </w:hyperlink>
          </w:p>
        </w:tc>
        <w:tc>
          <w:tcPr>
            <w:tcW w:w="0" w:type="auto"/>
            <w:gridSpan w:val="3"/>
            <w:tcMar>
              <w:top w:w="30" w:type="dxa"/>
              <w:left w:w="20" w:type="dxa"/>
              <w:bottom w:w="30" w:type="dxa"/>
              <w:right w:w="20" w:type="dxa"/>
            </w:tcMar>
            <w:vAlign w:val="bottom"/>
            <w:hideMark/>
          </w:tcPr>
          <w:p w:rsidR="00000000" w:rsidRDefault="0094004B">
            <w:pPr>
              <w:spacing w:after="100"/>
              <w:divId w:val="1957246646"/>
              <w:rPr>
                <w:rFonts w:eastAsia="Times New Roman"/>
              </w:rPr>
            </w:pPr>
            <w:hyperlink w:anchor="ia820611622d9441b977884dac00e0ebd_328" w:history="1">
              <w:r>
                <w:rPr>
                  <w:rStyle w:val="a3"/>
                  <w:rFonts w:eastAsia="Times New Roman"/>
                  <w:color w:val="000000"/>
                  <w:sz w:val="20"/>
                  <w:szCs w:val="20"/>
                  <w:u w:val="none"/>
                </w:rPr>
                <w:t>Financial Statements and Supplementary Data</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328" w:history="1">
              <w:r>
                <w:rPr>
                  <w:rStyle w:val="a3"/>
                  <w:rFonts w:eastAsia="Times New Roman"/>
                  <w:color w:val="000000"/>
                  <w:sz w:val="20"/>
                  <w:szCs w:val="20"/>
                  <w:u w:val="none"/>
                </w:rPr>
                <w:t>112</w:t>
              </w:r>
            </w:hyperlink>
          </w:p>
        </w:tc>
      </w:tr>
      <w:tr w:rsidR="00000000">
        <w:trPr>
          <w:divId w:val="1267494434"/>
        </w:trPr>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divId w:val="241792460"/>
              <w:rPr>
                <w:rFonts w:eastAsia="Times New Roman"/>
              </w:rPr>
            </w:pPr>
            <w:hyperlink w:anchor="ia820611622d9441b977884dac00e0ebd_343" w:history="1">
              <w:r>
                <w:rPr>
                  <w:rStyle w:val="a3"/>
                  <w:rFonts w:eastAsia="Times New Roman"/>
                  <w:color w:val="000000"/>
                  <w:sz w:val="20"/>
                  <w:szCs w:val="20"/>
                  <w:u w:val="none"/>
                </w:rPr>
                <w:t>Consolidated Statements of Income</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343" w:history="1">
              <w:r>
                <w:rPr>
                  <w:rStyle w:val="a3"/>
                  <w:rFonts w:eastAsia="Times New Roman"/>
                  <w:color w:val="000000"/>
                  <w:sz w:val="20"/>
                  <w:szCs w:val="20"/>
                  <w:u w:val="none"/>
                </w:rPr>
                <w:t>117</w:t>
              </w:r>
            </w:hyperlink>
          </w:p>
        </w:tc>
      </w:tr>
      <w:tr w:rsidR="00000000">
        <w:trPr>
          <w:divId w:val="1267494434"/>
        </w:trPr>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divId w:val="865873141"/>
              <w:rPr>
                <w:rFonts w:eastAsia="Times New Roman"/>
              </w:rPr>
            </w:pPr>
            <w:hyperlink w:anchor="ia820611622d9441b977884dac00e0ebd_346" w:history="1">
              <w:r>
                <w:rPr>
                  <w:rStyle w:val="a3"/>
                  <w:rFonts w:eastAsia="Times New Roman"/>
                  <w:color w:val="000000"/>
                  <w:sz w:val="20"/>
                  <w:szCs w:val="20"/>
                  <w:u w:val="none"/>
                </w:rPr>
                <w:t>Consolidated Statements of Com</w:t>
              </w:r>
              <w:r>
                <w:rPr>
                  <w:rStyle w:val="a3"/>
                  <w:rFonts w:eastAsia="Times New Roman"/>
                  <w:color w:val="000000"/>
                  <w:sz w:val="20"/>
                  <w:szCs w:val="20"/>
                  <w:u w:val="none"/>
                </w:rPr>
                <w:t>prehensive Income</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346" w:history="1">
              <w:r>
                <w:rPr>
                  <w:rStyle w:val="a3"/>
                  <w:rFonts w:eastAsia="Times New Roman"/>
                  <w:color w:val="000000"/>
                  <w:sz w:val="20"/>
                  <w:szCs w:val="20"/>
                  <w:u w:val="none"/>
                </w:rPr>
                <w:t>118</w:t>
              </w:r>
            </w:hyperlink>
          </w:p>
        </w:tc>
      </w:tr>
      <w:tr w:rsidR="00000000">
        <w:trPr>
          <w:divId w:val="1267494434"/>
        </w:trPr>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divId w:val="955257982"/>
              <w:rPr>
                <w:rFonts w:eastAsia="Times New Roman"/>
              </w:rPr>
            </w:pPr>
            <w:hyperlink w:anchor="ia820611622d9441b977884dac00e0ebd_349" w:history="1">
              <w:r>
                <w:rPr>
                  <w:rStyle w:val="a3"/>
                  <w:rFonts w:eastAsia="Times New Roman"/>
                  <w:color w:val="000000"/>
                  <w:sz w:val="20"/>
                  <w:szCs w:val="20"/>
                  <w:u w:val="none"/>
                </w:rPr>
                <w:t>Consolidated Balance Sheets</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349" w:history="1">
              <w:r>
                <w:rPr>
                  <w:rStyle w:val="a3"/>
                  <w:rFonts w:eastAsia="Times New Roman"/>
                  <w:color w:val="000000"/>
                  <w:sz w:val="20"/>
                  <w:szCs w:val="20"/>
                  <w:u w:val="none"/>
                </w:rPr>
                <w:t>119</w:t>
              </w:r>
            </w:hyperlink>
          </w:p>
        </w:tc>
      </w:tr>
      <w:tr w:rsidR="00000000">
        <w:trPr>
          <w:divId w:val="1267494434"/>
        </w:trPr>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divId w:val="1130977921"/>
              <w:rPr>
                <w:rFonts w:eastAsia="Times New Roman"/>
              </w:rPr>
            </w:pPr>
            <w:hyperlink w:anchor="ia820611622d9441b977884dac00e0ebd_352" w:history="1">
              <w:r>
                <w:rPr>
                  <w:rStyle w:val="a3"/>
                  <w:rFonts w:eastAsia="Times New Roman"/>
                  <w:color w:val="000000"/>
                  <w:sz w:val="20"/>
                  <w:szCs w:val="20"/>
                  <w:u w:val="none"/>
                </w:rPr>
                <w:t>Consolidated Statements of Changes in Stockholders’ Equity</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352" w:history="1">
              <w:r>
                <w:rPr>
                  <w:rStyle w:val="a3"/>
                  <w:rFonts w:eastAsia="Times New Roman"/>
                  <w:color w:val="000000"/>
                  <w:sz w:val="20"/>
                  <w:szCs w:val="20"/>
                  <w:u w:val="none"/>
                </w:rPr>
                <w:t>120</w:t>
              </w:r>
            </w:hyperlink>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026" style="width:0;height:1.5pt" o:hralign="center" o:hrstd="t" o:hr="t" fillcolor="#a0a0a0" stroked="f"/>
        </w:pict>
      </w:r>
    </w:p>
    <w:p w:rsidR="00000000" w:rsidRDefault="0094004B">
      <w:pPr>
        <w:jc w:val="both"/>
        <w:divId w:val="683674534"/>
        <w:rPr>
          <w:rFonts w:eastAsia="Times New Roman"/>
        </w:rPr>
      </w:pPr>
    </w:p>
    <w:tbl>
      <w:tblPr>
        <w:tblW w:w="4830" w:type="pct"/>
        <w:tblCellMar>
          <w:top w:w="15" w:type="dxa"/>
          <w:left w:w="15" w:type="dxa"/>
          <w:bottom w:w="15" w:type="dxa"/>
          <w:right w:w="15" w:type="dxa"/>
        </w:tblCellMar>
        <w:tblLook w:val="04A0" w:firstRow="1" w:lastRow="0" w:firstColumn="1" w:lastColumn="0" w:noHBand="0" w:noVBand="1"/>
      </w:tblPr>
      <w:tblGrid>
        <w:gridCol w:w="92"/>
        <w:gridCol w:w="650"/>
        <w:gridCol w:w="36"/>
        <w:gridCol w:w="39"/>
        <w:gridCol w:w="6574"/>
        <w:gridCol w:w="38"/>
        <w:gridCol w:w="42"/>
        <w:gridCol w:w="517"/>
        <w:gridCol w:w="36"/>
      </w:tblGrid>
      <w:tr w:rsidR="00000000">
        <w:trPr>
          <w:divId w:val="472984932"/>
        </w:trPr>
        <w:tc>
          <w:tcPr>
            <w:tcW w:w="50" w:type="pct"/>
            <w:vAlign w:val="center"/>
            <w:hideMark/>
          </w:tcPr>
          <w:p w:rsidR="00000000" w:rsidRDefault="0094004B">
            <w:pPr>
              <w:jc w:val="both"/>
              <w:rPr>
                <w:rFonts w:eastAsia="Times New Roman"/>
              </w:rPr>
            </w:pPr>
          </w:p>
        </w:tc>
        <w:tc>
          <w:tcPr>
            <w:tcW w:w="35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1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5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472984932"/>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divId w:val="198131493"/>
              <w:rPr>
                <w:rFonts w:eastAsia="Times New Roman"/>
              </w:rPr>
            </w:pPr>
            <w:hyperlink w:anchor="ia820611622d9441b977884dac00e0ebd_355" w:history="1">
              <w:r>
                <w:rPr>
                  <w:rStyle w:val="a3"/>
                  <w:rFonts w:eastAsia="Times New Roman"/>
                  <w:color w:val="000000"/>
                  <w:sz w:val="20"/>
                  <w:szCs w:val="20"/>
                  <w:u w:val="none"/>
                </w:rPr>
                <w:t>Consolidated Statements of Cash Flows</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355" w:history="1">
              <w:r>
                <w:rPr>
                  <w:rStyle w:val="a3"/>
                  <w:rFonts w:eastAsia="Times New Roman"/>
                  <w:color w:val="000000"/>
                  <w:sz w:val="20"/>
                  <w:szCs w:val="20"/>
                  <w:u w:val="none"/>
                </w:rPr>
                <w:t>121</w:t>
              </w:r>
            </w:hyperlink>
          </w:p>
        </w:tc>
      </w:tr>
      <w:tr w:rsidR="00000000">
        <w:trPr>
          <w:divId w:val="472984932"/>
          <w:trHeight w:val="300"/>
        </w:trPr>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472984932"/>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divId w:val="2017490408"/>
              <w:rPr>
                <w:rFonts w:eastAsia="Times New Roman"/>
              </w:rPr>
            </w:pPr>
            <w:hyperlink w:anchor="ia820611622d9441b977884dac00e0ebd_361" w:history="1">
              <w:r>
                <w:rPr>
                  <w:rStyle w:val="a3"/>
                  <w:rFonts w:eastAsia="Times New Roman"/>
                  <w:color w:val="000000"/>
                  <w:sz w:val="20"/>
                  <w:szCs w:val="20"/>
                  <w:u w:val="none"/>
                </w:rPr>
                <w:t>Notes to Consolidated Financial Statements</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361" w:history="1">
              <w:r>
                <w:rPr>
                  <w:rStyle w:val="a3"/>
                  <w:rFonts w:eastAsia="Times New Roman"/>
                  <w:color w:val="000000"/>
                  <w:sz w:val="20"/>
                  <w:szCs w:val="20"/>
                  <w:u w:val="none"/>
                </w:rPr>
                <w:t>123</w:t>
              </w:r>
            </w:hyperlink>
          </w:p>
        </w:tc>
      </w:tr>
      <w:tr w:rsidR="00000000">
        <w:trPr>
          <w:divId w:val="472984932"/>
        </w:trPr>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divId w:val="1821649969"/>
              <w:rPr>
                <w:rFonts w:eastAsia="Times New Roman"/>
              </w:rPr>
            </w:pPr>
            <w:hyperlink w:anchor="ia820611622d9441b977884dac00e0ebd_361" w:history="1">
              <w:r>
                <w:rPr>
                  <w:rStyle w:val="a3"/>
                  <w:rFonts w:eastAsia="Times New Roman"/>
                  <w:color w:val="000000"/>
                  <w:sz w:val="20"/>
                  <w:szCs w:val="20"/>
                  <w:u w:val="none"/>
                </w:rPr>
                <w:t>Note 1—Summary of Significant Accounting Policies</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361" w:history="1">
              <w:r>
                <w:rPr>
                  <w:rStyle w:val="a3"/>
                  <w:rFonts w:eastAsia="Times New Roman"/>
                  <w:color w:val="000000"/>
                  <w:sz w:val="20"/>
                  <w:szCs w:val="20"/>
                  <w:u w:val="none"/>
                </w:rPr>
                <w:t>123</w:t>
              </w:r>
            </w:hyperlink>
          </w:p>
        </w:tc>
      </w:tr>
      <w:tr w:rsidR="00000000">
        <w:trPr>
          <w:divId w:val="472984932"/>
        </w:trPr>
        <w:tc>
          <w:tcPr>
            <w:tcW w:w="0" w:type="auto"/>
            <w:gridSpan w:val="3"/>
            <w:vAlign w:val="center"/>
            <w:hideMark/>
          </w:tcPr>
          <w:p w:rsidR="00000000" w:rsidRDefault="0094004B">
            <w:pPr>
              <w:spacing w:after="100"/>
              <w:jc w:val="center"/>
              <w:rPr>
                <w:rFonts w:eastAsia="Times New Roman"/>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472984932"/>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divId w:val="1599948906"/>
              <w:rPr>
                <w:rFonts w:eastAsia="Times New Roman"/>
              </w:rPr>
            </w:pPr>
            <w:hyperlink w:anchor="ia820611622d9441b977884dac00e0ebd_364" w:history="1">
              <w:r>
                <w:rPr>
                  <w:rStyle w:val="a3"/>
                  <w:rFonts w:eastAsia="Times New Roman"/>
                  <w:color w:val="000000"/>
                  <w:sz w:val="20"/>
                  <w:szCs w:val="20"/>
                  <w:u w:val="none"/>
                </w:rPr>
                <w:t>Note 2—Investment Securities</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364" w:history="1">
              <w:r>
                <w:rPr>
                  <w:rStyle w:val="a3"/>
                  <w:rFonts w:eastAsia="Times New Roman"/>
                  <w:color w:val="000000"/>
                  <w:sz w:val="20"/>
                  <w:szCs w:val="20"/>
                  <w:u w:val="none"/>
                </w:rPr>
                <w:t>138</w:t>
              </w:r>
            </w:hyperlink>
          </w:p>
        </w:tc>
      </w:tr>
      <w:tr w:rsidR="00000000">
        <w:trPr>
          <w:divId w:val="472984932"/>
        </w:trPr>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divId w:val="822425854"/>
              <w:rPr>
                <w:rFonts w:eastAsia="Times New Roman"/>
              </w:rPr>
            </w:pPr>
            <w:hyperlink w:anchor="ia820611622d9441b977884dac00e0ebd_367" w:history="1">
              <w:r>
                <w:rPr>
                  <w:rStyle w:val="a3"/>
                  <w:rFonts w:eastAsia="Times New Roman"/>
                  <w:color w:val="000000"/>
                  <w:sz w:val="20"/>
                  <w:szCs w:val="20"/>
                  <w:u w:val="none"/>
                </w:rPr>
                <w:t>Note 3—Loans</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367" w:history="1">
              <w:r>
                <w:rPr>
                  <w:rStyle w:val="a3"/>
                  <w:rFonts w:eastAsia="Times New Roman"/>
                  <w:color w:val="000000"/>
                  <w:sz w:val="20"/>
                  <w:szCs w:val="20"/>
                  <w:u w:val="none"/>
                </w:rPr>
                <w:t>141</w:t>
              </w:r>
            </w:hyperlink>
          </w:p>
        </w:tc>
      </w:tr>
      <w:tr w:rsidR="00000000">
        <w:trPr>
          <w:divId w:val="472984932"/>
        </w:trPr>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divId w:val="230891585"/>
              <w:rPr>
                <w:rFonts w:eastAsia="Times New Roman"/>
              </w:rPr>
            </w:pPr>
            <w:hyperlink w:anchor="ia820611622d9441b977884dac00e0ebd_391" w:history="1">
              <w:r>
                <w:rPr>
                  <w:rStyle w:val="a3"/>
                  <w:rFonts w:eastAsia="Times New Roman"/>
                  <w:color w:val="000000"/>
                  <w:sz w:val="20"/>
                  <w:szCs w:val="20"/>
                  <w:u w:val="none"/>
                </w:rPr>
                <w:t>Note 4—</w:t>
              </w:r>
              <w:r>
                <w:rPr>
                  <w:rStyle w:val="a3"/>
                  <w:rFonts w:eastAsia="Times New Roman"/>
                  <w:color w:val="000000"/>
                  <w:sz w:val="20"/>
                  <w:szCs w:val="20"/>
                  <w:u w:val="none"/>
                </w:rPr>
                <w:t>Allowance for Credit Losses and Reserve for Unfunded Lending Commitments</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391" w:history="1">
              <w:r>
                <w:rPr>
                  <w:rStyle w:val="a3"/>
                  <w:rFonts w:eastAsia="Times New Roman"/>
                  <w:color w:val="000000"/>
                  <w:sz w:val="20"/>
                  <w:szCs w:val="20"/>
                  <w:u w:val="none"/>
                </w:rPr>
                <w:t>151</w:t>
              </w:r>
            </w:hyperlink>
          </w:p>
        </w:tc>
      </w:tr>
      <w:tr w:rsidR="00000000">
        <w:trPr>
          <w:divId w:val="472984932"/>
        </w:trPr>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divId w:val="2109424528"/>
              <w:rPr>
                <w:rFonts w:eastAsia="Times New Roman"/>
              </w:rPr>
            </w:pPr>
            <w:hyperlink w:anchor="ia820611622d9441b977884dac00e0ebd_394" w:history="1">
              <w:r>
                <w:rPr>
                  <w:rStyle w:val="a3"/>
                  <w:rFonts w:eastAsia="Times New Roman"/>
                  <w:color w:val="000000"/>
                  <w:sz w:val="20"/>
                  <w:szCs w:val="20"/>
                  <w:u w:val="none"/>
                </w:rPr>
                <w:t>Note 5—</w:t>
              </w:r>
              <w:r>
                <w:rPr>
                  <w:rStyle w:val="a3"/>
                  <w:rFonts w:eastAsia="Times New Roman"/>
                  <w:color w:val="000000"/>
                  <w:sz w:val="20"/>
                  <w:szCs w:val="20"/>
                  <w:u w:val="none"/>
                </w:rPr>
                <w:t>Variable Interest Entities and Securitizations</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394" w:history="1">
              <w:r>
                <w:rPr>
                  <w:rStyle w:val="a3"/>
                  <w:rFonts w:eastAsia="Times New Roman"/>
                  <w:color w:val="000000"/>
                  <w:sz w:val="20"/>
                  <w:szCs w:val="20"/>
                  <w:u w:val="none"/>
                </w:rPr>
                <w:t>154</w:t>
              </w:r>
            </w:hyperlink>
          </w:p>
        </w:tc>
      </w:tr>
      <w:tr w:rsidR="00000000">
        <w:trPr>
          <w:divId w:val="472984932"/>
        </w:trPr>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divId w:val="368335548"/>
              <w:rPr>
                <w:rFonts w:eastAsia="Times New Roman"/>
              </w:rPr>
            </w:pPr>
            <w:hyperlink w:anchor="ia820611622d9441b977884dac00e0ebd_397" w:history="1">
              <w:r>
                <w:rPr>
                  <w:rStyle w:val="a3"/>
                  <w:rFonts w:eastAsia="Times New Roman"/>
                  <w:color w:val="000000"/>
                  <w:sz w:val="20"/>
                  <w:szCs w:val="20"/>
                  <w:u w:val="none"/>
                </w:rPr>
                <w:t>Note 6—</w:t>
              </w:r>
              <w:r>
                <w:rPr>
                  <w:rStyle w:val="a3"/>
                  <w:rFonts w:eastAsia="Times New Roman"/>
                  <w:color w:val="000000"/>
                  <w:sz w:val="20"/>
                  <w:szCs w:val="20"/>
                  <w:u w:val="none"/>
                </w:rPr>
                <w:t>Goodwill and Other Intangible Assets</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397" w:history="1">
              <w:r>
                <w:rPr>
                  <w:rStyle w:val="a3"/>
                  <w:rFonts w:eastAsia="Times New Roman"/>
                  <w:color w:val="000000"/>
                  <w:sz w:val="20"/>
                  <w:szCs w:val="20"/>
                  <w:u w:val="none"/>
                </w:rPr>
                <w:t>158</w:t>
              </w:r>
            </w:hyperlink>
          </w:p>
        </w:tc>
      </w:tr>
      <w:tr w:rsidR="00000000">
        <w:trPr>
          <w:divId w:val="472984932"/>
        </w:trPr>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divId w:val="2057510016"/>
              <w:rPr>
                <w:rFonts w:eastAsia="Times New Roman"/>
              </w:rPr>
            </w:pPr>
            <w:hyperlink w:anchor="ia820611622d9441b977884dac00e0ebd_400" w:history="1">
              <w:r>
                <w:rPr>
                  <w:rStyle w:val="a3"/>
                  <w:rFonts w:eastAsia="Times New Roman"/>
                  <w:color w:val="000000"/>
                  <w:sz w:val="20"/>
                  <w:szCs w:val="20"/>
                  <w:u w:val="none"/>
                </w:rPr>
                <w:t>Note 7—Premises, Equipment and Leases</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400" w:history="1">
              <w:r>
                <w:rPr>
                  <w:rStyle w:val="a3"/>
                  <w:rFonts w:eastAsia="Times New Roman"/>
                  <w:color w:val="000000"/>
                  <w:sz w:val="20"/>
                  <w:szCs w:val="20"/>
                  <w:u w:val="none"/>
                </w:rPr>
                <w:t>161</w:t>
              </w:r>
            </w:hyperlink>
          </w:p>
        </w:tc>
      </w:tr>
      <w:tr w:rsidR="00000000">
        <w:trPr>
          <w:divId w:val="472984932"/>
        </w:trPr>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divId w:val="1524585308"/>
              <w:rPr>
                <w:rFonts w:eastAsia="Times New Roman"/>
              </w:rPr>
            </w:pPr>
            <w:hyperlink w:anchor="ia820611622d9441b977884dac00e0ebd_403" w:history="1">
              <w:r>
                <w:rPr>
                  <w:rStyle w:val="a3"/>
                  <w:rFonts w:eastAsia="Times New Roman"/>
                  <w:color w:val="000000"/>
                  <w:sz w:val="20"/>
                  <w:szCs w:val="20"/>
                  <w:u w:val="none"/>
                </w:rPr>
                <w:t>Note </w:t>
              </w:r>
            </w:hyperlink>
            <w:hyperlink w:anchor="ia820611622d9441b977884dac00e0ebd_403" w:history="1">
              <w:r>
                <w:rPr>
                  <w:rStyle w:val="a3"/>
                  <w:rFonts w:eastAsia="Times New Roman"/>
                  <w:color w:val="000000"/>
                  <w:sz w:val="20"/>
                  <w:szCs w:val="20"/>
                  <w:u w:val="none"/>
                </w:rPr>
                <w:t>8</w:t>
              </w:r>
            </w:hyperlink>
            <w:hyperlink w:anchor="ia820611622d9441b977884dac00e0ebd_403" w:history="1">
              <w:r>
                <w:rPr>
                  <w:rStyle w:val="a3"/>
                  <w:rFonts w:eastAsia="Times New Roman"/>
                  <w:color w:val="000000"/>
                  <w:sz w:val="20"/>
                  <w:szCs w:val="20"/>
                  <w:u w:val="none"/>
                </w:rPr>
                <w:t>—Deposits and Borrowings</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403" w:history="1">
              <w:r>
                <w:rPr>
                  <w:rStyle w:val="a3"/>
                  <w:rFonts w:eastAsia="Times New Roman"/>
                  <w:color w:val="000000"/>
                  <w:sz w:val="20"/>
                  <w:szCs w:val="20"/>
                  <w:u w:val="none"/>
                </w:rPr>
                <w:t>163</w:t>
              </w:r>
            </w:hyperlink>
          </w:p>
        </w:tc>
      </w:tr>
      <w:tr w:rsidR="00000000">
        <w:trPr>
          <w:divId w:val="472984932"/>
        </w:trPr>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divId w:val="149248006"/>
              <w:rPr>
                <w:rFonts w:eastAsia="Times New Roman"/>
              </w:rPr>
            </w:pPr>
            <w:hyperlink w:anchor="ia820611622d9441b977884dac00e0ebd_406" w:history="1">
              <w:r>
                <w:rPr>
                  <w:rStyle w:val="a3"/>
                  <w:rFonts w:eastAsia="Times New Roman"/>
                  <w:color w:val="000000"/>
                  <w:sz w:val="20"/>
                  <w:szCs w:val="20"/>
                  <w:u w:val="none"/>
                </w:rPr>
                <w:t>Note 9—Derivative Instruments and Hedging Activities</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406" w:history="1">
              <w:r>
                <w:rPr>
                  <w:rStyle w:val="a3"/>
                  <w:rFonts w:eastAsia="Times New Roman"/>
                  <w:color w:val="000000"/>
                  <w:sz w:val="20"/>
                  <w:szCs w:val="20"/>
                  <w:u w:val="none"/>
                </w:rPr>
                <w:t>165</w:t>
              </w:r>
            </w:hyperlink>
          </w:p>
        </w:tc>
      </w:tr>
      <w:tr w:rsidR="00000000">
        <w:trPr>
          <w:divId w:val="472984932"/>
        </w:trPr>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divId w:val="111441011"/>
              <w:rPr>
                <w:rFonts w:eastAsia="Times New Roman"/>
              </w:rPr>
            </w:pPr>
            <w:hyperlink w:anchor="ia820611622d9441b977884dac00e0ebd_409" w:history="1">
              <w:r>
                <w:rPr>
                  <w:rStyle w:val="a3"/>
                  <w:rFonts w:eastAsia="Times New Roman"/>
                  <w:color w:val="000000"/>
                  <w:sz w:val="20"/>
                  <w:szCs w:val="20"/>
                  <w:u w:val="none"/>
                </w:rPr>
                <w:t>Note 10—Stockholders’ Equity</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409" w:history="1">
              <w:r>
                <w:rPr>
                  <w:rStyle w:val="a3"/>
                  <w:rFonts w:eastAsia="Times New Roman"/>
                  <w:color w:val="000000"/>
                  <w:sz w:val="20"/>
                  <w:szCs w:val="20"/>
                  <w:u w:val="none"/>
                </w:rPr>
                <w:t>174</w:t>
              </w:r>
            </w:hyperlink>
          </w:p>
        </w:tc>
      </w:tr>
      <w:tr w:rsidR="00000000">
        <w:trPr>
          <w:divId w:val="472984932"/>
        </w:trPr>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divId w:val="363211815"/>
              <w:rPr>
                <w:rFonts w:eastAsia="Times New Roman"/>
              </w:rPr>
            </w:pPr>
            <w:hyperlink w:anchor="ia820611622d9441b977884dac00e0ebd_412" w:history="1">
              <w:r>
                <w:rPr>
                  <w:rStyle w:val="a3"/>
                  <w:rFonts w:eastAsia="Times New Roman"/>
                  <w:color w:val="000000"/>
                  <w:sz w:val="20"/>
                  <w:szCs w:val="20"/>
                  <w:u w:val="none"/>
                </w:rPr>
                <w:t>Note 11—Regulatory and Capital Adequacy</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412" w:history="1">
              <w:r>
                <w:rPr>
                  <w:rStyle w:val="a3"/>
                  <w:rFonts w:eastAsia="Times New Roman"/>
                  <w:color w:val="000000"/>
                  <w:sz w:val="20"/>
                  <w:szCs w:val="20"/>
                  <w:u w:val="none"/>
                </w:rPr>
                <w:t>177</w:t>
              </w:r>
            </w:hyperlink>
          </w:p>
        </w:tc>
      </w:tr>
      <w:tr w:rsidR="00000000">
        <w:trPr>
          <w:divId w:val="472984932"/>
        </w:trPr>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divId w:val="1523936359"/>
              <w:rPr>
                <w:rFonts w:eastAsia="Times New Roman"/>
              </w:rPr>
            </w:pPr>
            <w:hyperlink w:anchor="ia820611622d9441b977884dac00e0ebd_415" w:history="1">
              <w:r>
                <w:rPr>
                  <w:rStyle w:val="a3"/>
                  <w:rFonts w:eastAsia="Times New Roman"/>
                  <w:color w:val="000000"/>
                  <w:sz w:val="20"/>
                  <w:szCs w:val="20"/>
                  <w:u w:val="none"/>
                </w:rPr>
                <w:t>Note 12—Earnings Per Com</w:t>
              </w:r>
              <w:r>
                <w:rPr>
                  <w:rStyle w:val="a3"/>
                  <w:rFonts w:eastAsia="Times New Roman"/>
                  <w:color w:val="000000"/>
                  <w:sz w:val="20"/>
                  <w:szCs w:val="20"/>
                  <w:u w:val="none"/>
                </w:rPr>
                <w:t>mon Share</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415" w:history="1">
              <w:r>
                <w:rPr>
                  <w:rStyle w:val="a3"/>
                  <w:rFonts w:eastAsia="Times New Roman"/>
                  <w:color w:val="000000"/>
                  <w:sz w:val="20"/>
                  <w:szCs w:val="20"/>
                  <w:u w:val="none"/>
                </w:rPr>
                <w:t>179</w:t>
              </w:r>
            </w:hyperlink>
          </w:p>
        </w:tc>
      </w:tr>
      <w:tr w:rsidR="00000000">
        <w:trPr>
          <w:divId w:val="472984932"/>
        </w:trPr>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divId w:val="1580603647"/>
              <w:rPr>
                <w:rFonts w:eastAsia="Times New Roman"/>
              </w:rPr>
            </w:pPr>
            <w:hyperlink w:anchor="ia820611622d9441b977884dac00e0ebd_418" w:history="1">
              <w:r>
                <w:rPr>
                  <w:rStyle w:val="a3"/>
                  <w:rFonts w:eastAsia="Times New Roman"/>
                  <w:color w:val="000000"/>
                  <w:sz w:val="20"/>
                  <w:szCs w:val="20"/>
                  <w:u w:val="none"/>
                </w:rPr>
                <w:t>Note 13—Stock-Based Compensation Plans</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418" w:history="1">
              <w:r>
                <w:rPr>
                  <w:rStyle w:val="a3"/>
                  <w:rFonts w:eastAsia="Times New Roman"/>
                  <w:color w:val="000000"/>
                  <w:sz w:val="20"/>
                  <w:szCs w:val="20"/>
                  <w:u w:val="none"/>
                </w:rPr>
                <w:t>180</w:t>
              </w:r>
            </w:hyperlink>
          </w:p>
        </w:tc>
      </w:tr>
      <w:tr w:rsidR="00000000">
        <w:trPr>
          <w:divId w:val="472984932"/>
        </w:trPr>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divId w:val="1823961737"/>
              <w:rPr>
                <w:rFonts w:eastAsia="Times New Roman"/>
              </w:rPr>
            </w:pPr>
            <w:hyperlink w:anchor="ia820611622d9441b977884dac00e0ebd_421" w:history="1">
              <w:r>
                <w:rPr>
                  <w:rStyle w:val="a3"/>
                  <w:rFonts w:eastAsia="Times New Roman"/>
                  <w:color w:val="000000"/>
                  <w:sz w:val="20"/>
                  <w:szCs w:val="20"/>
                  <w:u w:val="none"/>
                </w:rPr>
                <w:t>Note 14—Employee Benefit Plans</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421" w:history="1">
              <w:r>
                <w:rPr>
                  <w:rStyle w:val="a3"/>
                  <w:rFonts w:eastAsia="Times New Roman"/>
                  <w:color w:val="000000"/>
                  <w:sz w:val="20"/>
                  <w:szCs w:val="20"/>
                  <w:u w:val="none"/>
                </w:rPr>
                <w:t>182</w:t>
              </w:r>
            </w:hyperlink>
          </w:p>
        </w:tc>
      </w:tr>
      <w:tr w:rsidR="00000000">
        <w:trPr>
          <w:divId w:val="472984932"/>
        </w:trPr>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divId w:val="749428385"/>
              <w:rPr>
                <w:rFonts w:eastAsia="Times New Roman"/>
              </w:rPr>
            </w:pPr>
            <w:hyperlink w:anchor="ia820611622d9441b977884dac00e0ebd_427" w:history="1">
              <w:r>
                <w:rPr>
                  <w:rStyle w:val="a3"/>
                  <w:rFonts w:eastAsia="Times New Roman"/>
                  <w:color w:val="000000"/>
                  <w:sz w:val="20"/>
                  <w:szCs w:val="20"/>
                  <w:u w:val="none"/>
                </w:rPr>
                <w:t>Note 15—Income Taxes</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427" w:history="1">
              <w:r>
                <w:rPr>
                  <w:rStyle w:val="a3"/>
                  <w:rFonts w:eastAsia="Times New Roman"/>
                  <w:color w:val="000000"/>
                  <w:sz w:val="20"/>
                  <w:szCs w:val="20"/>
                  <w:u w:val="none"/>
                </w:rPr>
                <w:t>184</w:t>
              </w:r>
            </w:hyperlink>
          </w:p>
        </w:tc>
      </w:tr>
      <w:tr w:rsidR="00000000">
        <w:trPr>
          <w:divId w:val="472984932"/>
        </w:trPr>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divId w:val="1667393550"/>
              <w:rPr>
                <w:rFonts w:eastAsia="Times New Roman"/>
              </w:rPr>
            </w:pPr>
            <w:hyperlink w:anchor="ia820611622d9441b977884dac00e0ebd_424" w:history="1">
              <w:r>
                <w:rPr>
                  <w:rStyle w:val="a3"/>
                  <w:rFonts w:eastAsia="Times New Roman"/>
                  <w:color w:val="000000"/>
                  <w:sz w:val="20"/>
                  <w:szCs w:val="20"/>
                  <w:u w:val="none"/>
                </w:rPr>
                <w:t>Note 16—Fair Value Measurement</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424" w:history="1">
              <w:r>
                <w:rPr>
                  <w:rStyle w:val="a3"/>
                  <w:rFonts w:eastAsia="Times New Roman"/>
                  <w:color w:val="000000"/>
                  <w:sz w:val="20"/>
                  <w:szCs w:val="20"/>
                  <w:u w:val="none"/>
                </w:rPr>
                <w:t>188</w:t>
              </w:r>
            </w:hyperlink>
          </w:p>
        </w:tc>
      </w:tr>
      <w:tr w:rsidR="00000000">
        <w:trPr>
          <w:divId w:val="472984932"/>
        </w:trPr>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divId w:val="315037529"/>
              <w:rPr>
                <w:rFonts w:eastAsia="Times New Roman"/>
              </w:rPr>
            </w:pPr>
            <w:hyperlink w:anchor="ia820611622d9441b977884dac00e0ebd_430" w:history="1">
              <w:r>
                <w:rPr>
                  <w:rStyle w:val="a3"/>
                  <w:rFonts w:eastAsia="Times New Roman"/>
                  <w:color w:val="000000"/>
                  <w:sz w:val="20"/>
                  <w:szCs w:val="20"/>
                  <w:u w:val="none"/>
                </w:rPr>
                <w:t>Note 17—Business Segments and Revenue from Contracts with Customers</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430" w:history="1">
              <w:r>
                <w:rPr>
                  <w:rStyle w:val="a3"/>
                  <w:rFonts w:eastAsia="Times New Roman"/>
                  <w:color w:val="000000"/>
                  <w:sz w:val="20"/>
                  <w:szCs w:val="20"/>
                  <w:u w:val="none"/>
                </w:rPr>
                <w:t>197</w:t>
              </w:r>
            </w:hyperlink>
          </w:p>
        </w:tc>
      </w:tr>
      <w:tr w:rsidR="00000000">
        <w:trPr>
          <w:divId w:val="472984932"/>
        </w:trPr>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divId w:val="914123667"/>
              <w:rPr>
                <w:rFonts w:eastAsia="Times New Roman"/>
              </w:rPr>
            </w:pPr>
            <w:hyperlink w:anchor="ia820611622d9441b977884dac00e0ebd_433" w:history="1">
              <w:r>
                <w:rPr>
                  <w:rStyle w:val="a3"/>
                  <w:rFonts w:eastAsia="Times New Roman"/>
                  <w:color w:val="000000"/>
                  <w:sz w:val="20"/>
                  <w:szCs w:val="20"/>
                  <w:u w:val="none"/>
                </w:rPr>
                <w:t>Note 18—Commitments, Contingencies, Guarantees and Others</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433" w:history="1">
              <w:r>
                <w:rPr>
                  <w:rStyle w:val="a3"/>
                  <w:rFonts w:eastAsia="Times New Roman"/>
                  <w:color w:val="000000"/>
                  <w:sz w:val="20"/>
                  <w:szCs w:val="20"/>
                  <w:u w:val="none"/>
                </w:rPr>
                <w:t>201</w:t>
              </w:r>
            </w:hyperlink>
          </w:p>
        </w:tc>
      </w:tr>
      <w:tr w:rsidR="00000000">
        <w:trPr>
          <w:divId w:val="472984932"/>
        </w:trPr>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divId w:val="83259402"/>
              <w:rPr>
                <w:rFonts w:eastAsia="Times New Roman"/>
              </w:rPr>
            </w:pPr>
            <w:hyperlink w:anchor="ia820611622d9441b977884dac00e0ebd_436" w:history="1">
              <w:r>
                <w:rPr>
                  <w:rStyle w:val="a3"/>
                  <w:rFonts w:eastAsia="Times New Roman"/>
                  <w:color w:val="000000"/>
                  <w:sz w:val="20"/>
                  <w:szCs w:val="20"/>
                  <w:u w:val="none"/>
                </w:rPr>
                <w:t>Note 19—Capital One Financial Corporation (Parent Company Only)</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436" w:history="1">
              <w:r>
                <w:rPr>
                  <w:rStyle w:val="a3"/>
                  <w:rFonts w:eastAsia="Times New Roman"/>
                  <w:color w:val="000000"/>
                  <w:sz w:val="20"/>
                  <w:szCs w:val="20"/>
                  <w:u w:val="none"/>
                </w:rPr>
                <w:t>204</w:t>
              </w:r>
            </w:hyperlink>
          </w:p>
        </w:tc>
      </w:tr>
      <w:tr w:rsidR="00000000">
        <w:trPr>
          <w:divId w:val="472984932"/>
        </w:trPr>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divId w:val="1337728105"/>
              <w:rPr>
                <w:rFonts w:eastAsia="Times New Roman"/>
              </w:rPr>
            </w:pPr>
            <w:hyperlink w:anchor="ia820611622d9441b977884dac00e0ebd_439" w:history="1">
              <w:r>
                <w:rPr>
                  <w:rStyle w:val="a3"/>
                  <w:rFonts w:eastAsia="Times New Roman"/>
                  <w:color w:val="000000"/>
                  <w:sz w:val="20"/>
                  <w:szCs w:val="20"/>
                  <w:u w:val="none"/>
                </w:rPr>
                <w:t>Note 20—Related Party Transactions</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439" w:history="1">
              <w:r>
                <w:rPr>
                  <w:rStyle w:val="a3"/>
                  <w:rFonts w:eastAsia="Times New Roman"/>
                  <w:color w:val="000000"/>
                  <w:sz w:val="20"/>
                  <w:szCs w:val="20"/>
                  <w:u w:val="none"/>
                </w:rPr>
                <w:t>206</w:t>
              </w:r>
            </w:hyperlink>
          </w:p>
        </w:tc>
      </w:tr>
      <w:tr w:rsidR="00000000">
        <w:trPr>
          <w:divId w:val="472984932"/>
        </w:trPr>
        <w:tc>
          <w:tcPr>
            <w:tcW w:w="0" w:type="auto"/>
            <w:gridSpan w:val="3"/>
            <w:vAlign w:val="center"/>
            <w:hideMark/>
          </w:tcPr>
          <w:p w:rsidR="00000000" w:rsidRDefault="0094004B">
            <w:pPr>
              <w:spacing w:after="100"/>
              <w:jc w:val="center"/>
              <w:rPr>
                <w:rFonts w:eastAsia="Times New Roman"/>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472984932"/>
        </w:trPr>
        <w:tc>
          <w:tcPr>
            <w:tcW w:w="0" w:type="auto"/>
            <w:gridSpan w:val="3"/>
            <w:tcMar>
              <w:top w:w="30" w:type="dxa"/>
              <w:left w:w="20" w:type="dxa"/>
              <w:bottom w:w="30" w:type="dxa"/>
              <w:right w:w="20" w:type="dxa"/>
            </w:tcMar>
            <w:vAlign w:val="center"/>
            <w:hideMark/>
          </w:tcPr>
          <w:p w:rsidR="00000000" w:rsidRDefault="0094004B">
            <w:pPr>
              <w:spacing w:after="100"/>
              <w:divId w:val="1875389446"/>
              <w:rPr>
                <w:rFonts w:eastAsia="Times New Roman"/>
              </w:rPr>
            </w:pPr>
            <w:hyperlink w:anchor="ia820611622d9441b977884dac00e0ebd_451" w:history="1">
              <w:r>
                <w:rPr>
                  <w:rStyle w:val="a3"/>
                  <w:rFonts w:eastAsia="Times New Roman"/>
                  <w:color w:val="000000"/>
                  <w:sz w:val="20"/>
                  <w:szCs w:val="20"/>
                  <w:u w:val="none"/>
                </w:rPr>
                <w:t>Item 9.</w:t>
              </w:r>
            </w:hyperlink>
          </w:p>
        </w:tc>
        <w:tc>
          <w:tcPr>
            <w:tcW w:w="0" w:type="auto"/>
            <w:gridSpan w:val="3"/>
            <w:tcMar>
              <w:top w:w="30" w:type="dxa"/>
              <w:left w:w="20" w:type="dxa"/>
              <w:bottom w:w="30" w:type="dxa"/>
              <w:right w:w="20" w:type="dxa"/>
            </w:tcMar>
            <w:vAlign w:val="bottom"/>
            <w:hideMark/>
          </w:tcPr>
          <w:p w:rsidR="00000000" w:rsidRDefault="0094004B">
            <w:pPr>
              <w:spacing w:after="100"/>
              <w:divId w:val="156851695"/>
              <w:rPr>
                <w:rFonts w:eastAsia="Times New Roman"/>
              </w:rPr>
            </w:pPr>
            <w:hyperlink w:anchor="ia820611622d9441b977884dac00e0ebd_451" w:history="1">
              <w:r>
                <w:rPr>
                  <w:rStyle w:val="a3"/>
                  <w:rFonts w:eastAsia="Times New Roman"/>
                  <w:color w:val="000000"/>
                  <w:sz w:val="20"/>
                  <w:szCs w:val="20"/>
                  <w:u w:val="none"/>
                </w:rPr>
                <w:t>Changes in and Disagreements with Accountants on Accounting and Financial Disclosure</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451" w:history="1">
              <w:r>
                <w:rPr>
                  <w:rStyle w:val="a3"/>
                  <w:rFonts w:eastAsia="Times New Roman"/>
                  <w:color w:val="000000"/>
                  <w:sz w:val="20"/>
                  <w:szCs w:val="20"/>
                  <w:u w:val="none"/>
                </w:rPr>
                <w:t>207</w:t>
              </w:r>
            </w:hyperlink>
          </w:p>
        </w:tc>
      </w:tr>
      <w:tr w:rsidR="00000000">
        <w:trPr>
          <w:divId w:val="472984932"/>
        </w:trPr>
        <w:tc>
          <w:tcPr>
            <w:tcW w:w="0" w:type="auto"/>
            <w:gridSpan w:val="3"/>
            <w:tcMar>
              <w:top w:w="30" w:type="dxa"/>
              <w:left w:w="20" w:type="dxa"/>
              <w:bottom w:w="30" w:type="dxa"/>
              <w:right w:w="20" w:type="dxa"/>
            </w:tcMar>
            <w:vAlign w:val="center"/>
            <w:hideMark/>
          </w:tcPr>
          <w:p w:rsidR="00000000" w:rsidRDefault="0094004B">
            <w:pPr>
              <w:spacing w:after="100"/>
              <w:divId w:val="916668761"/>
              <w:rPr>
                <w:rFonts w:eastAsia="Times New Roman"/>
              </w:rPr>
            </w:pPr>
            <w:hyperlink w:anchor="ia820611622d9441b977884dac00e0ebd_457" w:history="1">
              <w:r>
                <w:rPr>
                  <w:rStyle w:val="a3"/>
                  <w:rFonts w:eastAsia="Times New Roman"/>
                  <w:color w:val="000000"/>
                  <w:sz w:val="20"/>
                  <w:szCs w:val="20"/>
                  <w:u w:val="none"/>
                </w:rPr>
                <w:t>Item 9A.</w:t>
              </w:r>
            </w:hyperlink>
          </w:p>
        </w:tc>
        <w:tc>
          <w:tcPr>
            <w:tcW w:w="0" w:type="auto"/>
            <w:gridSpan w:val="3"/>
            <w:tcMar>
              <w:top w:w="30" w:type="dxa"/>
              <w:left w:w="20" w:type="dxa"/>
              <w:bottom w:w="30" w:type="dxa"/>
              <w:right w:w="20" w:type="dxa"/>
            </w:tcMar>
            <w:vAlign w:val="bottom"/>
            <w:hideMark/>
          </w:tcPr>
          <w:p w:rsidR="00000000" w:rsidRDefault="0094004B">
            <w:pPr>
              <w:spacing w:after="100"/>
              <w:divId w:val="222302273"/>
              <w:rPr>
                <w:rFonts w:eastAsia="Times New Roman"/>
              </w:rPr>
            </w:pPr>
            <w:hyperlink w:anchor="ia820611622d9441b977884dac00e0ebd_457" w:history="1">
              <w:r>
                <w:rPr>
                  <w:rStyle w:val="a3"/>
                  <w:rFonts w:eastAsia="Times New Roman"/>
                  <w:color w:val="000000"/>
                  <w:sz w:val="20"/>
                  <w:szCs w:val="20"/>
                  <w:u w:val="none"/>
                </w:rPr>
                <w:t>Controls and Procedures</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457" w:history="1">
              <w:r>
                <w:rPr>
                  <w:rStyle w:val="a3"/>
                  <w:rFonts w:eastAsia="Times New Roman"/>
                  <w:color w:val="000000"/>
                  <w:sz w:val="20"/>
                  <w:szCs w:val="20"/>
                  <w:u w:val="none"/>
                </w:rPr>
                <w:t>207</w:t>
              </w:r>
            </w:hyperlink>
          </w:p>
        </w:tc>
      </w:tr>
      <w:tr w:rsidR="00000000">
        <w:trPr>
          <w:divId w:val="472984932"/>
        </w:trPr>
        <w:tc>
          <w:tcPr>
            <w:tcW w:w="0" w:type="auto"/>
            <w:gridSpan w:val="3"/>
            <w:tcMar>
              <w:top w:w="30" w:type="dxa"/>
              <w:left w:w="20" w:type="dxa"/>
              <w:bottom w:w="30" w:type="dxa"/>
              <w:right w:w="20" w:type="dxa"/>
            </w:tcMar>
            <w:vAlign w:val="center"/>
            <w:hideMark/>
          </w:tcPr>
          <w:p w:rsidR="00000000" w:rsidRDefault="0094004B">
            <w:pPr>
              <w:spacing w:after="100"/>
              <w:divId w:val="192498380"/>
              <w:rPr>
                <w:rFonts w:eastAsia="Times New Roman"/>
              </w:rPr>
            </w:pPr>
            <w:hyperlink w:anchor="ia820611622d9441b977884dac00e0ebd_481" w:history="1">
              <w:r>
                <w:rPr>
                  <w:rStyle w:val="a3"/>
                  <w:rFonts w:eastAsia="Times New Roman"/>
                  <w:color w:val="000000"/>
                  <w:sz w:val="20"/>
                  <w:szCs w:val="20"/>
                  <w:u w:val="none"/>
                </w:rPr>
                <w:t>Item 9B.</w:t>
              </w:r>
            </w:hyperlink>
          </w:p>
        </w:tc>
        <w:tc>
          <w:tcPr>
            <w:tcW w:w="0" w:type="auto"/>
            <w:gridSpan w:val="3"/>
            <w:tcMar>
              <w:top w:w="30" w:type="dxa"/>
              <w:left w:w="20" w:type="dxa"/>
              <w:bottom w:w="30" w:type="dxa"/>
              <w:right w:w="20" w:type="dxa"/>
            </w:tcMar>
            <w:vAlign w:val="bottom"/>
            <w:hideMark/>
          </w:tcPr>
          <w:p w:rsidR="00000000" w:rsidRDefault="0094004B">
            <w:pPr>
              <w:spacing w:after="100"/>
              <w:divId w:val="132407811"/>
              <w:rPr>
                <w:rFonts w:eastAsia="Times New Roman"/>
              </w:rPr>
            </w:pPr>
            <w:hyperlink w:anchor="ia820611622d9441b977884dac00e0ebd_481" w:history="1">
              <w:r>
                <w:rPr>
                  <w:rStyle w:val="a3"/>
                  <w:rFonts w:eastAsia="Times New Roman"/>
                  <w:color w:val="000000"/>
                  <w:sz w:val="20"/>
                  <w:szCs w:val="20"/>
                  <w:u w:val="none"/>
                </w:rPr>
                <w:t>Other Information</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481" w:history="1">
              <w:r>
                <w:rPr>
                  <w:rStyle w:val="a3"/>
                  <w:rFonts w:eastAsia="Times New Roman"/>
                  <w:color w:val="000000"/>
                  <w:sz w:val="20"/>
                  <w:szCs w:val="20"/>
                  <w:u w:val="none"/>
                </w:rPr>
                <w:t>207</w:t>
              </w:r>
            </w:hyperlink>
          </w:p>
        </w:tc>
      </w:tr>
      <w:tr w:rsidR="00000000">
        <w:trPr>
          <w:divId w:val="472984932"/>
        </w:trPr>
        <w:tc>
          <w:tcPr>
            <w:tcW w:w="0" w:type="auto"/>
            <w:gridSpan w:val="3"/>
            <w:tcMar>
              <w:top w:w="30" w:type="dxa"/>
              <w:left w:w="20" w:type="dxa"/>
              <w:bottom w:w="30" w:type="dxa"/>
              <w:right w:w="20" w:type="dxa"/>
            </w:tcMar>
            <w:vAlign w:val="center"/>
            <w:hideMark/>
          </w:tcPr>
          <w:p w:rsidR="00000000" w:rsidRDefault="0094004B">
            <w:pPr>
              <w:spacing w:after="100"/>
              <w:divId w:val="782384513"/>
              <w:rPr>
                <w:rFonts w:eastAsia="Times New Roman"/>
              </w:rPr>
            </w:pPr>
            <w:hyperlink w:anchor="ia820611622d9441b977884dac00e0ebd_460" w:history="1">
              <w:r>
                <w:rPr>
                  <w:rStyle w:val="a3"/>
                  <w:rFonts w:eastAsia="Times New Roman"/>
                  <w:color w:val="000000"/>
                  <w:sz w:val="20"/>
                  <w:szCs w:val="20"/>
                  <w:u w:val="none"/>
                </w:rPr>
                <w:t>Item 9C.</w:t>
              </w:r>
            </w:hyperlink>
          </w:p>
        </w:tc>
        <w:tc>
          <w:tcPr>
            <w:tcW w:w="0" w:type="auto"/>
            <w:gridSpan w:val="3"/>
            <w:tcMar>
              <w:top w:w="30" w:type="dxa"/>
              <w:left w:w="20" w:type="dxa"/>
              <w:bottom w:w="30" w:type="dxa"/>
              <w:right w:w="20" w:type="dxa"/>
            </w:tcMar>
            <w:vAlign w:val="bottom"/>
            <w:hideMark/>
          </w:tcPr>
          <w:p w:rsidR="00000000" w:rsidRDefault="0094004B">
            <w:pPr>
              <w:spacing w:after="100"/>
              <w:divId w:val="621889681"/>
              <w:rPr>
                <w:rFonts w:eastAsia="Times New Roman"/>
              </w:rPr>
            </w:pPr>
            <w:hyperlink w:anchor="ia820611622d9441b977884dac00e0ebd_460" w:history="1">
              <w:r>
                <w:rPr>
                  <w:rStyle w:val="a3"/>
                  <w:rFonts w:eastAsia="Times New Roman"/>
                  <w:color w:val="000000"/>
                  <w:sz w:val="20"/>
                  <w:szCs w:val="20"/>
                  <w:u w:val="none"/>
                </w:rPr>
                <w:t xml:space="preserve">Disclosure Regarding Foreign Jurisdictions that Prevent </w:t>
              </w:r>
            </w:hyperlink>
            <w:hyperlink w:anchor="ia820611622d9441b977884dac00e0ebd_460" w:history="1">
              <w:r>
                <w:rPr>
                  <w:rStyle w:val="a3"/>
                  <w:rFonts w:eastAsia="Times New Roman"/>
                  <w:color w:val="000000"/>
                  <w:sz w:val="20"/>
                  <w:szCs w:val="20"/>
                  <w:u w:val="none"/>
                </w:rPr>
                <w:t>Inspections</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481" w:history="1">
              <w:r>
                <w:rPr>
                  <w:rStyle w:val="a3"/>
                  <w:rFonts w:eastAsia="Times New Roman"/>
                  <w:color w:val="000000"/>
                  <w:sz w:val="20"/>
                  <w:szCs w:val="20"/>
                  <w:u w:val="none"/>
                </w:rPr>
                <w:t>207</w:t>
              </w:r>
            </w:hyperlink>
          </w:p>
        </w:tc>
      </w:tr>
      <w:tr w:rsidR="00000000">
        <w:trPr>
          <w:divId w:val="472984932"/>
          <w:trHeight w:val="280"/>
        </w:trPr>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472984932"/>
        </w:trPr>
        <w:tc>
          <w:tcPr>
            <w:tcW w:w="0" w:type="auto"/>
            <w:gridSpan w:val="6"/>
            <w:tcMar>
              <w:top w:w="30" w:type="dxa"/>
              <w:left w:w="20" w:type="dxa"/>
              <w:bottom w:w="30" w:type="dxa"/>
              <w:right w:w="20" w:type="dxa"/>
            </w:tcMar>
            <w:vAlign w:val="bottom"/>
            <w:hideMark/>
          </w:tcPr>
          <w:p w:rsidR="00000000" w:rsidRDefault="0094004B">
            <w:pPr>
              <w:spacing w:after="100"/>
              <w:divId w:val="1862549355"/>
              <w:rPr>
                <w:rFonts w:eastAsia="Times New Roman"/>
              </w:rPr>
            </w:pPr>
            <w:hyperlink w:anchor="ia820611622d9441b977884dac00e0ebd_463" w:history="1">
              <w:r>
                <w:rPr>
                  <w:rStyle w:val="a3"/>
                  <w:rFonts w:eastAsia="Times New Roman"/>
                  <w:b/>
                  <w:bCs/>
                  <w:color w:val="000000"/>
                  <w:sz w:val="20"/>
                  <w:szCs w:val="20"/>
                  <w:u w:val="none"/>
                </w:rPr>
                <w:t>PART III</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463" w:history="1">
              <w:r>
                <w:rPr>
                  <w:rStyle w:val="a3"/>
                  <w:rFonts w:eastAsia="Times New Roman"/>
                  <w:b/>
                  <w:bCs/>
                  <w:color w:val="000000"/>
                  <w:sz w:val="20"/>
                  <w:szCs w:val="20"/>
                  <w:u w:val="none"/>
                </w:rPr>
                <w:t>208</w:t>
              </w:r>
            </w:hyperlink>
          </w:p>
        </w:tc>
      </w:tr>
      <w:tr w:rsidR="00000000">
        <w:trPr>
          <w:divId w:val="472984932"/>
        </w:trPr>
        <w:tc>
          <w:tcPr>
            <w:tcW w:w="0" w:type="auto"/>
            <w:gridSpan w:val="3"/>
            <w:tcMar>
              <w:top w:w="30" w:type="dxa"/>
              <w:left w:w="20" w:type="dxa"/>
              <w:bottom w:w="30" w:type="dxa"/>
              <w:right w:w="20" w:type="dxa"/>
            </w:tcMar>
            <w:vAlign w:val="center"/>
            <w:hideMark/>
          </w:tcPr>
          <w:p w:rsidR="00000000" w:rsidRDefault="0094004B">
            <w:pPr>
              <w:spacing w:after="100"/>
              <w:divId w:val="2067679490"/>
              <w:rPr>
                <w:rFonts w:eastAsia="Times New Roman"/>
              </w:rPr>
            </w:pPr>
            <w:hyperlink w:anchor="ia820611622d9441b977884dac00e0ebd_487" w:history="1">
              <w:r>
                <w:rPr>
                  <w:rStyle w:val="a3"/>
                  <w:rFonts w:eastAsia="Times New Roman"/>
                  <w:color w:val="000000"/>
                  <w:sz w:val="20"/>
                  <w:szCs w:val="20"/>
                  <w:u w:val="none"/>
                </w:rPr>
                <w:t>Item 10.</w:t>
              </w:r>
            </w:hyperlink>
          </w:p>
        </w:tc>
        <w:tc>
          <w:tcPr>
            <w:tcW w:w="0" w:type="auto"/>
            <w:gridSpan w:val="3"/>
            <w:tcMar>
              <w:top w:w="30" w:type="dxa"/>
              <w:left w:w="20" w:type="dxa"/>
              <w:bottom w:w="30" w:type="dxa"/>
              <w:right w:w="20" w:type="dxa"/>
            </w:tcMar>
            <w:vAlign w:val="bottom"/>
            <w:hideMark/>
          </w:tcPr>
          <w:p w:rsidR="00000000" w:rsidRDefault="0094004B">
            <w:pPr>
              <w:spacing w:after="100"/>
              <w:divId w:val="1811941005"/>
              <w:rPr>
                <w:rFonts w:eastAsia="Times New Roman"/>
              </w:rPr>
            </w:pPr>
            <w:hyperlink w:anchor="ia820611622d9441b977884dac00e0ebd_487" w:history="1">
              <w:r>
                <w:rPr>
                  <w:rStyle w:val="a3"/>
                  <w:rFonts w:eastAsia="Times New Roman"/>
                  <w:color w:val="000000"/>
                  <w:sz w:val="20"/>
                  <w:szCs w:val="20"/>
                  <w:u w:val="none"/>
                </w:rPr>
                <w:t>Directors, Executive Officers and Corporate Governance</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487" w:history="1">
              <w:r>
                <w:rPr>
                  <w:rStyle w:val="a3"/>
                  <w:rFonts w:eastAsia="Times New Roman"/>
                  <w:color w:val="000000"/>
                  <w:sz w:val="20"/>
                  <w:szCs w:val="20"/>
                  <w:u w:val="none"/>
                </w:rPr>
                <w:t>208</w:t>
              </w:r>
            </w:hyperlink>
          </w:p>
        </w:tc>
      </w:tr>
      <w:tr w:rsidR="00000000">
        <w:trPr>
          <w:divId w:val="472984932"/>
        </w:trPr>
        <w:tc>
          <w:tcPr>
            <w:tcW w:w="0" w:type="auto"/>
            <w:gridSpan w:val="3"/>
            <w:tcMar>
              <w:top w:w="30" w:type="dxa"/>
              <w:left w:w="20" w:type="dxa"/>
              <w:bottom w:w="30" w:type="dxa"/>
              <w:right w:w="20" w:type="dxa"/>
            </w:tcMar>
            <w:vAlign w:val="center"/>
            <w:hideMark/>
          </w:tcPr>
          <w:p w:rsidR="00000000" w:rsidRDefault="0094004B">
            <w:pPr>
              <w:spacing w:after="100"/>
              <w:divId w:val="1428237031"/>
              <w:rPr>
                <w:rFonts w:eastAsia="Times New Roman"/>
              </w:rPr>
            </w:pPr>
            <w:hyperlink w:anchor="ia820611622d9441b977884dac00e0ebd_490" w:history="1">
              <w:r>
                <w:rPr>
                  <w:rStyle w:val="a3"/>
                  <w:rFonts w:eastAsia="Times New Roman"/>
                  <w:color w:val="000000"/>
                  <w:sz w:val="20"/>
                  <w:szCs w:val="20"/>
                  <w:u w:val="none"/>
                </w:rPr>
                <w:t>Item 11.</w:t>
              </w:r>
            </w:hyperlink>
          </w:p>
        </w:tc>
        <w:tc>
          <w:tcPr>
            <w:tcW w:w="0" w:type="auto"/>
            <w:gridSpan w:val="3"/>
            <w:tcMar>
              <w:top w:w="30" w:type="dxa"/>
              <w:left w:w="20" w:type="dxa"/>
              <w:bottom w:w="30" w:type="dxa"/>
              <w:right w:w="20" w:type="dxa"/>
            </w:tcMar>
            <w:vAlign w:val="bottom"/>
            <w:hideMark/>
          </w:tcPr>
          <w:p w:rsidR="00000000" w:rsidRDefault="0094004B">
            <w:pPr>
              <w:spacing w:after="100"/>
              <w:divId w:val="1861772088"/>
              <w:rPr>
                <w:rFonts w:eastAsia="Times New Roman"/>
              </w:rPr>
            </w:pPr>
            <w:hyperlink w:anchor="ia820611622d9441b977884dac00e0ebd_490" w:history="1">
              <w:r>
                <w:rPr>
                  <w:rStyle w:val="a3"/>
                  <w:rFonts w:eastAsia="Times New Roman"/>
                  <w:color w:val="000000"/>
                  <w:sz w:val="20"/>
                  <w:szCs w:val="20"/>
                  <w:u w:val="none"/>
                </w:rPr>
                <w:t>Executive Compensation</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490" w:history="1">
              <w:r>
                <w:rPr>
                  <w:rStyle w:val="a3"/>
                  <w:rFonts w:eastAsia="Times New Roman"/>
                  <w:color w:val="000000"/>
                  <w:sz w:val="20"/>
                  <w:szCs w:val="20"/>
                  <w:u w:val="none"/>
                </w:rPr>
                <w:t>208</w:t>
              </w:r>
            </w:hyperlink>
          </w:p>
        </w:tc>
      </w:tr>
      <w:tr w:rsidR="00000000">
        <w:trPr>
          <w:divId w:val="472984932"/>
        </w:trPr>
        <w:tc>
          <w:tcPr>
            <w:tcW w:w="0" w:type="auto"/>
            <w:gridSpan w:val="3"/>
            <w:tcMar>
              <w:top w:w="30" w:type="dxa"/>
              <w:left w:w="20" w:type="dxa"/>
              <w:bottom w:w="30" w:type="dxa"/>
              <w:right w:w="20" w:type="dxa"/>
            </w:tcMar>
            <w:vAlign w:val="center"/>
            <w:hideMark/>
          </w:tcPr>
          <w:p w:rsidR="00000000" w:rsidRDefault="0094004B">
            <w:pPr>
              <w:spacing w:after="100"/>
              <w:divId w:val="1868831974"/>
              <w:rPr>
                <w:rFonts w:eastAsia="Times New Roman"/>
              </w:rPr>
            </w:pPr>
            <w:hyperlink w:anchor="ia820611622d9441b977884dac00e0ebd_493" w:history="1">
              <w:r>
                <w:rPr>
                  <w:rStyle w:val="a3"/>
                  <w:rFonts w:eastAsia="Times New Roman"/>
                  <w:color w:val="000000"/>
                  <w:sz w:val="20"/>
                  <w:szCs w:val="20"/>
                  <w:u w:val="none"/>
                </w:rPr>
                <w:t>Item 12.</w:t>
              </w:r>
            </w:hyperlink>
          </w:p>
        </w:tc>
        <w:tc>
          <w:tcPr>
            <w:tcW w:w="0" w:type="auto"/>
            <w:gridSpan w:val="3"/>
            <w:tcMar>
              <w:top w:w="30" w:type="dxa"/>
              <w:left w:w="20" w:type="dxa"/>
              <w:bottom w:w="30" w:type="dxa"/>
              <w:right w:w="20" w:type="dxa"/>
            </w:tcMar>
            <w:vAlign w:val="bottom"/>
            <w:hideMark/>
          </w:tcPr>
          <w:p w:rsidR="00000000" w:rsidRDefault="0094004B">
            <w:pPr>
              <w:spacing w:after="100"/>
              <w:divId w:val="760419058"/>
              <w:rPr>
                <w:rFonts w:eastAsia="Times New Roman"/>
              </w:rPr>
            </w:pPr>
            <w:hyperlink w:anchor="ia820611622d9441b977884dac00e0ebd_493" w:history="1">
              <w:r>
                <w:rPr>
                  <w:rStyle w:val="a3"/>
                  <w:rFonts w:eastAsia="Times New Roman"/>
                  <w:color w:val="000000"/>
                  <w:sz w:val="20"/>
                  <w:szCs w:val="20"/>
                  <w:u w:val="none"/>
                </w:rPr>
                <w:t>Security Ownership of Certain Beneficial Owners and Management and Related Stockholder Matters</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493" w:history="1">
              <w:r>
                <w:rPr>
                  <w:rStyle w:val="a3"/>
                  <w:rFonts w:eastAsia="Times New Roman"/>
                  <w:color w:val="000000"/>
                  <w:sz w:val="20"/>
                  <w:szCs w:val="20"/>
                  <w:u w:val="none"/>
                </w:rPr>
                <w:t>208</w:t>
              </w:r>
            </w:hyperlink>
          </w:p>
        </w:tc>
      </w:tr>
      <w:tr w:rsidR="00000000">
        <w:trPr>
          <w:divId w:val="472984932"/>
        </w:trPr>
        <w:tc>
          <w:tcPr>
            <w:tcW w:w="0" w:type="auto"/>
            <w:gridSpan w:val="3"/>
            <w:tcMar>
              <w:top w:w="30" w:type="dxa"/>
              <w:left w:w="20" w:type="dxa"/>
              <w:bottom w:w="30" w:type="dxa"/>
              <w:right w:w="20" w:type="dxa"/>
            </w:tcMar>
            <w:vAlign w:val="center"/>
            <w:hideMark/>
          </w:tcPr>
          <w:p w:rsidR="00000000" w:rsidRDefault="0094004B">
            <w:pPr>
              <w:spacing w:after="100"/>
              <w:divId w:val="1318996754"/>
              <w:rPr>
                <w:rFonts w:eastAsia="Times New Roman"/>
              </w:rPr>
            </w:pPr>
            <w:hyperlink w:anchor="ia820611622d9441b977884dac00e0ebd_496" w:history="1">
              <w:r>
                <w:rPr>
                  <w:rStyle w:val="a3"/>
                  <w:rFonts w:eastAsia="Times New Roman"/>
                  <w:color w:val="000000"/>
                  <w:sz w:val="20"/>
                  <w:szCs w:val="20"/>
                  <w:u w:val="none"/>
                </w:rPr>
                <w:t>Item 13.</w:t>
              </w:r>
            </w:hyperlink>
          </w:p>
        </w:tc>
        <w:tc>
          <w:tcPr>
            <w:tcW w:w="0" w:type="auto"/>
            <w:gridSpan w:val="3"/>
            <w:tcMar>
              <w:top w:w="30" w:type="dxa"/>
              <w:left w:w="20" w:type="dxa"/>
              <w:bottom w:w="30" w:type="dxa"/>
              <w:right w:w="20" w:type="dxa"/>
            </w:tcMar>
            <w:vAlign w:val="bottom"/>
            <w:hideMark/>
          </w:tcPr>
          <w:p w:rsidR="00000000" w:rsidRDefault="0094004B">
            <w:pPr>
              <w:spacing w:after="100"/>
              <w:divId w:val="335885883"/>
              <w:rPr>
                <w:rFonts w:eastAsia="Times New Roman"/>
              </w:rPr>
            </w:pPr>
            <w:hyperlink w:anchor="ia820611622d9441b977884dac00e0ebd_496" w:history="1">
              <w:r>
                <w:rPr>
                  <w:rStyle w:val="a3"/>
                  <w:rFonts w:eastAsia="Times New Roman"/>
                  <w:color w:val="000000"/>
                  <w:sz w:val="20"/>
                  <w:szCs w:val="20"/>
                  <w:u w:val="none"/>
                </w:rPr>
                <w:t>Certain Relationships and Related Transactions, and Director Independence</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496" w:history="1">
              <w:r>
                <w:rPr>
                  <w:rStyle w:val="a3"/>
                  <w:rFonts w:eastAsia="Times New Roman"/>
                  <w:color w:val="000000"/>
                  <w:sz w:val="20"/>
                  <w:szCs w:val="20"/>
                  <w:u w:val="none"/>
                </w:rPr>
                <w:t>208</w:t>
              </w:r>
            </w:hyperlink>
          </w:p>
        </w:tc>
      </w:tr>
      <w:tr w:rsidR="00000000">
        <w:trPr>
          <w:divId w:val="472984932"/>
        </w:trPr>
        <w:tc>
          <w:tcPr>
            <w:tcW w:w="0" w:type="auto"/>
            <w:gridSpan w:val="3"/>
            <w:tcMar>
              <w:top w:w="30" w:type="dxa"/>
              <w:left w:w="20" w:type="dxa"/>
              <w:bottom w:w="30" w:type="dxa"/>
              <w:right w:w="20" w:type="dxa"/>
            </w:tcMar>
            <w:vAlign w:val="center"/>
            <w:hideMark/>
          </w:tcPr>
          <w:p w:rsidR="00000000" w:rsidRDefault="0094004B">
            <w:pPr>
              <w:spacing w:after="100"/>
              <w:divId w:val="417219857"/>
              <w:rPr>
                <w:rFonts w:eastAsia="Times New Roman"/>
              </w:rPr>
            </w:pPr>
            <w:hyperlink w:anchor="ia820611622d9441b977884dac00e0ebd_499" w:history="1">
              <w:r>
                <w:rPr>
                  <w:rStyle w:val="a3"/>
                  <w:rFonts w:eastAsia="Times New Roman"/>
                  <w:color w:val="000000"/>
                  <w:sz w:val="20"/>
                  <w:szCs w:val="20"/>
                  <w:u w:val="none"/>
                </w:rPr>
                <w:t>Item 14.</w:t>
              </w:r>
            </w:hyperlink>
          </w:p>
        </w:tc>
        <w:tc>
          <w:tcPr>
            <w:tcW w:w="0" w:type="auto"/>
            <w:gridSpan w:val="3"/>
            <w:tcMar>
              <w:top w:w="30" w:type="dxa"/>
              <w:left w:w="20" w:type="dxa"/>
              <w:bottom w:w="30" w:type="dxa"/>
              <w:right w:w="20" w:type="dxa"/>
            </w:tcMar>
            <w:vAlign w:val="bottom"/>
            <w:hideMark/>
          </w:tcPr>
          <w:p w:rsidR="00000000" w:rsidRDefault="0094004B">
            <w:pPr>
              <w:spacing w:after="100"/>
              <w:divId w:val="837620960"/>
              <w:rPr>
                <w:rFonts w:eastAsia="Times New Roman"/>
              </w:rPr>
            </w:pPr>
            <w:hyperlink w:anchor="ia820611622d9441b977884dac00e0ebd_499" w:history="1">
              <w:r>
                <w:rPr>
                  <w:rStyle w:val="a3"/>
                  <w:rFonts w:eastAsia="Times New Roman"/>
                  <w:color w:val="000000"/>
                  <w:sz w:val="20"/>
                  <w:szCs w:val="20"/>
                  <w:u w:val="none"/>
                </w:rPr>
                <w:t>Principal Accountant Fees and Services</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499" w:history="1">
              <w:r>
                <w:rPr>
                  <w:rStyle w:val="a3"/>
                  <w:rFonts w:eastAsia="Times New Roman"/>
                  <w:color w:val="000000"/>
                  <w:sz w:val="20"/>
                  <w:szCs w:val="20"/>
                  <w:u w:val="none"/>
                </w:rPr>
                <w:t>208</w:t>
              </w:r>
            </w:hyperlink>
          </w:p>
        </w:tc>
      </w:tr>
      <w:tr w:rsidR="00000000">
        <w:trPr>
          <w:divId w:val="472984932"/>
        </w:trPr>
        <w:tc>
          <w:tcPr>
            <w:tcW w:w="0" w:type="auto"/>
            <w:gridSpan w:val="3"/>
            <w:vAlign w:val="center"/>
            <w:hideMark/>
          </w:tcPr>
          <w:p w:rsidR="00000000" w:rsidRDefault="0094004B">
            <w:pPr>
              <w:spacing w:after="100"/>
              <w:jc w:val="center"/>
              <w:rPr>
                <w:rFonts w:eastAsia="Times New Roman"/>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472984932"/>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472984932"/>
          <w:trHeight w:val="300"/>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472984932"/>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472984932"/>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472984932"/>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472984932"/>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472984932"/>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472984932"/>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472984932"/>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472984932"/>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472984932"/>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472984932"/>
        </w:trPr>
        <w:tc>
          <w:tcPr>
            <w:tcW w:w="0" w:type="auto"/>
            <w:gridSpan w:val="6"/>
            <w:tcMar>
              <w:top w:w="30" w:type="dxa"/>
              <w:left w:w="20" w:type="dxa"/>
              <w:bottom w:w="30" w:type="dxa"/>
              <w:right w:w="20" w:type="dxa"/>
            </w:tcMar>
            <w:vAlign w:val="bottom"/>
            <w:hideMark/>
          </w:tcPr>
          <w:p w:rsidR="00000000" w:rsidRDefault="0094004B">
            <w:pPr>
              <w:spacing w:after="100"/>
              <w:divId w:val="1764494163"/>
              <w:rPr>
                <w:rFonts w:eastAsia="Times New Roman"/>
              </w:rPr>
            </w:pPr>
            <w:hyperlink w:anchor="ia820611622d9441b977884dac00e0ebd_502" w:history="1">
              <w:r>
                <w:rPr>
                  <w:rStyle w:val="a3"/>
                  <w:rFonts w:eastAsia="Times New Roman"/>
                  <w:b/>
                  <w:bCs/>
                  <w:color w:val="000000"/>
                  <w:sz w:val="20"/>
                  <w:szCs w:val="20"/>
                  <w:u w:val="none"/>
                </w:rPr>
                <w:t>PART IV</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502" w:history="1">
              <w:r>
                <w:rPr>
                  <w:rStyle w:val="a3"/>
                  <w:rFonts w:eastAsia="Times New Roman"/>
                  <w:b/>
                  <w:bCs/>
                  <w:color w:val="000000"/>
                  <w:sz w:val="20"/>
                  <w:szCs w:val="20"/>
                  <w:u w:val="none"/>
                </w:rPr>
                <w:t>209</w:t>
              </w:r>
            </w:hyperlink>
          </w:p>
        </w:tc>
      </w:tr>
      <w:tr w:rsidR="00000000">
        <w:trPr>
          <w:divId w:val="472984932"/>
        </w:trPr>
        <w:tc>
          <w:tcPr>
            <w:tcW w:w="0" w:type="auto"/>
            <w:gridSpan w:val="3"/>
            <w:tcMar>
              <w:top w:w="30" w:type="dxa"/>
              <w:left w:w="20" w:type="dxa"/>
              <w:bottom w:w="30" w:type="dxa"/>
              <w:right w:w="20" w:type="dxa"/>
            </w:tcMar>
            <w:vAlign w:val="center"/>
            <w:hideMark/>
          </w:tcPr>
          <w:p w:rsidR="00000000" w:rsidRDefault="0094004B">
            <w:pPr>
              <w:spacing w:after="100"/>
              <w:divId w:val="1822229624"/>
              <w:rPr>
                <w:rFonts w:eastAsia="Times New Roman"/>
              </w:rPr>
            </w:pPr>
            <w:hyperlink w:anchor="ia820611622d9441b977884dac00e0ebd_505" w:history="1">
              <w:r>
                <w:rPr>
                  <w:rStyle w:val="a3"/>
                  <w:rFonts w:eastAsia="Times New Roman"/>
                  <w:color w:val="000000"/>
                  <w:sz w:val="20"/>
                  <w:szCs w:val="20"/>
                  <w:u w:val="none"/>
                </w:rPr>
                <w:t>Item 15.</w:t>
              </w:r>
            </w:hyperlink>
          </w:p>
        </w:tc>
        <w:tc>
          <w:tcPr>
            <w:tcW w:w="0" w:type="auto"/>
            <w:gridSpan w:val="3"/>
            <w:tcMar>
              <w:top w:w="30" w:type="dxa"/>
              <w:left w:w="20" w:type="dxa"/>
              <w:bottom w:w="30" w:type="dxa"/>
              <w:right w:w="20" w:type="dxa"/>
            </w:tcMar>
            <w:vAlign w:val="bottom"/>
            <w:hideMark/>
          </w:tcPr>
          <w:p w:rsidR="00000000" w:rsidRDefault="0094004B">
            <w:pPr>
              <w:spacing w:after="100"/>
              <w:divId w:val="50230961"/>
              <w:rPr>
                <w:rFonts w:eastAsia="Times New Roman"/>
              </w:rPr>
            </w:pPr>
            <w:hyperlink w:anchor="ia820611622d9441b977884dac00e0ebd_505" w:history="1">
              <w:r>
                <w:rPr>
                  <w:rStyle w:val="a3"/>
                  <w:rFonts w:eastAsia="Times New Roman"/>
                  <w:color w:val="000000"/>
                  <w:sz w:val="20"/>
                  <w:szCs w:val="20"/>
                  <w:u w:val="none"/>
                </w:rPr>
                <w:t>Exhibits and Financial Statement Schedules</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505" w:history="1">
              <w:r>
                <w:rPr>
                  <w:rStyle w:val="a3"/>
                  <w:rFonts w:eastAsia="Times New Roman"/>
                  <w:color w:val="000000"/>
                  <w:sz w:val="20"/>
                  <w:szCs w:val="20"/>
                  <w:u w:val="none"/>
                </w:rPr>
                <w:t>209</w:t>
              </w:r>
            </w:hyperlink>
          </w:p>
        </w:tc>
      </w:tr>
      <w:tr w:rsidR="00000000">
        <w:trPr>
          <w:divId w:val="472984932"/>
        </w:trPr>
        <w:tc>
          <w:tcPr>
            <w:tcW w:w="0" w:type="auto"/>
            <w:gridSpan w:val="3"/>
            <w:tcMar>
              <w:top w:w="30" w:type="dxa"/>
              <w:left w:w="20" w:type="dxa"/>
              <w:bottom w:w="30" w:type="dxa"/>
              <w:right w:w="20" w:type="dxa"/>
            </w:tcMar>
            <w:vAlign w:val="center"/>
            <w:hideMark/>
          </w:tcPr>
          <w:p w:rsidR="00000000" w:rsidRDefault="0094004B">
            <w:pPr>
              <w:spacing w:after="100"/>
              <w:divId w:val="25372586"/>
              <w:rPr>
                <w:rFonts w:eastAsia="Times New Roman"/>
              </w:rPr>
            </w:pPr>
            <w:hyperlink w:anchor="ia820611622d9441b977884dac00e0ebd_508" w:history="1">
              <w:r>
                <w:rPr>
                  <w:rStyle w:val="a3"/>
                  <w:rFonts w:eastAsia="Times New Roman"/>
                  <w:color w:val="000000"/>
                  <w:sz w:val="20"/>
                  <w:szCs w:val="20"/>
                  <w:u w:val="none"/>
                </w:rPr>
                <w:t>Item 16.</w:t>
              </w:r>
            </w:hyperlink>
          </w:p>
        </w:tc>
        <w:tc>
          <w:tcPr>
            <w:tcW w:w="0" w:type="auto"/>
            <w:gridSpan w:val="3"/>
            <w:tcMar>
              <w:top w:w="30" w:type="dxa"/>
              <w:left w:w="20" w:type="dxa"/>
              <w:bottom w:w="30" w:type="dxa"/>
              <w:right w:w="20" w:type="dxa"/>
            </w:tcMar>
            <w:vAlign w:val="bottom"/>
            <w:hideMark/>
          </w:tcPr>
          <w:p w:rsidR="00000000" w:rsidRDefault="0094004B">
            <w:pPr>
              <w:spacing w:after="100"/>
              <w:divId w:val="649939899"/>
              <w:rPr>
                <w:rFonts w:eastAsia="Times New Roman"/>
              </w:rPr>
            </w:pPr>
            <w:hyperlink w:anchor="ia820611622d9441b977884dac00e0ebd_508" w:history="1">
              <w:r>
                <w:rPr>
                  <w:rStyle w:val="a3"/>
                  <w:rFonts w:eastAsia="Times New Roman"/>
                  <w:color w:val="000000"/>
                  <w:sz w:val="20"/>
                  <w:szCs w:val="20"/>
                  <w:u w:val="none"/>
                </w:rPr>
                <w:t>Form 10-K Summary</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508" w:history="1">
              <w:r>
                <w:rPr>
                  <w:rStyle w:val="a3"/>
                  <w:rFonts w:eastAsia="Times New Roman"/>
                  <w:color w:val="000000"/>
                  <w:sz w:val="20"/>
                  <w:szCs w:val="20"/>
                  <w:u w:val="none"/>
                </w:rPr>
                <w:t>209</w:t>
              </w:r>
            </w:hyperlink>
          </w:p>
        </w:tc>
      </w:tr>
      <w:tr w:rsidR="00000000">
        <w:trPr>
          <w:divId w:val="472984932"/>
          <w:trHeight w:val="300"/>
        </w:trPr>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472984932"/>
        </w:trPr>
        <w:tc>
          <w:tcPr>
            <w:tcW w:w="0" w:type="auto"/>
            <w:gridSpan w:val="6"/>
            <w:tcMar>
              <w:top w:w="30" w:type="dxa"/>
              <w:left w:w="20" w:type="dxa"/>
              <w:bottom w:w="30" w:type="dxa"/>
              <w:right w:w="20" w:type="dxa"/>
            </w:tcMar>
            <w:hideMark/>
          </w:tcPr>
          <w:p w:rsidR="00000000" w:rsidRDefault="0094004B">
            <w:pPr>
              <w:spacing w:after="100"/>
              <w:divId w:val="1610313660"/>
              <w:rPr>
                <w:rFonts w:eastAsia="Times New Roman"/>
              </w:rPr>
            </w:pPr>
            <w:hyperlink w:anchor="ia820611622d9441b977884dac00e0ebd_511" w:history="1">
              <w:r>
                <w:rPr>
                  <w:rStyle w:val="a3"/>
                  <w:rFonts w:eastAsia="Times New Roman"/>
                  <w:b/>
                  <w:bCs/>
                  <w:color w:val="000000"/>
                  <w:sz w:val="20"/>
                  <w:szCs w:val="20"/>
                  <w:u w:val="none"/>
                </w:rPr>
                <w:t>EXHIBIT INDEX</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511" w:history="1">
              <w:r>
                <w:rPr>
                  <w:rStyle w:val="a3"/>
                  <w:rFonts w:eastAsia="Times New Roman"/>
                  <w:b/>
                  <w:bCs/>
                  <w:color w:val="000000"/>
                  <w:sz w:val="20"/>
                  <w:szCs w:val="20"/>
                  <w:u w:val="none"/>
                </w:rPr>
                <w:t>210</w:t>
              </w:r>
            </w:hyperlink>
          </w:p>
        </w:tc>
      </w:tr>
      <w:tr w:rsidR="00000000">
        <w:trPr>
          <w:divId w:val="472984932"/>
        </w:trPr>
        <w:tc>
          <w:tcPr>
            <w:tcW w:w="0" w:type="auto"/>
            <w:gridSpan w:val="6"/>
            <w:tcMar>
              <w:top w:w="30" w:type="dxa"/>
              <w:left w:w="20" w:type="dxa"/>
              <w:bottom w:w="30" w:type="dxa"/>
              <w:right w:w="20" w:type="dxa"/>
            </w:tcMar>
            <w:hideMark/>
          </w:tcPr>
          <w:p w:rsidR="00000000" w:rsidRDefault="0094004B">
            <w:pPr>
              <w:spacing w:after="100"/>
              <w:divId w:val="708602378"/>
              <w:rPr>
                <w:rFonts w:eastAsia="Times New Roman"/>
              </w:rPr>
            </w:pPr>
            <w:hyperlink w:anchor="ia820611622d9441b977884dac00e0ebd_514" w:history="1">
              <w:r>
                <w:rPr>
                  <w:rStyle w:val="a3"/>
                  <w:rFonts w:eastAsia="Times New Roman"/>
                  <w:b/>
                  <w:bCs/>
                  <w:color w:val="000000"/>
                  <w:sz w:val="20"/>
                  <w:szCs w:val="20"/>
                  <w:u w:val="none"/>
                </w:rPr>
                <w:t>SIGNATURES</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514" w:history="1">
              <w:r>
                <w:rPr>
                  <w:rStyle w:val="a3"/>
                  <w:rFonts w:eastAsia="Times New Roman"/>
                  <w:b/>
                  <w:bCs/>
                  <w:color w:val="000000"/>
                  <w:sz w:val="20"/>
                  <w:szCs w:val="20"/>
                  <w:u w:val="none"/>
                </w:rPr>
                <w:t>214</w:t>
              </w:r>
            </w:hyperlink>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2</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027" style="width:0;height:1.5pt" o:hralign="center" o:hrstd="t" o:hr="t" fillcolor="#a0a0a0" stroked="f"/>
        </w:pict>
      </w:r>
    </w:p>
    <w:p w:rsidR="00000000" w:rsidRDefault="0094004B">
      <w:pPr>
        <w:jc w:val="both"/>
        <w:divId w:val="1940789632"/>
        <w:rPr>
          <w:rFonts w:eastAsia="Times New Roman"/>
        </w:rPr>
      </w:pPr>
    </w:p>
    <w:p w:rsidR="00000000" w:rsidRDefault="0094004B">
      <w:pPr>
        <w:jc w:val="center"/>
        <w:divId w:val="281308050"/>
        <w:rPr>
          <w:rFonts w:eastAsia="Times New Roman"/>
        </w:rPr>
      </w:pPr>
      <w:r>
        <w:rPr>
          <w:rFonts w:eastAsia="Times New Roman"/>
          <w:b/>
          <w:bCs/>
          <w:color w:val="000000"/>
          <w:sz w:val="20"/>
          <w:szCs w:val="20"/>
        </w:rPr>
        <w:t>INDEX OF MD&amp;A AND SUPPLEMENTAL TABLES</w:t>
      </w:r>
    </w:p>
    <w:tbl>
      <w:tblPr>
        <w:tblW w:w="4837" w:type="pct"/>
        <w:jc w:val="center"/>
        <w:tblCellMar>
          <w:top w:w="15" w:type="dxa"/>
          <w:left w:w="15" w:type="dxa"/>
          <w:bottom w:w="15" w:type="dxa"/>
          <w:right w:w="15" w:type="dxa"/>
        </w:tblCellMar>
        <w:tblLook w:val="04A0" w:firstRow="1" w:lastRow="0" w:firstColumn="1" w:lastColumn="0" w:noHBand="0" w:noVBand="1"/>
      </w:tblPr>
      <w:tblGrid>
        <w:gridCol w:w="65"/>
        <w:gridCol w:w="588"/>
        <w:gridCol w:w="38"/>
        <w:gridCol w:w="65"/>
        <w:gridCol w:w="6738"/>
        <w:gridCol w:w="40"/>
        <w:gridCol w:w="73"/>
        <w:gridCol w:w="392"/>
        <w:gridCol w:w="36"/>
      </w:tblGrid>
      <w:tr w:rsidR="00000000">
        <w:trPr>
          <w:divId w:val="946037557"/>
          <w:jc w:val="center"/>
        </w:trPr>
        <w:tc>
          <w:tcPr>
            <w:tcW w:w="50" w:type="pct"/>
            <w:vAlign w:val="center"/>
            <w:hideMark/>
          </w:tcPr>
          <w:p w:rsidR="00000000" w:rsidRDefault="0094004B">
            <w:pPr>
              <w:jc w:val="center"/>
              <w:rPr>
                <w:rFonts w:eastAsia="Times New Roman"/>
              </w:rPr>
            </w:pPr>
          </w:p>
        </w:tc>
        <w:tc>
          <w:tcPr>
            <w:tcW w:w="37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200"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58"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946037557"/>
          <w:jc w:val="center"/>
        </w:trPr>
        <w:tc>
          <w:tcPr>
            <w:tcW w:w="0" w:type="auto"/>
            <w:gridSpan w:val="6"/>
            <w:tcMar>
              <w:top w:w="30" w:type="dxa"/>
              <w:left w:w="20" w:type="dxa"/>
              <w:bottom w:w="30" w:type="dxa"/>
              <w:right w:w="20" w:type="dxa"/>
            </w:tcMar>
            <w:vAlign w:val="bottom"/>
            <w:hideMark/>
          </w:tcPr>
          <w:p w:rsidR="00000000" w:rsidRDefault="0094004B">
            <w:pPr>
              <w:spacing w:after="100"/>
              <w:divId w:val="1737126911"/>
              <w:rPr>
                <w:rFonts w:eastAsia="Times New Roman"/>
              </w:rPr>
            </w:pPr>
            <w:hyperlink w:anchor="ia820611622d9441b977884dac00e0ebd_82" w:history="1">
              <w:r>
                <w:rPr>
                  <w:rStyle w:val="a3"/>
                  <w:rFonts w:eastAsia="Times New Roman"/>
                  <w:b/>
                  <w:bCs/>
                  <w:color w:val="000000"/>
                  <w:sz w:val="20"/>
                  <w:szCs w:val="20"/>
                  <w:u w:val="none"/>
                </w:rPr>
                <w:t>MD&amp;A Tables:</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Page</w:t>
            </w:r>
          </w:p>
        </w:tc>
      </w:tr>
      <w:tr w:rsidR="00000000">
        <w:trPr>
          <w:divId w:val="946037557"/>
          <w:jc w:val="center"/>
        </w:trPr>
        <w:tc>
          <w:tcPr>
            <w:tcW w:w="0" w:type="auto"/>
            <w:gridSpan w:val="3"/>
            <w:vAlign w:val="center"/>
            <w:hideMark/>
          </w:tcPr>
          <w:p w:rsidR="00000000" w:rsidRDefault="0094004B">
            <w:pPr>
              <w:spacing w:after="100"/>
              <w:jc w:val="center"/>
              <w:rPr>
                <w:rFonts w:eastAsia="Times New Roman"/>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46037557"/>
          <w:jc w:val="center"/>
        </w:trPr>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20"/>
                <w:szCs w:val="20"/>
              </w:rPr>
              <w:t>1</w:t>
            </w:r>
          </w:p>
        </w:tc>
        <w:tc>
          <w:tcPr>
            <w:tcW w:w="0" w:type="auto"/>
            <w:gridSpan w:val="3"/>
            <w:tcMar>
              <w:top w:w="30" w:type="dxa"/>
              <w:left w:w="20" w:type="dxa"/>
              <w:bottom w:w="30" w:type="dxa"/>
              <w:right w:w="20" w:type="dxa"/>
            </w:tcMar>
            <w:vAlign w:val="bottom"/>
            <w:hideMark/>
          </w:tcPr>
          <w:p w:rsidR="00000000" w:rsidRDefault="0094004B">
            <w:pPr>
              <w:spacing w:after="100"/>
              <w:divId w:val="893659208"/>
              <w:rPr>
                <w:rFonts w:eastAsia="Times New Roman"/>
              </w:rPr>
            </w:pPr>
            <w:hyperlink w:anchor="ia820611622d9441b977884dac00e0ebd_115" w:history="1">
              <w:r>
                <w:rPr>
                  <w:rStyle w:val="a3"/>
                  <w:rFonts w:eastAsia="Times New Roman"/>
                  <w:color w:val="000000"/>
                  <w:sz w:val="20"/>
                  <w:szCs w:val="20"/>
                  <w:u w:val="none"/>
                </w:rPr>
                <w:t>Average Balances, Net Interest Income and Net Interest Margin</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115" w:history="1">
              <w:r>
                <w:rPr>
                  <w:rStyle w:val="a3"/>
                  <w:rFonts w:eastAsia="Times New Roman"/>
                  <w:color w:val="000000"/>
                  <w:sz w:val="20"/>
                  <w:szCs w:val="20"/>
                  <w:u w:val="none"/>
                </w:rPr>
                <w:t>50</w:t>
              </w:r>
            </w:hyperlink>
          </w:p>
        </w:tc>
      </w:tr>
      <w:tr w:rsidR="00000000">
        <w:trPr>
          <w:divId w:val="946037557"/>
          <w:jc w:val="center"/>
        </w:trPr>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20"/>
                <w:szCs w:val="20"/>
              </w:rPr>
              <w:t>2</w:t>
            </w:r>
          </w:p>
        </w:tc>
        <w:tc>
          <w:tcPr>
            <w:tcW w:w="0" w:type="auto"/>
            <w:gridSpan w:val="3"/>
            <w:tcMar>
              <w:top w:w="30" w:type="dxa"/>
              <w:left w:w="20" w:type="dxa"/>
              <w:bottom w:w="30" w:type="dxa"/>
              <w:right w:w="20" w:type="dxa"/>
            </w:tcMar>
            <w:vAlign w:val="bottom"/>
            <w:hideMark/>
          </w:tcPr>
          <w:p w:rsidR="00000000" w:rsidRDefault="0094004B">
            <w:pPr>
              <w:spacing w:after="100"/>
              <w:divId w:val="1746956773"/>
              <w:rPr>
                <w:rFonts w:eastAsia="Times New Roman"/>
              </w:rPr>
            </w:pPr>
            <w:hyperlink w:anchor="ia820611622d9441b977884dac00e0ebd_118" w:history="1">
              <w:r>
                <w:rPr>
                  <w:rStyle w:val="a3"/>
                  <w:rFonts w:eastAsia="Times New Roman"/>
                  <w:color w:val="000000"/>
                  <w:sz w:val="20"/>
                  <w:szCs w:val="20"/>
                  <w:u w:val="none"/>
                </w:rPr>
                <w:t>Rate/Volume Analysis of Net Interest Income</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118" w:history="1">
              <w:r>
                <w:rPr>
                  <w:rStyle w:val="a3"/>
                  <w:rFonts w:eastAsia="Times New Roman"/>
                  <w:color w:val="000000"/>
                  <w:sz w:val="20"/>
                  <w:szCs w:val="20"/>
                  <w:u w:val="none"/>
                </w:rPr>
                <w:t>51</w:t>
              </w:r>
            </w:hyperlink>
          </w:p>
        </w:tc>
      </w:tr>
      <w:tr w:rsidR="00000000">
        <w:trPr>
          <w:divId w:val="946037557"/>
          <w:jc w:val="center"/>
        </w:trPr>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20"/>
                <w:szCs w:val="20"/>
              </w:rPr>
              <w:t>3</w:t>
            </w:r>
          </w:p>
        </w:tc>
        <w:tc>
          <w:tcPr>
            <w:tcW w:w="0" w:type="auto"/>
            <w:gridSpan w:val="3"/>
            <w:tcMar>
              <w:top w:w="30" w:type="dxa"/>
              <w:left w:w="20" w:type="dxa"/>
              <w:bottom w:w="30" w:type="dxa"/>
              <w:right w:w="20" w:type="dxa"/>
            </w:tcMar>
            <w:vAlign w:val="bottom"/>
            <w:hideMark/>
          </w:tcPr>
          <w:p w:rsidR="00000000" w:rsidRDefault="0094004B">
            <w:pPr>
              <w:spacing w:after="100"/>
              <w:divId w:val="358697931"/>
              <w:rPr>
                <w:rFonts w:eastAsia="Times New Roman"/>
              </w:rPr>
            </w:pPr>
            <w:hyperlink w:anchor="ia820611622d9441b977884dac00e0ebd_121" w:history="1">
              <w:r>
                <w:rPr>
                  <w:rStyle w:val="a3"/>
                  <w:rFonts w:eastAsia="Times New Roman"/>
                  <w:color w:val="000000"/>
                  <w:sz w:val="20"/>
                  <w:szCs w:val="20"/>
                  <w:u w:val="none"/>
                </w:rPr>
                <w:t>Non-Interest Income</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121" w:history="1">
              <w:r>
                <w:rPr>
                  <w:rStyle w:val="a3"/>
                  <w:rFonts w:eastAsia="Times New Roman"/>
                  <w:color w:val="000000"/>
                  <w:sz w:val="20"/>
                  <w:szCs w:val="20"/>
                  <w:u w:val="none"/>
                </w:rPr>
                <w:t>52</w:t>
              </w:r>
            </w:hyperlink>
          </w:p>
        </w:tc>
      </w:tr>
      <w:tr w:rsidR="00000000">
        <w:trPr>
          <w:divId w:val="946037557"/>
          <w:jc w:val="center"/>
        </w:trPr>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20"/>
                <w:szCs w:val="20"/>
              </w:rPr>
              <w:t>4</w:t>
            </w:r>
          </w:p>
        </w:tc>
        <w:tc>
          <w:tcPr>
            <w:tcW w:w="0" w:type="auto"/>
            <w:gridSpan w:val="3"/>
            <w:tcMar>
              <w:top w:w="30" w:type="dxa"/>
              <w:left w:w="20" w:type="dxa"/>
              <w:bottom w:w="30" w:type="dxa"/>
              <w:right w:w="20" w:type="dxa"/>
            </w:tcMar>
            <w:vAlign w:val="bottom"/>
            <w:hideMark/>
          </w:tcPr>
          <w:p w:rsidR="00000000" w:rsidRDefault="0094004B">
            <w:pPr>
              <w:spacing w:after="100"/>
              <w:divId w:val="1396851159"/>
              <w:rPr>
                <w:rFonts w:eastAsia="Times New Roman"/>
              </w:rPr>
            </w:pPr>
            <w:hyperlink w:anchor="ia820611622d9441b977884dac00e0ebd_127" w:history="1">
              <w:r>
                <w:rPr>
                  <w:rStyle w:val="a3"/>
                  <w:rFonts w:eastAsia="Times New Roman"/>
                  <w:color w:val="000000"/>
                  <w:sz w:val="20"/>
                  <w:szCs w:val="20"/>
                  <w:u w:val="none"/>
                </w:rPr>
                <w:t>Non-Interest Expense</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127" w:history="1">
              <w:r>
                <w:rPr>
                  <w:rStyle w:val="a3"/>
                  <w:rFonts w:eastAsia="Times New Roman"/>
                  <w:color w:val="000000"/>
                  <w:sz w:val="20"/>
                  <w:szCs w:val="20"/>
                  <w:u w:val="none"/>
                </w:rPr>
                <w:t>53</w:t>
              </w:r>
            </w:hyperlink>
          </w:p>
        </w:tc>
      </w:tr>
      <w:tr w:rsidR="00000000">
        <w:trPr>
          <w:divId w:val="946037557"/>
          <w:jc w:val="center"/>
        </w:trPr>
        <w:tc>
          <w:tcPr>
            <w:tcW w:w="0" w:type="auto"/>
            <w:gridSpan w:val="3"/>
            <w:vAlign w:val="center"/>
            <w:hideMark/>
          </w:tcPr>
          <w:p w:rsidR="00000000" w:rsidRDefault="0094004B">
            <w:pPr>
              <w:spacing w:after="100"/>
              <w:jc w:val="center"/>
              <w:rPr>
                <w:rFonts w:eastAsia="Times New Roman"/>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46037557"/>
          <w:jc w:val="center"/>
        </w:trPr>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20"/>
                <w:szCs w:val="20"/>
              </w:rPr>
              <w:t>5</w:t>
            </w:r>
          </w:p>
        </w:tc>
        <w:tc>
          <w:tcPr>
            <w:tcW w:w="0" w:type="auto"/>
            <w:gridSpan w:val="3"/>
            <w:tcMar>
              <w:top w:w="30" w:type="dxa"/>
              <w:left w:w="20" w:type="dxa"/>
              <w:bottom w:w="30" w:type="dxa"/>
              <w:right w:w="20" w:type="dxa"/>
            </w:tcMar>
            <w:vAlign w:val="bottom"/>
            <w:hideMark/>
          </w:tcPr>
          <w:p w:rsidR="00000000" w:rsidRDefault="0094004B">
            <w:pPr>
              <w:spacing w:after="100"/>
              <w:divId w:val="1692876330"/>
              <w:rPr>
                <w:rFonts w:eastAsia="Times New Roman"/>
              </w:rPr>
            </w:pPr>
            <w:hyperlink w:anchor="ia820611622d9441b977884dac00e0ebd_142" w:history="1">
              <w:r>
                <w:rPr>
                  <w:rStyle w:val="a3"/>
                  <w:rFonts w:eastAsia="Times New Roman"/>
                  <w:color w:val="000000"/>
                  <w:sz w:val="20"/>
                  <w:szCs w:val="20"/>
                  <w:u w:val="none"/>
                </w:rPr>
                <w:t>Loans Held for Investment</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142" w:history="1">
              <w:r>
                <w:rPr>
                  <w:rStyle w:val="a3"/>
                  <w:rFonts w:eastAsia="Times New Roman"/>
                  <w:color w:val="000000"/>
                  <w:sz w:val="20"/>
                  <w:szCs w:val="20"/>
                  <w:u w:val="none"/>
                </w:rPr>
                <w:t>54</w:t>
              </w:r>
            </w:hyperlink>
          </w:p>
        </w:tc>
      </w:tr>
      <w:tr w:rsidR="00000000">
        <w:trPr>
          <w:divId w:val="946037557"/>
          <w:jc w:val="center"/>
        </w:trPr>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20"/>
                <w:szCs w:val="20"/>
              </w:rPr>
              <w:t>6</w:t>
            </w:r>
          </w:p>
        </w:tc>
        <w:tc>
          <w:tcPr>
            <w:tcW w:w="0" w:type="auto"/>
            <w:gridSpan w:val="3"/>
            <w:tcMar>
              <w:top w:w="30" w:type="dxa"/>
              <w:left w:w="20" w:type="dxa"/>
              <w:bottom w:w="30" w:type="dxa"/>
              <w:right w:w="20" w:type="dxa"/>
            </w:tcMar>
            <w:vAlign w:val="bottom"/>
            <w:hideMark/>
          </w:tcPr>
          <w:p w:rsidR="00000000" w:rsidRDefault="0094004B">
            <w:pPr>
              <w:spacing w:after="100"/>
              <w:divId w:val="1731465350"/>
              <w:rPr>
                <w:rFonts w:eastAsia="Times New Roman"/>
              </w:rPr>
            </w:pPr>
            <w:hyperlink w:anchor="ia820611622d9441b977884dac00e0ebd_145" w:history="1">
              <w:r>
                <w:rPr>
                  <w:rStyle w:val="a3"/>
                  <w:rFonts w:eastAsia="Times New Roman"/>
                  <w:color w:val="000000"/>
                  <w:sz w:val="20"/>
                  <w:szCs w:val="20"/>
                  <w:u w:val="none"/>
                </w:rPr>
                <w:t>Funding Sources Composition</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145" w:history="1">
              <w:r>
                <w:rPr>
                  <w:rStyle w:val="a3"/>
                  <w:rFonts w:eastAsia="Times New Roman"/>
                  <w:color w:val="000000"/>
                  <w:sz w:val="20"/>
                  <w:szCs w:val="20"/>
                  <w:u w:val="none"/>
                </w:rPr>
                <w:t>54</w:t>
              </w:r>
            </w:hyperlink>
          </w:p>
        </w:tc>
      </w:tr>
      <w:tr w:rsidR="00000000">
        <w:trPr>
          <w:divId w:val="946037557"/>
          <w:jc w:val="center"/>
        </w:trPr>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20"/>
                <w:szCs w:val="20"/>
              </w:rPr>
              <w:t>7</w:t>
            </w:r>
          </w:p>
        </w:tc>
        <w:tc>
          <w:tcPr>
            <w:tcW w:w="0" w:type="auto"/>
            <w:gridSpan w:val="3"/>
            <w:tcMar>
              <w:top w:w="30" w:type="dxa"/>
              <w:left w:w="20" w:type="dxa"/>
              <w:bottom w:w="30" w:type="dxa"/>
              <w:right w:w="20" w:type="dxa"/>
            </w:tcMar>
            <w:vAlign w:val="bottom"/>
            <w:hideMark/>
          </w:tcPr>
          <w:p w:rsidR="00000000" w:rsidRDefault="0094004B">
            <w:pPr>
              <w:spacing w:after="100"/>
              <w:divId w:val="1662275505"/>
              <w:rPr>
                <w:rFonts w:eastAsia="Times New Roman"/>
              </w:rPr>
            </w:pPr>
            <w:hyperlink w:anchor="ia820611622d9441b977884dac00e0ebd_157" w:history="1">
              <w:r>
                <w:rPr>
                  <w:rStyle w:val="a3"/>
                  <w:rFonts w:eastAsia="Times New Roman"/>
                  <w:color w:val="000000"/>
                  <w:sz w:val="20"/>
                  <w:szCs w:val="20"/>
                  <w:u w:val="none"/>
                </w:rPr>
                <w:t>Business Segment Results</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157" w:history="1">
              <w:r>
                <w:rPr>
                  <w:rStyle w:val="a3"/>
                  <w:rFonts w:eastAsia="Times New Roman"/>
                  <w:color w:val="000000"/>
                  <w:sz w:val="20"/>
                  <w:szCs w:val="20"/>
                  <w:u w:val="none"/>
                </w:rPr>
                <w:t>57</w:t>
              </w:r>
            </w:hyperlink>
          </w:p>
        </w:tc>
      </w:tr>
      <w:tr w:rsidR="00000000">
        <w:trPr>
          <w:divId w:val="946037557"/>
          <w:jc w:val="center"/>
        </w:trPr>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20"/>
                <w:szCs w:val="20"/>
              </w:rPr>
              <w:t>8</w:t>
            </w:r>
          </w:p>
        </w:tc>
        <w:tc>
          <w:tcPr>
            <w:tcW w:w="0" w:type="auto"/>
            <w:gridSpan w:val="3"/>
            <w:tcMar>
              <w:top w:w="30" w:type="dxa"/>
              <w:left w:w="20" w:type="dxa"/>
              <w:bottom w:w="30" w:type="dxa"/>
              <w:right w:w="20" w:type="dxa"/>
            </w:tcMar>
            <w:vAlign w:val="bottom"/>
            <w:hideMark/>
          </w:tcPr>
          <w:p w:rsidR="00000000" w:rsidRDefault="0094004B">
            <w:pPr>
              <w:spacing w:after="100"/>
              <w:divId w:val="1645037206"/>
              <w:rPr>
                <w:rFonts w:eastAsia="Times New Roman"/>
              </w:rPr>
            </w:pPr>
            <w:hyperlink w:anchor="ia820611622d9441b977884dac00e0ebd_160" w:history="1">
              <w:r>
                <w:rPr>
                  <w:rStyle w:val="a3"/>
                  <w:rFonts w:eastAsia="Times New Roman"/>
                  <w:color w:val="000000"/>
                  <w:sz w:val="20"/>
                  <w:szCs w:val="20"/>
                  <w:u w:val="none"/>
                </w:rPr>
                <w:t>Credit Card Business Results</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160" w:history="1">
              <w:r>
                <w:rPr>
                  <w:rStyle w:val="a3"/>
                  <w:rFonts w:eastAsia="Times New Roman"/>
                  <w:color w:val="000000"/>
                  <w:sz w:val="20"/>
                  <w:szCs w:val="20"/>
                  <w:u w:val="none"/>
                </w:rPr>
                <w:t>57</w:t>
              </w:r>
            </w:hyperlink>
          </w:p>
        </w:tc>
      </w:tr>
      <w:tr w:rsidR="00000000">
        <w:trPr>
          <w:divId w:val="946037557"/>
          <w:jc w:val="center"/>
        </w:trPr>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20"/>
                <w:szCs w:val="20"/>
              </w:rPr>
              <w:t>8.1</w:t>
            </w:r>
          </w:p>
        </w:tc>
        <w:tc>
          <w:tcPr>
            <w:tcW w:w="0" w:type="auto"/>
            <w:gridSpan w:val="3"/>
            <w:tcMar>
              <w:top w:w="30" w:type="dxa"/>
              <w:left w:w="20" w:type="dxa"/>
              <w:bottom w:w="30" w:type="dxa"/>
              <w:right w:w="20" w:type="dxa"/>
            </w:tcMar>
            <w:vAlign w:val="bottom"/>
            <w:hideMark/>
          </w:tcPr>
          <w:p w:rsidR="00000000" w:rsidRDefault="0094004B">
            <w:pPr>
              <w:spacing w:after="100"/>
              <w:divId w:val="243494449"/>
              <w:rPr>
                <w:rFonts w:eastAsia="Times New Roman"/>
              </w:rPr>
            </w:pPr>
            <w:hyperlink w:anchor="ia820611622d9441b977884dac00e0ebd_163" w:history="1">
              <w:r>
                <w:rPr>
                  <w:rStyle w:val="a3"/>
                  <w:rFonts w:eastAsia="Times New Roman"/>
                  <w:color w:val="000000"/>
                  <w:sz w:val="20"/>
                  <w:szCs w:val="20"/>
                  <w:u w:val="none"/>
                </w:rPr>
                <w:t>Domestic Card Business Results</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163" w:history="1">
              <w:r>
                <w:rPr>
                  <w:rStyle w:val="a3"/>
                  <w:rFonts w:eastAsia="Times New Roman"/>
                  <w:color w:val="000000"/>
                  <w:sz w:val="20"/>
                  <w:szCs w:val="20"/>
                  <w:u w:val="none"/>
                </w:rPr>
                <w:t>59</w:t>
              </w:r>
            </w:hyperlink>
          </w:p>
        </w:tc>
      </w:tr>
      <w:tr w:rsidR="00000000">
        <w:trPr>
          <w:divId w:val="946037557"/>
          <w:jc w:val="center"/>
        </w:trPr>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20"/>
                <w:szCs w:val="20"/>
              </w:rPr>
              <w:t>9</w:t>
            </w:r>
          </w:p>
        </w:tc>
        <w:tc>
          <w:tcPr>
            <w:tcW w:w="0" w:type="auto"/>
            <w:gridSpan w:val="3"/>
            <w:tcMar>
              <w:top w:w="30" w:type="dxa"/>
              <w:left w:w="20" w:type="dxa"/>
              <w:bottom w:w="30" w:type="dxa"/>
              <w:right w:w="20" w:type="dxa"/>
            </w:tcMar>
            <w:vAlign w:val="bottom"/>
            <w:hideMark/>
          </w:tcPr>
          <w:p w:rsidR="00000000" w:rsidRDefault="0094004B">
            <w:pPr>
              <w:spacing w:after="100"/>
              <w:divId w:val="32190711"/>
              <w:rPr>
                <w:rFonts w:eastAsia="Times New Roman"/>
              </w:rPr>
            </w:pPr>
            <w:hyperlink w:anchor="ia820611622d9441b977884dac00e0ebd_166" w:history="1">
              <w:r>
                <w:rPr>
                  <w:rStyle w:val="a3"/>
                  <w:rFonts w:eastAsia="Times New Roman"/>
                  <w:color w:val="000000"/>
                  <w:sz w:val="20"/>
                  <w:szCs w:val="20"/>
                  <w:u w:val="none"/>
                </w:rPr>
                <w:t>Consumer Banking Business Results</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166" w:history="1">
              <w:r>
                <w:rPr>
                  <w:rStyle w:val="a3"/>
                  <w:rFonts w:eastAsia="Times New Roman"/>
                  <w:color w:val="000000"/>
                  <w:sz w:val="20"/>
                  <w:szCs w:val="20"/>
                  <w:u w:val="none"/>
                </w:rPr>
                <w:t>60</w:t>
              </w:r>
            </w:hyperlink>
          </w:p>
        </w:tc>
      </w:tr>
      <w:tr w:rsidR="00000000">
        <w:trPr>
          <w:divId w:val="946037557"/>
          <w:jc w:val="center"/>
        </w:trPr>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20"/>
                <w:szCs w:val="20"/>
              </w:rPr>
              <w:t>10</w:t>
            </w:r>
          </w:p>
        </w:tc>
        <w:tc>
          <w:tcPr>
            <w:tcW w:w="0" w:type="auto"/>
            <w:gridSpan w:val="3"/>
            <w:tcMar>
              <w:top w:w="30" w:type="dxa"/>
              <w:left w:w="20" w:type="dxa"/>
              <w:bottom w:w="30" w:type="dxa"/>
              <w:right w:w="20" w:type="dxa"/>
            </w:tcMar>
            <w:vAlign w:val="bottom"/>
            <w:hideMark/>
          </w:tcPr>
          <w:p w:rsidR="00000000" w:rsidRDefault="0094004B">
            <w:pPr>
              <w:spacing w:after="100"/>
              <w:divId w:val="2046054875"/>
              <w:rPr>
                <w:rFonts w:eastAsia="Times New Roman"/>
              </w:rPr>
            </w:pPr>
            <w:hyperlink w:anchor="ia820611622d9441b977884dac00e0ebd_169" w:history="1">
              <w:r>
                <w:rPr>
                  <w:rStyle w:val="a3"/>
                  <w:rFonts w:eastAsia="Times New Roman"/>
                  <w:color w:val="000000"/>
                  <w:sz w:val="20"/>
                  <w:szCs w:val="20"/>
                  <w:u w:val="none"/>
                </w:rPr>
                <w:t>Commercial Banking Business Results</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169" w:history="1">
              <w:r>
                <w:rPr>
                  <w:rStyle w:val="a3"/>
                  <w:rFonts w:eastAsia="Times New Roman"/>
                  <w:color w:val="000000"/>
                  <w:sz w:val="20"/>
                  <w:szCs w:val="20"/>
                  <w:u w:val="none"/>
                </w:rPr>
                <w:t>62</w:t>
              </w:r>
            </w:hyperlink>
          </w:p>
        </w:tc>
      </w:tr>
      <w:tr w:rsidR="00000000">
        <w:trPr>
          <w:divId w:val="946037557"/>
          <w:jc w:val="center"/>
        </w:trPr>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20"/>
                <w:szCs w:val="20"/>
              </w:rPr>
              <w:t>11</w:t>
            </w:r>
          </w:p>
        </w:tc>
        <w:tc>
          <w:tcPr>
            <w:tcW w:w="0" w:type="auto"/>
            <w:gridSpan w:val="3"/>
            <w:tcMar>
              <w:top w:w="30" w:type="dxa"/>
              <w:left w:w="20" w:type="dxa"/>
              <w:bottom w:w="30" w:type="dxa"/>
              <w:right w:w="20" w:type="dxa"/>
            </w:tcMar>
            <w:vAlign w:val="bottom"/>
            <w:hideMark/>
          </w:tcPr>
          <w:p w:rsidR="00000000" w:rsidRDefault="0094004B">
            <w:pPr>
              <w:spacing w:after="100"/>
              <w:divId w:val="1904170990"/>
              <w:rPr>
                <w:rFonts w:eastAsia="Times New Roman"/>
              </w:rPr>
            </w:pPr>
            <w:hyperlink w:anchor="ia820611622d9441b977884dac00e0ebd_172" w:history="1">
              <w:r>
                <w:rPr>
                  <w:rStyle w:val="a3"/>
                  <w:rFonts w:eastAsia="Times New Roman"/>
                  <w:color w:val="000000"/>
                  <w:sz w:val="20"/>
                  <w:szCs w:val="20"/>
                  <w:u w:val="none"/>
                </w:rPr>
                <w:t>Other Category Results</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172" w:history="1">
              <w:r>
                <w:rPr>
                  <w:rStyle w:val="a3"/>
                  <w:rFonts w:eastAsia="Times New Roman"/>
                  <w:color w:val="000000"/>
                  <w:sz w:val="20"/>
                  <w:szCs w:val="20"/>
                  <w:u w:val="none"/>
                </w:rPr>
                <w:t>64</w:t>
              </w:r>
            </w:hyperlink>
          </w:p>
        </w:tc>
      </w:tr>
      <w:tr w:rsidR="00000000">
        <w:trPr>
          <w:divId w:val="946037557"/>
          <w:jc w:val="center"/>
        </w:trPr>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20"/>
                <w:szCs w:val="20"/>
              </w:rPr>
              <w:t>12</w:t>
            </w:r>
          </w:p>
        </w:tc>
        <w:tc>
          <w:tcPr>
            <w:tcW w:w="0" w:type="auto"/>
            <w:gridSpan w:val="3"/>
            <w:tcMar>
              <w:top w:w="30" w:type="dxa"/>
              <w:left w:w="20" w:type="dxa"/>
              <w:bottom w:w="30" w:type="dxa"/>
              <w:right w:w="20" w:type="dxa"/>
            </w:tcMar>
            <w:vAlign w:val="bottom"/>
            <w:hideMark/>
          </w:tcPr>
          <w:p w:rsidR="00000000" w:rsidRDefault="0094004B">
            <w:pPr>
              <w:spacing w:after="100"/>
              <w:divId w:val="1853030410"/>
              <w:rPr>
                <w:rFonts w:eastAsia="Times New Roman"/>
              </w:rPr>
            </w:pPr>
            <w:hyperlink w:anchor="ia820611622d9441b977884dac00e0ebd_193" w:history="1">
              <w:r>
                <w:rPr>
                  <w:rStyle w:val="a3"/>
                  <w:rFonts w:eastAsia="Times New Roman"/>
                  <w:color w:val="000000"/>
                  <w:sz w:val="20"/>
                  <w:szCs w:val="20"/>
                  <w:u w:val="none"/>
                </w:rPr>
                <w:t>Capital Ratios Under Basel III</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193" w:history="1">
              <w:r>
                <w:rPr>
                  <w:rStyle w:val="a3"/>
                  <w:rFonts w:eastAsia="Times New Roman"/>
                  <w:color w:val="000000"/>
                  <w:sz w:val="20"/>
                  <w:szCs w:val="20"/>
                  <w:u w:val="none"/>
                </w:rPr>
                <w:t>72</w:t>
              </w:r>
            </w:hyperlink>
          </w:p>
        </w:tc>
      </w:tr>
      <w:tr w:rsidR="00000000">
        <w:trPr>
          <w:divId w:val="946037557"/>
          <w:jc w:val="center"/>
        </w:trPr>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20"/>
                <w:szCs w:val="20"/>
              </w:rPr>
              <w:t>13</w:t>
            </w:r>
          </w:p>
        </w:tc>
        <w:tc>
          <w:tcPr>
            <w:tcW w:w="0" w:type="auto"/>
            <w:gridSpan w:val="3"/>
            <w:tcMar>
              <w:top w:w="30" w:type="dxa"/>
              <w:left w:w="20" w:type="dxa"/>
              <w:bottom w:w="30" w:type="dxa"/>
              <w:right w:w="20" w:type="dxa"/>
            </w:tcMar>
            <w:vAlign w:val="bottom"/>
            <w:hideMark/>
          </w:tcPr>
          <w:p w:rsidR="00000000" w:rsidRDefault="0094004B">
            <w:pPr>
              <w:spacing w:after="100"/>
              <w:divId w:val="98574088"/>
              <w:rPr>
                <w:rFonts w:eastAsia="Times New Roman"/>
              </w:rPr>
            </w:pPr>
            <w:hyperlink w:anchor="ia820611622d9441b977884dac00e0ebd_196" w:history="1">
              <w:r>
                <w:rPr>
                  <w:rStyle w:val="a3"/>
                  <w:rFonts w:eastAsia="Times New Roman"/>
                  <w:color w:val="000000"/>
                  <w:sz w:val="20"/>
                  <w:szCs w:val="20"/>
                  <w:u w:val="none"/>
                </w:rPr>
                <w:t>Regulatory Risk-Based Capital Components and Regulatory Capital Metrics</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196" w:history="1">
              <w:r>
                <w:rPr>
                  <w:rStyle w:val="a3"/>
                  <w:rFonts w:eastAsia="Times New Roman"/>
                  <w:color w:val="000000"/>
                  <w:sz w:val="20"/>
                  <w:szCs w:val="20"/>
                  <w:u w:val="none"/>
                </w:rPr>
                <w:t>73</w:t>
              </w:r>
            </w:hyperlink>
          </w:p>
        </w:tc>
      </w:tr>
      <w:tr w:rsidR="00000000">
        <w:trPr>
          <w:divId w:val="946037557"/>
          <w:jc w:val="center"/>
        </w:trPr>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20"/>
                <w:szCs w:val="20"/>
              </w:rPr>
              <w:t>14</w:t>
            </w:r>
          </w:p>
        </w:tc>
        <w:tc>
          <w:tcPr>
            <w:tcW w:w="0" w:type="auto"/>
            <w:gridSpan w:val="3"/>
            <w:tcMar>
              <w:top w:w="30" w:type="dxa"/>
              <w:left w:w="20" w:type="dxa"/>
              <w:bottom w:w="30" w:type="dxa"/>
              <w:right w:w="20" w:type="dxa"/>
            </w:tcMar>
            <w:vAlign w:val="bottom"/>
            <w:hideMark/>
          </w:tcPr>
          <w:p w:rsidR="00000000" w:rsidRDefault="0094004B">
            <w:pPr>
              <w:spacing w:after="100"/>
              <w:divId w:val="2095974734"/>
              <w:rPr>
                <w:rFonts w:eastAsia="Times New Roman"/>
              </w:rPr>
            </w:pPr>
            <w:hyperlink w:anchor="ia820611622d9441b977884dac00e0ebd_205" w:history="1">
              <w:r>
                <w:rPr>
                  <w:rStyle w:val="a3"/>
                  <w:rFonts w:eastAsia="Times New Roman"/>
                  <w:color w:val="000000"/>
                  <w:sz w:val="20"/>
                  <w:szCs w:val="20"/>
                  <w:u w:val="none"/>
                </w:rPr>
                <w:t>Preferred Stock Dividends Paid Per Share</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205" w:history="1">
              <w:r>
                <w:rPr>
                  <w:rStyle w:val="a3"/>
                  <w:rFonts w:eastAsia="Times New Roman"/>
                  <w:color w:val="000000"/>
                  <w:sz w:val="20"/>
                  <w:szCs w:val="20"/>
                  <w:u w:val="none"/>
                </w:rPr>
                <w:t>74</w:t>
              </w:r>
            </w:hyperlink>
          </w:p>
        </w:tc>
      </w:tr>
      <w:tr w:rsidR="00000000">
        <w:trPr>
          <w:divId w:val="946037557"/>
          <w:jc w:val="center"/>
        </w:trPr>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20"/>
                <w:szCs w:val="20"/>
              </w:rPr>
              <w:t>15</w:t>
            </w:r>
          </w:p>
        </w:tc>
        <w:tc>
          <w:tcPr>
            <w:tcW w:w="0" w:type="auto"/>
            <w:gridSpan w:val="3"/>
            <w:tcMar>
              <w:top w:w="30" w:type="dxa"/>
              <w:left w:w="20" w:type="dxa"/>
              <w:bottom w:w="30" w:type="dxa"/>
              <w:right w:w="20" w:type="dxa"/>
            </w:tcMar>
            <w:vAlign w:val="bottom"/>
            <w:hideMark/>
          </w:tcPr>
          <w:p w:rsidR="00000000" w:rsidRDefault="0094004B">
            <w:pPr>
              <w:spacing w:after="100"/>
              <w:divId w:val="274487758"/>
              <w:rPr>
                <w:rFonts w:eastAsia="Times New Roman"/>
              </w:rPr>
            </w:pPr>
            <w:hyperlink w:anchor="ia820611622d9441b977884dac00e0ebd_214" w:history="1">
              <w:r>
                <w:rPr>
                  <w:rStyle w:val="a3"/>
                  <w:rFonts w:eastAsia="Times New Roman"/>
                  <w:color w:val="000000"/>
                  <w:sz w:val="20"/>
                  <w:szCs w:val="20"/>
                  <w:u w:val="none"/>
                </w:rPr>
                <w:t>Portfolio Composition of Loans Held for Investment</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214" w:history="1">
              <w:r>
                <w:rPr>
                  <w:rStyle w:val="a3"/>
                  <w:rFonts w:eastAsia="Times New Roman"/>
                  <w:color w:val="000000"/>
                  <w:sz w:val="20"/>
                  <w:szCs w:val="20"/>
                  <w:u w:val="none"/>
                </w:rPr>
                <w:t>82</w:t>
              </w:r>
            </w:hyperlink>
          </w:p>
        </w:tc>
      </w:tr>
      <w:tr w:rsidR="00000000">
        <w:trPr>
          <w:divId w:val="946037557"/>
          <w:jc w:val="center"/>
        </w:trPr>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20"/>
                <w:szCs w:val="20"/>
              </w:rPr>
              <w:t>16</w:t>
            </w:r>
          </w:p>
        </w:tc>
        <w:tc>
          <w:tcPr>
            <w:tcW w:w="0" w:type="auto"/>
            <w:gridSpan w:val="3"/>
            <w:tcMar>
              <w:top w:w="30" w:type="dxa"/>
              <w:left w:w="20" w:type="dxa"/>
              <w:bottom w:w="30" w:type="dxa"/>
              <w:right w:w="20" w:type="dxa"/>
            </w:tcMar>
            <w:vAlign w:val="bottom"/>
            <w:hideMark/>
          </w:tcPr>
          <w:p w:rsidR="00000000" w:rsidRDefault="0094004B">
            <w:pPr>
              <w:spacing w:after="100"/>
              <w:divId w:val="1494108693"/>
              <w:rPr>
                <w:rFonts w:eastAsia="Times New Roman"/>
              </w:rPr>
            </w:pPr>
            <w:hyperlink w:anchor="ia820611622d9441b977884dac00e0ebd_217" w:history="1">
              <w:r>
                <w:rPr>
                  <w:rStyle w:val="a3"/>
                  <w:rFonts w:eastAsia="Times New Roman"/>
                  <w:color w:val="000000"/>
                  <w:sz w:val="20"/>
                  <w:szCs w:val="20"/>
                  <w:u w:val="none"/>
                </w:rPr>
                <w:t>Loan Maturity Schedule</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217" w:history="1">
              <w:r>
                <w:rPr>
                  <w:rStyle w:val="a3"/>
                  <w:rFonts w:eastAsia="Times New Roman"/>
                  <w:color w:val="000000"/>
                  <w:sz w:val="20"/>
                  <w:szCs w:val="20"/>
                  <w:u w:val="none"/>
                </w:rPr>
                <w:t>82</w:t>
              </w:r>
            </w:hyperlink>
          </w:p>
        </w:tc>
      </w:tr>
      <w:tr w:rsidR="00000000">
        <w:trPr>
          <w:divId w:val="946037557"/>
          <w:jc w:val="center"/>
        </w:trPr>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20"/>
                <w:szCs w:val="20"/>
              </w:rPr>
              <w:t>17</w:t>
            </w:r>
          </w:p>
        </w:tc>
        <w:tc>
          <w:tcPr>
            <w:tcW w:w="0" w:type="auto"/>
            <w:gridSpan w:val="3"/>
            <w:tcMar>
              <w:top w:w="30" w:type="dxa"/>
              <w:left w:w="20" w:type="dxa"/>
              <w:bottom w:w="30" w:type="dxa"/>
              <w:right w:w="20" w:type="dxa"/>
            </w:tcMar>
            <w:vAlign w:val="bottom"/>
            <w:hideMark/>
          </w:tcPr>
          <w:p w:rsidR="00000000" w:rsidRDefault="0094004B">
            <w:pPr>
              <w:spacing w:after="100"/>
              <w:divId w:val="533619215"/>
              <w:rPr>
                <w:rFonts w:eastAsia="Times New Roman"/>
              </w:rPr>
            </w:pPr>
            <w:hyperlink w:anchor="ia820611622d9441b977884dac00e0ebd_220" w:history="1">
              <w:r>
                <w:rPr>
                  <w:rStyle w:val="a3"/>
                  <w:rFonts w:eastAsia="Times New Roman"/>
                  <w:color w:val="000000"/>
                  <w:sz w:val="20"/>
                  <w:szCs w:val="20"/>
                  <w:u w:val="none"/>
                </w:rPr>
                <w:t>Credit Card Portfolio by Geographic Regi</w:t>
              </w:r>
              <w:r>
                <w:rPr>
                  <w:rStyle w:val="a3"/>
                  <w:rFonts w:eastAsia="Times New Roman"/>
                  <w:color w:val="000000"/>
                  <w:sz w:val="20"/>
                  <w:szCs w:val="20"/>
                  <w:u w:val="none"/>
                </w:rPr>
                <w:t>on</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220" w:history="1">
              <w:r>
                <w:rPr>
                  <w:rStyle w:val="a3"/>
                  <w:rFonts w:eastAsia="Times New Roman"/>
                  <w:color w:val="000000"/>
                  <w:sz w:val="20"/>
                  <w:szCs w:val="20"/>
                  <w:u w:val="none"/>
                </w:rPr>
                <w:t>83</w:t>
              </w:r>
            </w:hyperlink>
          </w:p>
        </w:tc>
      </w:tr>
      <w:tr w:rsidR="00000000">
        <w:trPr>
          <w:divId w:val="946037557"/>
          <w:jc w:val="center"/>
        </w:trPr>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20"/>
                <w:szCs w:val="20"/>
              </w:rPr>
              <w:t>18</w:t>
            </w:r>
          </w:p>
        </w:tc>
        <w:tc>
          <w:tcPr>
            <w:tcW w:w="0" w:type="auto"/>
            <w:gridSpan w:val="3"/>
            <w:tcMar>
              <w:top w:w="30" w:type="dxa"/>
              <w:left w:w="20" w:type="dxa"/>
              <w:bottom w:w="30" w:type="dxa"/>
              <w:right w:w="20" w:type="dxa"/>
            </w:tcMar>
            <w:vAlign w:val="bottom"/>
            <w:hideMark/>
          </w:tcPr>
          <w:p w:rsidR="00000000" w:rsidRDefault="0094004B">
            <w:pPr>
              <w:spacing w:after="100"/>
              <w:divId w:val="1969314330"/>
              <w:rPr>
                <w:rFonts w:eastAsia="Times New Roman"/>
              </w:rPr>
            </w:pPr>
            <w:hyperlink w:anchor="ia820611622d9441b977884dac00e0ebd_223" w:history="1">
              <w:r>
                <w:rPr>
                  <w:rStyle w:val="a3"/>
                  <w:rFonts w:eastAsia="Times New Roman"/>
                  <w:color w:val="000000"/>
                  <w:sz w:val="20"/>
                  <w:szCs w:val="20"/>
                  <w:u w:val="none"/>
                </w:rPr>
                <w:t>Consumer Banking Portfolio by Geographic Region</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223" w:history="1">
              <w:r>
                <w:rPr>
                  <w:rStyle w:val="a3"/>
                  <w:rFonts w:eastAsia="Times New Roman"/>
                  <w:color w:val="000000"/>
                  <w:sz w:val="20"/>
                  <w:szCs w:val="20"/>
                  <w:u w:val="none"/>
                </w:rPr>
                <w:t>83</w:t>
              </w:r>
            </w:hyperlink>
          </w:p>
        </w:tc>
      </w:tr>
      <w:tr w:rsidR="00000000">
        <w:trPr>
          <w:divId w:val="946037557"/>
          <w:jc w:val="center"/>
        </w:trPr>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20"/>
                <w:szCs w:val="20"/>
              </w:rPr>
              <w:t>19</w:t>
            </w:r>
          </w:p>
        </w:tc>
        <w:tc>
          <w:tcPr>
            <w:tcW w:w="0" w:type="auto"/>
            <w:gridSpan w:val="3"/>
            <w:tcMar>
              <w:top w:w="30" w:type="dxa"/>
              <w:left w:w="20" w:type="dxa"/>
              <w:bottom w:w="30" w:type="dxa"/>
              <w:right w:w="20" w:type="dxa"/>
            </w:tcMar>
            <w:vAlign w:val="bottom"/>
            <w:hideMark/>
          </w:tcPr>
          <w:p w:rsidR="00000000" w:rsidRDefault="0094004B">
            <w:pPr>
              <w:spacing w:after="100"/>
              <w:divId w:val="1096748047"/>
              <w:rPr>
                <w:rFonts w:eastAsia="Times New Roman"/>
              </w:rPr>
            </w:pPr>
            <w:hyperlink w:anchor="ia820611622d9441b977884dac00e0ebd_226" w:history="1">
              <w:r>
                <w:rPr>
                  <w:rStyle w:val="a3"/>
                  <w:rFonts w:eastAsia="Times New Roman"/>
                  <w:color w:val="000000"/>
                  <w:sz w:val="20"/>
                  <w:szCs w:val="20"/>
                  <w:u w:val="none"/>
                </w:rPr>
                <w:t>Commercial Real Estate Portfolio by Region</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226" w:history="1">
              <w:r>
                <w:rPr>
                  <w:rStyle w:val="a3"/>
                  <w:rFonts w:eastAsia="Times New Roman"/>
                  <w:color w:val="000000"/>
                  <w:sz w:val="20"/>
                  <w:szCs w:val="20"/>
                  <w:u w:val="none"/>
                </w:rPr>
                <w:t>84</w:t>
              </w:r>
            </w:hyperlink>
          </w:p>
        </w:tc>
      </w:tr>
      <w:tr w:rsidR="00000000">
        <w:trPr>
          <w:divId w:val="946037557"/>
          <w:jc w:val="center"/>
        </w:trPr>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20"/>
                <w:szCs w:val="20"/>
              </w:rPr>
              <w:t>20</w:t>
            </w:r>
          </w:p>
        </w:tc>
        <w:tc>
          <w:tcPr>
            <w:tcW w:w="0" w:type="auto"/>
            <w:gridSpan w:val="3"/>
            <w:tcMar>
              <w:top w:w="30" w:type="dxa"/>
              <w:left w:w="20" w:type="dxa"/>
              <w:bottom w:w="30" w:type="dxa"/>
              <w:right w:w="20" w:type="dxa"/>
            </w:tcMar>
            <w:vAlign w:val="bottom"/>
            <w:hideMark/>
          </w:tcPr>
          <w:p w:rsidR="00000000" w:rsidRDefault="0094004B">
            <w:pPr>
              <w:spacing w:after="100"/>
              <w:divId w:val="892227959"/>
              <w:rPr>
                <w:rFonts w:eastAsia="Times New Roman"/>
              </w:rPr>
            </w:pPr>
            <w:hyperlink w:anchor="ia820611622d9441b977884dac00e0ebd_229" w:history="1">
              <w:r>
                <w:rPr>
                  <w:rStyle w:val="a3"/>
                  <w:rFonts w:eastAsia="Times New Roman"/>
                  <w:color w:val="000000"/>
                  <w:sz w:val="20"/>
                  <w:szCs w:val="20"/>
                  <w:u w:val="none"/>
                </w:rPr>
                <w:t>Commercial Loans by Industry</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229" w:history="1">
              <w:r>
                <w:rPr>
                  <w:rStyle w:val="a3"/>
                  <w:rFonts w:eastAsia="Times New Roman"/>
                  <w:color w:val="000000"/>
                  <w:sz w:val="20"/>
                  <w:szCs w:val="20"/>
                  <w:u w:val="none"/>
                </w:rPr>
                <w:t>85</w:t>
              </w:r>
            </w:hyperlink>
          </w:p>
        </w:tc>
      </w:tr>
      <w:tr w:rsidR="00000000">
        <w:trPr>
          <w:divId w:val="946037557"/>
          <w:jc w:val="center"/>
        </w:trPr>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20"/>
                <w:szCs w:val="20"/>
              </w:rPr>
              <w:t>21</w:t>
            </w:r>
          </w:p>
        </w:tc>
        <w:tc>
          <w:tcPr>
            <w:tcW w:w="0" w:type="auto"/>
            <w:gridSpan w:val="3"/>
            <w:tcMar>
              <w:top w:w="30" w:type="dxa"/>
              <w:left w:w="20" w:type="dxa"/>
              <w:bottom w:w="30" w:type="dxa"/>
              <w:right w:w="20" w:type="dxa"/>
            </w:tcMar>
            <w:vAlign w:val="bottom"/>
            <w:hideMark/>
          </w:tcPr>
          <w:p w:rsidR="00000000" w:rsidRDefault="0094004B">
            <w:pPr>
              <w:spacing w:after="100"/>
              <w:divId w:val="1563523738"/>
              <w:rPr>
                <w:rFonts w:eastAsia="Times New Roman"/>
              </w:rPr>
            </w:pPr>
            <w:hyperlink w:anchor="ia820611622d9441b977884dac00e0ebd_232" w:history="1">
              <w:r>
                <w:rPr>
                  <w:rStyle w:val="a3"/>
                  <w:rFonts w:eastAsia="Times New Roman"/>
                  <w:color w:val="000000"/>
                  <w:sz w:val="20"/>
                  <w:szCs w:val="20"/>
                  <w:u w:val="none"/>
                </w:rPr>
                <w:t>Credit Score Distribution</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232" w:history="1">
              <w:r>
                <w:rPr>
                  <w:rStyle w:val="a3"/>
                  <w:rFonts w:eastAsia="Times New Roman"/>
                  <w:color w:val="000000"/>
                  <w:sz w:val="20"/>
                  <w:szCs w:val="20"/>
                  <w:u w:val="none"/>
                </w:rPr>
                <w:t>85</w:t>
              </w:r>
            </w:hyperlink>
          </w:p>
        </w:tc>
      </w:tr>
      <w:tr w:rsidR="00000000">
        <w:trPr>
          <w:divId w:val="946037557"/>
          <w:jc w:val="center"/>
        </w:trPr>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20"/>
                <w:szCs w:val="20"/>
              </w:rPr>
              <w:t>22</w:t>
            </w:r>
          </w:p>
        </w:tc>
        <w:tc>
          <w:tcPr>
            <w:tcW w:w="0" w:type="auto"/>
            <w:gridSpan w:val="3"/>
            <w:tcMar>
              <w:top w:w="30" w:type="dxa"/>
              <w:left w:w="20" w:type="dxa"/>
              <w:bottom w:w="30" w:type="dxa"/>
              <w:right w:w="20" w:type="dxa"/>
            </w:tcMar>
            <w:vAlign w:val="bottom"/>
            <w:hideMark/>
          </w:tcPr>
          <w:p w:rsidR="00000000" w:rsidRDefault="0094004B">
            <w:pPr>
              <w:spacing w:after="100"/>
              <w:divId w:val="8722325"/>
              <w:rPr>
                <w:rFonts w:eastAsia="Times New Roman"/>
              </w:rPr>
            </w:pPr>
            <w:hyperlink w:anchor="ia820611622d9441b977884dac00e0ebd_235" w:history="1">
              <w:r>
                <w:rPr>
                  <w:rStyle w:val="a3"/>
                  <w:rFonts w:eastAsia="Times New Roman"/>
                  <w:color w:val="000000"/>
                  <w:sz w:val="20"/>
                  <w:szCs w:val="20"/>
                  <w:u w:val="none"/>
                </w:rPr>
                <w:t>30+ Day Delinquencies</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235" w:history="1">
              <w:r>
                <w:rPr>
                  <w:rStyle w:val="a3"/>
                  <w:rFonts w:eastAsia="Times New Roman"/>
                  <w:color w:val="000000"/>
                  <w:sz w:val="20"/>
                  <w:szCs w:val="20"/>
                  <w:u w:val="none"/>
                </w:rPr>
                <w:t>86</w:t>
              </w:r>
            </w:hyperlink>
          </w:p>
        </w:tc>
      </w:tr>
      <w:tr w:rsidR="00000000">
        <w:trPr>
          <w:divId w:val="946037557"/>
          <w:jc w:val="center"/>
        </w:trPr>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20"/>
                <w:szCs w:val="20"/>
              </w:rPr>
              <w:t>23</w:t>
            </w:r>
          </w:p>
        </w:tc>
        <w:tc>
          <w:tcPr>
            <w:tcW w:w="0" w:type="auto"/>
            <w:gridSpan w:val="3"/>
            <w:tcMar>
              <w:top w:w="30" w:type="dxa"/>
              <w:left w:w="20" w:type="dxa"/>
              <w:bottom w:w="30" w:type="dxa"/>
              <w:right w:w="20" w:type="dxa"/>
            </w:tcMar>
            <w:vAlign w:val="bottom"/>
            <w:hideMark/>
          </w:tcPr>
          <w:p w:rsidR="00000000" w:rsidRDefault="0094004B">
            <w:pPr>
              <w:spacing w:after="100"/>
              <w:divId w:val="1112627179"/>
              <w:rPr>
                <w:rFonts w:eastAsia="Times New Roman"/>
              </w:rPr>
            </w:pPr>
            <w:hyperlink w:anchor="ia820611622d9441b977884dac00e0ebd_238" w:history="1">
              <w:r>
                <w:rPr>
                  <w:rStyle w:val="a3"/>
                  <w:rFonts w:eastAsia="Times New Roman"/>
                  <w:color w:val="000000"/>
                  <w:sz w:val="20"/>
                  <w:szCs w:val="20"/>
                  <w:u w:val="none"/>
                </w:rPr>
                <w:t>Aging and Geography of 30+ Day Delinquent Loans</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238" w:history="1">
              <w:r>
                <w:rPr>
                  <w:rStyle w:val="a3"/>
                  <w:rFonts w:eastAsia="Times New Roman"/>
                  <w:color w:val="000000"/>
                  <w:sz w:val="20"/>
                  <w:szCs w:val="20"/>
                  <w:u w:val="none"/>
                </w:rPr>
                <w:t>87</w:t>
              </w:r>
            </w:hyperlink>
          </w:p>
        </w:tc>
      </w:tr>
      <w:tr w:rsidR="00000000">
        <w:trPr>
          <w:divId w:val="946037557"/>
          <w:jc w:val="center"/>
        </w:trPr>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20"/>
                <w:szCs w:val="20"/>
              </w:rPr>
              <w:lastRenderedPageBreak/>
              <w:t>24</w:t>
            </w:r>
          </w:p>
        </w:tc>
        <w:tc>
          <w:tcPr>
            <w:tcW w:w="0" w:type="auto"/>
            <w:gridSpan w:val="3"/>
            <w:tcMar>
              <w:top w:w="30" w:type="dxa"/>
              <w:left w:w="20" w:type="dxa"/>
              <w:bottom w:w="30" w:type="dxa"/>
              <w:right w:w="20" w:type="dxa"/>
            </w:tcMar>
            <w:vAlign w:val="bottom"/>
            <w:hideMark/>
          </w:tcPr>
          <w:p w:rsidR="00000000" w:rsidRDefault="0094004B">
            <w:pPr>
              <w:spacing w:after="100"/>
              <w:divId w:val="1865829132"/>
              <w:rPr>
                <w:rFonts w:eastAsia="Times New Roman"/>
              </w:rPr>
            </w:pPr>
            <w:hyperlink w:anchor="ia820611622d9441b977884dac00e0ebd_241" w:history="1">
              <w:r>
                <w:rPr>
                  <w:rStyle w:val="a3"/>
                  <w:rFonts w:eastAsia="Times New Roman"/>
                  <w:color w:val="000000"/>
                  <w:sz w:val="20"/>
                  <w:szCs w:val="20"/>
                  <w:u w:val="none"/>
                </w:rPr>
                <w:t>90+ Day Delinquent Loans Accruing Interest</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241" w:history="1">
              <w:r>
                <w:rPr>
                  <w:rStyle w:val="a3"/>
                  <w:rFonts w:eastAsia="Times New Roman"/>
                  <w:color w:val="000000"/>
                  <w:sz w:val="20"/>
                  <w:szCs w:val="20"/>
                  <w:u w:val="none"/>
                </w:rPr>
                <w:t>87</w:t>
              </w:r>
            </w:hyperlink>
          </w:p>
        </w:tc>
      </w:tr>
      <w:tr w:rsidR="00000000">
        <w:trPr>
          <w:divId w:val="946037557"/>
          <w:jc w:val="center"/>
        </w:trPr>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20"/>
                <w:szCs w:val="20"/>
              </w:rPr>
              <w:t>25</w:t>
            </w:r>
          </w:p>
        </w:tc>
        <w:tc>
          <w:tcPr>
            <w:tcW w:w="0" w:type="auto"/>
            <w:gridSpan w:val="3"/>
            <w:tcMar>
              <w:top w:w="30" w:type="dxa"/>
              <w:left w:w="20" w:type="dxa"/>
              <w:bottom w:w="30" w:type="dxa"/>
              <w:right w:w="20" w:type="dxa"/>
            </w:tcMar>
            <w:vAlign w:val="bottom"/>
            <w:hideMark/>
          </w:tcPr>
          <w:p w:rsidR="00000000" w:rsidRDefault="0094004B">
            <w:pPr>
              <w:spacing w:after="100"/>
              <w:divId w:val="393818180"/>
              <w:rPr>
                <w:rFonts w:eastAsia="Times New Roman"/>
              </w:rPr>
            </w:pPr>
            <w:hyperlink w:anchor="ia820611622d9441b977884dac00e0ebd_244" w:history="1">
              <w:r>
                <w:rPr>
                  <w:rStyle w:val="a3"/>
                  <w:rFonts w:eastAsia="Times New Roman"/>
                  <w:color w:val="000000"/>
                  <w:sz w:val="20"/>
                  <w:szCs w:val="20"/>
                  <w:u w:val="none"/>
                </w:rPr>
                <w:t>Nonperforming Loans and Other Nonperforming Assets</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244" w:history="1">
              <w:r>
                <w:rPr>
                  <w:rStyle w:val="a3"/>
                  <w:rFonts w:eastAsia="Times New Roman"/>
                  <w:color w:val="000000"/>
                  <w:sz w:val="20"/>
                  <w:szCs w:val="20"/>
                  <w:u w:val="none"/>
                </w:rPr>
                <w:t>88</w:t>
              </w:r>
            </w:hyperlink>
          </w:p>
        </w:tc>
      </w:tr>
      <w:tr w:rsidR="00000000">
        <w:trPr>
          <w:divId w:val="946037557"/>
          <w:jc w:val="center"/>
        </w:trPr>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20"/>
                <w:szCs w:val="20"/>
              </w:rPr>
              <w:t>26</w:t>
            </w:r>
          </w:p>
        </w:tc>
        <w:tc>
          <w:tcPr>
            <w:tcW w:w="0" w:type="auto"/>
            <w:gridSpan w:val="3"/>
            <w:tcMar>
              <w:top w:w="30" w:type="dxa"/>
              <w:left w:w="20" w:type="dxa"/>
              <w:bottom w:w="30" w:type="dxa"/>
              <w:right w:w="20" w:type="dxa"/>
            </w:tcMar>
            <w:vAlign w:val="bottom"/>
            <w:hideMark/>
          </w:tcPr>
          <w:p w:rsidR="00000000" w:rsidRDefault="0094004B">
            <w:pPr>
              <w:spacing w:after="100"/>
              <w:divId w:val="988021226"/>
              <w:rPr>
                <w:rFonts w:eastAsia="Times New Roman"/>
              </w:rPr>
            </w:pPr>
            <w:hyperlink w:anchor="ia820611622d9441b977884dac00e0ebd_247" w:history="1">
              <w:r>
                <w:rPr>
                  <w:rStyle w:val="a3"/>
                  <w:rFonts w:eastAsia="Times New Roman"/>
                  <w:color w:val="000000"/>
                  <w:sz w:val="20"/>
                  <w:szCs w:val="20"/>
                  <w:u w:val="none"/>
                </w:rPr>
                <w:t>Net Charge-Offs</w:t>
              </w:r>
            </w:hyperlink>
            <w:r>
              <w:rPr>
                <w:rFonts w:eastAsia="Times New Roman"/>
                <w:color w:val="000000"/>
                <w:sz w:val="20"/>
                <w:szCs w:val="20"/>
              </w:rPr>
              <w:t xml:space="preserve"> (Recoveries)</w:t>
            </w: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247" w:history="1">
              <w:r>
                <w:rPr>
                  <w:rStyle w:val="a3"/>
                  <w:rFonts w:eastAsia="Times New Roman"/>
                  <w:color w:val="000000"/>
                  <w:sz w:val="20"/>
                  <w:szCs w:val="20"/>
                  <w:u w:val="none"/>
                </w:rPr>
                <w:t>89</w:t>
              </w:r>
            </w:hyperlink>
          </w:p>
        </w:tc>
      </w:tr>
      <w:tr w:rsidR="00000000">
        <w:trPr>
          <w:divId w:val="946037557"/>
          <w:jc w:val="center"/>
        </w:trPr>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20"/>
                <w:szCs w:val="20"/>
              </w:rPr>
              <w:t>27</w:t>
            </w:r>
          </w:p>
        </w:tc>
        <w:tc>
          <w:tcPr>
            <w:tcW w:w="0" w:type="auto"/>
            <w:gridSpan w:val="3"/>
            <w:tcMar>
              <w:top w:w="30" w:type="dxa"/>
              <w:left w:w="20" w:type="dxa"/>
              <w:bottom w:w="30" w:type="dxa"/>
              <w:right w:w="20" w:type="dxa"/>
            </w:tcMar>
            <w:vAlign w:val="bottom"/>
            <w:hideMark/>
          </w:tcPr>
          <w:p w:rsidR="00000000" w:rsidRDefault="0094004B">
            <w:pPr>
              <w:spacing w:after="100"/>
              <w:divId w:val="1763140094"/>
              <w:rPr>
                <w:rFonts w:eastAsia="Times New Roman"/>
              </w:rPr>
            </w:pPr>
            <w:hyperlink w:anchor="ia820611622d9441b977884dac00e0ebd_250" w:history="1">
              <w:r>
                <w:rPr>
                  <w:rStyle w:val="a3"/>
                  <w:rFonts w:eastAsia="Times New Roman"/>
                  <w:color w:val="000000"/>
                  <w:sz w:val="20"/>
                  <w:szCs w:val="20"/>
                  <w:u w:val="none"/>
                </w:rPr>
                <w:t>Troubled Debt Restructurings</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250" w:history="1">
              <w:r>
                <w:rPr>
                  <w:rStyle w:val="a3"/>
                  <w:rFonts w:eastAsia="Times New Roman"/>
                  <w:color w:val="000000"/>
                  <w:sz w:val="20"/>
                  <w:szCs w:val="20"/>
                  <w:u w:val="none"/>
                </w:rPr>
                <w:t>89</w:t>
              </w:r>
            </w:hyperlink>
          </w:p>
        </w:tc>
      </w:tr>
      <w:tr w:rsidR="00000000">
        <w:trPr>
          <w:divId w:val="946037557"/>
          <w:jc w:val="center"/>
        </w:trPr>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20"/>
                <w:szCs w:val="20"/>
              </w:rPr>
              <w:t>28</w:t>
            </w:r>
          </w:p>
        </w:tc>
        <w:tc>
          <w:tcPr>
            <w:tcW w:w="0" w:type="auto"/>
            <w:gridSpan w:val="3"/>
            <w:tcMar>
              <w:top w:w="30" w:type="dxa"/>
              <w:left w:w="20" w:type="dxa"/>
              <w:bottom w:w="30" w:type="dxa"/>
              <w:right w:w="20" w:type="dxa"/>
            </w:tcMar>
            <w:vAlign w:val="bottom"/>
            <w:hideMark/>
          </w:tcPr>
          <w:p w:rsidR="00000000" w:rsidRDefault="0094004B">
            <w:pPr>
              <w:spacing w:after="100"/>
              <w:divId w:val="1600678319"/>
              <w:rPr>
                <w:rFonts w:eastAsia="Times New Roman"/>
              </w:rPr>
            </w:pPr>
            <w:hyperlink w:anchor="ia820611622d9441b977884dac00e0ebd_256" w:history="1">
              <w:r>
                <w:rPr>
                  <w:rStyle w:val="a3"/>
                  <w:rFonts w:eastAsia="Times New Roman"/>
                  <w:color w:val="000000"/>
                  <w:sz w:val="20"/>
                  <w:szCs w:val="20"/>
                  <w:u w:val="none"/>
                </w:rPr>
                <w:t>Allowance for Credit Losses and Reserve for Unfunded Lending Commitments Activity</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256" w:history="1">
              <w:r>
                <w:rPr>
                  <w:rStyle w:val="a3"/>
                  <w:rFonts w:eastAsia="Times New Roman"/>
                  <w:color w:val="000000"/>
                  <w:sz w:val="20"/>
                  <w:szCs w:val="20"/>
                  <w:u w:val="none"/>
                </w:rPr>
                <w:t>91</w:t>
              </w:r>
            </w:hyperlink>
          </w:p>
        </w:tc>
      </w:tr>
      <w:tr w:rsidR="00000000">
        <w:trPr>
          <w:divId w:val="946037557"/>
          <w:jc w:val="center"/>
        </w:trPr>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20"/>
                <w:szCs w:val="20"/>
              </w:rPr>
              <w:t>29</w:t>
            </w:r>
          </w:p>
        </w:tc>
        <w:tc>
          <w:tcPr>
            <w:tcW w:w="0" w:type="auto"/>
            <w:gridSpan w:val="3"/>
            <w:tcMar>
              <w:top w:w="30" w:type="dxa"/>
              <w:left w:w="20" w:type="dxa"/>
              <w:bottom w:w="30" w:type="dxa"/>
              <w:right w:w="20" w:type="dxa"/>
            </w:tcMar>
            <w:vAlign w:val="bottom"/>
            <w:hideMark/>
          </w:tcPr>
          <w:p w:rsidR="00000000" w:rsidRDefault="0094004B">
            <w:pPr>
              <w:spacing w:after="100"/>
              <w:divId w:val="383605958"/>
              <w:rPr>
                <w:rFonts w:eastAsia="Times New Roman"/>
              </w:rPr>
            </w:pPr>
            <w:hyperlink w:anchor="ia820611622d9441b977884dac00e0ebd_259" w:history="1">
              <w:r>
                <w:rPr>
                  <w:rStyle w:val="a3"/>
                  <w:rFonts w:eastAsia="Times New Roman"/>
                  <w:color w:val="000000"/>
                  <w:sz w:val="20"/>
                  <w:szCs w:val="20"/>
                  <w:u w:val="none"/>
                </w:rPr>
                <w:t>Allowance Coverage Ratios for Specified Loan Category</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259" w:history="1">
              <w:r>
                <w:rPr>
                  <w:rStyle w:val="a3"/>
                  <w:rFonts w:eastAsia="Times New Roman"/>
                  <w:color w:val="000000"/>
                  <w:sz w:val="20"/>
                  <w:szCs w:val="20"/>
                  <w:u w:val="none"/>
                </w:rPr>
                <w:t>92</w:t>
              </w:r>
            </w:hyperlink>
          </w:p>
        </w:tc>
      </w:tr>
      <w:tr w:rsidR="00000000">
        <w:trPr>
          <w:divId w:val="946037557"/>
          <w:jc w:val="center"/>
        </w:trPr>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20"/>
                <w:szCs w:val="20"/>
              </w:rPr>
              <w:t>30</w:t>
            </w:r>
          </w:p>
        </w:tc>
        <w:tc>
          <w:tcPr>
            <w:tcW w:w="0" w:type="auto"/>
            <w:gridSpan w:val="3"/>
            <w:tcMar>
              <w:top w:w="30" w:type="dxa"/>
              <w:left w:w="20" w:type="dxa"/>
              <w:bottom w:w="30" w:type="dxa"/>
              <w:right w:w="20" w:type="dxa"/>
            </w:tcMar>
            <w:vAlign w:val="bottom"/>
            <w:hideMark/>
          </w:tcPr>
          <w:p w:rsidR="00000000" w:rsidRDefault="0094004B">
            <w:pPr>
              <w:spacing w:after="100"/>
              <w:divId w:val="680593803"/>
              <w:rPr>
                <w:rFonts w:eastAsia="Times New Roman"/>
              </w:rPr>
            </w:pPr>
            <w:hyperlink w:anchor="ia820611622d9441b977884dac00e0ebd_268" w:history="1">
              <w:r>
                <w:rPr>
                  <w:rStyle w:val="a3"/>
                  <w:rFonts w:eastAsia="Times New Roman"/>
                  <w:color w:val="000000"/>
                  <w:sz w:val="20"/>
                  <w:szCs w:val="20"/>
                  <w:u w:val="none"/>
                </w:rPr>
                <w:t>Liquidity</w:t>
              </w:r>
              <w:r>
                <w:rPr>
                  <w:rStyle w:val="a3"/>
                  <w:rFonts w:eastAsia="Times New Roman"/>
                  <w:color w:val="000000"/>
                  <w:sz w:val="20"/>
                  <w:szCs w:val="20"/>
                  <w:u w:val="none"/>
                </w:rPr>
                <w:t xml:space="preserve"> Reserves</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268" w:history="1">
              <w:r>
                <w:rPr>
                  <w:rStyle w:val="a3"/>
                  <w:rFonts w:eastAsia="Times New Roman"/>
                  <w:color w:val="000000"/>
                  <w:sz w:val="20"/>
                  <w:szCs w:val="20"/>
                  <w:u w:val="none"/>
                </w:rPr>
                <w:t>92</w:t>
              </w:r>
            </w:hyperlink>
          </w:p>
        </w:tc>
      </w:tr>
      <w:tr w:rsidR="00000000">
        <w:trPr>
          <w:divId w:val="946037557"/>
          <w:jc w:val="center"/>
        </w:trPr>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20"/>
                <w:szCs w:val="20"/>
              </w:rPr>
              <w:t>31</w:t>
            </w:r>
          </w:p>
        </w:tc>
        <w:tc>
          <w:tcPr>
            <w:tcW w:w="0" w:type="auto"/>
            <w:gridSpan w:val="3"/>
            <w:tcMar>
              <w:top w:w="30" w:type="dxa"/>
              <w:left w:w="20" w:type="dxa"/>
              <w:bottom w:w="30" w:type="dxa"/>
              <w:right w:w="20" w:type="dxa"/>
            </w:tcMar>
            <w:vAlign w:val="bottom"/>
            <w:hideMark/>
          </w:tcPr>
          <w:p w:rsidR="00000000" w:rsidRDefault="0094004B">
            <w:pPr>
              <w:spacing w:after="100"/>
              <w:divId w:val="733553661"/>
              <w:rPr>
                <w:rFonts w:eastAsia="Times New Roman"/>
              </w:rPr>
            </w:pPr>
            <w:hyperlink w:anchor="ia820611622d9441b977884dac00e0ebd_274" w:history="1">
              <w:r>
                <w:rPr>
                  <w:rStyle w:val="a3"/>
                  <w:rFonts w:eastAsia="Times New Roman"/>
                  <w:color w:val="000000"/>
                  <w:sz w:val="20"/>
                  <w:szCs w:val="20"/>
                  <w:u w:val="none"/>
                </w:rPr>
                <w:t>Deposits Composition and Average Deposits Interest Rates</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274" w:history="1">
              <w:r>
                <w:rPr>
                  <w:rStyle w:val="a3"/>
                  <w:rFonts w:eastAsia="Times New Roman"/>
                  <w:color w:val="000000"/>
                  <w:sz w:val="20"/>
                  <w:szCs w:val="20"/>
                  <w:u w:val="none"/>
                </w:rPr>
                <w:t>94</w:t>
              </w:r>
            </w:hyperlink>
          </w:p>
        </w:tc>
      </w:tr>
      <w:tr w:rsidR="00000000">
        <w:trPr>
          <w:divId w:val="946037557"/>
          <w:jc w:val="center"/>
        </w:trPr>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20"/>
                <w:szCs w:val="20"/>
              </w:rPr>
              <w:t>32</w:t>
            </w:r>
          </w:p>
        </w:tc>
        <w:tc>
          <w:tcPr>
            <w:tcW w:w="0" w:type="auto"/>
            <w:gridSpan w:val="3"/>
            <w:tcMar>
              <w:top w:w="30" w:type="dxa"/>
              <w:left w:w="20" w:type="dxa"/>
              <w:bottom w:w="30" w:type="dxa"/>
              <w:right w:w="20" w:type="dxa"/>
            </w:tcMar>
            <w:vAlign w:val="bottom"/>
            <w:hideMark/>
          </w:tcPr>
          <w:p w:rsidR="00000000" w:rsidRDefault="0094004B">
            <w:pPr>
              <w:spacing w:after="100"/>
              <w:divId w:val="889415541"/>
              <w:rPr>
                <w:rFonts w:eastAsia="Times New Roman"/>
              </w:rPr>
            </w:pPr>
            <w:hyperlink w:anchor="ia820611622d9441b977884dac00e0ebd_280" w:history="1">
              <w:r>
                <w:rPr>
                  <w:rStyle w:val="a3"/>
                  <w:rFonts w:eastAsia="Times New Roman"/>
                  <w:color w:val="000000"/>
                  <w:sz w:val="20"/>
                  <w:szCs w:val="20"/>
                  <w:u w:val="none"/>
                </w:rPr>
                <w:t>Amount of Time Deposits in Excess of $250,000 by Contractual Maturity</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280" w:history="1">
              <w:r>
                <w:rPr>
                  <w:rStyle w:val="a3"/>
                  <w:rFonts w:eastAsia="Times New Roman"/>
                  <w:color w:val="000000"/>
                  <w:sz w:val="20"/>
                  <w:szCs w:val="20"/>
                  <w:u w:val="none"/>
                </w:rPr>
                <w:t>95</w:t>
              </w:r>
            </w:hyperlink>
          </w:p>
        </w:tc>
      </w:tr>
      <w:tr w:rsidR="00000000">
        <w:trPr>
          <w:divId w:val="946037557"/>
          <w:jc w:val="center"/>
        </w:trPr>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20"/>
                <w:szCs w:val="20"/>
              </w:rPr>
              <w:t>33</w:t>
            </w:r>
          </w:p>
        </w:tc>
        <w:tc>
          <w:tcPr>
            <w:tcW w:w="0" w:type="auto"/>
            <w:gridSpan w:val="3"/>
            <w:tcMar>
              <w:top w:w="30" w:type="dxa"/>
              <w:left w:w="20" w:type="dxa"/>
              <w:bottom w:w="30" w:type="dxa"/>
              <w:right w:w="20" w:type="dxa"/>
            </w:tcMar>
            <w:vAlign w:val="bottom"/>
            <w:hideMark/>
          </w:tcPr>
          <w:p w:rsidR="00000000" w:rsidRDefault="0094004B">
            <w:pPr>
              <w:spacing w:after="100"/>
              <w:divId w:val="366174963"/>
              <w:rPr>
                <w:rFonts w:eastAsia="Times New Roman"/>
              </w:rPr>
            </w:pPr>
            <w:hyperlink w:anchor="ia820611622d9441b977884dac00e0ebd_286" w:history="1">
              <w:r>
                <w:rPr>
                  <w:rStyle w:val="a3"/>
                  <w:rFonts w:eastAsia="Times New Roman"/>
                  <w:color w:val="000000"/>
                  <w:sz w:val="20"/>
                  <w:szCs w:val="20"/>
                  <w:u w:val="none"/>
                </w:rPr>
                <w:t>Long-Term Debt Funding Activities</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286" w:history="1">
              <w:r>
                <w:rPr>
                  <w:rStyle w:val="a3"/>
                  <w:rFonts w:eastAsia="Times New Roman"/>
                  <w:color w:val="000000"/>
                  <w:sz w:val="20"/>
                  <w:szCs w:val="20"/>
                  <w:u w:val="none"/>
                </w:rPr>
                <w:t>95</w:t>
              </w:r>
            </w:hyperlink>
          </w:p>
        </w:tc>
      </w:tr>
      <w:tr w:rsidR="00000000">
        <w:trPr>
          <w:divId w:val="946037557"/>
          <w:jc w:val="center"/>
        </w:trPr>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20"/>
                <w:szCs w:val="20"/>
              </w:rPr>
              <w:t>34</w:t>
            </w:r>
          </w:p>
        </w:tc>
        <w:tc>
          <w:tcPr>
            <w:tcW w:w="0" w:type="auto"/>
            <w:gridSpan w:val="3"/>
            <w:tcMar>
              <w:top w:w="30" w:type="dxa"/>
              <w:left w:w="20" w:type="dxa"/>
              <w:bottom w:w="30" w:type="dxa"/>
              <w:right w:w="20" w:type="dxa"/>
            </w:tcMar>
            <w:vAlign w:val="bottom"/>
            <w:hideMark/>
          </w:tcPr>
          <w:p w:rsidR="00000000" w:rsidRDefault="0094004B">
            <w:pPr>
              <w:spacing w:after="100"/>
              <w:divId w:val="551042732"/>
              <w:rPr>
                <w:rFonts w:eastAsia="Times New Roman"/>
              </w:rPr>
            </w:pPr>
            <w:hyperlink w:anchor="ia820611622d9441b977884dac00e0ebd_289" w:history="1">
              <w:r>
                <w:rPr>
                  <w:rStyle w:val="a3"/>
                  <w:rFonts w:eastAsia="Times New Roman"/>
                  <w:color w:val="000000"/>
                  <w:sz w:val="20"/>
                  <w:szCs w:val="20"/>
                  <w:u w:val="none"/>
                </w:rPr>
                <w:t>Senior Unsecured Long-Term Debt Credit Ratings</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289" w:history="1">
              <w:r>
                <w:rPr>
                  <w:rStyle w:val="a3"/>
                  <w:rFonts w:eastAsia="Times New Roman"/>
                  <w:color w:val="000000"/>
                  <w:sz w:val="20"/>
                  <w:szCs w:val="20"/>
                  <w:u w:val="none"/>
                </w:rPr>
                <w:t>96</w:t>
              </w:r>
            </w:hyperlink>
          </w:p>
        </w:tc>
      </w:tr>
      <w:tr w:rsidR="00000000">
        <w:trPr>
          <w:divId w:val="946037557"/>
          <w:jc w:val="center"/>
        </w:trPr>
        <w:tc>
          <w:tcPr>
            <w:tcW w:w="0" w:type="auto"/>
            <w:gridSpan w:val="3"/>
            <w:vAlign w:val="center"/>
            <w:hideMark/>
          </w:tcPr>
          <w:p w:rsidR="00000000" w:rsidRDefault="0094004B">
            <w:pPr>
              <w:spacing w:after="100"/>
              <w:jc w:val="center"/>
              <w:rPr>
                <w:rFonts w:eastAsia="Times New Roman"/>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46037557"/>
          <w:jc w:val="center"/>
        </w:trPr>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20"/>
                <w:szCs w:val="20"/>
              </w:rPr>
              <w:t>35</w:t>
            </w:r>
          </w:p>
        </w:tc>
        <w:tc>
          <w:tcPr>
            <w:tcW w:w="0" w:type="auto"/>
            <w:gridSpan w:val="3"/>
            <w:tcMar>
              <w:top w:w="30" w:type="dxa"/>
              <w:left w:w="20" w:type="dxa"/>
              <w:bottom w:w="30" w:type="dxa"/>
              <w:right w:w="20" w:type="dxa"/>
            </w:tcMar>
            <w:vAlign w:val="bottom"/>
            <w:hideMark/>
          </w:tcPr>
          <w:p w:rsidR="00000000" w:rsidRDefault="0094004B">
            <w:pPr>
              <w:spacing w:after="100"/>
              <w:divId w:val="1659847766"/>
              <w:rPr>
                <w:rFonts w:eastAsia="Times New Roman"/>
              </w:rPr>
            </w:pPr>
            <w:hyperlink w:anchor="ia820611622d9441b977884dac00e0ebd_301" w:history="1">
              <w:r>
                <w:rPr>
                  <w:rStyle w:val="a3"/>
                  <w:rFonts w:eastAsia="Times New Roman"/>
                  <w:color w:val="000000"/>
                  <w:sz w:val="20"/>
                  <w:szCs w:val="20"/>
                  <w:u w:val="none"/>
                </w:rPr>
                <w:t>Interest Rate Sensitivity Analysis</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301" w:history="1">
              <w:r>
                <w:rPr>
                  <w:rStyle w:val="a3"/>
                  <w:rFonts w:eastAsia="Times New Roman"/>
                  <w:color w:val="000000"/>
                  <w:sz w:val="20"/>
                  <w:szCs w:val="20"/>
                  <w:u w:val="none"/>
                </w:rPr>
                <w:t>98</w:t>
              </w:r>
            </w:hyperlink>
          </w:p>
        </w:tc>
      </w:tr>
      <w:tr w:rsidR="00000000">
        <w:trPr>
          <w:divId w:val="946037557"/>
          <w:jc w:val="center"/>
        </w:trPr>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20"/>
                <w:szCs w:val="20"/>
              </w:rPr>
              <w:t>36</w:t>
            </w:r>
          </w:p>
        </w:tc>
        <w:tc>
          <w:tcPr>
            <w:tcW w:w="0" w:type="auto"/>
            <w:gridSpan w:val="3"/>
            <w:tcMar>
              <w:top w:w="30" w:type="dxa"/>
              <w:left w:w="20" w:type="dxa"/>
              <w:bottom w:w="30" w:type="dxa"/>
              <w:right w:w="20" w:type="dxa"/>
            </w:tcMar>
            <w:vAlign w:val="bottom"/>
            <w:hideMark/>
          </w:tcPr>
          <w:p w:rsidR="00000000" w:rsidRDefault="0094004B">
            <w:pPr>
              <w:spacing w:after="100"/>
              <w:divId w:val="1101293741"/>
              <w:rPr>
                <w:rFonts w:eastAsia="Times New Roman"/>
              </w:rPr>
            </w:pPr>
            <w:hyperlink w:anchor="ia820611622d9441b977884dac00e0ebd_304" w:history="1">
              <w:r>
                <w:rPr>
                  <w:rStyle w:val="a3"/>
                  <w:rFonts w:eastAsia="Times New Roman"/>
                  <w:color w:val="000000"/>
                  <w:sz w:val="20"/>
                  <w:szCs w:val="20"/>
                  <w:u w:val="none"/>
                </w:rPr>
                <w:t>LIBOR Exposures on Derivativ</w:t>
              </w:r>
              <w:r>
                <w:rPr>
                  <w:rStyle w:val="a3"/>
                  <w:rFonts w:eastAsia="Times New Roman"/>
                  <w:color w:val="000000"/>
                  <w:sz w:val="20"/>
                  <w:szCs w:val="20"/>
                  <w:u w:val="none"/>
                </w:rPr>
                <w:t>es and Commercial Loans</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304" w:history="1">
              <w:r>
                <w:rPr>
                  <w:rStyle w:val="a3"/>
                  <w:rFonts w:eastAsia="Times New Roman"/>
                  <w:color w:val="000000"/>
                  <w:sz w:val="20"/>
                  <w:szCs w:val="20"/>
                  <w:u w:val="none"/>
                </w:rPr>
                <w:t>99</w:t>
              </w:r>
            </w:hyperlink>
          </w:p>
        </w:tc>
      </w:tr>
      <w:tr w:rsidR="00000000">
        <w:trPr>
          <w:divId w:val="946037557"/>
          <w:trHeight w:val="240"/>
          <w:jc w:val="center"/>
        </w:trPr>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946037557"/>
          <w:jc w:val="center"/>
        </w:trPr>
        <w:tc>
          <w:tcPr>
            <w:tcW w:w="0" w:type="auto"/>
            <w:gridSpan w:val="6"/>
            <w:tcMar>
              <w:top w:w="30" w:type="dxa"/>
              <w:left w:w="20" w:type="dxa"/>
              <w:bottom w:w="30" w:type="dxa"/>
              <w:right w:w="20" w:type="dxa"/>
            </w:tcMar>
            <w:vAlign w:val="bottom"/>
            <w:hideMark/>
          </w:tcPr>
          <w:p w:rsidR="00000000" w:rsidRDefault="0094004B">
            <w:pPr>
              <w:spacing w:after="100"/>
              <w:divId w:val="1337464176"/>
              <w:rPr>
                <w:rFonts w:eastAsia="Times New Roman"/>
              </w:rPr>
            </w:pPr>
            <w:hyperlink w:anchor="ia820611622d9441b977884dac00e0ebd_313" w:history="1">
              <w:r>
                <w:rPr>
                  <w:rStyle w:val="a3"/>
                  <w:rFonts w:eastAsia="Times New Roman"/>
                  <w:b/>
                  <w:bCs/>
                  <w:color w:val="000000"/>
                  <w:sz w:val="20"/>
                  <w:szCs w:val="20"/>
                  <w:u w:val="none"/>
                </w:rPr>
                <w:t>Supplemental Table</w:t>
              </w:r>
            </w:hyperlink>
            <w:r>
              <w:rPr>
                <w:rFonts w:eastAsia="Times New Roman"/>
                <w:b/>
                <w:bCs/>
                <w:color w:val="000000"/>
                <w:sz w:val="20"/>
                <w:szCs w:val="20"/>
              </w:rPr>
              <w:t>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r>
      <w:tr w:rsidR="00000000">
        <w:trPr>
          <w:divId w:val="946037557"/>
          <w:jc w:val="center"/>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46037557"/>
          <w:jc w:val="center"/>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46037557"/>
          <w:jc w:val="center"/>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46037557"/>
          <w:jc w:val="center"/>
        </w:trPr>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20"/>
                <w:szCs w:val="20"/>
              </w:rPr>
              <w:t>A</w:t>
            </w:r>
          </w:p>
        </w:tc>
        <w:tc>
          <w:tcPr>
            <w:tcW w:w="0" w:type="auto"/>
            <w:gridSpan w:val="3"/>
            <w:tcMar>
              <w:top w:w="30" w:type="dxa"/>
              <w:left w:w="20" w:type="dxa"/>
              <w:bottom w:w="30" w:type="dxa"/>
              <w:right w:w="20" w:type="dxa"/>
            </w:tcMar>
            <w:vAlign w:val="bottom"/>
            <w:hideMark/>
          </w:tcPr>
          <w:p w:rsidR="00000000" w:rsidRDefault="0094004B">
            <w:pPr>
              <w:spacing w:after="100"/>
              <w:divId w:val="1917856639"/>
              <w:rPr>
                <w:rFonts w:eastAsia="Times New Roman"/>
              </w:rPr>
            </w:pPr>
            <w:hyperlink w:anchor="ia820611622d9441b977884dac00e0ebd_319" w:history="1">
              <w:r>
                <w:rPr>
                  <w:rStyle w:val="a3"/>
                  <w:rFonts w:eastAsia="Times New Roman"/>
                  <w:color w:val="000000"/>
                  <w:sz w:val="20"/>
                  <w:szCs w:val="20"/>
                  <w:u w:val="none"/>
                </w:rPr>
                <w:t>Net Charge-Offs</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319" w:history="1">
              <w:r>
                <w:rPr>
                  <w:rStyle w:val="a3"/>
                  <w:rFonts w:eastAsia="Times New Roman"/>
                  <w:color w:val="000000"/>
                  <w:sz w:val="20"/>
                  <w:szCs w:val="20"/>
                  <w:u w:val="none"/>
                </w:rPr>
                <w:t>102</w:t>
              </w:r>
            </w:hyperlink>
          </w:p>
        </w:tc>
      </w:tr>
      <w:tr w:rsidR="00000000">
        <w:trPr>
          <w:divId w:val="946037557"/>
          <w:jc w:val="center"/>
        </w:trPr>
        <w:tc>
          <w:tcPr>
            <w:tcW w:w="0" w:type="auto"/>
            <w:gridSpan w:val="3"/>
            <w:vAlign w:val="center"/>
            <w:hideMark/>
          </w:tcPr>
          <w:p w:rsidR="00000000" w:rsidRDefault="0094004B">
            <w:pPr>
              <w:spacing w:after="100"/>
              <w:jc w:val="center"/>
              <w:rPr>
                <w:rFonts w:eastAsia="Times New Roman"/>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46037557"/>
          <w:jc w:val="center"/>
        </w:trPr>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20"/>
                <w:szCs w:val="20"/>
              </w:rPr>
              <w:t>B</w:t>
            </w:r>
          </w:p>
        </w:tc>
        <w:tc>
          <w:tcPr>
            <w:tcW w:w="0" w:type="auto"/>
            <w:gridSpan w:val="3"/>
            <w:tcMar>
              <w:top w:w="30" w:type="dxa"/>
              <w:left w:w="20" w:type="dxa"/>
              <w:bottom w:w="30" w:type="dxa"/>
              <w:right w:w="20" w:type="dxa"/>
            </w:tcMar>
            <w:vAlign w:val="bottom"/>
            <w:hideMark/>
          </w:tcPr>
          <w:p w:rsidR="00000000" w:rsidRDefault="0094004B">
            <w:pPr>
              <w:spacing w:after="100"/>
              <w:divId w:val="1043410068"/>
              <w:rPr>
                <w:rFonts w:eastAsia="Times New Roman"/>
              </w:rPr>
            </w:pPr>
            <w:hyperlink w:anchor="ia820611622d9441b977884dac00e0ebd_316" w:history="1">
              <w:r>
                <w:rPr>
                  <w:rStyle w:val="a3"/>
                  <w:rFonts w:eastAsia="Times New Roman"/>
                  <w:color w:val="000000"/>
                  <w:sz w:val="20"/>
                  <w:szCs w:val="20"/>
                  <w:u w:val="none"/>
                </w:rPr>
                <w:t>Reconciliation of Non-GAAP Measures</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316" w:history="1">
              <w:r>
                <w:rPr>
                  <w:rStyle w:val="a3"/>
                  <w:rFonts w:eastAsia="Times New Roman"/>
                  <w:color w:val="000000"/>
                  <w:sz w:val="20"/>
                  <w:szCs w:val="20"/>
                  <w:u w:val="none"/>
                </w:rPr>
                <w:t>102</w:t>
              </w:r>
            </w:hyperlink>
          </w:p>
        </w:tc>
      </w:tr>
      <w:tr w:rsidR="00000000">
        <w:trPr>
          <w:divId w:val="946037557"/>
          <w:jc w:val="center"/>
        </w:trPr>
        <w:tc>
          <w:tcPr>
            <w:tcW w:w="0" w:type="auto"/>
            <w:gridSpan w:val="3"/>
            <w:vAlign w:val="center"/>
            <w:hideMark/>
          </w:tcPr>
          <w:p w:rsidR="00000000" w:rsidRDefault="0094004B">
            <w:pPr>
              <w:spacing w:after="100"/>
              <w:jc w:val="center"/>
              <w:rPr>
                <w:rFonts w:eastAsia="Times New Roman"/>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jc w:val="center"/>
        </w:trPr>
        <w:tc>
          <w:tcPr>
            <w:tcW w:w="50" w:type="pct"/>
            <w:vAlign w:val="center"/>
            <w:hideMark/>
          </w:tcPr>
          <w:p w:rsidR="00000000" w:rsidRDefault="0094004B">
            <w:pPr>
              <w:jc w:val="center"/>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3</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028" style="width:0;height:1.5pt" o:hralign="center" o:hrstd="t" o:hr="t" fillcolor="#a0a0a0" stroked="f"/>
        </w:pict>
      </w:r>
    </w:p>
    <w:p w:rsidR="00000000" w:rsidRDefault="0094004B">
      <w:pPr>
        <w:jc w:val="both"/>
        <w:divId w:val="1968049207"/>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1568422338"/>
        <w:rPr>
          <w:rFonts w:eastAsia="Times New Roman"/>
        </w:rPr>
      </w:pPr>
      <w:r>
        <w:rPr>
          <w:rFonts w:eastAsia="Times New Roman"/>
          <w:b/>
          <w:bCs/>
          <w:color w:val="000000"/>
          <w:sz w:val="20"/>
          <w:szCs w:val="20"/>
        </w:rPr>
        <w:t xml:space="preserve">PART I </w:t>
      </w:r>
    </w:p>
    <w:p w:rsidR="00000000" w:rsidRDefault="0094004B">
      <w:pPr>
        <w:divId w:val="1693264870"/>
        <w:rPr>
          <w:rFonts w:eastAsia="Times New Roman"/>
        </w:rPr>
      </w:pPr>
      <w:r>
        <w:rPr>
          <w:rFonts w:eastAsia="Times New Roman"/>
          <w:b/>
          <w:bCs/>
          <w:color w:val="000000"/>
          <w:sz w:val="20"/>
          <w:szCs w:val="20"/>
        </w:rPr>
        <w:t xml:space="preserve">Item 1. Business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781069442"/>
          <w:jc w:val="center"/>
        </w:trPr>
        <w:tc>
          <w:tcPr>
            <w:tcW w:w="50" w:type="pct"/>
            <w:vAlign w:val="center"/>
            <w:hideMark/>
          </w:tcPr>
          <w:p w:rsidR="00000000" w:rsidRDefault="0094004B">
            <w:pPr>
              <w:rPr>
                <w:rFonts w:eastAsia="Times New Roman"/>
              </w:rPr>
            </w:pPr>
          </w:p>
        </w:tc>
        <w:tc>
          <w:tcPr>
            <w:tcW w:w="494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781069442"/>
          <w:jc w:val="center"/>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20"/>
                <w:szCs w:val="20"/>
              </w:rPr>
              <w:t>OVERVIEW</w:t>
            </w:r>
          </w:p>
        </w:tc>
      </w:tr>
    </w:tbl>
    <w:p w:rsidR="00000000" w:rsidRDefault="0094004B">
      <w:pPr>
        <w:divId w:val="337974847"/>
        <w:rPr>
          <w:rFonts w:eastAsia="Times New Roman"/>
        </w:rPr>
      </w:pPr>
      <w:r>
        <w:rPr>
          <w:rFonts w:eastAsia="Times New Roman"/>
          <w:b/>
          <w:bCs/>
          <w:color w:val="000000"/>
          <w:sz w:val="20"/>
          <w:szCs w:val="20"/>
        </w:rPr>
        <w:t>General</w:t>
      </w:r>
    </w:p>
    <w:p w:rsidR="00000000" w:rsidRDefault="0094004B">
      <w:pPr>
        <w:jc w:val="both"/>
        <w:divId w:val="162623477"/>
        <w:rPr>
          <w:rFonts w:eastAsia="Times New Roman"/>
        </w:rPr>
      </w:pPr>
      <w:r>
        <w:rPr>
          <w:rFonts w:eastAsia="Times New Roman"/>
          <w:color w:val="000000"/>
          <w:sz w:val="20"/>
          <w:szCs w:val="20"/>
        </w:rPr>
        <w:t>Capital One Financial Corporation, a Delaware corporation established in 1994 and headquartered in McLean, Virginia, is a diversified financial services holding company with banking and non-banking subsidiaries. Capital One Financial Corporation and its su</w:t>
      </w:r>
      <w:r>
        <w:rPr>
          <w:rFonts w:eastAsia="Times New Roman"/>
          <w:color w:val="000000"/>
          <w:sz w:val="20"/>
          <w:szCs w:val="20"/>
        </w:rPr>
        <w:t xml:space="preserve">bsidiaries (the “Company” or “Capital One”) offer a broad array of financial products and services to consumers, small businesses and commercial clients through digital channels, branch locations, cafés and other distribution channels. </w:t>
      </w:r>
    </w:p>
    <w:p w:rsidR="00000000" w:rsidRDefault="0094004B">
      <w:pPr>
        <w:jc w:val="both"/>
        <w:rPr>
          <w:rFonts w:eastAsia="Times New Roman"/>
        </w:rPr>
      </w:pPr>
      <w:r>
        <w:rPr>
          <w:rFonts w:eastAsia="Times New Roman"/>
          <w:color w:val="000000"/>
          <w:sz w:val="20"/>
          <w:szCs w:val="20"/>
        </w:rPr>
        <w:t xml:space="preserve">As of December 31, </w:t>
      </w:r>
      <w:r>
        <w:rPr>
          <w:rFonts w:eastAsia="Times New Roman"/>
          <w:color w:val="000000"/>
          <w:sz w:val="20"/>
          <w:szCs w:val="20"/>
        </w:rPr>
        <w:t>2022, Capital One Financial Corporation’s principal operating subsidiary was Capital One, National Association (“CONA”). On October 1, 2022, the Company completed the merger of Capital One Bank (USA), National Association (“COBNA”), with and into CONA, wit</w:t>
      </w:r>
      <w:r>
        <w:rPr>
          <w:rFonts w:eastAsia="Times New Roman"/>
          <w:color w:val="000000"/>
          <w:sz w:val="20"/>
          <w:szCs w:val="20"/>
        </w:rPr>
        <w:t>h CONA as the surviving entity (the “Bank Merger”). The Company is hereafter collectively referred to as “we,” “us” or “our.” References to the “Bank” shall mean and refer to (i) CONA from and after the Bank Merger and (ii) CONA and COBNA collectively prio</w:t>
      </w:r>
      <w:r>
        <w:rPr>
          <w:rFonts w:eastAsia="Times New Roman"/>
          <w:color w:val="000000"/>
          <w:sz w:val="20"/>
          <w:szCs w:val="20"/>
        </w:rPr>
        <w:t>r to the Bank Merger.</w:t>
      </w:r>
    </w:p>
    <w:p w:rsidR="00000000" w:rsidRDefault="0094004B">
      <w:pPr>
        <w:jc w:val="both"/>
        <w:divId w:val="649597335"/>
        <w:rPr>
          <w:rFonts w:eastAsia="Times New Roman"/>
        </w:rPr>
      </w:pPr>
      <w:r>
        <w:rPr>
          <w:rFonts w:eastAsia="Times New Roman"/>
          <w:color w:val="000000"/>
          <w:sz w:val="20"/>
          <w:szCs w:val="20"/>
        </w:rPr>
        <w:t xml:space="preserve">References to “this Report” or our “2022 Form 10-K” or “2022 Annual Report” are to our Annual Report on Form 10-K for the fiscal year ended December 31, 2022. All references to 2022, 2021 and 2020, refer to our fiscal years ended, or </w:t>
      </w:r>
      <w:r>
        <w:rPr>
          <w:rFonts w:eastAsia="Times New Roman"/>
          <w:color w:val="000000"/>
          <w:sz w:val="20"/>
          <w:szCs w:val="20"/>
        </w:rPr>
        <w:t>the dates, as the context requires, December 31, 2022, December 31, 2021 and December 31, 2020, respectively. Certain business terms used in this document are defined in the “MD&amp;A—Glossary and Acronyms” and should be read in conjunction with the Consolidat</w:t>
      </w:r>
      <w:r>
        <w:rPr>
          <w:rFonts w:eastAsia="Times New Roman"/>
          <w:color w:val="000000"/>
          <w:sz w:val="20"/>
          <w:szCs w:val="20"/>
        </w:rPr>
        <w:t>ed Financial Statements included in this Report.</w:t>
      </w:r>
    </w:p>
    <w:p w:rsidR="00000000" w:rsidRDefault="0094004B">
      <w:pPr>
        <w:jc w:val="both"/>
        <w:divId w:val="1269503732"/>
        <w:rPr>
          <w:rFonts w:eastAsia="Times New Roman"/>
        </w:rPr>
      </w:pPr>
      <w:r>
        <w:rPr>
          <w:rFonts w:eastAsia="Times New Roman"/>
          <w:color w:val="000000"/>
          <w:sz w:val="20"/>
          <w:szCs w:val="20"/>
        </w:rPr>
        <w:t>We were the third largest issuer of Vis</w:t>
      </w:r>
      <w:r>
        <w:rPr>
          <w:rFonts w:eastAsia="Times New Roman"/>
          <w:color w:val="000000"/>
          <w:sz w:val="20"/>
          <w:szCs w:val="20"/>
        </w:rPr>
        <w:t>a</w:t>
      </w:r>
      <w:r>
        <w:rPr>
          <w:rFonts w:eastAsia="Times New Roman"/>
          <w:color w:val="000000"/>
          <w:sz w:val="13"/>
          <w:szCs w:val="13"/>
        </w:rPr>
        <w:t>®</w:t>
      </w:r>
      <w:r>
        <w:rPr>
          <w:rFonts w:eastAsia="Times New Roman"/>
          <w:color w:val="000000"/>
          <w:sz w:val="20"/>
          <w:szCs w:val="20"/>
        </w:rPr>
        <w:t xml:space="preserve"> (“Visa”) and MasterCar</w:t>
      </w:r>
      <w:r>
        <w:rPr>
          <w:rFonts w:eastAsia="Times New Roman"/>
          <w:color w:val="000000"/>
          <w:sz w:val="20"/>
          <w:szCs w:val="20"/>
        </w:rPr>
        <w:t>d</w:t>
      </w:r>
      <w:r>
        <w:rPr>
          <w:rFonts w:eastAsia="Times New Roman"/>
          <w:color w:val="000000"/>
          <w:sz w:val="13"/>
          <w:szCs w:val="13"/>
        </w:rPr>
        <w:t>®</w:t>
      </w:r>
      <w:r>
        <w:rPr>
          <w:rFonts w:eastAsia="Times New Roman"/>
          <w:color w:val="000000"/>
          <w:sz w:val="20"/>
          <w:szCs w:val="20"/>
        </w:rPr>
        <w:t xml:space="preserve"> (“MasterCard”) credit cards in the U.S. based on the outstanding balance of credit card loans as of December 31, 2022. In addition to credit</w:t>
      </w:r>
      <w:r>
        <w:rPr>
          <w:rFonts w:eastAsia="Times New Roman"/>
          <w:color w:val="000000"/>
          <w:sz w:val="20"/>
          <w:szCs w:val="20"/>
        </w:rPr>
        <w:t xml:space="preserve"> cards, we also offer debit cards, bank lending, treasury management and depository services, auto loans and other consumer lending products in markets across the U.S. As one of the nation’s largest banks based on deposits as of December 31, 2022, we servi</w:t>
      </w:r>
      <w:r>
        <w:rPr>
          <w:rFonts w:eastAsia="Times New Roman"/>
          <w:color w:val="000000"/>
          <w:sz w:val="20"/>
          <w:szCs w:val="20"/>
        </w:rPr>
        <w:t xml:space="preserve">ce banking customer accounts through digital channels and our network of branch locations, cafés, call centers and automated teller machines (“ATMs”). </w:t>
      </w:r>
    </w:p>
    <w:p w:rsidR="00000000" w:rsidRDefault="0094004B">
      <w:pPr>
        <w:jc w:val="both"/>
        <w:divId w:val="710962663"/>
        <w:rPr>
          <w:rFonts w:eastAsia="Times New Roman"/>
        </w:rPr>
      </w:pPr>
      <w:r>
        <w:rPr>
          <w:rFonts w:eastAsia="Times New Roman"/>
          <w:color w:val="000000"/>
          <w:sz w:val="20"/>
          <w:szCs w:val="20"/>
        </w:rPr>
        <w:t>We also offer products and services outside of the U.S. principally through Capital One (Europe) plc (“COEP”), an indirect subsidiary of CONA organized and located in the United Kingdom (“U.K.”), and through a branch of CONA in Canada. Both COEP and our Ca</w:t>
      </w:r>
      <w:r>
        <w:rPr>
          <w:rFonts w:eastAsia="Times New Roman"/>
          <w:color w:val="000000"/>
          <w:sz w:val="20"/>
          <w:szCs w:val="20"/>
        </w:rPr>
        <w:t>nadian branch of CONA have the authority to provide credit card loans.</w:t>
      </w:r>
    </w:p>
    <w:p w:rsidR="00000000" w:rsidRDefault="0094004B">
      <w:pPr>
        <w:divId w:val="1291595580"/>
        <w:rPr>
          <w:rFonts w:eastAsia="Times New Roman"/>
        </w:rPr>
      </w:pPr>
      <w:r>
        <w:rPr>
          <w:rFonts w:eastAsia="Times New Roman"/>
          <w:b/>
          <w:bCs/>
          <w:color w:val="000000"/>
          <w:sz w:val="20"/>
          <w:szCs w:val="20"/>
        </w:rPr>
        <w:t>Business Developments</w:t>
      </w:r>
    </w:p>
    <w:p w:rsidR="00000000" w:rsidRDefault="0094004B">
      <w:pPr>
        <w:jc w:val="both"/>
        <w:divId w:val="568534792"/>
        <w:rPr>
          <w:rFonts w:eastAsia="Times New Roman"/>
        </w:rPr>
      </w:pPr>
      <w:r>
        <w:rPr>
          <w:rFonts w:eastAsia="Times New Roman"/>
          <w:color w:val="000000"/>
          <w:sz w:val="20"/>
          <w:szCs w:val="20"/>
        </w:rPr>
        <w:t>We regularly explore and evaluate opportunities to acquire financial products and services as well as financial assets, including credit card and other loan portfo</w:t>
      </w:r>
      <w:r>
        <w:rPr>
          <w:rFonts w:eastAsia="Times New Roman"/>
          <w:color w:val="000000"/>
          <w:sz w:val="20"/>
          <w:szCs w:val="20"/>
        </w:rPr>
        <w:t>lios, and enter into strategic partnerships as part of our growth strategy. We also explore opportunities to acquire technology companies and related assets to improve our information technology infrastructure and to deliver on our digital strategy. We may</w:t>
      </w:r>
      <w:r>
        <w:rPr>
          <w:rFonts w:eastAsia="Times New Roman"/>
          <w:color w:val="000000"/>
          <w:sz w:val="20"/>
          <w:szCs w:val="20"/>
        </w:rPr>
        <w:t xml:space="preserve"> issue equity or debt to fund our acquisitions. In addition, we regularly consider the potential disposition of certain of our assets, branches, partnership agreements or lines of business.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416706223"/>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416706223"/>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416706223"/>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4</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029" style="width:0;height:1.5pt" o:hralign="center" o:hrstd="t" o:hr="t" fillcolor="#a0a0a0" stroked="f"/>
        </w:pict>
      </w:r>
    </w:p>
    <w:p w:rsidR="00000000" w:rsidRDefault="0094004B">
      <w:pPr>
        <w:jc w:val="both"/>
        <w:divId w:val="1850753912"/>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divId w:val="51734934"/>
        <w:rPr>
          <w:rFonts w:eastAsia="Times New Roman"/>
        </w:rPr>
      </w:pPr>
      <w:r>
        <w:rPr>
          <w:rFonts w:eastAsia="Times New Roman"/>
          <w:b/>
          <w:bCs/>
          <w:color w:val="000000"/>
          <w:sz w:val="20"/>
          <w:szCs w:val="20"/>
        </w:rPr>
        <w:t>Additional Information</w:t>
      </w:r>
    </w:p>
    <w:p w:rsidR="00000000" w:rsidRDefault="0094004B">
      <w:pPr>
        <w:jc w:val="both"/>
        <w:divId w:val="1026908576"/>
        <w:rPr>
          <w:rFonts w:eastAsia="Times New Roman"/>
        </w:rPr>
      </w:pPr>
      <w:r>
        <w:rPr>
          <w:rFonts w:eastAsia="Times New Roman"/>
          <w:color w:val="000000"/>
          <w:sz w:val="20"/>
          <w:szCs w:val="20"/>
        </w:rPr>
        <w:t>Our common stock trades on the New York Stock Exchange (“NYSE”) under the symbol “COF” and is included in the Standard &amp;</w:t>
      </w:r>
      <w:r>
        <w:rPr>
          <w:rFonts w:eastAsia="Times New Roman"/>
          <w:color w:val="000000"/>
          <w:sz w:val="20"/>
          <w:szCs w:val="20"/>
        </w:rPr>
        <w:t xml:space="preserve"> Poor’s (“S&amp;P”) 100 Index. We maintain a website at www.capitalone.com. Documents available under “Governance &amp; Leadership” in the Investor Relations section of our website include:</w:t>
      </w:r>
    </w:p>
    <w:p w:rsidR="00000000" w:rsidRDefault="0094004B">
      <w:pPr>
        <w:ind w:hanging="360"/>
        <w:jc w:val="both"/>
        <w:divId w:val="1590962334"/>
        <w:rPr>
          <w:rFonts w:eastAsia="Times New Roman"/>
        </w:rPr>
      </w:pPr>
      <w:r>
        <w:rPr>
          <w:rFonts w:eastAsia="Times New Roman"/>
          <w:color w:val="000000"/>
          <w:sz w:val="20"/>
          <w:szCs w:val="20"/>
        </w:rPr>
        <w:t>•our Certificate of Incorporation, Bylaws, Corporate Governance Guidelines</w:t>
      </w:r>
      <w:r>
        <w:rPr>
          <w:rFonts w:eastAsia="Times New Roman"/>
          <w:color w:val="000000"/>
          <w:sz w:val="20"/>
          <w:szCs w:val="20"/>
        </w:rPr>
        <w:t>, and Code of Conduct; and</w:t>
      </w:r>
    </w:p>
    <w:p w:rsidR="00000000" w:rsidRDefault="0094004B">
      <w:pPr>
        <w:ind w:hanging="360"/>
        <w:jc w:val="both"/>
        <w:divId w:val="1468401848"/>
        <w:rPr>
          <w:rFonts w:eastAsia="Times New Roman"/>
        </w:rPr>
      </w:pPr>
      <w:r>
        <w:rPr>
          <w:rFonts w:eastAsia="Times New Roman"/>
          <w:color w:val="000000"/>
          <w:sz w:val="20"/>
          <w:szCs w:val="20"/>
        </w:rPr>
        <w:t>•charters for the Audit, Compensation, Governance and Nominating, and Risk Committees of the Board of Directors.</w:t>
      </w:r>
    </w:p>
    <w:p w:rsidR="00000000" w:rsidRDefault="0094004B">
      <w:pPr>
        <w:jc w:val="both"/>
        <w:divId w:val="2142454433"/>
        <w:rPr>
          <w:rFonts w:eastAsia="Times New Roman"/>
        </w:rPr>
      </w:pPr>
      <w:r>
        <w:rPr>
          <w:rFonts w:eastAsia="Times New Roman"/>
          <w:color w:val="000000"/>
          <w:sz w:val="20"/>
          <w:szCs w:val="20"/>
        </w:rPr>
        <w:t>These documents also are available in print to any stockholder who requests a copy. We intend to disclose any future</w:t>
      </w:r>
      <w:r>
        <w:rPr>
          <w:rFonts w:eastAsia="Times New Roman"/>
          <w:color w:val="000000"/>
          <w:sz w:val="20"/>
          <w:szCs w:val="20"/>
        </w:rPr>
        <w:t xml:space="preserve"> amendments to, or waivers from, our Code of Conduct on the website following the date of any such amendment or waiver. </w:t>
      </w:r>
    </w:p>
    <w:p w:rsidR="00000000" w:rsidRDefault="0094004B">
      <w:pPr>
        <w:jc w:val="both"/>
        <w:divId w:val="649755054"/>
        <w:rPr>
          <w:rFonts w:eastAsia="Times New Roman"/>
        </w:rPr>
      </w:pPr>
      <w:r>
        <w:rPr>
          <w:rFonts w:eastAsia="Times New Roman"/>
          <w:color w:val="000000"/>
          <w:sz w:val="20"/>
          <w:szCs w:val="20"/>
        </w:rPr>
        <w:t>In addition, we make available free of charge through our website all of our U.S. Securities and Exchange Commission (“SEC”) filings, i</w:t>
      </w:r>
      <w:r>
        <w:rPr>
          <w:rFonts w:eastAsia="Times New Roman"/>
          <w:color w:val="000000"/>
          <w:sz w:val="20"/>
          <w:szCs w:val="20"/>
        </w:rPr>
        <w:t>ncluding our Annual Reports on Form 10-K, Quarterly Reports on Form 10-Q, Current Reports on Form 8-K and amendments to those reports, as soon as reasonably practicable after electronically filing or furnishing such material to the SEC at www.sec.gov.</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131248151"/>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131248151"/>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131248151"/>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5</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030" style="width:0;height:1.5pt" o:hralign="center" o:hrstd="t" o:hr="t" fillcolor="#a0a0a0" stroked="f"/>
        </w:pict>
      </w:r>
    </w:p>
    <w:p w:rsidR="00000000" w:rsidRDefault="0094004B">
      <w:pPr>
        <w:jc w:val="both"/>
        <w:divId w:val="278992697"/>
        <w:rPr>
          <w:rFonts w:eastAsia="Times New Roman"/>
        </w:rPr>
      </w:pPr>
      <w:hyperlink w:anchor="ia820611622d9441b977884dac00e0ebd_16" w:history="1">
        <w:r>
          <w:rPr>
            <w:rStyle w:val="a3"/>
            <w:rFonts w:eastAsia="Times New Roman"/>
            <w:sz w:val="16"/>
            <w:szCs w:val="16"/>
          </w:rPr>
          <w:t>Table of Contents</w:t>
        </w:r>
      </w:hyperlink>
    </w:p>
    <w:tbl>
      <w:tblPr>
        <w:tblW w:w="4992" w:type="pct"/>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trPr>
          <w:divId w:val="690952679"/>
        </w:trPr>
        <w:tc>
          <w:tcPr>
            <w:tcW w:w="50" w:type="pct"/>
            <w:vAlign w:val="center"/>
            <w:hideMark/>
          </w:tcPr>
          <w:p w:rsidR="00000000" w:rsidRDefault="0094004B">
            <w:pPr>
              <w:jc w:val="both"/>
              <w:rPr>
                <w:rFonts w:eastAsia="Times New Roman"/>
              </w:rPr>
            </w:pPr>
          </w:p>
        </w:tc>
        <w:tc>
          <w:tcPr>
            <w:tcW w:w="494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690952679"/>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20"/>
                <w:szCs w:val="20"/>
              </w:rPr>
              <w:t>OPERATIONS AND BUSINESS SEGMENTS</w:t>
            </w:r>
          </w:p>
        </w:tc>
      </w:tr>
    </w:tbl>
    <w:p w:rsidR="00000000" w:rsidRDefault="0094004B">
      <w:pPr>
        <w:jc w:val="both"/>
        <w:divId w:val="1121874810"/>
        <w:rPr>
          <w:rFonts w:eastAsia="Times New Roman"/>
        </w:rPr>
      </w:pPr>
      <w:r>
        <w:rPr>
          <w:rFonts w:eastAsia="Times New Roman"/>
          <w:color w:val="000000"/>
          <w:sz w:val="20"/>
          <w:szCs w:val="20"/>
        </w:rPr>
        <w:t>Our consolidated total net revenues are derived primarily from lending to consumer and commercial customers net of funding costs associated with our deposits, long-term debt and other borrowings. We also earn non-interest income which primarily consists of</w:t>
      </w:r>
      <w:r>
        <w:rPr>
          <w:rFonts w:eastAsia="Times New Roman"/>
          <w:color w:val="000000"/>
          <w:sz w:val="20"/>
          <w:szCs w:val="20"/>
        </w:rPr>
        <w:t xml:space="preserve"> interchange income, net of reward expenses, service charges and other customer-related fees. Our expenses primarily consist of the provision for credit losses, operating expenses, marketing expenses and income taxes.</w:t>
      </w:r>
    </w:p>
    <w:p w:rsidR="00000000" w:rsidRDefault="0094004B">
      <w:pPr>
        <w:jc w:val="both"/>
        <w:divId w:val="940453585"/>
        <w:rPr>
          <w:rFonts w:eastAsia="Times New Roman"/>
        </w:rPr>
      </w:pPr>
      <w:r>
        <w:rPr>
          <w:rFonts w:eastAsia="Times New Roman"/>
          <w:color w:val="000000"/>
          <w:sz w:val="20"/>
          <w:szCs w:val="20"/>
        </w:rPr>
        <w:t>Our principal operations are organized</w:t>
      </w:r>
      <w:r>
        <w:rPr>
          <w:rFonts w:eastAsia="Times New Roman"/>
          <w:color w:val="000000"/>
          <w:sz w:val="20"/>
          <w:szCs w:val="20"/>
        </w:rPr>
        <w:t xml:space="preserve"> for management reporting purposes into three major business segments, which are defined primarily based on the products and services provided or the types of customers served: Credit Card, Consumer Banking and Commercial Banking. The operations of acquire</w:t>
      </w:r>
      <w:r>
        <w:rPr>
          <w:rFonts w:eastAsia="Times New Roman"/>
          <w:color w:val="000000"/>
          <w:sz w:val="20"/>
          <w:szCs w:val="20"/>
        </w:rPr>
        <w:t>d businesses have been integrated into or managed as a part of our existing business segments. Certain activities that are not part of a segment, such as management of our corporate investment portfolio and asset/liability management by our centralized Cor</w:t>
      </w:r>
      <w:r>
        <w:rPr>
          <w:rFonts w:eastAsia="Times New Roman"/>
          <w:color w:val="000000"/>
          <w:sz w:val="20"/>
          <w:szCs w:val="20"/>
        </w:rPr>
        <w:t>porate Treasury group, are included in the Other category. The Other category also includes unallocated corporate expenses that do not directly support the operations of the business segments or for which the business segments are not considered financiall</w:t>
      </w:r>
      <w:r>
        <w:rPr>
          <w:rFonts w:eastAsia="Times New Roman"/>
          <w:color w:val="000000"/>
          <w:sz w:val="20"/>
          <w:szCs w:val="20"/>
        </w:rPr>
        <w:t>y accountable in evaluating their performance, such as certain restructuring charges, as well as residual tax expense or benefit to arrive at the consolidated effective tax rate that is not assessed to our primary business segments.</w:t>
      </w:r>
    </w:p>
    <w:p w:rsidR="00000000" w:rsidRDefault="0094004B">
      <w:pPr>
        <w:ind w:hanging="360"/>
        <w:jc w:val="both"/>
        <w:divId w:val="757949189"/>
        <w:rPr>
          <w:rFonts w:eastAsia="Times New Roman"/>
        </w:rPr>
      </w:pPr>
      <w:r>
        <w:rPr>
          <w:rFonts w:eastAsia="Times New Roman"/>
          <w:color w:val="000000"/>
          <w:sz w:val="20"/>
          <w:szCs w:val="20"/>
        </w:rPr>
        <w:t>•</w:t>
      </w:r>
      <w:r>
        <w:rPr>
          <w:rFonts w:eastAsia="Times New Roman"/>
          <w:i/>
          <w:iCs/>
          <w:color w:val="000000"/>
          <w:sz w:val="20"/>
          <w:szCs w:val="20"/>
        </w:rPr>
        <w:t>Credit Card:</w:t>
      </w:r>
      <w:r>
        <w:rPr>
          <w:rFonts w:eastAsia="Times New Roman"/>
          <w:color w:val="000000"/>
          <w:sz w:val="20"/>
          <w:szCs w:val="20"/>
        </w:rPr>
        <w:t xml:space="preserve"> Consists </w:t>
      </w:r>
      <w:r>
        <w:rPr>
          <w:rFonts w:eastAsia="Times New Roman"/>
          <w:color w:val="000000"/>
          <w:sz w:val="20"/>
          <w:szCs w:val="20"/>
        </w:rPr>
        <w:t xml:space="preserve">of our domestic consumer and small business card lending, and international card businesses in the United Kingdom and Canada. </w:t>
      </w:r>
    </w:p>
    <w:p w:rsidR="00000000" w:rsidRDefault="0094004B">
      <w:pPr>
        <w:ind w:hanging="360"/>
        <w:jc w:val="both"/>
        <w:divId w:val="1358390785"/>
        <w:rPr>
          <w:rFonts w:eastAsia="Times New Roman"/>
        </w:rPr>
      </w:pPr>
      <w:r>
        <w:rPr>
          <w:rFonts w:eastAsia="Times New Roman"/>
          <w:color w:val="000000"/>
          <w:sz w:val="20"/>
          <w:szCs w:val="20"/>
        </w:rPr>
        <w:t>•</w:t>
      </w:r>
      <w:r>
        <w:rPr>
          <w:rFonts w:eastAsia="Times New Roman"/>
          <w:i/>
          <w:iCs/>
          <w:color w:val="000000"/>
          <w:sz w:val="20"/>
          <w:szCs w:val="20"/>
        </w:rPr>
        <w:t>Consumer Banking:</w:t>
      </w:r>
      <w:r>
        <w:rPr>
          <w:rFonts w:eastAsia="Times New Roman"/>
          <w:color w:val="000000"/>
          <w:sz w:val="20"/>
          <w:szCs w:val="20"/>
        </w:rPr>
        <w:t xml:space="preserve"> Consists of our deposit gathering and lending activities for consumers and small businesses, and national auto</w:t>
      </w:r>
      <w:r>
        <w:rPr>
          <w:rFonts w:eastAsia="Times New Roman"/>
          <w:color w:val="000000"/>
          <w:sz w:val="20"/>
          <w:szCs w:val="20"/>
        </w:rPr>
        <w:t xml:space="preserve"> lending. </w:t>
      </w:r>
    </w:p>
    <w:p w:rsidR="00000000" w:rsidRDefault="0094004B">
      <w:pPr>
        <w:ind w:hanging="360"/>
        <w:jc w:val="both"/>
        <w:divId w:val="1788113147"/>
        <w:rPr>
          <w:rFonts w:eastAsia="Times New Roman"/>
        </w:rPr>
      </w:pPr>
      <w:r>
        <w:rPr>
          <w:rFonts w:eastAsia="Times New Roman"/>
          <w:color w:val="000000"/>
          <w:sz w:val="20"/>
          <w:szCs w:val="20"/>
        </w:rPr>
        <w:t>•</w:t>
      </w:r>
      <w:r>
        <w:rPr>
          <w:rFonts w:eastAsia="Times New Roman"/>
          <w:i/>
          <w:iCs/>
          <w:color w:val="000000"/>
          <w:sz w:val="20"/>
          <w:szCs w:val="20"/>
        </w:rPr>
        <w:t>Commercial Banking:</w:t>
      </w:r>
      <w:r>
        <w:rPr>
          <w:rFonts w:eastAsia="Times New Roman"/>
          <w:color w:val="000000"/>
          <w:sz w:val="20"/>
          <w:szCs w:val="20"/>
        </w:rPr>
        <w:t xml:space="preserve"> Consists of our lending, deposit gathering, capital markets and treasury management services to commercial real estate and commercial and industrial customers. Our customers typically include companies with annual revenues b</w:t>
      </w:r>
      <w:r>
        <w:rPr>
          <w:rFonts w:eastAsia="Times New Roman"/>
          <w:color w:val="000000"/>
          <w:sz w:val="20"/>
          <w:szCs w:val="20"/>
        </w:rPr>
        <w:t>etween $20 million and $2 billion.</w:t>
      </w:r>
    </w:p>
    <w:p w:rsidR="00000000" w:rsidRDefault="0094004B">
      <w:pPr>
        <w:jc w:val="both"/>
        <w:divId w:val="1716156558"/>
        <w:rPr>
          <w:rFonts w:eastAsia="Times New Roman"/>
        </w:rPr>
      </w:pPr>
      <w:r>
        <w:rPr>
          <w:rFonts w:eastAsia="Times New Roman"/>
          <w:color w:val="000000"/>
          <w:sz w:val="20"/>
          <w:szCs w:val="20"/>
        </w:rPr>
        <w:t>Customer usage and payment patterns, estimates of future expected credit losses, levels of marketing expense and operating efficiency all affect our profitability. In our Credit Card business, we generally experience fluc</w:t>
      </w:r>
      <w:r>
        <w:rPr>
          <w:rFonts w:eastAsia="Times New Roman"/>
          <w:color w:val="000000"/>
          <w:sz w:val="20"/>
          <w:szCs w:val="20"/>
        </w:rPr>
        <w:t>tuations in purchase volume and the level of outstanding loan receivables from seasonal variances in consumer spending and payment patterns which, for example, have historically been the highest around the winter holiday season. Net charge-off rates for ou</w:t>
      </w:r>
      <w:r>
        <w:rPr>
          <w:rFonts w:eastAsia="Times New Roman"/>
          <w:color w:val="000000"/>
          <w:sz w:val="20"/>
          <w:szCs w:val="20"/>
        </w:rPr>
        <w:t xml:space="preserve">r credit card loan portfolio also have historically exhibited seasonal patterns as well and generally tend to be the highest in the first quarter of the year. </w:t>
      </w:r>
    </w:p>
    <w:p w:rsidR="00000000" w:rsidRDefault="0094004B">
      <w:pPr>
        <w:jc w:val="both"/>
        <w:divId w:val="2048488068"/>
        <w:rPr>
          <w:rFonts w:eastAsia="Times New Roman"/>
        </w:rPr>
      </w:pPr>
      <w:r>
        <w:rPr>
          <w:rFonts w:eastAsia="Times New Roman"/>
          <w:color w:val="000000"/>
          <w:sz w:val="20"/>
          <w:szCs w:val="20"/>
        </w:rPr>
        <w:t>For additional information on our business segments, including the financial performance of each</w:t>
      </w:r>
      <w:r>
        <w:rPr>
          <w:rFonts w:eastAsia="Times New Roman"/>
          <w:color w:val="000000"/>
          <w:sz w:val="20"/>
          <w:szCs w:val="20"/>
        </w:rPr>
        <w:t xml:space="preserve"> business, see “Part II—Item 7. Management’s Discussion and Analysis of Financial Condition and Results of Operations (“MD&amp;A”)—Executive Summary,” “Part II—Item 7. MD&amp;A—Business Segment Financial Performance” and “Part II—Item 8. Financial Statements and S</w:t>
      </w:r>
      <w:r>
        <w:rPr>
          <w:rFonts w:eastAsia="Times New Roman"/>
          <w:color w:val="000000"/>
          <w:sz w:val="20"/>
          <w:szCs w:val="20"/>
        </w:rPr>
        <w:t>upplementary Data—Note 17—Business Segments and Revenue from Contracts with Customers” of this Report.</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474613635"/>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474613635"/>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474613635"/>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6</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031" style="width:0;height:1.5pt" o:hralign="center" o:hrstd="t" o:hr="t" fillcolor="#a0a0a0" stroked="f"/>
        </w:pict>
      </w:r>
    </w:p>
    <w:p w:rsidR="00000000" w:rsidRDefault="0094004B">
      <w:pPr>
        <w:jc w:val="both"/>
        <w:divId w:val="1402362284"/>
        <w:rPr>
          <w:rFonts w:eastAsia="Times New Roman"/>
        </w:rPr>
      </w:pPr>
      <w:hyperlink w:anchor="ia820611622d9441b977884dac00e0ebd_16" w:history="1">
        <w:r>
          <w:rPr>
            <w:rStyle w:val="a3"/>
            <w:rFonts w:eastAsia="Times New Roman"/>
            <w:sz w:val="16"/>
            <w:szCs w:val="16"/>
          </w:rPr>
          <w:t>Table of Contents</w:t>
        </w:r>
      </w:hyperlink>
    </w:p>
    <w:tbl>
      <w:tblPr>
        <w:tblW w:w="4992" w:type="pct"/>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trPr>
          <w:divId w:val="2021077251"/>
        </w:trPr>
        <w:tc>
          <w:tcPr>
            <w:tcW w:w="50" w:type="pct"/>
            <w:vAlign w:val="center"/>
            <w:hideMark/>
          </w:tcPr>
          <w:p w:rsidR="00000000" w:rsidRDefault="0094004B">
            <w:pPr>
              <w:jc w:val="both"/>
              <w:rPr>
                <w:rFonts w:eastAsia="Times New Roman"/>
              </w:rPr>
            </w:pPr>
          </w:p>
        </w:tc>
        <w:tc>
          <w:tcPr>
            <w:tcW w:w="494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2021077251"/>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20"/>
                <w:szCs w:val="20"/>
              </w:rPr>
              <w:t>COMPETITION</w:t>
            </w:r>
          </w:p>
        </w:tc>
      </w:tr>
    </w:tbl>
    <w:p w:rsidR="00000000" w:rsidRDefault="0094004B">
      <w:pPr>
        <w:jc w:val="both"/>
        <w:divId w:val="1228373580"/>
        <w:rPr>
          <w:rFonts w:eastAsia="Times New Roman"/>
        </w:rPr>
      </w:pPr>
      <w:r>
        <w:rPr>
          <w:rFonts w:eastAsia="Times New Roman"/>
          <w:color w:val="000000"/>
          <w:sz w:val="20"/>
          <w:szCs w:val="20"/>
        </w:rPr>
        <w:t>Each of our business segments operates in a highly competitive environment, and we face competition in all aspects of our business from numerous bank and non-bank providers of financial services.</w:t>
      </w:r>
    </w:p>
    <w:p w:rsidR="00000000" w:rsidRDefault="0094004B">
      <w:pPr>
        <w:jc w:val="both"/>
        <w:divId w:val="1315111829"/>
        <w:rPr>
          <w:rFonts w:eastAsia="Times New Roman"/>
        </w:rPr>
      </w:pPr>
      <w:r>
        <w:rPr>
          <w:rFonts w:eastAsia="Times New Roman"/>
          <w:color w:val="000000"/>
          <w:sz w:val="20"/>
          <w:szCs w:val="20"/>
        </w:rPr>
        <w:t>Our Credit Card business competes with international, nation</w:t>
      </w:r>
      <w:r>
        <w:rPr>
          <w:rFonts w:eastAsia="Times New Roman"/>
          <w:color w:val="000000"/>
          <w:sz w:val="20"/>
          <w:szCs w:val="20"/>
        </w:rPr>
        <w:t>al, regional and local issuers of Visa and MasterCard credit cards, as well as with American Expres</w:t>
      </w:r>
      <w:r>
        <w:rPr>
          <w:rFonts w:eastAsia="Times New Roman"/>
          <w:color w:val="000000"/>
          <w:sz w:val="20"/>
          <w:szCs w:val="20"/>
        </w:rPr>
        <w:t>s</w:t>
      </w:r>
      <w:r>
        <w:rPr>
          <w:rFonts w:eastAsia="Times New Roman"/>
          <w:color w:val="000000"/>
          <w:sz w:val="13"/>
          <w:szCs w:val="13"/>
        </w:rPr>
        <w:t>®</w:t>
      </w:r>
      <w:r>
        <w:rPr>
          <w:rFonts w:eastAsia="Times New Roman"/>
          <w:color w:val="000000"/>
          <w:sz w:val="20"/>
          <w:szCs w:val="20"/>
        </w:rPr>
        <w:t>, Discover Car</w:t>
      </w:r>
      <w:r>
        <w:rPr>
          <w:rFonts w:eastAsia="Times New Roman"/>
          <w:color w:val="000000"/>
          <w:sz w:val="20"/>
          <w:szCs w:val="20"/>
        </w:rPr>
        <w:t>d</w:t>
      </w:r>
      <w:r>
        <w:rPr>
          <w:rFonts w:eastAsia="Times New Roman"/>
          <w:color w:val="000000"/>
          <w:sz w:val="13"/>
          <w:szCs w:val="13"/>
        </w:rPr>
        <w:t>®</w:t>
      </w:r>
      <w:r>
        <w:rPr>
          <w:rFonts w:eastAsia="Times New Roman"/>
          <w:color w:val="000000"/>
          <w:sz w:val="20"/>
          <w:szCs w:val="20"/>
        </w:rPr>
        <w:t>, private-label card brands, and, to a certain extent, issuers of debit cards. In general, customers are attracted to credit card issuers l</w:t>
      </w:r>
      <w:r>
        <w:rPr>
          <w:rFonts w:eastAsia="Times New Roman"/>
          <w:color w:val="000000"/>
          <w:sz w:val="20"/>
          <w:szCs w:val="20"/>
        </w:rPr>
        <w:t>argely on the basis of price, credit limit, reward programs, customer experience and other product features.</w:t>
      </w:r>
    </w:p>
    <w:p w:rsidR="00000000" w:rsidRDefault="0094004B">
      <w:pPr>
        <w:jc w:val="both"/>
        <w:divId w:val="1871340070"/>
        <w:rPr>
          <w:rFonts w:eastAsia="Times New Roman"/>
        </w:rPr>
      </w:pPr>
      <w:r>
        <w:rPr>
          <w:rFonts w:eastAsia="Times New Roman"/>
          <w:color w:val="000000"/>
          <w:sz w:val="20"/>
          <w:szCs w:val="20"/>
        </w:rPr>
        <w:t>Our Consumer Banking and Commercial Banking businesses compete with national, state and direct banks for deposits, commercial and auto loans, as we</w:t>
      </w:r>
      <w:r>
        <w:rPr>
          <w:rFonts w:eastAsia="Times New Roman"/>
          <w:color w:val="000000"/>
          <w:sz w:val="20"/>
          <w:szCs w:val="20"/>
        </w:rPr>
        <w:t>ll as with savings and loan associations and credit unions for loans and deposits. Our competitors also include automotive finance companies, commercial mortgage banking companies and other financial services providers that provide loans, deposits, and oth</w:t>
      </w:r>
      <w:r>
        <w:rPr>
          <w:rFonts w:eastAsia="Times New Roman"/>
          <w:color w:val="000000"/>
          <w:sz w:val="20"/>
          <w:szCs w:val="20"/>
        </w:rPr>
        <w:t xml:space="preserve">er similar services and products. In addition, we compete against non-depository institutions that are able to offer these products and services. </w:t>
      </w:r>
    </w:p>
    <w:p w:rsidR="00000000" w:rsidRDefault="0094004B">
      <w:pPr>
        <w:jc w:val="both"/>
        <w:divId w:val="34355188"/>
        <w:rPr>
          <w:rFonts w:eastAsia="Times New Roman"/>
        </w:rPr>
      </w:pPr>
      <w:r>
        <w:rPr>
          <w:rFonts w:eastAsia="Times New Roman"/>
          <w:color w:val="000000"/>
          <w:sz w:val="20"/>
          <w:szCs w:val="20"/>
        </w:rPr>
        <w:t>We also consider new and emerging companies in digital and mobile payments and other financial technology pro</w:t>
      </w:r>
      <w:r>
        <w:rPr>
          <w:rFonts w:eastAsia="Times New Roman"/>
          <w:color w:val="000000"/>
          <w:sz w:val="20"/>
          <w:szCs w:val="20"/>
        </w:rPr>
        <w:t>viders among our competitors. We compete with many forms of payment mechanisms, systems and products, offered by both bank and non-bank providers.</w:t>
      </w:r>
    </w:p>
    <w:p w:rsidR="00000000" w:rsidRDefault="0094004B">
      <w:pPr>
        <w:jc w:val="both"/>
        <w:divId w:val="613902192"/>
        <w:rPr>
          <w:rFonts w:eastAsia="Times New Roman"/>
        </w:rPr>
      </w:pPr>
      <w:r>
        <w:rPr>
          <w:rFonts w:eastAsia="Times New Roman"/>
          <w:color w:val="000000"/>
          <w:sz w:val="20"/>
          <w:szCs w:val="20"/>
        </w:rPr>
        <w:t>Our businesses generally compete on the basis of the quality and range of their products and services, transa</w:t>
      </w:r>
      <w:r>
        <w:rPr>
          <w:rFonts w:eastAsia="Times New Roman"/>
          <w:color w:val="000000"/>
          <w:sz w:val="20"/>
          <w:szCs w:val="20"/>
        </w:rPr>
        <w:t>ction execution, innovation and price. Competition varies based on the types of clients, customers, industries and geographies served. Our ability to compete depends, in part, on our ability to attract and retain our associates and on our reputation as wel</w:t>
      </w:r>
      <w:r>
        <w:rPr>
          <w:rFonts w:eastAsia="Times New Roman"/>
          <w:color w:val="000000"/>
          <w:sz w:val="20"/>
          <w:szCs w:val="20"/>
        </w:rPr>
        <w:t>l as our ability to keep pace with innovation, in particular in the development of new technology platforms. There can be no assurance, however, that our ability to market products and services successfully or to obtain adequate returns on our products and</w:t>
      </w:r>
      <w:r>
        <w:rPr>
          <w:rFonts w:eastAsia="Times New Roman"/>
          <w:color w:val="000000"/>
          <w:sz w:val="20"/>
          <w:szCs w:val="20"/>
        </w:rPr>
        <w:t xml:space="preserve"> services will not be impacted by the nature of the competition that now exists or may later develop, or by the broader economic environment. For a discussion of the risks related to our competitive environment, see “Part I—Item 1A. Risk Factors.”</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489397532"/>
        </w:trPr>
        <w:tc>
          <w:tcPr>
            <w:tcW w:w="50" w:type="pct"/>
            <w:vAlign w:val="center"/>
            <w:hideMark/>
          </w:tcPr>
          <w:p w:rsidR="00000000" w:rsidRDefault="0094004B">
            <w:pPr>
              <w:jc w:val="both"/>
              <w:rPr>
                <w:rFonts w:eastAsia="Times New Roman"/>
              </w:rPr>
            </w:pPr>
          </w:p>
        </w:tc>
        <w:tc>
          <w:tcPr>
            <w:tcW w:w="494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489397532"/>
        </w:trPr>
        <w:tc>
          <w:tcPr>
            <w:tcW w:w="0" w:type="auto"/>
            <w:gridSpan w:val="3"/>
            <w:tcBorders>
              <w:top w:val="single" w:sz="18" w:space="0" w:color="000000"/>
              <w:bottom w:val="single" w:sz="18" w:space="0" w:color="000000"/>
            </w:tcBorders>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20"/>
                <w:szCs w:val="20"/>
              </w:rPr>
              <w:t>SUPE</w:t>
            </w:r>
            <w:r>
              <w:rPr>
                <w:rFonts w:eastAsia="Times New Roman"/>
                <w:b/>
                <w:bCs/>
                <w:color w:val="000000"/>
                <w:sz w:val="20"/>
                <w:szCs w:val="20"/>
              </w:rPr>
              <w:t>RVISION AND REGULATION</w:t>
            </w:r>
          </w:p>
        </w:tc>
      </w:tr>
    </w:tbl>
    <w:p w:rsidR="00000000" w:rsidRDefault="0094004B">
      <w:pPr>
        <w:jc w:val="both"/>
        <w:divId w:val="1115444557"/>
        <w:rPr>
          <w:rFonts w:eastAsia="Times New Roman"/>
        </w:rPr>
      </w:pPr>
      <w:r>
        <w:rPr>
          <w:rFonts w:eastAsia="Times New Roman"/>
          <w:b/>
          <w:bCs/>
          <w:color w:val="000000"/>
          <w:sz w:val="20"/>
          <w:szCs w:val="20"/>
        </w:rPr>
        <w:t>General</w:t>
      </w:r>
    </w:p>
    <w:p w:rsidR="00000000" w:rsidRDefault="0094004B">
      <w:pPr>
        <w:jc w:val="both"/>
        <w:divId w:val="2074350880"/>
        <w:rPr>
          <w:rFonts w:eastAsia="Times New Roman"/>
        </w:rPr>
      </w:pPr>
      <w:r>
        <w:rPr>
          <w:rFonts w:eastAsia="Times New Roman"/>
          <w:color w:val="000000"/>
          <w:sz w:val="20"/>
          <w:szCs w:val="20"/>
        </w:rPr>
        <w:t>The regulatory framework applicable to banking organizations is intended primarily for the protection of depositors and the stability of the U.S. financial system, rather than for the protection of stockholders and creditors.</w:t>
      </w:r>
    </w:p>
    <w:p w:rsidR="00000000" w:rsidRDefault="0094004B">
      <w:pPr>
        <w:jc w:val="both"/>
        <w:divId w:val="7562286"/>
        <w:rPr>
          <w:rFonts w:eastAsia="Times New Roman"/>
        </w:rPr>
      </w:pPr>
      <w:r>
        <w:rPr>
          <w:rFonts w:eastAsia="Times New Roman"/>
          <w:color w:val="000000"/>
          <w:sz w:val="20"/>
          <w:szCs w:val="20"/>
        </w:rPr>
        <w:t xml:space="preserve">As a banking organization, we </w:t>
      </w:r>
      <w:r>
        <w:rPr>
          <w:rFonts w:eastAsia="Times New Roman"/>
          <w:color w:val="000000"/>
          <w:sz w:val="20"/>
          <w:szCs w:val="20"/>
        </w:rPr>
        <w:t xml:space="preserve">are subject to extensive regulation and supervision. In addition to banking laws and regulations, we are subject to various other laws and regulations, all of which directly or indirectly affect our operations, management and ability to make distributions </w:t>
      </w:r>
      <w:r>
        <w:rPr>
          <w:rFonts w:eastAsia="Times New Roman"/>
          <w:color w:val="000000"/>
          <w:sz w:val="20"/>
          <w:szCs w:val="20"/>
        </w:rPr>
        <w:t>to stockholders. We and our subsidiaries are also subject to supervision and examination by multiple regulators. In addition to laws and regulations, state and federal bank regulatory agencies may issue policy statements, interpretive letters and similar w</w:t>
      </w:r>
      <w:r>
        <w:rPr>
          <w:rFonts w:eastAsia="Times New Roman"/>
          <w:color w:val="000000"/>
          <w:sz w:val="20"/>
          <w:szCs w:val="20"/>
        </w:rPr>
        <w:t>ritten guidance applicable to us and our subsidiaries. Any change in the statutes, regulations or regulatory policies applicable to us, including changes in their interpretation or implementation, could have a material effect on our business or organizatio</w:t>
      </w:r>
      <w:r>
        <w:rPr>
          <w:rFonts w:eastAsia="Times New Roman"/>
          <w:color w:val="000000"/>
          <w:sz w:val="20"/>
          <w:szCs w:val="20"/>
        </w:rPr>
        <w:t>n.</w:t>
      </w:r>
    </w:p>
    <w:p w:rsidR="00000000" w:rsidRDefault="0094004B">
      <w:pPr>
        <w:jc w:val="both"/>
        <w:divId w:val="1793593619"/>
        <w:rPr>
          <w:rFonts w:eastAsia="Times New Roman"/>
        </w:rPr>
      </w:pPr>
      <w:r>
        <w:rPr>
          <w:rFonts w:eastAsia="Times New Roman"/>
          <w:color w:val="000000"/>
          <w:sz w:val="20"/>
          <w:szCs w:val="20"/>
        </w:rPr>
        <w:t>Both the scope of the laws and regulations and the intensity of the supervision to which we are subject have increased, initially in response to the 2007-2008 financial crisis, and more recently in light of other factors such as technological, political</w:t>
      </w:r>
      <w:r>
        <w:rPr>
          <w:rFonts w:eastAsia="Times New Roman"/>
          <w:color w:val="000000"/>
          <w:sz w:val="20"/>
          <w:szCs w:val="20"/>
        </w:rPr>
        <w:t xml:space="preserve"> and market changes. Regulatory enforcement and fines have also increased across the banking and financial services sector.</w:t>
      </w:r>
    </w:p>
    <w:p w:rsidR="00000000" w:rsidRDefault="0094004B">
      <w:pPr>
        <w:jc w:val="both"/>
        <w:divId w:val="62144791"/>
        <w:rPr>
          <w:rFonts w:eastAsia="Times New Roman"/>
        </w:rPr>
      </w:pPr>
      <w:r>
        <w:rPr>
          <w:rFonts w:eastAsia="Times New Roman"/>
          <w:color w:val="000000"/>
          <w:sz w:val="20"/>
          <w:szCs w:val="20"/>
        </w:rPr>
        <w:t>The descriptions below summarize certain significant federal and state laws, as well as international laws, to which we are subject.</w:t>
      </w:r>
      <w:r>
        <w:rPr>
          <w:rFonts w:eastAsia="Times New Roman"/>
          <w:color w:val="000000"/>
          <w:sz w:val="20"/>
          <w:szCs w:val="20"/>
        </w:rPr>
        <w:t xml:space="preserve"> The descriptions are qualified in their entirety by reference to the particular statutory or regulatory provisions summarized. They do not summarize all possible or proposed changes in current laws or regulations and are not intended to be a substitute fo</w:t>
      </w:r>
      <w:r>
        <w:rPr>
          <w:rFonts w:eastAsia="Times New Roman"/>
          <w:color w:val="000000"/>
          <w:sz w:val="20"/>
          <w:szCs w:val="20"/>
        </w:rPr>
        <w:t>r the related statutes or regulatory provisions.</w:t>
      </w:r>
    </w:p>
    <w:p w:rsidR="00000000" w:rsidRDefault="0094004B">
      <w:pPr>
        <w:jc w:val="both"/>
        <w:divId w:val="802695765"/>
        <w:rPr>
          <w:rFonts w:eastAsia="Times New Roman"/>
        </w:rPr>
      </w:pPr>
      <w:r>
        <w:rPr>
          <w:rFonts w:eastAsia="Times New Roman"/>
          <w:b/>
          <w:bCs/>
          <w:color w:val="000000"/>
          <w:sz w:val="20"/>
          <w:szCs w:val="20"/>
        </w:rPr>
        <w:t>Banking Regulation</w:t>
      </w:r>
    </w:p>
    <w:p w:rsidR="00000000" w:rsidRDefault="0094004B">
      <w:pPr>
        <w:jc w:val="both"/>
        <w:divId w:val="233012796"/>
        <w:rPr>
          <w:rFonts w:eastAsia="Times New Roman"/>
        </w:rPr>
      </w:pPr>
      <w:r>
        <w:rPr>
          <w:rFonts w:eastAsia="Times New Roman"/>
          <w:color w:val="000000"/>
          <w:sz w:val="20"/>
          <w:szCs w:val="20"/>
        </w:rPr>
        <w:t>Capital One Financial Corporation is a bank holding company (“BHC”) and a financial holding company (“FHC”) under the Bank Holding Company Act of 1956, as amended (“BHC Act”), and is subje</w:t>
      </w:r>
      <w:r>
        <w:rPr>
          <w:rFonts w:eastAsia="Times New Roman"/>
          <w:color w:val="000000"/>
          <w:sz w:val="20"/>
          <w:szCs w:val="20"/>
        </w:rPr>
        <w:t xml:space="preserve">ct to the requirements of the BHC Act, including approval requirements for investments in or acquisitions of banking organizations, capital adequacy standards and limitations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98377002"/>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98377002"/>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98377002"/>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7</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032" style="width:0;height:1.5pt" o:hralign="center" o:hrstd="t" o:hr="t" fillcolor="#a0a0a0" stroked="f"/>
        </w:pict>
      </w:r>
    </w:p>
    <w:p w:rsidR="00000000" w:rsidRDefault="0094004B">
      <w:pPr>
        <w:jc w:val="both"/>
        <w:divId w:val="13263069"/>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both"/>
        <w:divId w:val="1533811143"/>
        <w:rPr>
          <w:rFonts w:eastAsia="Times New Roman"/>
        </w:rPr>
      </w:pPr>
      <w:r>
        <w:rPr>
          <w:rFonts w:eastAsia="Times New Roman"/>
          <w:color w:val="000000"/>
          <w:sz w:val="20"/>
          <w:szCs w:val="20"/>
        </w:rPr>
        <w:t>on non-banking activities. As a BHC and FHC, we are subject to supervision, examination and regulation by the Board of Governors of the Federal</w:t>
      </w:r>
      <w:r>
        <w:rPr>
          <w:rFonts w:eastAsia="Times New Roman"/>
          <w:color w:val="000000"/>
          <w:sz w:val="20"/>
          <w:szCs w:val="20"/>
        </w:rPr>
        <w:t xml:space="preserve"> Reserve System (“Federal Reserve”). Permissible activities for a BHC include those activities that are so closely related to banking as to be a proper incident thereto. In addition, an FHC is permitted to engage in activities considered to be financial in</w:t>
      </w:r>
      <w:r>
        <w:rPr>
          <w:rFonts w:eastAsia="Times New Roman"/>
          <w:color w:val="000000"/>
          <w:sz w:val="20"/>
          <w:szCs w:val="20"/>
        </w:rPr>
        <w:t xml:space="preserve"> nature (including, for example, securities underwriting and dealing and merchant banking activities), incidental to financial activities or, if the Federal Reserve determines that they pose no risk to the safety or soundness of depository institutions or </w:t>
      </w:r>
      <w:r>
        <w:rPr>
          <w:rFonts w:eastAsia="Times New Roman"/>
          <w:color w:val="000000"/>
          <w:sz w:val="20"/>
          <w:szCs w:val="20"/>
        </w:rPr>
        <w:t>the financial system in general, activities complementary to financial activities.</w:t>
      </w:r>
    </w:p>
    <w:p w:rsidR="00000000" w:rsidRDefault="0094004B">
      <w:pPr>
        <w:jc w:val="both"/>
        <w:divId w:val="1786196169"/>
        <w:rPr>
          <w:rFonts w:eastAsia="Times New Roman"/>
        </w:rPr>
      </w:pPr>
      <w:r>
        <w:rPr>
          <w:rFonts w:eastAsia="Times New Roman"/>
          <w:color w:val="000000"/>
          <w:sz w:val="20"/>
          <w:szCs w:val="20"/>
        </w:rPr>
        <w:t>To become and remain eligible for FHC status, a BHC and its subsidiary depository institutions must meet certain criteria, including capital, management and Community Reinve</w:t>
      </w:r>
      <w:r>
        <w:rPr>
          <w:rFonts w:eastAsia="Times New Roman"/>
          <w:color w:val="000000"/>
          <w:sz w:val="20"/>
          <w:szCs w:val="20"/>
        </w:rPr>
        <w:t>stment Act (“CRA”) requirements. Failure to meet such criteria could result, depending on which requirements were not met, in restrictions on new financial activities or acquisitions or being required to discontinue existing activities that are not general</w:t>
      </w:r>
      <w:r>
        <w:rPr>
          <w:rFonts w:eastAsia="Times New Roman"/>
          <w:color w:val="000000"/>
          <w:sz w:val="20"/>
          <w:szCs w:val="20"/>
        </w:rPr>
        <w:t>ly permissible for BHCs.</w:t>
      </w:r>
    </w:p>
    <w:p w:rsidR="00000000" w:rsidRDefault="0094004B">
      <w:pPr>
        <w:jc w:val="both"/>
        <w:divId w:val="744494604"/>
        <w:rPr>
          <w:rFonts w:eastAsia="Times New Roman"/>
        </w:rPr>
      </w:pPr>
      <w:r>
        <w:rPr>
          <w:rFonts w:eastAsia="Times New Roman"/>
          <w:color w:val="000000"/>
          <w:sz w:val="20"/>
          <w:szCs w:val="20"/>
        </w:rPr>
        <w:t>The Bank is a national association chartered under the National Bank Act, the deposits of which are insured by the Federal Deposit Insurance Corporation (“FDIC”) up to applicable limits. The Bank is subject to comprehensive regulat</w:t>
      </w:r>
      <w:r>
        <w:rPr>
          <w:rFonts w:eastAsia="Times New Roman"/>
          <w:color w:val="000000"/>
          <w:sz w:val="20"/>
          <w:szCs w:val="20"/>
        </w:rPr>
        <w:t>ion and periodic examination by the Office of the Comptroller of the Currency (“OCC”), the FDIC and the Consumer Financial Protection Bureau (“CFPB”).</w:t>
      </w:r>
    </w:p>
    <w:p w:rsidR="00000000" w:rsidRDefault="0094004B">
      <w:pPr>
        <w:jc w:val="both"/>
        <w:divId w:val="1708027688"/>
        <w:rPr>
          <w:rFonts w:eastAsia="Times New Roman"/>
        </w:rPr>
      </w:pPr>
      <w:r>
        <w:rPr>
          <w:rFonts w:eastAsia="Times New Roman"/>
          <w:color w:val="000000"/>
          <w:sz w:val="20"/>
          <w:szCs w:val="20"/>
        </w:rPr>
        <w:t>We also are registered as a financial institution holding company under the laws of the Commonwealth of V</w:t>
      </w:r>
      <w:r>
        <w:rPr>
          <w:rFonts w:eastAsia="Times New Roman"/>
          <w:color w:val="000000"/>
          <w:sz w:val="20"/>
          <w:szCs w:val="20"/>
        </w:rPr>
        <w:t>irginia and, as such, we are subject to periodic examination by the Virginia Bureau of Financial Institutions. We also face regulation in the international jurisdictions in which we conduct business. See “Regulation of Businesses by Authorities Outside the</w:t>
      </w:r>
      <w:r>
        <w:rPr>
          <w:rFonts w:eastAsia="Times New Roman"/>
          <w:color w:val="000000"/>
          <w:sz w:val="20"/>
          <w:szCs w:val="20"/>
        </w:rPr>
        <w:t xml:space="preserve"> United States” below for additional details.</w:t>
      </w:r>
    </w:p>
    <w:p w:rsidR="00000000" w:rsidRDefault="0094004B">
      <w:pPr>
        <w:jc w:val="both"/>
        <w:divId w:val="1799647444"/>
        <w:rPr>
          <w:rFonts w:eastAsia="Times New Roman"/>
        </w:rPr>
      </w:pPr>
      <w:r>
        <w:rPr>
          <w:rFonts w:eastAsia="Times New Roman"/>
          <w:b/>
          <w:bCs/>
          <w:color w:val="000000"/>
          <w:sz w:val="20"/>
          <w:szCs w:val="20"/>
        </w:rPr>
        <w:t>Regulation of Business Activities</w:t>
      </w:r>
    </w:p>
    <w:p w:rsidR="00000000" w:rsidRDefault="0094004B">
      <w:pPr>
        <w:jc w:val="both"/>
        <w:divId w:val="669065412"/>
        <w:rPr>
          <w:rFonts w:eastAsia="Times New Roman"/>
        </w:rPr>
      </w:pPr>
      <w:r>
        <w:rPr>
          <w:rFonts w:eastAsia="Times New Roman"/>
          <w:color w:val="000000"/>
          <w:sz w:val="20"/>
          <w:szCs w:val="20"/>
        </w:rPr>
        <w:t>The business activities of the Company and the Bank are also subject to regulation and supervision under various laws and regulations.</w:t>
      </w:r>
    </w:p>
    <w:p w:rsidR="00000000" w:rsidRDefault="0094004B">
      <w:pPr>
        <w:jc w:val="both"/>
        <w:divId w:val="358161613"/>
        <w:rPr>
          <w:rFonts w:eastAsia="Times New Roman"/>
        </w:rPr>
      </w:pPr>
      <w:r>
        <w:rPr>
          <w:rFonts w:eastAsia="Times New Roman"/>
          <w:b/>
          <w:bCs/>
          <w:i/>
          <w:iCs/>
          <w:color w:val="000000"/>
          <w:sz w:val="20"/>
          <w:szCs w:val="20"/>
        </w:rPr>
        <w:t>Regulations of Consumer Lending Activities</w:t>
      </w:r>
    </w:p>
    <w:p w:rsidR="00000000" w:rsidRDefault="0094004B">
      <w:pPr>
        <w:jc w:val="both"/>
        <w:divId w:val="1894391998"/>
        <w:rPr>
          <w:rFonts w:eastAsia="Times New Roman"/>
        </w:rPr>
      </w:pPr>
      <w:r>
        <w:rPr>
          <w:rFonts w:eastAsia="Times New Roman"/>
          <w:color w:val="000000"/>
          <w:sz w:val="20"/>
          <w:szCs w:val="20"/>
        </w:rPr>
        <w:t>The activities of the Bank as a consumer lender are subject to regulation under various federal laws, including, for example, the Truth in Lending Act (“TILA”), the Equal Credit Opportunity Act, the Fair Credit Reporting Act, the CRA, the Servicemembers Ci</w:t>
      </w:r>
      <w:r>
        <w:rPr>
          <w:rFonts w:eastAsia="Times New Roman"/>
          <w:color w:val="000000"/>
          <w:sz w:val="20"/>
          <w:szCs w:val="20"/>
        </w:rPr>
        <w:t>vil Relief Act and the Military Lending Act, as well as under various state laws. TILA, as amended, and together with its implementing rule, Regulation Z, imposes a number of restrictions on credit card practices impacting rates and fees, requires that a c</w:t>
      </w:r>
      <w:r>
        <w:rPr>
          <w:rFonts w:eastAsia="Times New Roman"/>
          <w:color w:val="000000"/>
          <w:sz w:val="20"/>
          <w:szCs w:val="20"/>
        </w:rPr>
        <w:t>onsumer’s ability to pay be taken into account before issuing credit or increasing credit limits, and imposes revised disclosures required for open-end credit.</w:t>
      </w:r>
    </w:p>
    <w:p w:rsidR="00000000" w:rsidRDefault="0094004B">
      <w:pPr>
        <w:jc w:val="both"/>
        <w:divId w:val="951011490"/>
        <w:rPr>
          <w:rFonts w:eastAsia="Times New Roman"/>
        </w:rPr>
      </w:pPr>
      <w:r>
        <w:rPr>
          <w:rFonts w:eastAsia="Times New Roman"/>
          <w:color w:val="000000"/>
          <w:sz w:val="20"/>
          <w:szCs w:val="20"/>
        </w:rPr>
        <w:t xml:space="preserve">The CFPB recently proposed a rule to amend Regulation Z (the “Proposed CFPB Rule”) to lower the </w:t>
      </w:r>
      <w:r>
        <w:rPr>
          <w:rFonts w:eastAsia="Times New Roman"/>
          <w:color w:val="000000"/>
          <w:sz w:val="20"/>
          <w:szCs w:val="20"/>
        </w:rPr>
        <w:t>safe harbor amount for past due fees that a credit card issuer can charge on consumer credit card accounts below the amounts that are currently permitted, among other changes that could impact the amount of a past due fee that can be charged.</w:t>
      </w:r>
    </w:p>
    <w:p w:rsidR="00000000" w:rsidRDefault="0094004B">
      <w:pPr>
        <w:jc w:val="both"/>
        <w:divId w:val="2106533878"/>
        <w:rPr>
          <w:rFonts w:eastAsia="Times New Roman"/>
        </w:rPr>
      </w:pPr>
      <w:r>
        <w:rPr>
          <w:rFonts w:eastAsia="Times New Roman"/>
          <w:color w:val="000000"/>
          <w:sz w:val="20"/>
          <w:szCs w:val="20"/>
        </w:rPr>
        <w:t xml:space="preserve">Depending on </w:t>
      </w:r>
      <w:r>
        <w:rPr>
          <w:rFonts w:eastAsia="Times New Roman"/>
          <w:color w:val="000000"/>
          <w:sz w:val="20"/>
          <w:szCs w:val="20"/>
        </w:rPr>
        <w:t>the underlying issue and applicable law, regulators may be authorized to impose penalties for violations of these statutes and, in certain cases, to order banks to compensate customers. Borrowers may also have a private right of action for certain violatio</w:t>
      </w:r>
      <w:r>
        <w:rPr>
          <w:rFonts w:eastAsia="Times New Roman"/>
          <w:color w:val="000000"/>
          <w:sz w:val="20"/>
          <w:szCs w:val="20"/>
        </w:rPr>
        <w:t>ns. Federal bankruptcy and state debtor relief and collection laws may also affect the ability of a bank, including the Bank, to collect outstanding balances owed by borrowers.</w:t>
      </w:r>
    </w:p>
    <w:p w:rsidR="00000000" w:rsidRDefault="0094004B">
      <w:pPr>
        <w:jc w:val="both"/>
        <w:divId w:val="645862818"/>
        <w:rPr>
          <w:rFonts w:eastAsia="Times New Roman"/>
        </w:rPr>
      </w:pPr>
      <w:r>
        <w:rPr>
          <w:rFonts w:eastAsia="Times New Roman"/>
          <w:b/>
          <w:bCs/>
          <w:i/>
          <w:iCs/>
          <w:color w:val="000000"/>
          <w:sz w:val="20"/>
          <w:szCs w:val="20"/>
        </w:rPr>
        <w:t>Debit Card Interchange Fees and Transaction Processing</w:t>
      </w:r>
    </w:p>
    <w:p w:rsidR="00000000" w:rsidRDefault="0094004B">
      <w:pPr>
        <w:jc w:val="both"/>
        <w:divId w:val="1802842815"/>
        <w:rPr>
          <w:rFonts w:eastAsia="Times New Roman"/>
        </w:rPr>
      </w:pPr>
      <w:r>
        <w:rPr>
          <w:rFonts w:eastAsia="Times New Roman"/>
          <w:color w:val="000000"/>
          <w:sz w:val="20"/>
          <w:szCs w:val="20"/>
        </w:rPr>
        <w:t>The Bank is subject to t</w:t>
      </w:r>
      <w:r>
        <w:rPr>
          <w:rFonts w:eastAsia="Times New Roman"/>
          <w:color w:val="000000"/>
          <w:sz w:val="20"/>
          <w:szCs w:val="20"/>
        </w:rPr>
        <w:t>he Federal Reserve’s Regulation II, which limits the amount of interchange fees that can be charged per debit card transaction for debit card issuers with over $10 billion in assets and places certain prohibitions on payment routing restrictions and networ</w:t>
      </w:r>
      <w:r>
        <w:rPr>
          <w:rFonts w:eastAsia="Times New Roman"/>
          <w:color w:val="000000"/>
          <w:sz w:val="20"/>
          <w:szCs w:val="20"/>
        </w:rPr>
        <w:t>k exclusivity.</w:t>
      </w:r>
    </w:p>
    <w:p w:rsidR="00000000" w:rsidRDefault="0094004B">
      <w:pPr>
        <w:jc w:val="both"/>
        <w:divId w:val="1761296549"/>
        <w:rPr>
          <w:rFonts w:eastAsia="Times New Roman"/>
        </w:rPr>
      </w:pPr>
      <w:r>
        <w:rPr>
          <w:rFonts w:eastAsia="Times New Roman"/>
          <w:b/>
          <w:bCs/>
          <w:i/>
          <w:iCs/>
          <w:color w:val="000000"/>
          <w:sz w:val="20"/>
          <w:szCs w:val="20"/>
        </w:rPr>
        <w:t>Privacy, Data Protection and Data Security</w:t>
      </w:r>
    </w:p>
    <w:p w:rsidR="00000000" w:rsidRDefault="0094004B">
      <w:pPr>
        <w:jc w:val="both"/>
        <w:divId w:val="598294026"/>
        <w:rPr>
          <w:rFonts w:eastAsia="Times New Roman"/>
        </w:rPr>
      </w:pPr>
      <w:r>
        <w:rPr>
          <w:rFonts w:eastAsia="Times New Roman"/>
          <w:color w:val="000000"/>
          <w:sz w:val="20"/>
          <w:szCs w:val="20"/>
        </w:rPr>
        <w:t>We are subject to a variety of continuously evolving and developing laws and regulations regarding privacy, data protection and data security, including those related to the collection, storage, han</w:t>
      </w:r>
      <w:r>
        <w:rPr>
          <w:rFonts w:eastAsia="Times New Roman"/>
          <w:color w:val="000000"/>
          <w:sz w:val="20"/>
          <w:szCs w:val="20"/>
        </w:rPr>
        <w:t>dling, use, disclosure, transfer, security and other processing of personal information. These areas have seen a considerable increase in legislative and regulatory activity over the past several years. At the federal level, we are subject to the Gramm-Lea</w:t>
      </w:r>
      <w:r>
        <w:rPr>
          <w:rFonts w:eastAsia="Times New Roman"/>
          <w:color w:val="000000"/>
          <w:sz w:val="20"/>
          <w:szCs w:val="20"/>
        </w:rPr>
        <w:t xml:space="preserve">ch-Bliley Act (“GLBA”), among other laws and regulations. Moreover, the U.S. Congress is currently considering various proposals for more comprehensive privacy, data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7514796"/>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7514796"/>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7514796"/>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8</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033" style="width:0;height:1.5pt" o:hralign="center" o:hrstd="t" o:hr="t" fillcolor="#a0a0a0" stroked="f"/>
        </w:pict>
      </w:r>
    </w:p>
    <w:p w:rsidR="00000000" w:rsidRDefault="0094004B">
      <w:pPr>
        <w:jc w:val="both"/>
        <w:divId w:val="391078557"/>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both"/>
        <w:divId w:val="1147554378"/>
        <w:rPr>
          <w:rFonts w:eastAsia="Times New Roman"/>
        </w:rPr>
      </w:pPr>
      <w:r>
        <w:rPr>
          <w:rFonts w:eastAsia="Times New Roman"/>
          <w:color w:val="000000"/>
          <w:sz w:val="20"/>
          <w:szCs w:val="20"/>
        </w:rPr>
        <w:t xml:space="preserve">protection and data security legislation, to which we may be subject if passed. For example, in 2022, Congress and the federal agencies sought </w:t>
      </w:r>
      <w:r>
        <w:rPr>
          <w:rFonts w:eastAsia="Times New Roman"/>
          <w:color w:val="000000"/>
          <w:sz w:val="20"/>
          <w:szCs w:val="20"/>
        </w:rPr>
        <w:t>to institute mandatory reporting of cyber incidents that materially disrupt or degrade operations and systems or might otherwise impact U.S. critical infrastructure or national security. This resulted in enactment of the Cyber Incident Reporting for Critic</w:t>
      </w:r>
      <w:r>
        <w:rPr>
          <w:rFonts w:eastAsia="Times New Roman"/>
          <w:color w:val="000000"/>
          <w:sz w:val="20"/>
          <w:szCs w:val="20"/>
        </w:rPr>
        <w:t>al Infrastructure Act (“CIRCIA”), which, once rulemaking is complete, will require, among other things, certain companies, including Capital One, to report significant cyber incidents to the Department of Homeland Security’s Cybersecurity and Infrastructur</w:t>
      </w:r>
      <w:r>
        <w:rPr>
          <w:rFonts w:eastAsia="Times New Roman"/>
          <w:color w:val="000000"/>
          <w:sz w:val="20"/>
          <w:szCs w:val="20"/>
        </w:rPr>
        <w:t>e Security Agency (“CISA”) within 72 hours from the time the company reasonably believes the incident occurred, and a proposed rule by the SEC, which would mandate public disclosure of material cybersecurity incidents within four business days of determini</w:t>
      </w:r>
      <w:r>
        <w:rPr>
          <w:rFonts w:eastAsia="Times New Roman"/>
          <w:color w:val="000000"/>
          <w:sz w:val="20"/>
          <w:szCs w:val="20"/>
        </w:rPr>
        <w:t>ng that such an incident has occurred.</w:t>
      </w:r>
    </w:p>
    <w:p w:rsidR="00000000" w:rsidRDefault="0094004B">
      <w:pPr>
        <w:jc w:val="both"/>
        <w:divId w:val="150370352"/>
        <w:rPr>
          <w:rFonts w:eastAsia="Times New Roman"/>
        </w:rPr>
      </w:pPr>
      <w:r>
        <w:rPr>
          <w:rFonts w:eastAsia="Times New Roman"/>
          <w:color w:val="000000"/>
          <w:sz w:val="20"/>
          <w:szCs w:val="20"/>
        </w:rPr>
        <w:t>At the state level, we are subject to a number of laws and regulations, such as the California Consumer Privacy Act and its implementing regulations (as amended by the California Privacy Rights Act, the “CPRA”), which</w:t>
      </w:r>
      <w:r>
        <w:rPr>
          <w:rFonts w:eastAsia="Times New Roman"/>
          <w:color w:val="000000"/>
          <w:sz w:val="20"/>
          <w:szCs w:val="20"/>
        </w:rPr>
        <w:t xml:space="preserve"> creates obligations on covered companies to, among other things, share certain information they have collected about California residents with those individuals, subject to certain exceptions. Many other states also have enacted or are in the process of e</w:t>
      </w:r>
      <w:r>
        <w:rPr>
          <w:rFonts w:eastAsia="Times New Roman"/>
          <w:color w:val="000000"/>
          <w:sz w:val="20"/>
          <w:szCs w:val="20"/>
        </w:rPr>
        <w:t>nacting state-level privacy, data protection and/or data security laws and regulations, with which we may be required to comply. Significant uncertainty exists as federal and state privacy, data protection and data security laws may be interpreted and appl</w:t>
      </w:r>
      <w:r>
        <w:rPr>
          <w:rFonts w:eastAsia="Times New Roman"/>
          <w:color w:val="000000"/>
          <w:sz w:val="20"/>
          <w:szCs w:val="20"/>
        </w:rPr>
        <w:t>ied differently and may create inconsistent or conflicting requirements. For further discussion of privacy, data protection and cybersecurity, and related risks for our business, see “Part I—Item 1A. Risk Factors” under the headings “</w:t>
      </w:r>
      <w:r>
        <w:rPr>
          <w:rFonts w:eastAsia="Times New Roman"/>
          <w:i/>
          <w:iCs/>
          <w:color w:val="000000"/>
          <w:sz w:val="20"/>
          <w:szCs w:val="20"/>
        </w:rPr>
        <w:t xml:space="preserve">We face risks related </w:t>
      </w:r>
      <w:r>
        <w:rPr>
          <w:rFonts w:eastAsia="Times New Roman"/>
          <w:i/>
          <w:iCs/>
          <w:color w:val="000000"/>
          <w:sz w:val="20"/>
          <w:szCs w:val="20"/>
        </w:rPr>
        <w:t>to our operational, technological and organizational infrastructure</w:t>
      </w:r>
      <w:r>
        <w:rPr>
          <w:rFonts w:eastAsia="Times New Roman"/>
          <w:color w:val="000000"/>
          <w:sz w:val="20"/>
          <w:szCs w:val="20"/>
        </w:rPr>
        <w:t>,” “</w:t>
      </w:r>
      <w:r>
        <w:rPr>
          <w:rFonts w:eastAsia="Times New Roman"/>
          <w:i/>
          <w:iCs/>
          <w:color w:val="000000"/>
          <w:sz w:val="20"/>
          <w:szCs w:val="20"/>
        </w:rPr>
        <w:t>A cyber-attack or other security incident, including one that results in the theft, loss, manipulation or misuse of information (including personal information), or the disabling of sys</w:t>
      </w:r>
      <w:r>
        <w:rPr>
          <w:rFonts w:eastAsia="Times New Roman"/>
          <w:i/>
          <w:iCs/>
          <w:color w:val="000000"/>
          <w:sz w:val="20"/>
          <w:szCs w:val="20"/>
        </w:rPr>
        <w:t>tems and access to information critical to business operations, may result in increased costs, reductions in revenue, reputational damage, legal exposure and business disruptions</w:t>
      </w:r>
      <w:r>
        <w:rPr>
          <w:rFonts w:eastAsia="Times New Roman"/>
          <w:b/>
          <w:bCs/>
          <w:i/>
          <w:iCs/>
          <w:color w:val="000000"/>
          <w:sz w:val="20"/>
          <w:szCs w:val="20"/>
        </w:rPr>
        <w:t>.</w:t>
      </w:r>
      <w:r>
        <w:rPr>
          <w:rFonts w:eastAsia="Times New Roman"/>
          <w:color w:val="000000"/>
          <w:sz w:val="20"/>
          <w:szCs w:val="20"/>
        </w:rPr>
        <w:t>” and “</w:t>
      </w:r>
      <w:r>
        <w:rPr>
          <w:rFonts w:eastAsia="Times New Roman"/>
          <w:i/>
          <w:iCs/>
          <w:color w:val="000000"/>
          <w:sz w:val="20"/>
          <w:szCs w:val="20"/>
        </w:rPr>
        <w:t>Our required compliance with applicable laws and regulations related t</w:t>
      </w:r>
      <w:r>
        <w:rPr>
          <w:rFonts w:eastAsia="Times New Roman"/>
          <w:i/>
          <w:iCs/>
          <w:color w:val="000000"/>
          <w:sz w:val="20"/>
          <w:szCs w:val="20"/>
        </w:rPr>
        <w:t>o privacy, data protection and data security may increase our costs, reduce our revenue, increase our legal exposure and limit our ability to pursue business opportunities.</w:t>
      </w:r>
      <w:r>
        <w:rPr>
          <w:rFonts w:eastAsia="Times New Roman"/>
          <w:color w:val="000000"/>
          <w:sz w:val="20"/>
          <w:szCs w:val="20"/>
        </w:rPr>
        <w:t>”</w:t>
      </w:r>
    </w:p>
    <w:p w:rsidR="00000000" w:rsidRDefault="0094004B">
      <w:pPr>
        <w:jc w:val="both"/>
        <w:divId w:val="1920287827"/>
        <w:rPr>
          <w:rFonts w:eastAsia="Times New Roman"/>
        </w:rPr>
      </w:pPr>
      <w:r>
        <w:rPr>
          <w:rFonts w:eastAsia="Times New Roman"/>
          <w:b/>
          <w:bCs/>
          <w:i/>
          <w:iCs/>
          <w:color w:val="000000"/>
          <w:sz w:val="20"/>
          <w:szCs w:val="20"/>
        </w:rPr>
        <w:t>Anti-Money Laundering and Anti-Terrorism</w:t>
      </w:r>
    </w:p>
    <w:p w:rsidR="00000000" w:rsidRDefault="0094004B">
      <w:pPr>
        <w:jc w:val="both"/>
        <w:divId w:val="1214654876"/>
        <w:rPr>
          <w:rFonts w:eastAsia="Times New Roman"/>
        </w:rPr>
      </w:pPr>
      <w:r>
        <w:rPr>
          <w:rFonts w:eastAsia="Times New Roman"/>
          <w:color w:val="000000"/>
          <w:sz w:val="20"/>
          <w:szCs w:val="20"/>
        </w:rPr>
        <w:t xml:space="preserve">The Bank Secrecy Act and the USA PATRIOT </w:t>
      </w:r>
      <w:r>
        <w:rPr>
          <w:rFonts w:eastAsia="Times New Roman"/>
          <w:color w:val="000000"/>
          <w:sz w:val="20"/>
          <w:szCs w:val="20"/>
        </w:rPr>
        <w:t>Act of 2001 (“Patriot Act”) require financial institutions, among other things, to implement a risk-based program reasonably designed to prevent money laundering and to combat the financing of terrorism, including through suspicious activity and currency t</w:t>
      </w:r>
      <w:r>
        <w:rPr>
          <w:rFonts w:eastAsia="Times New Roman"/>
          <w:color w:val="000000"/>
          <w:sz w:val="20"/>
          <w:szCs w:val="20"/>
        </w:rPr>
        <w:t>ransaction reporting, compliance, record-keeping and customer due diligence.</w:t>
      </w:r>
    </w:p>
    <w:p w:rsidR="00000000" w:rsidRDefault="0094004B">
      <w:pPr>
        <w:jc w:val="both"/>
        <w:divId w:val="1328285200"/>
        <w:rPr>
          <w:rFonts w:eastAsia="Times New Roman"/>
        </w:rPr>
      </w:pPr>
      <w:r>
        <w:rPr>
          <w:rFonts w:eastAsia="Times New Roman"/>
          <w:color w:val="000000"/>
          <w:sz w:val="20"/>
          <w:szCs w:val="20"/>
        </w:rPr>
        <w:t>The Patriot Act also contains financial transparency laws and provides enhanced information collection tools and enforcement mechanisms to the U.S. government, including due dilig</w:t>
      </w:r>
      <w:r>
        <w:rPr>
          <w:rFonts w:eastAsia="Times New Roman"/>
          <w:color w:val="000000"/>
          <w:sz w:val="20"/>
          <w:szCs w:val="20"/>
        </w:rPr>
        <w:t>ence and record-keeping requirements for private banking and correspondent accounts; standards for verifying customer identification at account opening; rules to produce certain records upon request of a regulator or law enforcement agency; and rules to pr</w:t>
      </w:r>
      <w:r>
        <w:rPr>
          <w:rFonts w:eastAsia="Times New Roman"/>
          <w:color w:val="000000"/>
          <w:sz w:val="20"/>
          <w:szCs w:val="20"/>
        </w:rPr>
        <w:t>omote cooperation among financial institutions, regulators and law enforcement agencies in identifying parties that may be involved in terrorism, money laundering and other crimes.</w:t>
      </w:r>
    </w:p>
    <w:p w:rsidR="00000000" w:rsidRDefault="0094004B">
      <w:pPr>
        <w:jc w:val="both"/>
        <w:divId w:val="187063180"/>
        <w:rPr>
          <w:rFonts w:eastAsia="Times New Roman"/>
        </w:rPr>
      </w:pPr>
      <w:r>
        <w:rPr>
          <w:rFonts w:eastAsia="Times New Roman"/>
          <w:color w:val="000000"/>
          <w:sz w:val="20"/>
          <w:szCs w:val="20"/>
        </w:rPr>
        <w:t>The Anti-Money Laundering Act of 2020 (“AML Act”), enacted as part of the N</w:t>
      </w:r>
      <w:r>
        <w:rPr>
          <w:rFonts w:eastAsia="Times New Roman"/>
          <w:color w:val="000000"/>
          <w:sz w:val="20"/>
          <w:szCs w:val="20"/>
        </w:rPr>
        <w:t>ational Defense Authorization Act, requires the U.S. Treasury Department to issue National Anti-Money Laundering and Countering the Financing of Terrorism Priorities, which it did in June 2021, and to conduct studies and issue regulations that may alter so</w:t>
      </w:r>
      <w:r>
        <w:rPr>
          <w:rFonts w:eastAsia="Times New Roman"/>
          <w:color w:val="000000"/>
          <w:sz w:val="20"/>
          <w:szCs w:val="20"/>
        </w:rPr>
        <w:t>me of the due diligence, recordkeeping and reporting requirements that the Bank Secrecy Act and Patriot Act impose on banks. The AML Act also promotes increased information-sharing and use of technology, and increases penalties for violations of the Bank S</w:t>
      </w:r>
      <w:r>
        <w:rPr>
          <w:rFonts w:eastAsia="Times New Roman"/>
          <w:color w:val="000000"/>
          <w:sz w:val="20"/>
          <w:szCs w:val="20"/>
        </w:rPr>
        <w:t>ecrecy Act and includes whistleblower incentives, both of which could increase the prospect of regulatory enforcement.</w:t>
      </w:r>
    </w:p>
    <w:p w:rsidR="00000000" w:rsidRDefault="0094004B">
      <w:pPr>
        <w:jc w:val="both"/>
        <w:divId w:val="897281533"/>
        <w:rPr>
          <w:rFonts w:eastAsia="Times New Roman"/>
        </w:rPr>
      </w:pPr>
      <w:r>
        <w:rPr>
          <w:rFonts w:eastAsia="Times New Roman"/>
          <w:b/>
          <w:bCs/>
          <w:i/>
          <w:iCs/>
          <w:color w:val="000000"/>
          <w:sz w:val="20"/>
          <w:szCs w:val="20"/>
        </w:rPr>
        <w:t>Deposit Funding</w:t>
      </w:r>
    </w:p>
    <w:p w:rsidR="00000000" w:rsidRDefault="0094004B">
      <w:pPr>
        <w:jc w:val="both"/>
        <w:divId w:val="1052581896"/>
        <w:rPr>
          <w:rFonts w:eastAsia="Times New Roman"/>
        </w:rPr>
      </w:pPr>
      <w:r>
        <w:rPr>
          <w:rFonts w:eastAsia="Times New Roman"/>
          <w:color w:val="000000"/>
          <w:sz w:val="20"/>
          <w:szCs w:val="20"/>
        </w:rPr>
        <w:t xml:space="preserve">Under the Federal Deposit Insurance Corporation Improvement Act of 1991 (“FDICIA”), only well capitalized and adequately </w:t>
      </w:r>
      <w:r>
        <w:rPr>
          <w:rFonts w:eastAsia="Times New Roman"/>
          <w:color w:val="000000"/>
          <w:sz w:val="20"/>
          <w:szCs w:val="20"/>
        </w:rPr>
        <w:t>capitalized institutions may accept “brokered deposits,” as defined by FDIC regulations. Adequately capitalized institutions, however, must obtain a waiver from the FDIC before accepting brokered deposits, and such institutions may not pay rates that signi</w:t>
      </w:r>
      <w:r>
        <w:rPr>
          <w:rFonts w:eastAsia="Times New Roman"/>
          <w:color w:val="000000"/>
          <w:sz w:val="20"/>
          <w:szCs w:val="20"/>
        </w:rPr>
        <w:t>ficantly exceed the rates paid on deposits of similar maturity obtained from the institution’s normal market area or, for deposits obtained from outside the institution’s normal market area, the national rate on deposits of comparable maturity. See “Part I</w:t>
      </w:r>
      <w:r>
        <w:rPr>
          <w:rFonts w:eastAsia="Times New Roman"/>
          <w:color w:val="000000"/>
          <w:sz w:val="20"/>
          <w:szCs w:val="20"/>
        </w:rPr>
        <w:t>I</w:t>
      </w:r>
      <w:r>
        <w:rPr>
          <w:rFonts w:ascii="宋体" w:eastAsia="宋体" w:hAnsi="宋体" w:cs="宋体" w:hint="eastAsia"/>
          <w:color w:val="000000"/>
          <w:sz w:val="20"/>
          <w:szCs w:val="20"/>
        </w:rPr>
        <w:t>一</w:t>
      </w:r>
      <w:r>
        <w:rPr>
          <w:rFonts w:eastAsia="Times New Roman"/>
          <w:color w:val="000000"/>
          <w:sz w:val="20"/>
          <w:szCs w:val="20"/>
        </w:rPr>
        <w:t>Item 7. MD&amp;A</w:t>
      </w:r>
      <w:r>
        <w:rPr>
          <w:rFonts w:ascii="宋体" w:eastAsia="宋体" w:hAnsi="宋体" w:cs="宋体" w:hint="eastAsia"/>
          <w:color w:val="000000"/>
          <w:sz w:val="20"/>
          <w:szCs w:val="20"/>
        </w:rPr>
        <w:t>一</w:t>
      </w:r>
      <w:r>
        <w:rPr>
          <w:rFonts w:eastAsia="Times New Roman"/>
          <w:color w:val="000000"/>
          <w:sz w:val="20"/>
          <w:szCs w:val="20"/>
        </w:rPr>
        <w:t xml:space="preserve">Liquidity Risk Profile” for additional information. </w:t>
      </w:r>
    </w:p>
    <w:p w:rsidR="00000000" w:rsidRDefault="0094004B">
      <w:pPr>
        <w:jc w:val="both"/>
        <w:divId w:val="1872064044"/>
        <w:rPr>
          <w:rFonts w:eastAsia="Times New Roman"/>
        </w:rPr>
      </w:pPr>
      <w:r>
        <w:rPr>
          <w:rFonts w:eastAsia="Times New Roman"/>
          <w:color w:val="000000"/>
          <w:sz w:val="20"/>
          <w:szCs w:val="20"/>
        </w:rPr>
        <w:t>The FDIC is authorized to terminate a bank’s deposit insurance upon a finding by the FDIC that the bank’s financial condition is unsafe or unsound or that the institution has engaged in un</w:t>
      </w:r>
      <w:r>
        <w:rPr>
          <w:rFonts w:eastAsia="Times New Roman"/>
          <w:color w:val="000000"/>
          <w:sz w:val="20"/>
          <w:szCs w:val="20"/>
        </w:rPr>
        <w:t>safe or unsound practices or has violated any applicable rule, regulation, order or condition enacted or imposed by the bank’s regulatory agency.</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405102361"/>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405102361"/>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405102361"/>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9</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034" style="width:0;height:1.5pt" o:hralign="center" o:hrstd="t" o:hr="t" fillcolor="#a0a0a0" stroked="f"/>
        </w:pict>
      </w:r>
    </w:p>
    <w:p w:rsidR="00000000" w:rsidRDefault="0094004B">
      <w:pPr>
        <w:jc w:val="both"/>
        <w:divId w:val="289701537"/>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both"/>
        <w:divId w:val="368576784"/>
        <w:rPr>
          <w:rFonts w:eastAsia="Times New Roman"/>
        </w:rPr>
      </w:pPr>
      <w:r>
        <w:rPr>
          <w:rFonts w:eastAsia="Times New Roman"/>
          <w:b/>
          <w:bCs/>
          <w:i/>
          <w:iCs/>
          <w:color w:val="000000"/>
          <w:sz w:val="20"/>
          <w:szCs w:val="20"/>
        </w:rPr>
        <w:t>Broker-Dealer Activities</w:t>
      </w:r>
    </w:p>
    <w:p w:rsidR="00000000" w:rsidRDefault="0094004B">
      <w:pPr>
        <w:jc w:val="both"/>
        <w:divId w:val="863519924"/>
        <w:rPr>
          <w:rFonts w:eastAsia="Times New Roman"/>
        </w:rPr>
      </w:pPr>
      <w:r>
        <w:rPr>
          <w:rFonts w:eastAsia="Times New Roman"/>
          <w:color w:val="000000"/>
          <w:sz w:val="20"/>
          <w:szCs w:val="20"/>
        </w:rPr>
        <w:t>Certain of our non-bank subsidiaries are subject to regulation and supervision by various federal and state authoritie</w:t>
      </w:r>
      <w:r>
        <w:rPr>
          <w:rFonts w:eastAsia="Times New Roman"/>
          <w:color w:val="000000"/>
          <w:sz w:val="20"/>
          <w:szCs w:val="20"/>
        </w:rPr>
        <w:t>s. Capital One Securities, Inc., KippsDeSanto &amp; Company and TripleTree, LLC are registered broker-dealers regulated by the SEC and the Financial Industry Regulatory Authority (“FINRA”). These broker-dealer subsidiaries are subject to, among other things, n</w:t>
      </w:r>
      <w:r>
        <w:rPr>
          <w:rFonts w:eastAsia="Times New Roman"/>
          <w:color w:val="000000"/>
          <w:sz w:val="20"/>
          <w:szCs w:val="20"/>
        </w:rPr>
        <w:t>et capital rules designed to measure the general financial condition and liquidity of a broker-dealer. Under these rules, broker-dealers are required to maintain the minimum net capital deemed necessary to meet their continuing commitments to customers and</w:t>
      </w:r>
      <w:r>
        <w:rPr>
          <w:rFonts w:eastAsia="Times New Roman"/>
          <w:color w:val="000000"/>
          <w:sz w:val="20"/>
          <w:szCs w:val="20"/>
        </w:rPr>
        <w:t xml:space="preserve"> others, and to keep a substantial portion of their assets in relatively liquid form. These rules also limit the ability of a broker-dealer to transfer capital to its parent companies and other affiliates. Broker-dealers are also subject to regulations cov</w:t>
      </w:r>
      <w:r>
        <w:rPr>
          <w:rFonts w:eastAsia="Times New Roman"/>
          <w:color w:val="000000"/>
          <w:sz w:val="20"/>
          <w:szCs w:val="20"/>
        </w:rPr>
        <w:t>ering their business operations, including sales and trading practices, public offerings, publication of research reports, use and safekeeping of client funds and securities, capital structure, record-keeping and the conduct of directors, officers and empl</w:t>
      </w:r>
      <w:r>
        <w:rPr>
          <w:rFonts w:eastAsia="Times New Roman"/>
          <w:color w:val="000000"/>
          <w:sz w:val="20"/>
          <w:szCs w:val="20"/>
        </w:rPr>
        <w:t>oyees.</w:t>
      </w:r>
    </w:p>
    <w:p w:rsidR="00000000" w:rsidRDefault="0094004B">
      <w:pPr>
        <w:jc w:val="both"/>
        <w:divId w:val="1500080747"/>
        <w:rPr>
          <w:rFonts w:eastAsia="Times New Roman"/>
        </w:rPr>
      </w:pPr>
      <w:r>
        <w:rPr>
          <w:rFonts w:eastAsia="Times New Roman"/>
          <w:b/>
          <w:bCs/>
          <w:i/>
          <w:iCs/>
          <w:color w:val="000000"/>
          <w:sz w:val="20"/>
          <w:szCs w:val="20"/>
        </w:rPr>
        <w:t>Derivatives Activities</w:t>
      </w:r>
    </w:p>
    <w:p w:rsidR="00000000" w:rsidRDefault="0094004B">
      <w:pPr>
        <w:jc w:val="both"/>
        <w:divId w:val="1096169489"/>
        <w:rPr>
          <w:rFonts w:eastAsia="Times New Roman"/>
        </w:rPr>
      </w:pPr>
      <w:r>
        <w:rPr>
          <w:rFonts w:eastAsia="Times New Roman"/>
          <w:color w:val="000000"/>
          <w:sz w:val="20"/>
          <w:szCs w:val="20"/>
        </w:rPr>
        <w:t>Title VII of the Dodd-Frank Wall Street Reform and Consumer Protection Act of 2010 (“Dodd-Frank Act”) establishes a regulatory framework for the governance of the over-the-counter (“OTC”) derivatives market, including swaps an</w:t>
      </w:r>
      <w:r>
        <w:rPr>
          <w:rFonts w:eastAsia="Times New Roman"/>
          <w:color w:val="000000"/>
          <w:sz w:val="20"/>
          <w:szCs w:val="20"/>
        </w:rPr>
        <w:t>d security-based swaps and the registration of certain market participants as a swap dealer. CONA provisionally registered with the Commodity Futures Trading Commission (“CFTC”) as a swap dealer in 2020. Registration as a swap dealer subjects CONA to addit</w:t>
      </w:r>
      <w:r>
        <w:rPr>
          <w:rFonts w:eastAsia="Times New Roman"/>
          <w:color w:val="000000"/>
          <w:sz w:val="20"/>
          <w:szCs w:val="20"/>
        </w:rPr>
        <w:t>ional regulatory requirements with respect to its swaps and other derivatives activities. As a result of CONA’s swap dealer registration, it is subject to the rules of the OCC concerning capital and margin requirements for swap dealers, including the manda</w:t>
      </w:r>
      <w:r>
        <w:rPr>
          <w:rFonts w:eastAsia="Times New Roman"/>
          <w:color w:val="000000"/>
          <w:sz w:val="20"/>
          <w:szCs w:val="20"/>
        </w:rPr>
        <w:t>tory exchange of variation margin and initial margin with certain counterparties. Additionally, as a provisionally registered swap dealer, CONA is subject to requirements under the CFTC’s regulatory regime, including rules regarding business conduct standa</w:t>
      </w:r>
      <w:r>
        <w:rPr>
          <w:rFonts w:eastAsia="Times New Roman"/>
          <w:color w:val="000000"/>
          <w:sz w:val="20"/>
          <w:szCs w:val="20"/>
        </w:rPr>
        <w:t>rds, recordkeeping obligations, regulatory reporting and procedures relating to swaps trading. CONA’s swaps and other derivatives activities do not require it to register with the SEC as a security-based swap dealer.</w:t>
      </w:r>
    </w:p>
    <w:p w:rsidR="00000000" w:rsidRDefault="0094004B">
      <w:pPr>
        <w:jc w:val="both"/>
        <w:divId w:val="1914504388"/>
        <w:rPr>
          <w:rFonts w:eastAsia="Times New Roman"/>
        </w:rPr>
      </w:pPr>
      <w:r>
        <w:rPr>
          <w:rFonts w:eastAsia="Times New Roman"/>
          <w:b/>
          <w:bCs/>
          <w:i/>
          <w:iCs/>
          <w:color w:val="000000"/>
          <w:sz w:val="20"/>
          <w:szCs w:val="20"/>
        </w:rPr>
        <w:t>Transactions with Affiliates</w:t>
      </w:r>
    </w:p>
    <w:p w:rsidR="00000000" w:rsidRDefault="0094004B">
      <w:pPr>
        <w:jc w:val="both"/>
        <w:divId w:val="1297249615"/>
        <w:rPr>
          <w:rFonts w:eastAsia="Times New Roman"/>
        </w:rPr>
      </w:pPr>
      <w:r>
        <w:rPr>
          <w:rFonts w:eastAsia="Times New Roman"/>
          <w:color w:val="000000"/>
          <w:sz w:val="20"/>
          <w:szCs w:val="20"/>
        </w:rPr>
        <w:t xml:space="preserve">There are </w:t>
      </w:r>
      <w:r>
        <w:rPr>
          <w:rFonts w:eastAsia="Times New Roman"/>
          <w:color w:val="000000"/>
          <w:sz w:val="20"/>
          <w:szCs w:val="20"/>
        </w:rPr>
        <w:t>various legal restrictions on the extent to which we and our non-bank subsidiaries may borrow or otherwise engage in certain types of transactions with the Bank. Under the Federal Reserve Act and Federal Reserve regulations, the Bank and its subsidiaries a</w:t>
      </w:r>
      <w:r>
        <w:rPr>
          <w:rFonts w:eastAsia="Times New Roman"/>
          <w:color w:val="000000"/>
          <w:sz w:val="20"/>
          <w:szCs w:val="20"/>
        </w:rPr>
        <w:t>re subject to quantitative and qualitative limits on extensions of credit, purchases of assets, and certain other transactions involving non-bank affiliates. In addition, transactions between the Bank and its non-bank affiliates are required to be on arm’s</w:t>
      </w:r>
      <w:r>
        <w:rPr>
          <w:rFonts w:eastAsia="Times New Roman"/>
          <w:color w:val="000000"/>
          <w:sz w:val="20"/>
          <w:szCs w:val="20"/>
        </w:rPr>
        <w:t xml:space="preserve"> length terms and must be consistent with standards of safety and soundness.</w:t>
      </w:r>
    </w:p>
    <w:p w:rsidR="00000000" w:rsidRDefault="0094004B">
      <w:pPr>
        <w:jc w:val="both"/>
        <w:divId w:val="2036736595"/>
        <w:rPr>
          <w:rFonts w:eastAsia="Times New Roman"/>
        </w:rPr>
      </w:pPr>
      <w:r>
        <w:rPr>
          <w:rFonts w:eastAsia="Times New Roman"/>
          <w:b/>
          <w:bCs/>
          <w:i/>
          <w:iCs/>
          <w:color w:val="000000"/>
          <w:sz w:val="20"/>
          <w:szCs w:val="20"/>
        </w:rPr>
        <w:t>Volcker Rule</w:t>
      </w:r>
    </w:p>
    <w:p w:rsidR="00000000" w:rsidRDefault="0094004B">
      <w:pPr>
        <w:jc w:val="both"/>
        <w:divId w:val="1810437336"/>
        <w:rPr>
          <w:rFonts w:eastAsia="Times New Roman"/>
        </w:rPr>
      </w:pPr>
      <w:r>
        <w:rPr>
          <w:rFonts w:eastAsia="Times New Roman"/>
          <w:color w:val="000000"/>
          <w:sz w:val="20"/>
          <w:szCs w:val="20"/>
        </w:rPr>
        <w:t>We and each of our subsidiaries, including the Bank, are subject to the “Volcker Rule,” a provision of the Dodd-Frank Act that contains prohibitions on proprietary tr</w:t>
      </w:r>
      <w:r>
        <w:rPr>
          <w:rFonts w:eastAsia="Times New Roman"/>
          <w:color w:val="000000"/>
          <w:sz w:val="20"/>
          <w:szCs w:val="20"/>
        </w:rPr>
        <w:t>ading and certain investments in, and relationships with, covered funds (hedge funds, private equity funds and similar funds), subject to certain exemptions, in each case as the applicable terms are defined in the Volcker Rule and the implementing regulati</w:t>
      </w:r>
      <w:r>
        <w:rPr>
          <w:rFonts w:eastAsia="Times New Roman"/>
          <w:color w:val="000000"/>
          <w:sz w:val="20"/>
          <w:szCs w:val="20"/>
        </w:rPr>
        <w:t>ons. The implementing regulations also require that we establish and maintain a compliance program designed to ensure adherence with the requirements of the regulations.</w:t>
      </w:r>
    </w:p>
    <w:p w:rsidR="00000000" w:rsidRDefault="0094004B">
      <w:pPr>
        <w:jc w:val="both"/>
        <w:divId w:val="654147188"/>
        <w:rPr>
          <w:rFonts w:eastAsia="Times New Roman"/>
        </w:rPr>
      </w:pPr>
      <w:r>
        <w:rPr>
          <w:rFonts w:eastAsia="Times New Roman"/>
          <w:b/>
          <w:bCs/>
          <w:color w:val="000000"/>
          <w:sz w:val="20"/>
          <w:szCs w:val="20"/>
        </w:rPr>
        <w:t>Capital and Liquidity Regulation</w:t>
      </w:r>
    </w:p>
    <w:p w:rsidR="00000000" w:rsidRDefault="0094004B">
      <w:pPr>
        <w:jc w:val="both"/>
        <w:divId w:val="1254120536"/>
        <w:rPr>
          <w:rFonts w:eastAsia="Times New Roman"/>
        </w:rPr>
      </w:pPr>
      <w:r>
        <w:rPr>
          <w:rFonts w:eastAsia="Times New Roman"/>
          <w:color w:val="000000"/>
          <w:sz w:val="20"/>
          <w:szCs w:val="20"/>
        </w:rPr>
        <w:t>The Company and the Bank are subject to capital adequ</w:t>
      </w:r>
      <w:r>
        <w:rPr>
          <w:rFonts w:eastAsia="Times New Roman"/>
          <w:color w:val="000000"/>
          <w:sz w:val="20"/>
          <w:szCs w:val="20"/>
        </w:rPr>
        <w:t>acy guidelines adopted by the Federal Reserve and OCC respectively. For a further discussion of the capital adequacy guidelines, see “Part II—Item 7. MD&amp;A—Capital Management,” “Part II—Item 7. MD&amp;A—Liquidity Risk Profile” and “Part II—Item 8. Financial Sta</w:t>
      </w:r>
      <w:r>
        <w:rPr>
          <w:rFonts w:eastAsia="Times New Roman"/>
          <w:color w:val="000000"/>
          <w:sz w:val="20"/>
          <w:szCs w:val="20"/>
        </w:rPr>
        <w:t>tements and Supplementary Data—Note 11—Regulatory and Capital Adequacy.”</w:t>
      </w:r>
    </w:p>
    <w:p w:rsidR="00000000" w:rsidRDefault="0094004B">
      <w:pPr>
        <w:jc w:val="both"/>
        <w:divId w:val="1188831801"/>
        <w:rPr>
          <w:rFonts w:eastAsia="Times New Roman"/>
        </w:rPr>
      </w:pPr>
      <w:r>
        <w:rPr>
          <w:rFonts w:eastAsia="Times New Roman"/>
          <w:b/>
          <w:bCs/>
          <w:i/>
          <w:iCs/>
          <w:color w:val="000000"/>
          <w:sz w:val="20"/>
          <w:szCs w:val="20"/>
        </w:rPr>
        <w:t>Basel III and U.S. Capital Rules</w:t>
      </w:r>
    </w:p>
    <w:p w:rsidR="00000000" w:rsidRDefault="0094004B">
      <w:pPr>
        <w:jc w:val="both"/>
        <w:divId w:val="47999924"/>
        <w:rPr>
          <w:rFonts w:eastAsia="Times New Roman"/>
        </w:rPr>
      </w:pPr>
      <w:r>
        <w:rPr>
          <w:rFonts w:eastAsia="Times New Roman"/>
          <w:color w:val="000000"/>
          <w:sz w:val="20"/>
          <w:szCs w:val="20"/>
        </w:rPr>
        <w:t>The Company and the Bank are subject to regulatory capital requirements established by the Federal Reserve and the OCC, respectively (“Basel III Capit</w:t>
      </w:r>
      <w:r>
        <w:rPr>
          <w:rFonts w:eastAsia="Times New Roman"/>
          <w:color w:val="000000"/>
          <w:sz w:val="20"/>
          <w:szCs w:val="20"/>
        </w:rPr>
        <w:t>al Rules”). The Basel III Capital Rules implement certain capital requirements published by the Basel Committee on Banking Supervision (“Basel Committee”), along with certain provisions of the Dodd-Frank Act and other capital provisions.</w:t>
      </w:r>
    </w:p>
    <w:p w:rsidR="00000000" w:rsidRDefault="0094004B">
      <w:pPr>
        <w:jc w:val="both"/>
        <w:divId w:val="56362174"/>
        <w:rPr>
          <w:rFonts w:eastAsia="Times New Roman"/>
        </w:rPr>
      </w:pPr>
      <w:r>
        <w:rPr>
          <w:rFonts w:eastAsia="Times New Roman"/>
          <w:color w:val="000000"/>
          <w:sz w:val="20"/>
          <w:szCs w:val="20"/>
        </w:rPr>
        <w:t>As a BHC with tota</w:t>
      </w:r>
      <w:r>
        <w:rPr>
          <w:rFonts w:eastAsia="Times New Roman"/>
          <w:color w:val="000000"/>
          <w:sz w:val="20"/>
          <w:szCs w:val="20"/>
        </w:rPr>
        <w:t>l consolidated assets of at least $250 billion but less than $700 billion and not exceeding any of the applicable risk-based thresholds, the Company is a Category III institution under the Basel III Capital Rules.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508597158"/>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508597158"/>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508597158"/>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10</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035" style="width:0;height:1.5pt" o:hralign="center" o:hrstd="t" o:hr="t" fillcolor="#a0a0a0" stroked="f"/>
        </w:pict>
      </w:r>
    </w:p>
    <w:p w:rsidR="00000000" w:rsidRDefault="0094004B">
      <w:pPr>
        <w:jc w:val="both"/>
        <w:divId w:val="386227167"/>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both"/>
        <w:divId w:val="2102992240"/>
        <w:rPr>
          <w:rFonts w:eastAsia="Times New Roman"/>
        </w:rPr>
      </w:pPr>
      <w:r>
        <w:rPr>
          <w:rFonts w:eastAsia="Times New Roman"/>
          <w:color w:val="000000"/>
          <w:sz w:val="20"/>
          <w:szCs w:val="20"/>
        </w:rPr>
        <w:t>The Bank, as a subsidiary of a Category III institution, is a Category III bank. Moreover, the Bank, as an insured depository institution, is subject to prompt corrective action (“PCA”) capital regulations, as further described below.</w:t>
      </w:r>
    </w:p>
    <w:p w:rsidR="00000000" w:rsidRDefault="0094004B">
      <w:pPr>
        <w:jc w:val="both"/>
        <w:divId w:val="1817138906"/>
        <w:rPr>
          <w:rFonts w:eastAsia="Times New Roman"/>
        </w:rPr>
      </w:pPr>
      <w:r>
        <w:rPr>
          <w:rFonts w:eastAsia="Times New Roman"/>
          <w:color w:val="000000"/>
          <w:sz w:val="20"/>
          <w:szCs w:val="20"/>
        </w:rPr>
        <w:t>Under the Basel III C</w:t>
      </w:r>
      <w:r>
        <w:rPr>
          <w:rFonts w:eastAsia="Times New Roman"/>
          <w:color w:val="000000"/>
          <w:sz w:val="20"/>
          <w:szCs w:val="20"/>
        </w:rPr>
        <w:t>apital Rules, we must maintain a minimum common equity Tier 1 (“CET1”) capital ratio of 4.5%, a Tier 1 capital ratio of 6.0%, and a total capital ratio of 8.0%, in each case in relation to risk-weighted assets. In addition, we must maintain a minimum lever</w:t>
      </w:r>
      <w:r>
        <w:rPr>
          <w:rFonts w:eastAsia="Times New Roman"/>
          <w:color w:val="000000"/>
          <w:sz w:val="20"/>
          <w:szCs w:val="20"/>
        </w:rPr>
        <w:t>age ratio of 4.0% and a minimum supplementary leverage ratio of 3.0%. We are also subject to the capital conservation buffer requirement and countercyclical capital buffer requirement (which is currently set at 0%), as described below. Our capital and leve</w:t>
      </w:r>
      <w:r>
        <w:rPr>
          <w:rFonts w:eastAsia="Times New Roman"/>
          <w:color w:val="000000"/>
          <w:sz w:val="20"/>
          <w:szCs w:val="20"/>
        </w:rPr>
        <w:t>rage ratios are calculated based on the Basel III standardized approach framework.</w:t>
      </w:r>
    </w:p>
    <w:p w:rsidR="00000000" w:rsidRDefault="0094004B">
      <w:pPr>
        <w:jc w:val="both"/>
        <w:divId w:val="472252948"/>
        <w:rPr>
          <w:rFonts w:eastAsia="Times New Roman"/>
        </w:rPr>
      </w:pPr>
      <w:r>
        <w:rPr>
          <w:rFonts w:eastAsia="Times New Roman"/>
          <w:color w:val="000000"/>
          <w:sz w:val="20"/>
          <w:szCs w:val="20"/>
        </w:rPr>
        <w:t>We have elected to exclude certain elements of accumulated other comprehensive income (“AOCI”) from our regulatory capital as permitted for a Category III institution.</w:t>
      </w:r>
    </w:p>
    <w:p w:rsidR="00000000" w:rsidRDefault="0094004B">
      <w:pPr>
        <w:jc w:val="both"/>
        <w:divId w:val="985086153"/>
        <w:rPr>
          <w:rFonts w:eastAsia="Times New Roman"/>
        </w:rPr>
      </w:pPr>
      <w:r>
        <w:rPr>
          <w:rFonts w:eastAsia="Times New Roman"/>
          <w:color w:val="000000"/>
          <w:sz w:val="20"/>
          <w:szCs w:val="20"/>
        </w:rPr>
        <w:t>Globa</w:t>
      </w:r>
      <w:r>
        <w:rPr>
          <w:rFonts w:eastAsia="Times New Roman"/>
          <w:color w:val="000000"/>
          <w:sz w:val="20"/>
          <w:szCs w:val="20"/>
        </w:rPr>
        <w:t>l systemically important banks (“G-SIBs”) that are based in the U.S. are subject to an additional CET1 capital requirement known as the “G-SIB Surcharge.” We are not a G-SIB based on the most recent available data and thus we are not subject to a G-SIB Sur</w:t>
      </w:r>
      <w:r>
        <w:rPr>
          <w:rFonts w:eastAsia="Times New Roman"/>
          <w:color w:val="000000"/>
          <w:sz w:val="20"/>
          <w:szCs w:val="20"/>
        </w:rPr>
        <w:t>charge.</w:t>
      </w:r>
    </w:p>
    <w:p w:rsidR="00000000" w:rsidRDefault="0094004B">
      <w:pPr>
        <w:jc w:val="both"/>
        <w:divId w:val="65109511"/>
        <w:rPr>
          <w:rFonts w:eastAsia="Times New Roman"/>
        </w:rPr>
      </w:pPr>
      <w:r>
        <w:rPr>
          <w:rFonts w:eastAsia="Times New Roman"/>
          <w:b/>
          <w:bCs/>
          <w:i/>
          <w:iCs/>
          <w:color w:val="000000"/>
          <w:sz w:val="20"/>
          <w:szCs w:val="20"/>
        </w:rPr>
        <w:t>Stress Capital Buffer Rule</w:t>
      </w:r>
    </w:p>
    <w:p w:rsidR="00000000" w:rsidRDefault="0094004B">
      <w:pPr>
        <w:jc w:val="both"/>
        <w:divId w:val="249969439"/>
        <w:rPr>
          <w:rFonts w:eastAsia="Times New Roman"/>
        </w:rPr>
      </w:pPr>
      <w:r>
        <w:rPr>
          <w:rFonts w:eastAsia="Times New Roman"/>
          <w:color w:val="000000"/>
          <w:sz w:val="20"/>
          <w:szCs w:val="20"/>
        </w:rPr>
        <w:t>The Basel III Capital Rules require banking institutions to maintain a capital conservation buffer, composed of CET1 capital, above the regulatory minimum ratios. Under the Federal Reserve’s final rule to implement the st</w:t>
      </w:r>
      <w:r>
        <w:rPr>
          <w:rFonts w:eastAsia="Times New Roman"/>
          <w:color w:val="000000"/>
          <w:sz w:val="20"/>
          <w:szCs w:val="20"/>
        </w:rPr>
        <w:t xml:space="preserve">ress capital buffer requirement, (the “Stress Capital Buffer Rule”), the Company’s “standardized approach capital conservation buffer” includes its stress capital buffer requirement (as described below), any G-SIB Surcharge (which is not applicable to us) </w:t>
      </w:r>
      <w:r>
        <w:rPr>
          <w:rFonts w:eastAsia="Times New Roman"/>
          <w:color w:val="000000"/>
          <w:sz w:val="20"/>
          <w:szCs w:val="20"/>
        </w:rPr>
        <w:t>and the countercyclical capital buffer requirement (which is currently set at 0%). Any determination to increase the countercyclical capital buffer generally would be effective twelve months after the announcement of such an increase, unless the Federal Re</w:t>
      </w:r>
      <w:r>
        <w:rPr>
          <w:rFonts w:eastAsia="Times New Roman"/>
          <w:color w:val="000000"/>
          <w:sz w:val="20"/>
          <w:szCs w:val="20"/>
        </w:rPr>
        <w:t>serve, OCC and the FDIC (collectively, “Federal Banking Agencies”) set an earlier effective date.</w:t>
      </w:r>
    </w:p>
    <w:p w:rsidR="00000000" w:rsidRDefault="0094004B">
      <w:pPr>
        <w:jc w:val="both"/>
        <w:divId w:val="998851947"/>
        <w:rPr>
          <w:rFonts w:eastAsia="Times New Roman"/>
        </w:rPr>
      </w:pPr>
      <w:r>
        <w:rPr>
          <w:rFonts w:eastAsia="Times New Roman"/>
          <w:color w:val="000000"/>
          <w:sz w:val="20"/>
          <w:szCs w:val="20"/>
        </w:rPr>
        <w:t>The Company’s stress capital buffer requirement is recalibrated every year based on the Company’s supervisory stress test results. In particular, the Company’</w:t>
      </w:r>
      <w:r>
        <w:rPr>
          <w:rFonts w:eastAsia="Times New Roman"/>
          <w:color w:val="000000"/>
          <w:sz w:val="20"/>
          <w:szCs w:val="20"/>
        </w:rPr>
        <w:t>s stress capital buffer requirement equals, subject to a floor of 2.5%, the sum of (i) the difference between the Company’s starting CET1 capital ratio and its lowest projected CET1 capital ratio under the severely adverse scenario of the Federal Reserve’s</w:t>
      </w:r>
      <w:r>
        <w:rPr>
          <w:rFonts w:eastAsia="Times New Roman"/>
          <w:color w:val="000000"/>
          <w:sz w:val="20"/>
          <w:szCs w:val="20"/>
        </w:rPr>
        <w:t xml:space="preserve"> supervisory stress test plus (ii) the ratio of the Company’s projected four quarters of common stock dividends (for the fourth to seventh quarters of the planning horizon) to the projected risk-weighted assets for the quarter in which the Company’s projec</w:t>
      </w:r>
      <w:r>
        <w:rPr>
          <w:rFonts w:eastAsia="Times New Roman"/>
          <w:color w:val="000000"/>
          <w:sz w:val="20"/>
          <w:szCs w:val="20"/>
        </w:rPr>
        <w:t>ted CET1 capital ratio reaches its minimum under the supervisory stress test.</w:t>
      </w:r>
    </w:p>
    <w:p w:rsidR="00000000" w:rsidRDefault="0094004B">
      <w:pPr>
        <w:jc w:val="both"/>
        <w:divId w:val="744450466"/>
        <w:rPr>
          <w:rFonts w:eastAsia="Times New Roman"/>
        </w:rPr>
      </w:pPr>
      <w:r>
        <w:rPr>
          <w:rFonts w:eastAsia="Times New Roman"/>
          <w:color w:val="000000"/>
          <w:sz w:val="20"/>
          <w:szCs w:val="20"/>
        </w:rPr>
        <w:t>Based on the Company’s 2022 supervisory stress test results, the Company’s stress capital buffer requirement for the period beginning on October 1, 2022 through September 30, 202</w:t>
      </w:r>
      <w:r>
        <w:rPr>
          <w:rFonts w:eastAsia="Times New Roman"/>
          <w:color w:val="000000"/>
          <w:sz w:val="20"/>
          <w:szCs w:val="20"/>
        </w:rPr>
        <w:t>3 is 3.1%. Therefore, the Company’s minimum capital requirements plus the standardized approach capital conservation buffer for CET1 capital, Tier 1 capital and total capital ratios under the stress capital buffer framework are 7.6%, 9.1% and 11.1%, respec</w:t>
      </w:r>
      <w:r>
        <w:rPr>
          <w:rFonts w:eastAsia="Times New Roman"/>
          <w:color w:val="000000"/>
          <w:sz w:val="20"/>
          <w:szCs w:val="20"/>
        </w:rPr>
        <w:t>tively, for the period from October 1, 2022 through September 30, 2023.</w:t>
      </w:r>
    </w:p>
    <w:p w:rsidR="00000000" w:rsidRDefault="0094004B">
      <w:pPr>
        <w:jc w:val="both"/>
        <w:divId w:val="565411724"/>
        <w:rPr>
          <w:rFonts w:eastAsia="Times New Roman"/>
        </w:rPr>
      </w:pPr>
      <w:r>
        <w:rPr>
          <w:rFonts w:eastAsia="Times New Roman"/>
          <w:color w:val="000000"/>
          <w:sz w:val="20"/>
          <w:szCs w:val="20"/>
        </w:rPr>
        <w:t>The Stress Capital Buffer Rule does not apply to the Bank. The capital conservation buffer for the Bank continues to be fixed at 2.5%. Accordingly, the Bank’s minimum capital requireme</w:t>
      </w:r>
      <w:r>
        <w:rPr>
          <w:rFonts w:eastAsia="Times New Roman"/>
          <w:color w:val="000000"/>
          <w:sz w:val="20"/>
          <w:szCs w:val="20"/>
        </w:rPr>
        <w:t>nts plus its capital conservation buffer for CET1 capital, Tier 1 capital and total capital ratios are 7.0%, 8.5% and 10.5% respectively.</w:t>
      </w:r>
    </w:p>
    <w:p w:rsidR="00000000" w:rsidRDefault="0094004B">
      <w:pPr>
        <w:jc w:val="both"/>
        <w:divId w:val="1591236296"/>
        <w:rPr>
          <w:rFonts w:eastAsia="Times New Roman"/>
        </w:rPr>
      </w:pPr>
      <w:r>
        <w:rPr>
          <w:rFonts w:eastAsia="Times New Roman"/>
          <w:color w:val="000000"/>
          <w:sz w:val="20"/>
          <w:szCs w:val="20"/>
        </w:rPr>
        <w:t>If the Company or the Bank fails to maintain its capital ratios above the minimum capital requirements plus the applic</w:t>
      </w:r>
      <w:r>
        <w:rPr>
          <w:rFonts w:eastAsia="Times New Roman"/>
          <w:color w:val="000000"/>
          <w:sz w:val="20"/>
          <w:szCs w:val="20"/>
        </w:rPr>
        <w:t>able capital conservation buffer requirements, it will face increasingly strict automatic limitations on capital distributions and discretionary bonus payments to certain executive officers.</w:t>
      </w:r>
    </w:p>
    <w:p w:rsidR="00000000" w:rsidRDefault="0094004B">
      <w:pPr>
        <w:jc w:val="both"/>
        <w:divId w:val="1603143074"/>
        <w:rPr>
          <w:rFonts w:eastAsia="Times New Roman"/>
        </w:rPr>
      </w:pPr>
      <w:r>
        <w:rPr>
          <w:rFonts w:eastAsia="Times New Roman"/>
          <w:color w:val="000000"/>
          <w:sz w:val="20"/>
          <w:szCs w:val="20"/>
        </w:rPr>
        <w:t>See also “Dividends, Stock Repurchases and Transfers of Funds” be</w:t>
      </w:r>
      <w:r>
        <w:rPr>
          <w:rFonts w:eastAsia="Times New Roman"/>
          <w:color w:val="000000"/>
          <w:sz w:val="20"/>
          <w:szCs w:val="20"/>
        </w:rPr>
        <w:t>low for more information about the stress capital buffer determination timeline and process.</w:t>
      </w:r>
    </w:p>
    <w:p w:rsidR="00000000" w:rsidRDefault="0094004B">
      <w:pPr>
        <w:jc w:val="both"/>
        <w:divId w:val="625505980"/>
        <w:rPr>
          <w:rFonts w:eastAsia="Times New Roman"/>
        </w:rPr>
      </w:pPr>
      <w:r>
        <w:rPr>
          <w:rFonts w:eastAsia="Times New Roman"/>
          <w:b/>
          <w:bCs/>
          <w:i/>
          <w:iCs/>
          <w:color w:val="000000"/>
          <w:sz w:val="20"/>
          <w:szCs w:val="20"/>
        </w:rPr>
        <w:t>CECL Transition Rule</w:t>
      </w:r>
    </w:p>
    <w:p w:rsidR="00000000" w:rsidRDefault="0094004B">
      <w:pPr>
        <w:jc w:val="both"/>
        <w:divId w:val="993415741"/>
        <w:rPr>
          <w:rFonts w:eastAsia="Times New Roman"/>
        </w:rPr>
      </w:pPr>
      <w:r>
        <w:rPr>
          <w:rFonts w:eastAsia="Times New Roman"/>
          <w:color w:val="000000"/>
          <w:sz w:val="20"/>
          <w:szCs w:val="20"/>
        </w:rPr>
        <w:t>The Federal Banking Agencies adopted a final rule (“CECL Transition Rule”) that provides banking institutions an optional five-year transition</w:t>
      </w:r>
      <w:r>
        <w:rPr>
          <w:rFonts w:eastAsia="Times New Roman"/>
          <w:color w:val="000000"/>
          <w:sz w:val="20"/>
          <w:szCs w:val="20"/>
        </w:rPr>
        <w:t xml:space="preserve"> period to phase in the impact of the current expected credit losses (“CECL”) standard on their regulatory capital (“CECL Transition Election”). We adopted the CECL standard (for accounting purposes) as of January 1, 2020, and made the CECL Transition Elec</w:t>
      </w:r>
      <w:r>
        <w:rPr>
          <w:rFonts w:eastAsia="Times New Roman"/>
          <w:color w:val="000000"/>
          <w:sz w:val="20"/>
          <w:szCs w:val="20"/>
        </w:rPr>
        <w:t>tion (for regulatory capital purposes) in the first quarter of 2020.</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961034049"/>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961034049"/>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961034049"/>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11</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036" style="width:0;height:1.5pt" o:hralign="center" o:hrstd="t" o:hr="t" fillcolor="#a0a0a0" stroked="f"/>
        </w:pict>
      </w:r>
    </w:p>
    <w:p w:rsidR="00000000" w:rsidRDefault="0094004B">
      <w:pPr>
        <w:jc w:val="both"/>
        <w:divId w:val="114450841"/>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both"/>
        <w:divId w:val="928387684"/>
        <w:rPr>
          <w:rFonts w:eastAsia="Times New Roman"/>
        </w:rPr>
      </w:pPr>
      <w:r>
        <w:rPr>
          <w:rFonts w:eastAsia="Times New Roman"/>
          <w:color w:val="000000"/>
          <w:sz w:val="20"/>
          <w:szCs w:val="20"/>
        </w:rPr>
        <w:t>Pursuant to the CECL Transition Rule, a banking institution could elect to delay the estimated impact of adopting CECL on its regulatory capita</w:t>
      </w:r>
      <w:r>
        <w:rPr>
          <w:rFonts w:eastAsia="Times New Roman"/>
          <w:color w:val="000000"/>
          <w:sz w:val="20"/>
          <w:szCs w:val="20"/>
        </w:rPr>
        <w:t xml:space="preserve">l through December 31, 2021 and then phase in the estimated cumulative impact from January 1, 2022 through December 31, 2024. For the “day 2” ongoing impact of CECL during the initial two years, the Federal Banking Agencies used a uniform “scaling factor” </w:t>
      </w:r>
      <w:r>
        <w:rPr>
          <w:rFonts w:eastAsia="Times New Roman"/>
          <w:color w:val="000000"/>
          <w:sz w:val="20"/>
          <w:szCs w:val="20"/>
        </w:rPr>
        <w:t>of 25% as an approximation of the increase in the allowance under the CECL standard compared to the prior incurred loss methodology. Accordingly, from January 1, 2020 through December 31, 2021, electing banking institutions were permitted to add back to th</w:t>
      </w:r>
      <w:r>
        <w:rPr>
          <w:rFonts w:eastAsia="Times New Roman"/>
          <w:color w:val="000000"/>
          <w:sz w:val="20"/>
          <w:szCs w:val="20"/>
        </w:rPr>
        <w:t>eir regulatory capital an amount equal to the sum of the after-tax “day 1” CECL adoption impact and 25% of the increase in the allowance since the adoption of the CECL standard. From January 1, 2022 through December 31, 2024, the after-tax “day 1” CECL ado</w:t>
      </w:r>
      <w:r>
        <w:rPr>
          <w:rFonts w:eastAsia="Times New Roman"/>
          <w:color w:val="000000"/>
          <w:sz w:val="20"/>
          <w:szCs w:val="20"/>
        </w:rPr>
        <w:t>ption impact and the cumulative “day 2” ongoing impact are being phased in to regulatory capital at 25% per year. The following table summarizes the capital impact delay and phase in period on our regulatory capital from years 2020 to 2025.</w:t>
      </w:r>
    </w:p>
    <w:p w:rsidR="00000000" w:rsidRDefault="0094004B">
      <w:pPr>
        <w:jc w:val="both"/>
        <w:divId w:val="59524913"/>
        <w:rPr>
          <w:rFonts w:eastAsia="Times New Roman"/>
        </w:rPr>
      </w:pPr>
    </w:p>
    <w:tbl>
      <w:tblPr>
        <w:tblW w:w="4963" w:type="pct"/>
        <w:tblCellMar>
          <w:top w:w="15" w:type="dxa"/>
          <w:left w:w="15" w:type="dxa"/>
          <w:bottom w:w="15" w:type="dxa"/>
          <w:right w:w="15" w:type="dxa"/>
        </w:tblCellMar>
        <w:tblLook w:val="04A0" w:firstRow="1" w:lastRow="0" w:firstColumn="1" w:lastColumn="0" w:noHBand="0" w:noVBand="1"/>
      </w:tblPr>
      <w:tblGrid>
        <w:gridCol w:w="53"/>
        <w:gridCol w:w="2299"/>
        <w:gridCol w:w="37"/>
        <w:gridCol w:w="36"/>
        <w:gridCol w:w="36"/>
        <w:gridCol w:w="36"/>
        <w:gridCol w:w="48"/>
        <w:gridCol w:w="775"/>
        <w:gridCol w:w="39"/>
        <w:gridCol w:w="38"/>
        <w:gridCol w:w="38"/>
        <w:gridCol w:w="38"/>
        <w:gridCol w:w="48"/>
        <w:gridCol w:w="773"/>
        <w:gridCol w:w="38"/>
        <w:gridCol w:w="36"/>
        <w:gridCol w:w="36"/>
        <w:gridCol w:w="36"/>
        <w:gridCol w:w="50"/>
        <w:gridCol w:w="775"/>
        <w:gridCol w:w="36"/>
        <w:gridCol w:w="36"/>
        <w:gridCol w:w="36"/>
        <w:gridCol w:w="36"/>
        <w:gridCol w:w="50"/>
        <w:gridCol w:w="776"/>
        <w:gridCol w:w="36"/>
        <w:gridCol w:w="36"/>
        <w:gridCol w:w="36"/>
        <w:gridCol w:w="36"/>
        <w:gridCol w:w="50"/>
        <w:gridCol w:w="789"/>
        <w:gridCol w:w="36"/>
        <w:gridCol w:w="36"/>
        <w:gridCol w:w="36"/>
        <w:gridCol w:w="36"/>
        <w:gridCol w:w="54"/>
        <w:gridCol w:w="793"/>
        <w:gridCol w:w="36"/>
      </w:tblGrid>
      <w:tr w:rsidR="00000000">
        <w:trPr>
          <w:divId w:val="243491908"/>
        </w:trPr>
        <w:tc>
          <w:tcPr>
            <w:tcW w:w="50" w:type="pct"/>
            <w:vAlign w:val="center"/>
            <w:hideMark/>
          </w:tcPr>
          <w:p w:rsidR="00000000" w:rsidRDefault="0094004B">
            <w:pPr>
              <w:jc w:val="both"/>
              <w:rPr>
                <w:rFonts w:eastAsia="Times New Roman"/>
              </w:rPr>
            </w:pPr>
          </w:p>
        </w:tc>
        <w:tc>
          <w:tcPr>
            <w:tcW w:w="1410"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9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9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9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9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3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9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1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9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243491908"/>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shd w:val="clear" w:color="auto" w:fill="FFFFFF"/>
              </w:rPr>
              <w:t>Capital Impact Delayed</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21"/>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shd w:val="clear" w:color="auto" w:fill="FFFFFF"/>
              </w:rPr>
              <w:t>Phase In Period</w:t>
            </w:r>
          </w:p>
        </w:tc>
      </w:tr>
      <w:tr w:rsidR="00000000">
        <w:trPr>
          <w:divId w:val="243491908"/>
        </w:trPr>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shd w:val="clear" w:color="auto" w:fill="FFFFFF"/>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shd w:val="clear" w:color="auto" w:fill="FFFFFF"/>
              </w:rPr>
              <w:t>2021</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shd w:val="clear" w:color="auto" w:fill="FFFFFF"/>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shd w:val="clear" w:color="auto" w:fill="FFFFFF"/>
              </w:rP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shd w:val="clear" w:color="auto" w:fill="FFFFFF"/>
              </w:rPr>
              <w:t>2024</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shd w:val="clear" w:color="auto" w:fill="FFFFFF"/>
              </w:rPr>
              <w:t>2025</w:t>
            </w:r>
          </w:p>
        </w:tc>
      </w:tr>
      <w:tr w:rsidR="00000000">
        <w:trPr>
          <w:divId w:val="243491908"/>
          <w:trHeight w:val="480"/>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94004B">
            <w:pPr>
              <w:spacing w:after="100"/>
              <w:divId w:val="865019450"/>
              <w:rPr>
                <w:rFonts w:eastAsia="Times New Roman"/>
              </w:rPr>
            </w:pPr>
            <w:r>
              <w:rPr>
                <w:rFonts w:eastAsia="Times New Roman"/>
                <w:color w:val="000000"/>
                <w:sz w:val="18"/>
                <w:szCs w:val="18"/>
                <w:shd w:val="clear" w:color="auto" w:fill="FFFFFF"/>
              </w:rPr>
              <w:t>“Day 1” CECL adoption impact</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9"/>
            <w:tcBorders>
              <w:top w:val="single" w:sz="8" w:space="0" w:color="000000"/>
              <w:bottom w:val="single" w:sz="8" w:space="0" w:color="000000"/>
            </w:tcBorders>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color w:val="000000"/>
                <w:sz w:val="18"/>
                <w:szCs w:val="18"/>
                <w:shd w:val="clear" w:color="auto" w:fill="FFFFFF"/>
              </w:rPr>
              <w:t>Capital impact delayed to 2022</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color w:val="000000"/>
                <w:sz w:val="18"/>
                <w:szCs w:val="18"/>
                <w:shd w:val="clear" w:color="auto" w:fill="FFFFFF"/>
              </w:rPr>
              <w:t>25% Phased In</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color w:val="000000"/>
                <w:sz w:val="18"/>
                <w:szCs w:val="18"/>
                <w:shd w:val="clear" w:color="auto" w:fill="FFFFFF"/>
              </w:rPr>
              <w:t>50% Phased In</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color w:val="000000"/>
                <w:sz w:val="18"/>
                <w:szCs w:val="18"/>
                <w:shd w:val="clear" w:color="auto" w:fill="FFFFFF"/>
              </w:rPr>
              <w:t>75% Phased In</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color w:val="000000"/>
                <w:sz w:val="18"/>
                <w:szCs w:val="18"/>
                <w:shd w:val="clear" w:color="auto" w:fill="FFFFFF"/>
              </w:rPr>
              <w:t>Fully Phased In</w:t>
            </w:r>
          </w:p>
        </w:tc>
      </w:tr>
      <w:tr w:rsidR="00000000">
        <w:trPr>
          <w:divId w:val="243491908"/>
          <w:trHeight w:val="640"/>
        </w:trPr>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vAlign w:val="center"/>
            <w:hideMark/>
          </w:tcPr>
          <w:p w:rsidR="00000000" w:rsidRDefault="0094004B">
            <w:pPr>
              <w:spacing w:after="100"/>
              <w:divId w:val="589779516"/>
              <w:rPr>
                <w:rFonts w:eastAsia="Times New Roman"/>
              </w:rPr>
            </w:pPr>
            <w:r>
              <w:rPr>
                <w:rFonts w:eastAsia="Times New Roman"/>
                <w:color w:val="000000"/>
                <w:sz w:val="18"/>
                <w:szCs w:val="18"/>
                <w:shd w:val="clear" w:color="auto" w:fill="FFFFFF"/>
              </w:rPr>
              <w:t>Cumulative “day 2” ongoing impact</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9"/>
            <w:tcBorders>
              <w:top w:val="single" w:sz="8" w:space="0" w:color="000000"/>
              <w:bottom w:val="single" w:sz="8" w:space="0" w:color="000000"/>
            </w:tcBorders>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color w:val="000000"/>
                <w:sz w:val="18"/>
                <w:szCs w:val="18"/>
                <w:shd w:val="clear" w:color="auto" w:fill="FFFFFF"/>
              </w:rPr>
              <w:t> </w:t>
            </w:r>
            <w:r>
              <w:rPr>
                <w:rFonts w:eastAsia="Times New Roman"/>
                <w:color w:val="000000"/>
                <w:sz w:val="18"/>
                <w:szCs w:val="18"/>
                <w:shd w:val="clear" w:color="auto" w:fill="FFFFFF"/>
              </w:rPr>
              <w:t>25% scaling factor as an approximation of the increase in allowance under CECL</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vMerge/>
            <w:tcBorders>
              <w:top w:val="single" w:sz="8" w:space="0" w:color="000000"/>
              <w:bottom w:val="single" w:sz="8" w:space="0" w:color="000000"/>
            </w:tcBorders>
            <w:vAlign w:val="center"/>
            <w:hideMark/>
          </w:tcPr>
          <w:p w:rsidR="00000000" w:rsidRDefault="0094004B">
            <w:pPr>
              <w:spacing w:after="100"/>
              <w:rPr>
                <w:rFonts w:eastAsia="Times New Roman"/>
              </w:rPr>
            </w:pP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vMerge/>
            <w:tcBorders>
              <w:top w:val="single" w:sz="8" w:space="0" w:color="000000"/>
              <w:bottom w:val="single" w:sz="8" w:space="0" w:color="000000"/>
            </w:tcBorders>
            <w:vAlign w:val="center"/>
            <w:hideMark/>
          </w:tcPr>
          <w:p w:rsidR="00000000" w:rsidRDefault="0094004B">
            <w:pPr>
              <w:spacing w:after="100"/>
              <w:rPr>
                <w:rFonts w:eastAsia="Times New Roman"/>
              </w:rPr>
            </w:pP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vMerge/>
            <w:tcBorders>
              <w:top w:val="single" w:sz="8" w:space="0" w:color="000000"/>
              <w:bottom w:val="single" w:sz="8" w:space="0" w:color="000000"/>
            </w:tcBorders>
            <w:vAlign w:val="center"/>
            <w:hideMark/>
          </w:tcPr>
          <w:p w:rsidR="00000000" w:rsidRDefault="0094004B">
            <w:pPr>
              <w:spacing w:after="100"/>
              <w:rPr>
                <w:rFonts w:eastAsia="Times New Roman"/>
              </w:rPr>
            </w:pP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vMerge/>
            <w:tcBorders>
              <w:top w:val="single" w:sz="8" w:space="0" w:color="000000"/>
              <w:bottom w:val="single" w:sz="8" w:space="0" w:color="000000"/>
            </w:tcBorders>
            <w:vAlign w:val="center"/>
            <w:hideMark/>
          </w:tcPr>
          <w:p w:rsidR="00000000" w:rsidRDefault="0094004B">
            <w:pPr>
              <w:spacing w:after="100"/>
              <w:rPr>
                <w:rFonts w:eastAsia="Times New Roman"/>
              </w:rPr>
            </w:pPr>
          </w:p>
        </w:tc>
      </w:tr>
    </w:tbl>
    <w:p w:rsidR="00000000" w:rsidRDefault="0094004B">
      <w:pPr>
        <w:jc w:val="both"/>
        <w:divId w:val="978606754"/>
        <w:rPr>
          <w:rFonts w:eastAsia="Times New Roman"/>
        </w:rPr>
      </w:pPr>
      <w:r>
        <w:rPr>
          <w:rFonts w:eastAsia="Times New Roman"/>
          <w:b/>
          <w:bCs/>
          <w:i/>
          <w:iCs/>
          <w:color w:val="000000"/>
          <w:sz w:val="20"/>
          <w:szCs w:val="20"/>
          <w:shd w:val="clear" w:color="auto" w:fill="FFFFFF"/>
        </w:rPr>
        <w:t>Market Risk Rule</w:t>
      </w:r>
    </w:p>
    <w:p w:rsidR="00000000" w:rsidRDefault="0094004B">
      <w:pPr>
        <w:jc w:val="both"/>
        <w:divId w:val="738601307"/>
        <w:rPr>
          <w:rFonts w:eastAsia="Times New Roman"/>
        </w:rPr>
      </w:pPr>
      <w:r>
        <w:rPr>
          <w:rFonts w:eastAsia="Times New Roman"/>
          <w:color w:val="000000"/>
          <w:sz w:val="20"/>
          <w:szCs w:val="20"/>
          <w:shd w:val="clear" w:color="auto" w:fill="FFFFFF"/>
        </w:rPr>
        <w:t xml:space="preserve">The “Market Risk Rule” </w:t>
      </w:r>
      <w:r>
        <w:rPr>
          <w:rFonts w:eastAsia="Times New Roman"/>
          <w:color w:val="000000"/>
          <w:sz w:val="20"/>
          <w:szCs w:val="20"/>
          <w:shd w:val="clear" w:color="auto" w:fill="FFFFFF"/>
        </w:rPr>
        <w:t xml:space="preserve">supplements the Basel III Capital Rules by requiring institutions subject to the rule to adjust their risk-based capital ratios to reflect the market risk in their trading book. The Market Risk Rule generally applies to institutions with aggregate trading </w:t>
      </w:r>
      <w:r>
        <w:rPr>
          <w:rFonts w:eastAsia="Times New Roman"/>
          <w:color w:val="000000"/>
          <w:sz w:val="20"/>
          <w:szCs w:val="20"/>
          <w:shd w:val="clear" w:color="auto" w:fill="FFFFFF"/>
        </w:rPr>
        <w:t>assets and liabilities equal to 10% or more of total assets or $1 billion or more. As of December 31, 2022, the Company and CONA are subject to the Market Risk Rule. See “</w:t>
      </w:r>
      <w:r>
        <w:rPr>
          <w:rFonts w:eastAsia="Times New Roman"/>
          <w:color w:val="000000"/>
          <w:sz w:val="20"/>
          <w:szCs w:val="20"/>
        </w:rPr>
        <w:t>Part II</w:t>
      </w:r>
      <w:r>
        <w:rPr>
          <w:rFonts w:ascii="宋体" w:eastAsia="宋体" w:hAnsi="宋体" w:cs="宋体" w:hint="eastAsia"/>
          <w:color w:val="000000"/>
          <w:sz w:val="20"/>
          <w:szCs w:val="20"/>
          <w:shd w:val="clear" w:color="auto" w:fill="FFFFFF"/>
        </w:rPr>
        <w:t>一</w:t>
      </w:r>
      <w:r>
        <w:rPr>
          <w:rFonts w:eastAsia="Times New Roman"/>
          <w:color w:val="000000"/>
          <w:sz w:val="20"/>
          <w:szCs w:val="20"/>
        </w:rPr>
        <w:t xml:space="preserve">Item 7. </w:t>
      </w:r>
      <w:r>
        <w:rPr>
          <w:rFonts w:eastAsia="Times New Roman"/>
          <w:color w:val="000000"/>
          <w:sz w:val="20"/>
          <w:szCs w:val="20"/>
          <w:shd w:val="clear" w:color="auto" w:fill="FFFFFF"/>
        </w:rPr>
        <w:t>MD&amp;A</w:t>
      </w:r>
      <w:r>
        <w:rPr>
          <w:rFonts w:ascii="宋体" w:eastAsia="宋体" w:hAnsi="宋体" w:cs="宋体" w:hint="eastAsia"/>
          <w:color w:val="000000"/>
          <w:sz w:val="20"/>
          <w:szCs w:val="20"/>
          <w:shd w:val="clear" w:color="auto" w:fill="FFFFFF"/>
        </w:rPr>
        <w:t>一</w:t>
      </w:r>
      <w:r>
        <w:rPr>
          <w:rFonts w:eastAsia="Times New Roman"/>
          <w:color w:val="000000"/>
          <w:sz w:val="20"/>
          <w:szCs w:val="20"/>
        </w:rPr>
        <w:t>Market Risk Profile</w:t>
      </w:r>
      <w:r>
        <w:rPr>
          <w:rFonts w:eastAsia="Times New Roman"/>
          <w:color w:val="000000"/>
          <w:sz w:val="20"/>
          <w:szCs w:val="20"/>
          <w:shd w:val="clear" w:color="auto" w:fill="FFFFFF"/>
        </w:rPr>
        <w:t>” for additional information.</w:t>
      </w:r>
    </w:p>
    <w:p w:rsidR="00000000" w:rsidRDefault="0094004B">
      <w:pPr>
        <w:jc w:val="both"/>
        <w:divId w:val="174998220"/>
        <w:rPr>
          <w:rFonts w:eastAsia="Times New Roman"/>
        </w:rPr>
      </w:pPr>
      <w:r>
        <w:rPr>
          <w:rFonts w:eastAsia="Times New Roman"/>
          <w:b/>
          <w:bCs/>
          <w:i/>
          <w:iCs/>
          <w:color w:val="000000"/>
          <w:sz w:val="20"/>
          <w:szCs w:val="20"/>
          <w:shd w:val="clear" w:color="auto" w:fill="FFFFFF"/>
        </w:rPr>
        <w:t>FDICIA and Prom</w:t>
      </w:r>
      <w:r>
        <w:rPr>
          <w:rFonts w:eastAsia="Times New Roman"/>
          <w:b/>
          <w:bCs/>
          <w:i/>
          <w:iCs/>
          <w:color w:val="000000"/>
          <w:sz w:val="20"/>
          <w:szCs w:val="20"/>
          <w:shd w:val="clear" w:color="auto" w:fill="FFFFFF"/>
        </w:rPr>
        <w:t>pt Corrective Action</w:t>
      </w:r>
    </w:p>
    <w:p w:rsidR="00000000" w:rsidRDefault="0094004B">
      <w:pPr>
        <w:jc w:val="both"/>
        <w:divId w:val="985820930"/>
        <w:rPr>
          <w:rFonts w:eastAsia="Times New Roman"/>
        </w:rPr>
      </w:pPr>
      <w:r>
        <w:rPr>
          <w:rFonts w:eastAsia="Times New Roman"/>
          <w:color w:val="000000"/>
          <w:sz w:val="20"/>
          <w:szCs w:val="20"/>
          <w:shd w:val="clear" w:color="auto" w:fill="FFFFFF"/>
        </w:rPr>
        <w:t>FDICIA requires the Federal Banking Agencies to take PCA for banks that do not meet minimum capital requirements. FDICIA establishes five capital ratio levels: well capitalized; adequately capitalized; undercapitalized; significantly u</w:t>
      </w:r>
      <w:r>
        <w:rPr>
          <w:rFonts w:eastAsia="Times New Roman"/>
          <w:color w:val="000000"/>
          <w:sz w:val="20"/>
          <w:szCs w:val="20"/>
          <w:shd w:val="clear" w:color="auto" w:fill="FFFFFF"/>
        </w:rPr>
        <w:t>ndercapitalized; and critically undercapitalized. The three undercapitalized categories are based upon the amount by which a bank falls below the ratios applicable to an adequately capitalized institution. The capital categories relate to FDICIA’s PCA prov</w:t>
      </w:r>
      <w:r>
        <w:rPr>
          <w:rFonts w:eastAsia="Times New Roman"/>
          <w:color w:val="000000"/>
          <w:sz w:val="20"/>
          <w:szCs w:val="20"/>
          <w:shd w:val="clear" w:color="auto" w:fill="FFFFFF"/>
        </w:rPr>
        <w:t>isions, and such capital categories may not constitute an accurate representation of the Bank’s overall financial condition or prospects.</w:t>
      </w:r>
    </w:p>
    <w:p w:rsidR="00000000" w:rsidRDefault="0094004B">
      <w:pPr>
        <w:jc w:val="both"/>
        <w:divId w:val="1248734024"/>
        <w:rPr>
          <w:rFonts w:eastAsia="Times New Roman"/>
        </w:rPr>
      </w:pPr>
      <w:r>
        <w:rPr>
          <w:rFonts w:eastAsia="Times New Roman"/>
          <w:color w:val="000000"/>
          <w:sz w:val="20"/>
          <w:szCs w:val="20"/>
          <w:shd w:val="clear" w:color="auto" w:fill="FFFFFF"/>
        </w:rPr>
        <w:t>The Basel III Capital Rules updated the PCA framework to reflect new, higher regulatory capital minimums. For an insur</w:t>
      </w:r>
      <w:r>
        <w:rPr>
          <w:rFonts w:eastAsia="Times New Roman"/>
          <w:color w:val="000000"/>
          <w:sz w:val="20"/>
          <w:szCs w:val="20"/>
          <w:shd w:val="clear" w:color="auto" w:fill="FFFFFF"/>
        </w:rPr>
        <w:t>ed depository institution to be well capitalized, it must maintain a total risk-based capital ratio of 10% or more; a Tier 1 capital ratio of 8% or more; a CET1 capital ratio of 6.5% or more; and a leverage ratio of 5% or more. An adequately capitalized de</w:t>
      </w:r>
      <w:r>
        <w:rPr>
          <w:rFonts w:eastAsia="Times New Roman"/>
          <w:color w:val="000000"/>
          <w:sz w:val="20"/>
          <w:szCs w:val="20"/>
          <w:shd w:val="clear" w:color="auto" w:fill="FFFFFF"/>
        </w:rPr>
        <w:t>pository institution must maintain a total risk-based capital ratio of 8% or more; a Tier 1 capital ratio of 6% or more; a CET1 capital ratio of 4.5% or more; a leverage ratio of 4% or more; and, for Category III and certain other institutions, a supplemen</w:t>
      </w:r>
      <w:r>
        <w:rPr>
          <w:rFonts w:eastAsia="Times New Roman"/>
          <w:color w:val="000000"/>
          <w:sz w:val="20"/>
          <w:szCs w:val="20"/>
          <w:shd w:val="clear" w:color="auto" w:fill="FFFFFF"/>
        </w:rPr>
        <w:t>tary leverage ratio of 3% or more. The PCA provisions also authorize the Federal Banking Agencies to reclassify a bank’s capital category or take other action against banks that are determined to be in an unsafe or unsound condition or to have engaged in u</w:t>
      </w:r>
      <w:r>
        <w:rPr>
          <w:rFonts w:eastAsia="Times New Roman"/>
          <w:color w:val="000000"/>
          <w:sz w:val="20"/>
          <w:szCs w:val="20"/>
          <w:shd w:val="clear" w:color="auto" w:fill="FFFFFF"/>
        </w:rPr>
        <w:t>nsafe or unsound banking practices.</w:t>
      </w:r>
    </w:p>
    <w:p w:rsidR="00000000" w:rsidRDefault="0094004B">
      <w:pPr>
        <w:jc w:val="both"/>
        <w:divId w:val="256063073"/>
        <w:rPr>
          <w:rFonts w:eastAsia="Times New Roman"/>
        </w:rPr>
      </w:pPr>
      <w:r>
        <w:rPr>
          <w:rFonts w:eastAsia="Times New Roman"/>
          <w:color w:val="000000"/>
          <w:sz w:val="20"/>
          <w:szCs w:val="20"/>
          <w:shd w:val="clear" w:color="auto" w:fill="FFFFFF"/>
        </w:rPr>
        <w:t>As an additional means to identify problems in the financial management of depository institutions, the Federal Banking Agencies established certain non-capital safety and soundness standards as required by FDICIA. The s</w:t>
      </w:r>
      <w:r>
        <w:rPr>
          <w:rFonts w:eastAsia="Times New Roman"/>
          <w:color w:val="000000"/>
          <w:sz w:val="20"/>
          <w:szCs w:val="20"/>
          <w:shd w:val="clear" w:color="auto" w:fill="FFFFFF"/>
        </w:rPr>
        <w:t>tandards relate generally to operations and management, asset quality, interest rate exposure and executive compensation. The Federal Banking Agencies are authorized to take action against institutions that fail to meet such standards.</w:t>
      </w:r>
    </w:p>
    <w:p w:rsidR="00000000" w:rsidRDefault="0094004B">
      <w:pPr>
        <w:jc w:val="both"/>
        <w:divId w:val="997535121"/>
        <w:rPr>
          <w:rFonts w:eastAsia="Times New Roman"/>
        </w:rPr>
      </w:pPr>
      <w:r>
        <w:rPr>
          <w:rFonts w:eastAsia="Times New Roman"/>
          <w:b/>
          <w:bCs/>
          <w:i/>
          <w:iCs/>
          <w:color w:val="000000"/>
          <w:sz w:val="20"/>
          <w:szCs w:val="20"/>
          <w:shd w:val="clear" w:color="auto" w:fill="FFFFFF"/>
        </w:rPr>
        <w:t>Basel III and United</w:t>
      </w:r>
      <w:r>
        <w:rPr>
          <w:rFonts w:eastAsia="Times New Roman"/>
          <w:b/>
          <w:bCs/>
          <w:i/>
          <w:iCs/>
          <w:color w:val="000000"/>
          <w:sz w:val="20"/>
          <w:szCs w:val="20"/>
          <w:shd w:val="clear" w:color="auto" w:fill="FFFFFF"/>
        </w:rPr>
        <w:t xml:space="preserve"> States Liquidity Rules</w:t>
      </w:r>
    </w:p>
    <w:p w:rsidR="00000000" w:rsidRDefault="0094004B">
      <w:pPr>
        <w:jc w:val="both"/>
        <w:divId w:val="808598186"/>
        <w:rPr>
          <w:rFonts w:eastAsia="Times New Roman"/>
        </w:rPr>
      </w:pPr>
      <w:r>
        <w:rPr>
          <w:rFonts w:eastAsia="Times New Roman"/>
          <w:color w:val="000000"/>
          <w:sz w:val="20"/>
          <w:szCs w:val="20"/>
          <w:shd w:val="clear" w:color="auto" w:fill="FFFFFF"/>
        </w:rPr>
        <w:t>The Basel Committee has published a liquidity framework that includes two standards for liquidity risk supervision. One standard, the liquidity coverage ratio (“LCR”), seeks to promote short-term resilience by requiring organizations to hold sufficient hig</w:t>
      </w:r>
      <w:r>
        <w:rPr>
          <w:rFonts w:eastAsia="Times New Roman"/>
          <w:color w:val="000000"/>
          <w:sz w:val="20"/>
          <w:szCs w:val="20"/>
          <w:shd w:val="clear" w:color="auto" w:fill="FFFFFF"/>
        </w:rPr>
        <w:t xml:space="preserve">h-quality liquid assets (“HQLAs”) to survive a stress scenario lasting for 30 days. The other standard, the net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660742412"/>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660742412"/>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660742412"/>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12</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037" style="width:0;height:1.5pt" o:hralign="center" o:hrstd="t" o:hr="t" fillcolor="#a0a0a0" stroked="f"/>
        </w:pict>
      </w:r>
    </w:p>
    <w:p w:rsidR="00000000" w:rsidRDefault="0094004B">
      <w:pPr>
        <w:jc w:val="both"/>
        <w:divId w:val="189033264"/>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both"/>
        <w:divId w:val="1409380617"/>
        <w:rPr>
          <w:rFonts w:eastAsia="Times New Roman"/>
        </w:rPr>
      </w:pPr>
      <w:r>
        <w:rPr>
          <w:rFonts w:eastAsia="Times New Roman"/>
          <w:color w:val="000000"/>
          <w:sz w:val="20"/>
          <w:szCs w:val="20"/>
          <w:shd w:val="clear" w:color="auto" w:fill="FFFFFF"/>
        </w:rPr>
        <w:t>stable funding ratio (“NSFR”), seeks to promote longer-term resilience by requiring sufficient stable funding over a one-year period based on t</w:t>
      </w:r>
      <w:r>
        <w:rPr>
          <w:rFonts w:eastAsia="Times New Roman"/>
          <w:color w:val="000000"/>
          <w:sz w:val="20"/>
          <w:szCs w:val="20"/>
          <w:shd w:val="clear" w:color="auto" w:fill="FFFFFF"/>
        </w:rPr>
        <w:t>he liquidity characteristics of the organization’s assets and activities.</w:t>
      </w:r>
    </w:p>
    <w:p w:rsidR="00000000" w:rsidRDefault="0094004B">
      <w:pPr>
        <w:jc w:val="both"/>
        <w:divId w:val="578297338"/>
        <w:rPr>
          <w:rFonts w:eastAsia="Times New Roman"/>
        </w:rPr>
      </w:pPr>
      <w:r>
        <w:rPr>
          <w:rFonts w:eastAsia="Times New Roman"/>
          <w:color w:val="000000"/>
          <w:sz w:val="20"/>
          <w:szCs w:val="20"/>
          <w:shd w:val="clear" w:color="auto" w:fill="FFFFFF"/>
        </w:rPr>
        <w:t>The Company and the Bank are subject to the LCR standard as implemented by the Federal Reserve and OCC (the “LCR Rule”). The LCR Rule requires each of the Company and the Bank to hol</w:t>
      </w:r>
      <w:r>
        <w:rPr>
          <w:rFonts w:eastAsia="Times New Roman"/>
          <w:color w:val="000000"/>
          <w:sz w:val="20"/>
          <w:szCs w:val="20"/>
          <w:shd w:val="clear" w:color="auto" w:fill="FFFFFF"/>
        </w:rPr>
        <w:t>d an amount of eligible HQLA that equals or exceeds 100% of its respective projected adjusted net cash outflows over a 30-day period, each as calculated in accordance with the LCR Rule. The LCR Rule requires each of the Company and the Bank to calculate it</w:t>
      </w:r>
      <w:r>
        <w:rPr>
          <w:rFonts w:eastAsia="Times New Roman"/>
          <w:color w:val="000000"/>
          <w:sz w:val="20"/>
          <w:szCs w:val="20"/>
          <w:shd w:val="clear" w:color="auto" w:fill="FFFFFF"/>
        </w:rPr>
        <w:t>s respective LCR daily. In addition, the Company is required to make quarterly public disclosures of its LCR and certain related quantitative liquidity metrics, along with a qualitative discussion of its LCR.</w:t>
      </w:r>
    </w:p>
    <w:p w:rsidR="00000000" w:rsidRDefault="0094004B">
      <w:pPr>
        <w:jc w:val="both"/>
        <w:divId w:val="226889866"/>
        <w:rPr>
          <w:rFonts w:eastAsia="Times New Roman"/>
        </w:rPr>
      </w:pPr>
      <w:r>
        <w:rPr>
          <w:rFonts w:eastAsia="Times New Roman"/>
          <w:color w:val="000000"/>
          <w:sz w:val="20"/>
          <w:szCs w:val="20"/>
          <w:shd w:val="clear" w:color="auto" w:fill="FFFFFF"/>
        </w:rPr>
        <w:t>As a Category III institution with less than $7</w:t>
      </w:r>
      <w:r>
        <w:rPr>
          <w:rFonts w:eastAsia="Times New Roman"/>
          <w:color w:val="000000"/>
          <w:sz w:val="20"/>
          <w:szCs w:val="20"/>
          <w:shd w:val="clear" w:color="auto" w:fill="FFFFFF"/>
        </w:rPr>
        <w:t>5 billion in weighted average short-term wholesale funding, the Company’s and the Bank’s total net cash outflows are multiplied by an outflow adjustment percentage of 85%. Although the Bank may hold more HQLA than it needs to meet its LCR requirements, the</w:t>
      </w:r>
      <w:r>
        <w:rPr>
          <w:rFonts w:eastAsia="Times New Roman"/>
          <w:color w:val="000000"/>
          <w:sz w:val="20"/>
          <w:szCs w:val="20"/>
          <w:shd w:val="clear" w:color="auto" w:fill="FFFFFF"/>
        </w:rPr>
        <w:t xml:space="preserve"> LCR Rule restricts the amount of such excess HQLA held at the Bank (referred to as “Trapped Liquidity”) that can be included in the Company’s HQLA amount. Because we typically manage the Bank’s LCR to levels well above 100%, the result is additional Trapp</w:t>
      </w:r>
      <w:r>
        <w:rPr>
          <w:rFonts w:eastAsia="Times New Roman"/>
          <w:color w:val="000000"/>
          <w:sz w:val="20"/>
          <w:szCs w:val="20"/>
          <w:shd w:val="clear" w:color="auto" w:fill="FFFFFF"/>
        </w:rPr>
        <w:t>ed Liquidity as the Bank’s net cash outflows are reduced by the outflow adjustment percentage of 85%.</w:t>
      </w:r>
    </w:p>
    <w:p w:rsidR="00000000" w:rsidRDefault="0094004B">
      <w:pPr>
        <w:jc w:val="both"/>
        <w:divId w:val="2037653287"/>
        <w:rPr>
          <w:rFonts w:eastAsia="Times New Roman"/>
        </w:rPr>
      </w:pPr>
      <w:r>
        <w:rPr>
          <w:rFonts w:eastAsia="Times New Roman"/>
          <w:color w:val="000000"/>
          <w:sz w:val="20"/>
          <w:szCs w:val="20"/>
          <w:shd w:val="clear" w:color="auto" w:fill="FFFFFF"/>
        </w:rPr>
        <w:t>The NSFR rule requires the Company and the Bank to maintain an amount of available stable funding, which is a weighted measure of a company’s funding sour</w:t>
      </w:r>
      <w:r>
        <w:rPr>
          <w:rFonts w:eastAsia="Times New Roman"/>
          <w:color w:val="000000"/>
          <w:sz w:val="20"/>
          <w:szCs w:val="20"/>
          <w:shd w:val="clear" w:color="auto" w:fill="FFFFFF"/>
        </w:rPr>
        <w:t>ces over a one-year time horizon, calculated by applying standardized weightings to equity and liabilities based on their expected stability, that is no less than a specified percentage of its required stable funding, which is calculated by applying standa</w:t>
      </w:r>
      <w:r>
        <w:rPr>
          <w:rFonts w:eastAsia="Times New Roman"/>
          <w:color w:val="000000"/>
          <w:sz w:val="20"/>
          <w:szCs w:val="20"/>
          <w:shd w:val="clear" w:color="auto" w:fill="FFFFFF"/>
        </w:rPr>
        <w:t xml:space="preserve">rdized weightings to assets, derivatives exposures and certain other items based on their liquidity characteristics. As a Category III institution, the Company and the Bank are each required to maintain available stable funding in an amount at least equal </w:t>
      </w:r>
      <w:r>
        <w:rPr>
          <w:rFonts w:eastAsia="Times New Roman"/>
          <w:color w:val="000000"/>
          <w:sz w:val="20"/>
          <w:szCs w:val="20"/>
          <w:shd w:val="clear" w:color="auto" w:fill="FFFFFF"/>
        </w:rPr>
        <w:t>to 85% of its required stable funding. The NSFR rule includes a semi-annual public disclosure requirement, with the first disclosure due 45 days after the end of the second quarter of 2023.</w:t>
      </w:r>
    </w:p>
    <w:p w:rsidR="00000000" w:rsidRDefault="0094004B">
      <w:pPr>
        <w:jc w:val="both"/>
        <w:divId w:val="1054423497"/>
        <w:rPr>
          <w:rFonts w:eastAsia="Times New Roman"/>
        </w:rPr>
      </w:pPr>
      <w:r>
        <w:rPr>
          <w:rFonts w:eastAsia="Times New Roman"/>
          <w:b/>
          <w:bCs/>
          <w:color w:val="000000"/>
          <w:sz w:val="20"/>
          <w:szCs w:val="20"/>
          <w:shd w:val="clear" w:color="auto" w:fill="FFFFFF"/>
        </w:rPr>
        <w:t>Enhanced Prudential Standards and Other Related Requirements</w:t>
      </w:r>
    </w:p>
    <w:p w:rsidR="00000000" w:rsidRDefault="0094004B">
      <w:pPr>
        <w:jc w:val="both"/>
        <w:divId w:val="1859389449"/>
        <w:rPr>
          <w:rFonts w:eastAsia="Times New Roman"/>
        </w:rPr>
      </w:pPr>
      <w:r>
        <w:rPr>
          <w:rFonts w:eastAsia="Times New Roman"/>
          <w:color w:val="000000"/>
          <w:sz w:val="20"/>
          <w:szCs w:val="20"/>
          <w:shd w:val="clear" w:color="auto" w:fill="FFFFFF"/>
        </w:rPr>
        <w:t>We ar</w:t>
      </w:r>
      <w:r>
        <w:rPr>
          <w:rFonts w:eastAsia="Times New Roman"/>
          <w:color w:val="000000"/>
          <w:sz w:val="20"/>
          <w:szCs w:val="20"/>
          <w:shd w:val="clear" w:color="auto" w:fill="FFFFFF"/>
        </w:rPr>
        <w:t>e subject to certain enhanced prudential standards under the Dodd-Frank Act, as amended by the Economic Growth, Regulatory Relief, and Consumer Protection Act (“EGRRCPA”) and implemented by various regulations issued by the Federal Banking Agencies. The Fi</w:t>
      </w:r>
      <w:r>
        <w:rPr>
          <w:rFonts w:eastAsia="Times New Roman"/>
          <w:color w:val="000000"/>
          <w:sz w:val="20"/>
          <w:szCs w:val="20"/>
          <w:shd w:val="clear" w:color="auto" w:fill="FFFFFF"/>
        </w:rPr>
        <w:t>nancial Stability Oversight Council (“FSOC”) may also issue recommendations to the Federal Reserve or other primary financial regulatory agencies to apply new or enhanced standards to certain financial activities or practices.</w:t>
      </w:r>
    </w:p>
    <w:p w:rsidR="00000000" w:rsidRDefault="0094004B">
      <w:pPr>
        <w:jc w:val="both"/>
        <w:divId w:val="986738232"/>
        <w:rPr>
          <w:rFonts w:eastAsia="Times New Roman"/>
        </w:rPr>
      </w:pPr>
      <w:r>
        <w:rPr>
          <w:rFonts w:eastAsia="Times New Roman"/>
          <w:color w:val="000000"/>
          <w:sz w:val="20"/>
          <w:szCs w:val="20"/>
          <w:shd w:val="clear" w:color="auto" w:fill="FFFFFF"/>
        </w:rPr>
        <w:t>As part of the enhanced prude</w:t>
      </w:r>
      <w:r>
        <w:rPr>
          <w:rFonts w:eastAsia="Times New Roman"/>
          <w:color w:val="000000"/>
          <w:sz w:val="20"/>
          <w:szCs w:val="20"/>
          <w:shd w:val="clear" w:color="auto" w:fill="FFFFFF"/>
        </w:rPr>
        <w:t xml:space="preserve">ntial standards, the Company is required to implement resolution planning for orderly resolution in the event it faces material financial distress or failure. The FDIC issued similar rules regarding resolution planning applicable to the Bank. In addition, </w:t>
      </w:r>
      <w:r>
        <w:rPr>
          <w:rFonts w:eastAsia="Times New Roman"/>
          <w:color w:val="000000"/>
          <w:sz w:val="20"/>
          <w:szCs w:val="20"/>
          <w:shd w:val="clear" w:color="auto" w:fill="FFFFFF"/>
        </w:rPr>
        <w:t>the OCC has issued rules requiring banks with assets of $250 billion or more to develop recovery plans detailing the actions they would take to remain a going concern when they experience considerable financial or operational stress, but have not deteriora</w:t>
      </w:r>
      <w:r>
        <w:rPr>
          <w:rFonts w:eastAsia="Times New Roman"/>
          <w:color w:val="000000"/>
          <w:sz w:val="20"/>
          <w:szCs w:val="20"/>
          <w:shd w:val="clear" w:color="auto" w:fill="FFFFFF"/>
        </w:rPr>
        <w:t>ted to the point that resolution is imminent.</w:t>
      </w:r>
    </w:p>
    <w:p w:rsidR="00000000" w:rsidRDefault="0094004B">
      <w:pPr>
        <w:jc w:val="both"/>
        <w:divId w:val="290945032"/>
        <w:rPr>
          <w:rFonts w:eastAsia="Times New Roman"/>
        </w:rPr>
      </w:pPr>
      <w:r>
        <w:rPr>
          <w:rFonts w:eastAsia="Times New Roman"/>
          <w:color w:val="000000"/>
          <w:sz w:val="20"/>
          <w:szCs w:val="20"/>
          <w:shd w:val="clear" w:color="auto" w:fill="FFFFFF"/>
        </w:rPr>
        <w:t xml:space="preserve">The enhanced prudential standards also include supervisory and company-run stress testing requirements (also known as the “DFAST stress testing requirements”). In particular, the Federal Reserve is required to </w:t>
      </w:r>
      <w:r>
        <w:rPr>
          <w:rFonts w:eastAsia="Times New Roman"/>
          <w:color w:val="000000"/>
          <w:sz w:val="20"/>
          <w:szCs w:val="20"/>
          <w:shd w:val="clear" w:color="auto" w:fill="FFFFFF"/>
        </w:rPr>
        <w:t>conduct annual stress tests on certain covered companies, including us, to ensure that the covered companies have sufficient capital to absorb losses and continue operations during adverse economic conditions, as well as to determine the Company’s stress c</w:t>
      </w:r>
      <w:r>
        <w:rPr>
          <w:rFonts w:eastAsia="Times New Roman"/>
          <w:color w:val="000000"/>
          <w:sz w:val="20"/>
          <w:szCs w:val="20"/>
          <w:shd w:val="clear" w:color="auto" w:fill="FFFFFF"/>
        </w:rPr>
        <w:t>apital buffer requirement as described above. As a Category III institution, we are also required to conduct our own stress tests and publish the results of such tests on our website or other public forum. The Company must disclose the results of its compa</w:t>
      </w:r>
      <w:r>
        <w:rPr>
          <w:rFonts w:eastAsia="Times New Roman"/>
          <w:color w:val="000000"/>
          <w:sz w:val="20"/>
          <w:szCs w:val="20"/>
          <w:shd w:val="clear" w:color="auto" w:fill="FFFFFF"/>
        </w:rPr>
        <w:t>ny-run stress test on a biennial basis. The OCC has adopted a similar stress test rule requiring banks with at least $250 billion in assets, including the Bank, to conduct their own company-run stress tests. Under that OCC rule, the Bank must also disclose</w:t>
      </w:r>
      <w:r>
        <w:rPr>
          <w:rFonts w:eastAsia="Times New Roman"/>
          <w:color w:val="000000"/>
          <w:sz w:val="20"/>
          <w:szCs w:val="20"/>
          <w:shd w:val="clear" w:color="auto" w:fill="FFFFFF"/>
        </w:rPr>
        <w:t xml:space="preserve"> the results of its stress test on a biennial basis.</w:t>
      </w:r>
    </w:p>
    <w:p w:rsidR="00000000" w:rsidRDefault="0094004B">
      <w:pPr>
        <w:jc w:val="both"/>
        <w:divId w:val="1946113092"/>
        <w:rPr>
          <w:rFonts w:eastAsia="Times New Roman"/>
        </w:rPr>
      </w:pPr>
      <w:r>
        <w:rPr>
          <w:rFonts w:eastAsia="Times New Roman"/>
          <w:color w:val="000000"/>
          <w:sz w:val="20"/>
          <w:szCs w:val="20"/>
          <w:shd w:val="clear" w:color="auto" w:fill="FFFFFF"/>
        </w:rPr>
        <w:t>In addition, the Company is required to meet liquidity risk management standards, conduct internal liquidity stress tests, and maintain a 30-day buffer of highly liquid assets, in each case, consistent w</w:t>
      </w:r>
      <w:r>
        <w:rPr>
          <w:rFonts w:eastAsia="Times New Roman"/>
          <w:color w:val="000000"/>
          <w:sz w:val="20"/>
          <w:szCs w:val="20"/>
          <w:shd w:val="clear" w:color="auto" w:fill="FFFFFF"/>
        </w:rPr>
        <w:t>ith the requirements of the enhanced prudential standards. These requirements are in addition to the LCR and NSFR rules, discussed above in “Basel III and United States Liquidity Rules.” The enhanced prudential standards also require that the Company compl</w:t>
      </w:r>
      <w:r>
        <w:rPr>
          <w:rFonts w:eastAsia="Times New Roman"/>
          <w:color w:val="000000"/>
          <w:sz w:val="20"/>
          <w:szCs w:val="20"/>
          <w:shd w:val="clear" w:color="auto" w:fill="FFFFFF"/>
        </w:rPr>
        <w:t>y with, and hold capital commensurate with, the requirements of, any regulations adopted by the Federal Reserve relating to capital planning and stress tests. Stress testing and capital planning regulations are discussed further below under “Dividends, Sto</w:t>
      </w:r>
      <w:r>
        <w:rPr>
          <w:rFonts w:eastAsia="Times New Roman"/>
          <w:color w:val="000000"/>
          <w:sz w:val="20"/>
          <w:szCs w:val="20"/>
          <w:shd w:val="clear" w:color="auto" w:fill="FFFFFF"/>
        </w:rPr>
        <w:t>ck Repurchases and Transfers of Funds.” Finally, the Company is also required to establish and maintain an enterprise-wide Risk Management Framework (“Framework”) that includes a risk committee and a chief risk officer.</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71239437"/>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71239437"/>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71239437"/>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13</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038" style="width:0;height:1.5pt" o:hralign="center" o:hrstd="t" o:hr="t" fillcolor="#a0a0a0" stroked="f"/>
        </w:pict>
      </w:r>
    </w:p>
    <w:p w:rsidR="00000000" w:rsidRDefault="0094004B">
      <w:pPr>
        <w:jc w:val="both"/>
        <w:divId w:val="119228223"/>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both"/>
        <w:divId w:val="1086615627"/>
        <w:rPr>
          <w:rFonts w:eastAsia="Times New Roman"/>
        </w:rPr>
      </w:pPr>
      <w:r>
        <w:rPr>
          <w:rFonts w:eastAsia="Times New Roman"/>
          <w:color w:val="000000"/>
          <w:sz w:val="20"/>
          <w:szCs w:val="20"/>
          <w:shd w:val="clear" w:color="auto" w:fill="FFFFFF"/>
        </w:rPr>
        <w:t>Although not a requirement of the Dodd-Frank Act, the OCC established regulatory guidelines (“Heightened Standards Guidelines”) that apply heightened standards to the governance and risk management practices of large institutions subject to its supervision</w:t>
      </w:r>
      <w:r>
        <w:rPr>
          <w:rFonts w:eastAsia="Times New Roman"/>
          <w:color w:val="000000"/>
          <w:sz w:val="20"/>
          <w:szCs w:val="20"/>
          <w:shd w:val="clear" w:color="auto" w:fill="FFFFFF"/>
        </w:rPr>
        <w:t>, including the Bank. The Heightened Standards Guidelines establish standards for the development and implementation by the Bank of a risk governance framework.</w:t>
      </w:r>
    </w:p>
    <w:p w:rsidR="00000000" w:rsidRDefault="0094004B">
      <w:pPr>
        <w:jc w:val="both"/>
        <w:divId w:val="208735421"/>
        <w:rPr>
          <w:rFonts w:eastAsia="Times New Roman"/>
        </w:rPr>
      </w:pPr>
      <w:r>
        <w:rPr>
          <w:rFonts w:eastAsia="Times New Roman"/>
          <w:b/>
          <w:bCs/>
          <w:color w:val="000000"/>
          <w:sz w:val="20"/>
          <w:szCs w:val="20"/>
          <w:shd w:val="clear" w:color="auto" w:fill="FFFFFF"/>
        </w:rPr>
        <w:t>Dividends, Stock Repurchases and Transfers of Funds</w:t>
      </w:r>
    </w:p>
    <w:p w:rsidR="00000000" w:rsidRDefault="0094004B">
      <w:pPr>
        <w:jc w:val="both"/>
        <w:divId w:val="734160155"/>
        <w:rPr>
          <w:rFonts w:eastAsia="Times New Roman"/>
        </w:rPr>
      </w:pPr>
      <w:r>
        <w:rPr>
          <w:rFonts w:eastAsia="Times New Roman"/>
          <w:color w:val="000000"/>
          <w:sz w:val="20"/>
          <w:szCs w:val="20"/>
          <w:shd w:val="clear" w:color="auto" w:fill="FFFFFF"/>
        </w:rPr>
        <w:t>Under the Federal Reserve’s capital plannin</w:t>
      </w:r>
      <w:r>
        <w:rPr>
          <w:rFonts w:eastAsia="Times New Roman"/>
          <w:color w:val="000000"/>
          <w:sz w:val="20"/>
          <w:szCs w:val="20"/>
          <w:shd w:val="clear" w:color="auto" w:fill="FFFFFF"/>
        </w:rPr>
        <w:t>g rules and related supervisory process (commonly referred to as Comprehensive Capital Analysis and Review or “CCAR” requirements), a “covered BHC,” such as the Company, must submit a capital plan to the Federal Reserve on an annual basis that contains a d</w:t>
      </w:r>
      <w:r>
        <w:rPr>
          <w:rFonts w:eastAsia="Times New Roman"/>
          <w:color w:val="000000"/>
          <w:sz w:val="20"/>
          <w:szCs w:val="20"/>
          <w:shd w:val="clear" w:color="auto" w:fill="FFFFFF"/>
        </w:rPr>
        <w:t>escription of all planned capital actions, including dividends or stock repurchases, over a nine-quarter planning horizon beginning with the first quarter of the calendar year the capital plan is submitted (“CCAR cycle”).</w:t>
      </w:r>
    </w:p>
    <w:p w:rsidR="00000000" w:rsidRDefault="0094004B">
      <w:pPr>
        <w:jc w:val="both"/>
        <w:divId w:val="1837064125"/>
        <w:rPr>
          <w:rFonts w:eastAsia="Times New Roman"/>
        </w:rPr>
      </w:pPr>
      <w:r>
        <w:rPr>
          <w:rFonts w:eastAsia="Times New Roman"/>
          <w:color w:val="000000"/>
          <w:sz w:val="20"/>
          <w:szCs w:val="20"/>
          <w:shd w:val="clear" w:color="auto" w:fill="FFFFFF"/>
        </w:rPr>
        <w:t>The DFAST stress testing requireme</w:t>
      </w:r>
      <w:r>
        <w:rPr>
          <w:rFonts w:eastAsia="Times New Roman"/>
          <w:color w:val="000000"/>
          <w:sz w:val="20"/>
          <w:szCs w:val="20"/>
          <w:shd w:val="clear" w:color="auto" w:fill="FFFFFF"/>
        </w:rPr>
        <w:t>nts, described above in “Enhanced Prudential Standards and Other Related Requirements,” is a complementary exercise to CCAR. It is a forward-looking exercise conducted by the Federal Reserve and each covered company to help assess whether a company has suf</w:t>
      </w:r>
      <w:r>
        <w:rPr>
          <w:rFonts w:eastAsia="Times New Roman"/>
          <w:color w:val="000000"/>
          <w:sz w:val="20"/>
          <w:szCs w:val="20"/>
          <w:shd w:val="clear" w:color="auto" w:fill="FFFFFF"/>
        </w:rPr>
        <w:t>ficient capital to absorb losses and continue operations during adverse economic conditions.</w:t>
      </w:r>
    </w:p>
    <w:p w:rsidR="00000000" w:rsidRDefault="0094004B">
      <w:pPr>
        <w:jc w:val="both"/>
        <w:divId w:val="129827835"/>
        <w:rPr>
          <w:rFonts w:eastAsia="Times New Roman"/>
        </w:rPr>
      </w:pPr>
      <w:r>
        <w:rPr>
          <w:rFonts w:eastAsia="Times New Roman"/>
          <w:color w:val="000000"/>
          <w:sz w:val="20"/>
          <w:szCs w:val="20"/>
          <w:shd w:val="clear" w:color="auto" w:fill="FFFFFF"/>
        </w:rPr>
        <w:t>Pursuant to the capital planning rules, the Company must file its capital plan with the Federal Reserve by April 5 of each year (unless the Federal Reserve designates a later date), using data as of the end of the prior calendar year. The Federal Reserve w</w:t>
      </w:r>
      <w:r>
        <w:rPr>
          <w:rFonts w:eastAsia="Times New Roman"/>
          <w:color w:val="000000"/>
          <w:sz w:val="20"/>
          <w:szCs w:val="20"/>
          <w:shd w:val="clear" w:color="auto" w:fill="FFFFFF"/>
        </w:rPr>
        <w:t>ill release the results of the supervisory stress test and notify the Company of its stress capital buffer requirement by June 30 of that year. The Company will have two business days from receipt of its stress capital buffer requirement to make any necess</w:t>
      </w:r>
      <w:r>
        <w:rPr>
          <w:rFonts w:eastAsia="Times New Roman"/>
          <w:color w:val="000000"/>
          <w:sz w:val="20"/>
          <w:szCs w:val="20"/>
          <w:shd w:val="clear" w:color="auto" w:fill="FFFFFF"/>
        </w:rPr>
        <w:t>ary adjustments to its planned capital distributions. The Federal Reserve will then finalize the stress capital buffer requirement for the Company and confirm the Company’s planned capital distributions by August 31 of that year. The Company’s final stress</w:t>
      </w:r>
      <w:r>
        <w:rPr>
          <w:rFonts w:eastAsia="Times New Roman"/>
          <w:color w:val="000000"/>
          <w:sz w:val="20"/>
          <w:szCs w:val="20"/>
          <w:shd w:val="clear" w:color="auto" w:fill="FFFFFF"/>
        </w:rPr>
        <w:t xml:space="preserve"> capital buffer requirement will be effective from the fourth quarter of the year the capital plan is submitted through the third quarter of the following year. The Company may make the planned capital distributions confirmed by the Federal Reserve. In add</w:t>
      </w:r>
      <w:r>
        <w:rPr>
          <w:rFonts w:eastAsia="Times New Roman"/>
          <w:color w:val="000000"/>
          <w:sz w:val="20"/>
          <w:szCs w:val="20"/>
          <w:shd w:val="clear" w:color="auto" w:fill="FFFFFF"/>
        </w:rPr>
        <w:t>ition, under the Stress Capital Buffer Rule, the Company is no longer required to seek prior approval of the Federal Reserve to make capital distributions in excess of those included in its capital plan so long as the Company is otherwise in compliance wit</w:t>
      </w:r>
      <w:r>
        <w:rPr>
          <w:rFonts w:eastAsia="Times New Roman"/>
          <w:color w:val="000000"/>
          <w:sz w:val="20"/>
          <w:szCs w:val="20"/>
          <w:shd w:val="clear" w:color="auto" w:fill="FFFFFF"/>
        </w:rPr>
        <w:t>h the capital rule’s automatic limitations on capital distributions.</w:t>
      </w:r>
    </w:p>
    <w:p w:rsidR="00000000" w:rsidRDefault="0094004B">
      <w:pPr>
        <w:jc w:val="both"/>
        <w:divId w:val="1241409788"/>
        <w:rPr>
          <w:rFonts w:eastAsia="Times New Roman"/>
        </w:rPr>
      </w:pPr>
      <w:r>
        <w:rPr>
          <w:rFonts w:eastAsia="Times New Roman"/>
          <w:color w:val="000000"/>
          <w:sz w:val="20"/>
          <w:szCs w:val="20"/>
          <w:shd w:val="clear" w:color="auto" w:fill="FFFFFF"/>
        </w:rPr>
        <w:t xml:space="preserve">The Federal Reserve has announced that it would maintain its pre-CECL framework for calculating allowances on loans in the supervisory stress test through the 2023 cycle until the impact </w:t>
      </w:r>
      <w:r>
        <w:rPr>
          <w:rFonts w:eastAsia="Times New Roman"/>
          <w:color w:val="000000"/>
          <w:sz w:val="20"/>
          <w:szCs w:val="20"/>
          <w:shd w:val="clear" w:color="auto" w:fill="FFFFFF"/>
        </w:rPr>
        <w:t>of CECL is better known and understood.</w:t>
      </w:r>
    </w:p>
    <w:p w:rsidR="00000000" w:rsidRDefault="0094004B">
      <w:pPr>
        <w:jc w:val="both"/>
        <w:divId w:val="1033265341"/>
        <w:rPr>
          <w:rFonts w:eastAsia="Times New Roman"/>
        </w:rPr>
      </w:pPr>
      <w:r>
        <w:rPr>
          <w:rFonts w:eastAsia="Times New Roman"/>
          <w:color w:val="000000"/>
          <w:sz w:val="20"/>
          <w:szCs w:val="20"/>
          <w:shd w:val="clear" w:color="auto" w:fill="FFFFFF"/>
        </w:rPr>
        <w:t>Dividends from the Company’s direct and indirect subsidiaries represent a major source of the funds we use to pay dividends on our capital stock, make payments on our corporate debt securities and meet our other obli</w:t>
      </w:r>
      <w:r>
        <w:rPr>
          <w:rFonts w:eastAsia="Times New Roman"/>
          <w:color w:val="000000"/>
          <w:sz w:val="20"/>
          <w:szCs w:val="20"/>
          <w:shd w:val="clear" w:color="auto" w:fill="FFFFFF"/>
        </w:rPr>
        <w:t>gations. There are various federal law limitations on the extent to which the Bank can finance or otherwise supply funds to the Company through dividends and loans. These limitations include minimum regulatory capital requirements, federal banking law requ</w:t>
      </w:r>
      <w:r>
        <w:rPr>
          <w:rFonts w:eastAsia="Times New Roman"/>
          <w:color w:val="000000"/>
          <w:sz w:val="20"/>
          <w:szCs w:val="20"/>
          <w:shd w:val="clear" w:color="auto" w:fill="FFFFFF"/>
        </w:rPr>
        <w:t>irements concerning the payment of dividends out of net profits or surplus, provisions of Sections 23A and 23B of the Federal Reserve Act and Regulation W governing transactions between an insured depository institution and its affiliates, as well as gener</w:t>
      </w:r>
      <w:r>
        <w:rPr>
          <w:rFonts w:eastAsia="Times New Roman"/>
          <w:color w:val="000000"/>
          <w:sz w:val="20"/>
          <w:szCs w:val="20"/>
          <w:shd w:val="clear" w:color="auto" w:fill="FFFFFF"/>
        </w:rPr>
        <w:t xml:space="preserve">al federal regulatory oversight to prevent unsafe or unsound practices. In general, federal and applicable state banking laws prohibit insured depository institutions, such as the Bank, from making dividend distributions without first obtaining regulatory </w:t>
      </w:r>
      <w:r>
        <w:rPr>
          <w:rFonts w:eastAsia="Times New Roman"/>
          <w:color w:val="000000"/>
          <w:sz w:val="20"/>
          <w:szCs w:val="20"/>
          <w:shd w:val="clear" w:color="auto" w:fill="FFFFFF"/>
        </w:rPr>
        <w:t>approval if such distributions are not paid out of available earnings or would cause the institution to fail to meet applicable capital adequacy standards.</w:t>
      </w:r>
    </w:p>
    <w:p w:rsidR="00000000" w:rsidRDefault="0094004B">
      <w:pPr>
        <w:jc w:val="both"/>
        <w:divId w:val="1684697675"/>
        <w:rPr>
          <w:rFonts w:eastAsia="Times New Roman"/>
        </w:rPr>
      </w:pPr>
      <w:r>
        <w:rPr>
          <w:rFonts w:eastAsia="Times New Roman"/>
          <w:b/>
          <w:bCs/>
          <w:color w:val="000000"/>
          <w:sz w:val="20"/>
          <w:szCs w:val="20"/>
          <w:shd w:val="clear" w:color="auto" w:fill="FFFFFF"/>
        </w:rPr>
        <w:t>Investment in the Company and the Bank</w:t>
      </w:r>
    </w:p>
    <w:p w:rsidR="00000000" w:rsidRDefault="0094004B">
      <w:pPr>
        <w:jc w:val="both"/>
        <w:divId w:val="1373075376"/>
        <w:rPr>
          <w:rFonts w:eastAsia="Times New Roman"/>
        </w:rPr>
      </w:pPr>
      <w:r>
        <w:rPr>
          <w:rFonts w:eastAsia="Times New Roman"/>
          <w:color w:val="000000"/>
          <w:sz w:val="20"/>
          <w:szCs w:val="20"/>
          <w:shd w:val="clear" w:color="auto" w:fill="FFFFFF"/>
        </w:rPr>
        <w:t>Certain acquisitions of our capital stock may be subject to r</w:t>
      </w:r>
      <w:r>
        <w:rPr>
          <w:rFonts w:eastAsia="Times New Roman"/>
          <w:color w:val="000000"/>
          <w:sz w:val="20"/>
          <w:szCs w:val="20"/>
          <w:shd w:val="clear" w:color="auto" w:fill="FFFFFF"/>
        </w:rPr>
        <w:t>egulatory approval or notice under federal or state law. Investors are responsible for ensuring that they do not, directly or indirectly, acquire shares of our capital stock in excess of the amount that can be acquired without regulatory approval, includin</w:t>
      </w:r>
      <w:r>
        <w:rPr>
          <w:rFonts w:eastAsia="Times New Roman"/>
          <w:color w:val="000000"/>
          <w:sz w:val="20"/>
          <w:szCs w:val="20"/>
          <w:shd w:val="clear" w:color="auto" w:fill="FFFFFF"/>
        </w:rPr>
        <w:t>g under the BHC Act and the Change in Bank Control Act (“CIBC Act”).</w:t>
      </w:r>
    </w:p>
    <w:p w:rsidR="00000000" w:rsidRDefault="0094004B">
      <w:pPr>
        <w:jc w:val="both"/>
        <w:divId w:val="1471632937"/>
        <w:rPr>
          <w:rFonts w:eastAsia="Times New Roman"/>
        </w:rPr>
      </w:pPr>
      <w:r>
        <w:rPr>
          <w:rFonts w:eastAsia="Times New Roman"/>
          <w:color w:val="000000"/>
          <w:sz w:val="20"/>
          <w:szCs w:val="20"/>
          <w:shd w:val="clear" w:color="auto" w:fill="FFFFFF"/>
        </w:rPr>
        <w:t>Federal law and regulations prohibit any person or company from acquiring control of the Company or the Bank without, in most cases, prior written approval of the Federal Reserve or the O</w:t>
      </w:r>
      <w:r>
        <w:rPr>
          <w:rFonts w:eastAsia="Times New Roman"/>
          <w:color w:val="000000"/>
          <w:sz w:val="20"/>
          <w:szCs w:val="20"/>
          <w:shd w:val="clear" w:color="auto" w:fill="FFFFFF"/>
        </w:rPr>
        <w:t>CC, as applicable. Control under the BHC Act exists if, among other things, a person or company acquires more than 25% of any class of our voting stock or otherwise has a controlling influence over us. A rebuttable presumption of control arises under the C</w:t>
      </w:r>
      <w:r>
        <w:rPr>
          <w:rFonts w:eastAsia="Times New Roman"/>
          <w:color w:val="000000"/>
          <w:sz w:val="20"/>
          <w:szCs w:val="20"/>
          <w:shd w:val="clear" w:color="auto" w:fill="FFFFFF"/>
        </w:rPr>
        <w:t>IBC Act for a publicly traded BHC such as ourselves if a person or company acquires more than 10% of any class of our voting stock.</w:t>
      </w:r>
    </w:p>
    <w:p w:rsidR="00000000" w:rsidRDefault="0094004B">
      <w:pPr>
        <w:jc w:val="both"/>
        <w:divId w:val="398016871"/>
        <w:rPr>
          <w:rFonts w:eastAsia="Times New Roman"/>
        </w:rPr>
      </w:pPr>
      <w:r>
        <w:rPr>
          <w:rFonts w:eastAsia="Times New Roman"/>
          <w:color w:val="000000"/>
          <w:sz w:val="20"/>
          <w:szCs w:val="20"/>
          <w:shd w:val="clear" w:color="auto" w:fill="FFFFFF"/>
        </w:rPr>
        <w:t>Additionally, the Bank is a “bank” within the meaning of Chapter 7 of Title 6.2 of the Code of Virginia governing the acquis</w:t>
      </w:r>
      <w:r>
        <w:rPr>
          <w:rFonts w:eastAsia="Times New Roman"/>
          <w:color w:val="000000"/>
          <w:sz w:val="20"/>
          <w:szCs w:val="20"/>
          <w:shd w:val="clear" w:color="auto" w:fill="FFFFFF"/>
        </w:rPr>
        <w:t xml:space="preserve">ition of interests in Virginia financial institutions (“Virginia Financial Institution Holding Company Act”). The Virginia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007561898"/>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007561898"/>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007561898"/>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14</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039" style="width:0;height:1.5pt" o:hralign="center" o:hrstd="t" o:hr="t" fillcolor="#a0a0a0" stroked="f"/>
        </w:pict>
      </w:r>
    </w:p>
    <w:p w:rsidR="00000000" w:rsidRDefault="0094004B">
      <w:pPr>
        <w:jc w:val="both"/>
        <w:divId w:val="1839541084"/>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both"/>
        <w:divId w:val="1060253289"/>
        <w:rPr>
          <w:rFonts w:eastAsia="Times New Roman"/>
        </w:rPr>
      </w:pPr>
      <w:r>
        <w:rPr>
          <w:rFonts w:eastAsia="Times New Roman"/>
          <w:color w:val="000000"/>
          <w:sz w:val="20"/>
          <w:szCs w:val="20"/>
          <w:shd w:val="clear" w:color="auto" w:fill="FFFFFF"/>
        </w:rPr>
        <w:t>Financial Institution Holding Company Act prohibits any person or entity from acquiring, or making any public offer to acquire, control of a Vi</w:t>
      </w:r>
      <w:r>
        <w:rPr>
          <w:rFonts w:eastAsia="Times New Roman"/>
          <w:color w:val="000000"/>
          <w:sz w:val="20"/>
          <w:szCs w:val="20"/>
          <w:shd w:val="clear" w:color="auto" w:fill="FFFFFF"/>
        </w:rPr>
        <w:t>rginia financial institution or its holding company without making application to, and receiving prior approval from, the Virginia Bureau of Financial Institutions.</w:t>
      </w:r>
    </w:p>
    <w:p w:rsidR="00000000" w:rsidRDefault="0094004B">
      <w:pPr>
        <w:jc w:val="both"/>
        <w:divId w:val="437484974"/>
        <w:rPr>
          <w:rFonts w:eastAsia="Times New Roman"/>
        </w:rPr>
      </w:pPr>
      <w:r>
        <w:rPr>
          <w:rFonts w:eastAsia="Times New Roman"/>
          <w:b/>
          <w:bCs/>
          <w:color w:val="000000"/>
          <w:sz w:val="20"/>
          <w:szCs w:val="20"/>
          <w:shd w:val="clear" w:color="auto" w:fill="FFFFFF"/>
        </w:rPr>
        <w:t>Deposit Insurance Assessments</w:t>
      </w:r>
    </w:p>
    <w:p w:rsidR="00000000" w:rsidRDefault="0094004B">
      <w:pPr>
        <w:jc w:val="both"/>
        <w:divId w:val="833496474"/>
        <w:rPr>
          <w:rFonts w:eastAsia="Times New Roman"/>
        </w:rPr>
      </w:pPr>
      <w:r>
        <w:rPr>
          <w:rFonts w:eastAsia="Times New Roman"/>
          <w:color w:val="000000"/>
          <w:sz w:val="20"/>
          <w:szCs w:val="20"/>
          <w:shd w:val="clear" w:color="auto" w:fill="FFFFFF"/>
        </w:rPr>
        <w:t>The Bank, as an insured depository institution, is a member o</w:t>
      </w:r>
      <w:r>
        <w:rPr>
          <w:rFonts w:eastAsia="Times New Roman"/>
          <w:color w:val="000000"/>
          <w:sz w:val="20"/>
          <w:szCs w:val="20"/>
          <w:shd w:val="clear" w:color="auto" w:fill="FFFFFF"/>
        </w:rPr>
        <w:t>f the Deposit Insurance Fund (“DIF”) maintained by the FDIC. Through the DIF, the FDIC insures the deposits of insured depository institutions up to prescribed limits for each depositor. The FDIC sets a Designated Reserve Ratio (“DRR”) for the DIF. To main</w:t>
      </w:r>
      <w:r>
        <w:rPr>
          <w:rFonts w:eastAsia="Times New Roman"/>
          <w:color w:val="000000"/>
          <w:sz w:val="20"/>
          <w:szCs w:val="20"/>
          <w:shd w:val="clear" w:color="auto" w:fill="FFFFFF"/>
        </w:rPr>
        <w:t>tain the DIF, member institutions may be assessed an insurance premium, and the FDIC may take action to increase insurance premiums if the DRR falls below its required level.</w:t>
      </w:r>
    </w:p>
    <w:p w:rsidR="00000000" w:rsidRDefault="0094004B">
      <w:pPr>
        <w:jc w:val="both"/>
        <w:divId w:val="87584084"/>
        <w:rPr>
          <w:rFonts w:eastAsia="Times New Roman"/>
        </w:rPr>
      </w:pPr>
      <w:r>
        <w:rPr>
          <w:rFonts w:eastAsia="Times New Roman"/>
          <w:color w:val="000000"/>
          <w:sz w:val="20"/>
          <w:szCs w:val="20"/>
          <w:shd w:val="clear" w:color="auto" w:fill="FFFFFF"/>
        </w:rPr>
        <w:t>As of June 30, 2020, the DIF reserve ratio fell to 1.30 percent. The FDIC, as req</w:t>
      </w:r>
      <w:r>
        <w:rPr>
          <w:rFonts w:eastAsia="Times New Roman"/>
          <w:color w:val="000000"/>
          <w:sz w:val="20"/>
          <w:szCs w:val="20"/>
          <w:shd w:val="clear" w:color="auto" w:fill="FFFFFF"/>
        </w:rPr>
        <w:t xml:space="preserve">uired under the Federal Deposit Insurance Act, established a plan in September 2020, to restore the DIF reserve ratio to meet or exceed 1.35 percent within eight years. On October 18, 2022, the FDIC finalized a rule that increases the initial base deposit </w:t>
      </w:r>
      <w:r>
        <w:rPr>
          <w:rFonts w:eastAsia="Times New Roman"/>
          <w:color w:val="000000"/>
          <w:sz w:val="20"/>
          <w:szCs w:val="20"/>
          <w:shd w:val="clear" w:color="auto" w:fill="FFFFFF"/>
        </w:rPr>
        <w:t>insurance assessment rate schedules by 2 basis points for all insured depository institutions to improve the likelihood that the DIF reserve ratio reaches 1.35 percent by the statutory deadline of September 30, 2028. The rule took effect on January 1, 2023</w:t>
      </w:r>
      <w:r>
        <w:rPr>
          <w:rFonts w:eastAsia="Times New Roman"/>
          <w:color w:val="000000"/>
          <w:sz w:val="20"/>
          <w:szCs w:val="20"/>
          <w:shd w:val="clear" w:color="auto" w:fill="FFFFFF"/>
        </w:rPr>
        <w:t xml:space="preserve"> and this increase will be reflected in the Bank’s first quarterly assessment in 2023.</w:t>
      </w:r>
    </w:p>
    <w:p w:rsidR="00000000" w:rsidRDefault="0094004B">
      <w:pPr>
        <w:jc w:val="both"/>
        <w:divId w:val="1658991274"/>
        <w:rPr>
          <w:rFonts w:eastAsia="Times New Roman"/>
        </w:rPr>
      </w:pPr>
      <w:r>
        <w:rPr>
          <w:rFonts w:eastAsia="Times New Roman"/>
          <w:b/>
          <w:bCs/>
          <w:color w:val="000000"/>
          <w:sz w:val="20"/>
          <w:szCs w:val="20"/>
          <w:shd w:val="clear" w:color="auto" w:fill="FFFFFF"/>
        </w:rPr>
        <w:t>Source of Strength</w:t>
      </w:r>
    </w:p>
    <w:p w:rsidR="00000000" w:rsidRDefault="0094004B">
      <w:pPr>
        <w:jc w:val="both"/>
        <w:divId w:val="1214120595"/>
        <w:rPr>
          <w:rFonts w:eastAsia="Times New Roman"/>
        </w:rPr>
      </w:pPr>
      <w:r>
        <w:rPr>
          <w:rFonts w:eastAsia="Times New Roman"/>
          <w:color w:val="000000"/>
          <w:sz w:val="20"/>
          <w:szCs w:val="20"/>
          <w:shd w:val="clear" w:color="auto" w:fill="FFFFFF"/>
        </w:rPr>
        <w:t>Federal Reserve rules require a BHC to serve as a source of financial and managerial strength to its subsidiary banks (the so-called “</w:t>
      </w:r>
      <w:r>
        <w:rPr>
          <w:rFonts w:eastAsia="Times New Roman"/>
          <w:color w:val="000000"/>
          <w:sz w:val="20"/>
          <w:szCs w:val="20"/>
          <w:shd w:val="clear" w:color="auto" w:fill="FFFFFF"/>
        </w:rPr>
        <w:t xml:space="preserve">source of strength doctrine”). In addition, the Dodd-Frank Act requires a BHC to serve as a source of financial strength to its subsidiary banks and requires the Federal Banking Agencies to jointly adopt new rules implementing this requirement. Such rules </w:t>
      </w:r>
      <w:r>
        <w:rPr>
          <w:rFonts w:eastAsia="Times New Roman"/>
          <w:color w:val="000000"/>
          <w:sz w:val="20"/>
          <w:szCs w:val="20"/>
          <w:shd w:val="clear" w:color="auto" w:fill="FFFFFF"/>
        </w:rPr>
        <w:t>have not yet been proposed.</w:t>
      </w:r>
    </w:p>
    <w:p w:rsidR="00000000" w:rsidRDefault="0094004B">
      <w:pPr>
        <w:jc w:val="both"/>
        <w:divId w:val="1142966600"/>
        <w:rPr>
          <w:rFonts w:eastAsia="Times New Roman"/>
        </w:rPr>
      </w:pPr>
      <w:r>
        <w:rPr>
          <w:rFonts w:eastAsia="Times New Roman"/>
          <w:b/>
          <w:bCs/>
          <w:color w:val="000000"/>
          <w:sz w:val="20"/>
          <w:szCs w:val="20"/>
          <w:shd w:val="clear" w:color="auto" w:fill="FFFFFF"/>
        </w:rPr>
        <w:t>FDIC Orderly Liquidation Authority</w:t>
      </w:r>
    </w:p>
    <w:p w:rsidR="00000000" w:rsidRDefault="0094004B">
      <w:pPr>
        <w:jc w:val="both"/>
        <w:divId w:val="1710952764"/>
        <w:rPr>
          <w:rFonts w:eastAsia="Times New Roman"/>
        </w:rPr>
      </w:pPr>
      <w:r>
        <w:rPr>
          <w:rFonts w:eastAsia="Times New Roman"/>
          <w:color w:val="000000"/>
          <w:sz w:val="20"/>
          <w:szCs w:val="20"/>
          <w:shd w:val="clear" w:color="auto" w:fill="FFFFFF"/>
        </w:rPr>
        <w:t>The Dodd-Frank Act provides the FDIC with liquidation authority that may be used to liquidate non-bank financial companies and BHCs if the Treasury Secretary, in consultation with the President</w:t>
      </w:r>
      <w:r>
        <w:rPr>
          <w:rFonts w:eastAsia="Times New Roman"/>
          <w:color w:val="000000"/>
          <w:sz w:val="20"/>
          <w:szCs w:val="20"/>
          <w:shd w:val="clear" w:color="auto" w:fill="FFFFFF"/>
        </w:rPr>
        <w:t xml:space="preserve"> and based on the recommendation of the Federal Reserve and other appropriate Federal Banking Agencies, determines that doing so is necessary, among other criteria, to mitigate serious adverse effects on U.S. financial stability. Upon such a determination,</w:t>
      </w:r>
      <w:r>
        <w:rPr>
          <w:rFonts w:eastAsia="Times New Roman"/>
          <w:color w:val="000000"/>
          <w:sz w:val="20"/>
          <w:szCs w:val="20"/>
          <w:shd w:val="clear" w:color="auto" w:fill="FFFFFF"/>
        </w:rPr>
        <w:t xml:space="preserve"> the FDIC would be appointed receiver and must liquidate the company in a way that mitigates significant risks to financial stability and minimizes moral hazard. The costs of a liquidation of the company would be borne by shareholders and unsecured credito</w:t>
      </w:r>
      <w:r>
        <w:rPr>
          <w:rFonts w:eastAsia="Times New Roman"/>
          <w:color w:val="000000"/>
          <w:sz w:val="20"/>
          <w:szCs w:val="20"/>
          <w:shd w:val="clear" w:color="auto" w:fill="FFFFFF"/>
        </w:rPr>
        <w:t xml:space="preserve">rs and then, if necessary, by risk-based assessments on large financial companies. The FDIC has issued rules implementing certain provisions of its liquidation authority and may issue additional rules in the future. </w:t>
      </w:r>
    </w:p>
    <w:p w:rsidR="00000000" w:rsidRDefault="0094004B">
      <w:pPr>
        <w:jc w:val="both"/>
        <w:divId w:val="908077864"/>
        <w:rPr>
          <w:rFonts w:eastAsia="Times New Roman"/>
        </w:rPr>
      </w:pPr>
      <w:r>
        <w:rPr>
          <w:rFonts w:eastAsia="Times New Roman"/>
          <w:b/>
          <w:bCs/>
          <w:color w:val="000000"/>
          <w:sz w:val="20"/>
          <w:szCs w:val="20"/>
          <w:shd w:val="clear" w:color="auto" w:fill="FFFFFF"/>
        </w:rPr>
        <w:t>Climate-related Developments</w:t>
      </w:r>
    </w:p>
    <w:p w:rsidR="00000000" w:rsidRDefault="0094004B">
      <w:pPr>
        <w:jc w:val="both"/>
        <w:divId w:val="957420369"/>
        <w:rPr>
          <w:rFonts w:eastAsia="Times New Roman"/>
        </w:rPr>
      </w:pPr>
      <w:r>
        <w:rPr>
          <w:rFonts w:eastAsia="Times New Roman"/>
          <w:color w:val="000000"/>
          <w:sz w:val="20"/>
          <w:szCs w:val="20"/>
          <w:shd w:val="clear" w:color="auto" w:fill="FFFFFF"/>
        </w:rPr>
        <w:t>Climate ch</w:t>
      </w:r>
      <w:r>
        <w:rPr>
          <w:rFonts w:eastAsia="Times New Roman"/>
          <w:color w:val="000000"/>
          <w:sz w:val="20"/>
          <w:szCs w:val="20"/>
          <w:shd w:val="clear" w:color="auto" w:fill="FFFFFF"/>
        </w:rPr>
        <w:t>ange and the risks it may pose to financial institutions is an area of increased focus by the Federal Banking Agencies as well as federal and state legislative bodies. In the future, new regulations or guidance may be issued, or other regulatory or supervi</w:t>
      </w:r>
      <w:r>
        <w:rPr>
          <w:rFonts w:eastAsia="Times New Roman"/>
          <w:color w:val="000000"/>
          <w:sz w:val="20"/>
          <w:szCs w:val="20"/>
          <w:shd w:val="clear" w:color="auto" w:fill="FFFFFF"/>
        </w:rPr>
        <w:t xml:space="preserve">sory actions may be taken, in this area by the Federal Banking Agencies or other regulatory agencies, or new statutory requirements may be adopted. For example, each of the Federal Banking Agencies has requested feedback on its respective draft principles </w:t>
      </w:r>
      <w:r>
        <w:rPr>
          <w:rFonts w:eastAsia="Times New Roman"/>
          <w:color w:val="000000"/>
          <w:sz w:val="20"/>
          <w:szCs w:val="20"/>
          <w:shd w:val="clear" w:color="auto" w:fill="FFFFFF"/>
        </w:rPr>
        <w:t>designed to support the identification and management of climate-related financial risks at regulated institutions with more than $100 billion in total consolidated assets. The Federal Banking Agencies plan to use this feedback to inform future guidance wi</w:t>
      </w:r>
      <w:r>
        <w:rPr>
          <w:rFonts w:eastAsia="Times New Roman"/>
          <w:color w:val="000000"/>
          <w:sz w:val="20"/>
          <w:szCs w:val="20"/>
          <w:shd w:val="clear" w:color="auto" w:fill="FFFFFF"/>
        </w:rPr>
        <w:t>th respect to climate-related financial risk.</w:t>
      </w:r>
    </w:p>
    <w:p w:rsidR="00000000" w:rsidRDefault="0094004B">
      <w:pPr>
        <w:jc w:val="both"/>
        <w:divId w:val="539243500"/>
        <w:rPr>
          <w:rFonts w:eastAsia="Times New Roman"/>
        </w:rPr>
      </w:pPr>
      <w:r>
        <w:rPr>
          <w:rFonts w:eastAsia="Times New Roman"/>
          <w:b/>
          <w:bCs/>
          <w:color w:val="000000"/>
          <w:sz w:val="20"/>
          <w:szCs w:val="20"/>
          <w:shd w:val="clear" w:color="auto" w:fill="FFFFFF"/>
        </w:rPr>
        <w:t>Regulation of Businesses by Authorities Outside the United States</w:t>
      </w:r>
    </w:p>
    <w:p w:rsidR="00000000" w:rsidRDefault="0094004B">
      <w:pPr>
        <w:jc w:val="both"/>
        <w:divId w:val="2100054909"/>
        <w:rPr>
          <w:rFonts w:eastAsia="Times New Roman"/>
        </w:rPr>
      </w:pPr>
      <w:r>
        <w:rPr>
          <w:rFonts w:eastAsia="Times New Roman"/>
          <w:color w:val="000000"/>
          <w:sz w:val="20"/>
          <w:szCs w:val="20"/>
          <w:shd w:val="clear" w:color="auto" w:fill="FFFFFF"/>
        </w:rPr>
        <w:t xml:space="preserve">The Bank is subject to laws and regulations in foreign jurisdictions where it operates, currently in the U.K. and Canada. In the U.K., the Bank </w:t>
      </w:r>
      <w:r>
        <w:rPr>
          <w:rFonts w:eastAsia="Times New Roman"/>
          <w:color w:val="000000"/>
          <w:sz w:val="20"/>
          <w:szCs w:val="20"/>
          <w:shd w:val="clear" w:color="auto" w:fill="FFFFFF"/>
        </w:rPr>
        <w:t>operates through COEP, which was established in 1999 and is an authorized payment institution regulated by the Financial Conduct Authority (“FCA”). COEP’s parent, Capital One Global Corporation, is wholly owned by the Bank and is subject to regulation by t</w:t>
      </w:r>
      <w:r>
        <w:rPr>
          <w:rFonts w:eastAsia="Times New Roman"/>
          <w:color w:val="000000"/>
          <w:sz w:val="20"/>
          <w:szCs w:val="20"/>
          <w:shd w:val="clear" w:color="auto" w:fill="FFFFFF"/>
        </w:rPr>
        <w:t>he Federal Reserve as an “agreement corporation” under the Federal Reserve’s Regulation K. COEP does not take deposits. In Canada, the Bank operates as an authorized foreign bank and is permitted to conduct its credit card business in Canada through its Ca</w:t>
      </w:r>
      <w:r>
        <w:rPr>
          <w:rFonts w:eastAsia="Times New Roman"/>
          <w:color w:val="000000"/>
          <w:sz w:val="20"/>
          <w:szCs w:val="20"/>
          <w:shd w:val="clear" w:color="auto" w:fill="FFFFFF"/>
        </w:rPr>
        <w:t>nadian branch, Capital One Bank (Canada Branch) (“Capital One Canada”). Capital One Canada does not take deposits. The primary regulator of Capital One Canada is the Office of the Superintendent of Financial Institutions.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670912060"/>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670912060"/>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670912060"/>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15</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040" style="width:0;height:1.5pt" o:hralign="center" o:hrstd="t" o:hr="t" fillcolor="#a0a0a0" stroked="f"/>
        </w:pict>
      </w:r>
    </w:p>
    <w:p w:rsidR="00000000" w:rsidRDefault="0094004B">
      <w:pPr>
        <w:jc w:val="both"/>
        <w:divId w:val="2047561703"/>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both"/>
        <w:divId w:val="202906847"/>
        <w:rPr>
          <w:rFonts w:eastAsia="Times New Roman"/>
        </w:rPr>
      </w:pPr>
      <w:r>
        <w:rPr>
          <w:rFonts w:eastAsia="Times New Roman"/>
          <w:color w:val="000000"/>
          <w:sz w:val="20"/>
          <w:szCs w:val="20"/>
          <w:shd w:val="clear" w:color="auto" w:fill="FFFFFF"/>
        </w:rPr>
        <w:t>The foreign legal and regulatory requirements to which the Company’s non-U.S. operation are subje</w:t>
      </w:r>
      <w:r>
        <w:rPr>
          <w:rFonts w:eastAsia="Times New Roman"/>
          <w:color w:val="000000"/>
          <w:sz w:val="20"/>
          <w:szCs w:val="20"/>
          <w:shd w:val="clear" w:color="auto" w:fill="FFFFFF"/>
        </w:rPr>
        <w:t>ct include, among others, those related to consumer protection, business practices, and data security and limits on interchange fees. For more information on foreign regulatory activity concerning interchange fees, please see “</w:t>
      </w:r>
      <w:r>
        <w:rPr>
          <w:rFonts w:eastAsia="Times New Roman"/>
          <w:color w:val="000000"/>
          <w:sz w:val="20"/>
          <w:szCs w:val="20"/>
        </w:rPr>
        <w:t>Part I</w:t>
      </w:r>
      <w:r>
        <w:rPr>
          <w:rFonts w:ascii="宋体" w:eastAsia="宋体" w:hAnsi="宋体" w:cs="宋体" w:hint="eastAsia"/>
          <w:color w:val="000000"/>
          <w:sz w:val="20"/>
          <w:szCs w:val="20"/>
          <w:shd w:val="clear" w:color="auto" w:fill="FFFFFF"/>
        </w:rPr>
        <w:t>一</w:t>
      </w:r>
      <w:r>
        <w:rPr>
          <w:rFonts w:eastAsia="Times New Roman"/>
          <w:color w:val="000000"/>
          <w:sz w:val="20"/>
          <w:szCs w:val="20"/>
        </w:rPr>
        <w:t>Item 1A.</w:t>
      </w:r>
      <w:r>
        <w:rPr>
          <w:rFonts w:eastAsia="Times New Roman"/>
          <w:color w:val="000000"/>
          <w:sz w:val="20"/>
          <w:szCs w:val="20"/>
          <w:shd w:val="clear" w:color="auto" w:fill="FFFFFF"/>
        </w:rPr>
        <w:t xml:space="preserve"> </w:t>
      </w:r>
      <w:r>
        <w:rPr>
          <w:rFonts w:eastAsia="Times New Roman"/>
          <w:color w:val="000000"/>
          <w:sz w:val="20"/>
          <w:szCs w:val="20"/>
        </w:rPr>
        <w:t>Risk Factors</w:t>
      </w:r>
      <w:r>
        <w:rPr>
          <w:rFonts w:eastAsia="Times New Roman"/>
          <w:color w:val="000000"/>
          <w:sz w:val="20"/>
          <w:szCs w:val="20"/>
          <w:shd w:val="clear" w:color="auto" w:fill="FFFFFF"/>
        </w:rPr>
        <w:t>”</w:t>
      </w:r>
      <w:r>
        <w:rPr>
          <w:rFonts w:eastAsia="Times New Roman"/>
          <w:color w:val="000000"/>
          <w:sz w:val="20"/>
          <w:szCs w:val="20"/>
          <w:shd w:val="clear" w:color="auto" w:fill="FFFFFF"/>
        </w:rPr>
        <w:t xml:space="preserve"> under the heading “</w:t>
      </w:r>
      <w:r>
        <w:rPr>
          <w:rFonts w:eastAsia="Times New Roman"/>
          <w:i/>
          <w:iCs/>
          <w:color w:val="000000"/>
          <w:sz w:val="20"/>
          <w:szCs w:val="20"/>
          <w:shd w:val="clear" w:color="auto" w:fill="FFFFFF"/>
        </w:rPr>
        <w:t>Our business, financial condition and results of operations may be adversely affected by merchants’ increasing focus on the fees charged by credit and debit card networks and by legislation and regulation impacting such fees.</w:t>
      </w:r>
      <w:r>
        <w:rPr>
          <w:rFonts w:eastAsia="Times New Roman"/>
          <w:color w:val="000000"/>
          <w:sz w:val="20"/>
          <w:szCs w:val="20"/>
          <w:shd w:val="clear" w:color="auto" w:fill="FFFFFF"/>
        </w:rPr>
        <w:t>”</w:t>
      </w:r>
    </w:p>
    <w:p w:rsidR="00000000" w:rsidRDefault="0094004B">
      <w:pPr>
        <w:jc w:val="both"/>
        <w:divId w:val="932202295"/>
        <w:rPr>
          <w:rFonts w:eastAsia="Times New Roman"/>
        </w:rPr>
      </w:pPr>
      <w:r>
        <w:rPr>
          <w:rFonts w:eastAsia="Times New Roman"/>
          <w:color w:val="000000"/>
          <w:sz w:val="20"/>
          <w:szCs w:val="20"/>
          <w:shd w:val="clear" w:color="auto" w:fill="FFFFFF"/>
        </w:rPr>
        <w:t>The Company also is subject to foreign legal and regulatory requirements regarding privacy, data protection and data security. For example, in Canada and the U.K,. we are subject to the Personal Information Protection and Electronic Documents Act and the U</w:t>
      </w:r>
      <w:r>
        <w:rPr>
          <w:rFonts w:eastAsia="Times New Roman"/>
          <w:color w:val="000000"/>
          <w:sz w:val="20"/>
          <w:szCs w:val="20"/>
          <w:shd w:val="clear" w:color="auto" w:fill="FFFFFF"/>
        </w:rPr>
        <w:t>.K. General Data Protection Regulation, respectively. In addition, subject to certain limited exceptions, the European Union (“EU”) General Data Protection Regulation applies EU data protection laws to companies controlling or processing personal data of E</w:t>
      </w:r>
      <w:r>
        <w:rPr>
          <w:rFonts w:eastAsia="Times New Roman"/>
          <w:color w:val="000000"/>
          <w:sz w:val="20"/>
          <w:szCs w:val="20"/>
          <w:shd w:val="clear" w:color="auto" w:fill="FFFFFF"/>
        </w:rPr>
        <w:t>U residents. These laws and regulations, and domestic laws and regulations that govern similar topics, may be interpreted and applied differently from country to country and may create inconsistent or conflicting requirements. For more information on priva</w:t>
      </w:r>
      <w:r>
        <w:rPr>
          <w:rFonts w:eastAsia="Times New Roman"/>
          <w:color w:val="000000"/>
          <w:sz w:val="20"/>
          <w:szCs w:val="20"/>
          <w:shd w:val="clear" w:color="auto" w:fill="FFFFFF"/>
        </w:rPr>
        <w:t>cy, data protection and data security requirements, please see “Privacy, Data Protection and Data Security.”</w:t>
      </w:r>
    </w:p>
    <w:p w:rsidR="00000000" w:rsidRDefault="0094004B">
      <w:pPr>
        <w:jc w:val="both"/>
        <w:divId w:val="355733185"/>
        <w:rPr>
          <w:rFonts w:eastAsia="Times New Roman"/>
        </w:rPr>
      </w:pPr>
    </w:p>
    <w:p w:rsidR="00000000" w:rsidRDefault="0094004B">
      <w:pPr>
        <w:jc w:val="both"/>
        <w:divId w:val="96487148"/>
        <w:rPr>
          <w:rFonts w:eastAsia="Times New Roman"/>
        </w:rPr>
      </w:pPr>
    </w:p>
    <w:p w:rsidR="00000000" w:rsidRDefault="0094004B">
      <w:pPr>
        <w:jc w:val="both"/>
        <w:divId w:val="1903636268"/>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143041437"/>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143041437"/>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143041437"/>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16</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041" style="width:0;height:1.5pt" o:hralign="center" o:hrstd="t" o:hr="t" fillcolor="#a0a0a0" stroked="f"/>
        </w:pict>
      </w:r>
    </w:p>
    <w:p w:rsidR="00000000" w:rsidRDefault="0094004B">
      <w:pPr>
        <w:jc w:val="both"/>
        <w:divId w:val="1130976994"/>
        <w:rPr>
          <w:rFonts w:eastAsia="Times New Roman"/>
        </w:rPr>
      </w:pPr>
      <w:hyperlink w:anchor="ia820611622d9441b977884dac00e0ebd_16" w:history="1">
        <w:r>
          <w:rPr>
            <w:rStyle w:val="a3"/>
            <w:rFonts w:eastAsia="Times New Roman"/>
            <w:sz w:val="16"/>
            <w:szCs w:val="16"/>
          </w:rPr>
          <w:t>Table of Contents</w:t>
        </w:r>
      </w:hyperlink>
    </w:p>
    <w:tbl>
      <w:tblPr>
        <w:tblW w:w="4992" w:type="pct"/>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trPr>
          <w:divId w:val="1607351492"/>
        </w:trPr>
        <w:tc>
          <w:tcPr>
            <w:tcW w:w="50" w:type="pct"/>
            <w:vAlign w:val="center"/>
            <w:hideMark/>
          </w:tcPr>
          <w:p w:rsidR="00000000" w:rsidRDefault="0094004B">
            <w:pPr>
              <w:jc w:val="both"/>
              <w:rPr>
                <w:rFonts w:eastAsia="Times New Roman"/>
              </w:rPr>
            </w:pPr>
          </w:p>
        </w:tc>
        <w:tc>
          <w:tcPr>
            <w:tcW w:w="494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607351492"/>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20"/>
                <w:szCs w:val="20"/>
              </w:rPr>
              <w:t>HUMAN CAPITAL RESOURCES</w:t>
            </w:r>
          </w:p>
        </w:tc>
      </w:tr>
    </w:tbl>
    <w:p w:rsidR="00000000" w:rsidRDefault="0094004B">
      <w:pPr>
        <w:jc w:val="both"/>
        <w:divId w:val="841627948"/>
        <w:rPr>
          <w:rFonts w:eastAsia="Times New Roman"/>
        </w:rPr>
      </w:pPr>
      <w:r>
        <w:rPr>
          <w:rFonts w:eastAsia="Times New Roman"/>
          <w:color w:val="000000"/>
          <w:sz w:val="20"/>
          <w:szCs w:val="20"/>
        </w:rPr>
        <w:t>Our culture is rooted in putting people first with a focus on building and maintaining a workforce which fosters an inclusive environment based on diversity of our people, ideas and the merit of our work. We prioritize the recruitment, development, recogni</w:t>
      </w:r>
      <w:r>
        <w:rPr>
          <w:rFonts w:eastAsia="Times New Roman"/>
          <w:color w:val="000000"/>
          <w:sz w:val="20"/>
          <w:szCs w:val="20"/>
        </w:rPr>
        <w:t>tion and retention of the 55,943 employees worldwide that we had as of December 31, 2022, whom we refer to as “associates.” The following disclosures provide information on our human capital resources, including certain human capital objectives and measure</w:t>
      </w:r>
      <w:r>
        <w:rPr>
          <w:rFonts w:eastAsia="Times New Roman"/>
          <w:color w:val="000000"/>
          <w:sz w:val="20"/>
          <w:szCs w:val="20"/>
        </w:rPr>
        <w:t>s that we focus on in managing our business.</w:t>
      </w:r>
    </w:p>
    <w:p w:rsidR="00000000" w:rsidRDefault="0094004B">
      <w:pPr>
        <w:jc w:val="both"/>
        <w:divId w:val="1708874235"/>
        <w:rPr>
          <w:rFonts w:eastAsia="Times New Roman"/>
        </w:rPr>
      </w:pPr>
      <w:r>
        <w:rPr>
          <w:rFonts w:eastAsia="Times New Roman"/>
          <w:b/>
          <w:bCs/>
          <w:color w:val="000000"/>
          <w:sz w:val="20"/>
          <w:szCs w:val="20"/>
        </w:rPr>
        <w:t xml:space="preserve">Governance of Human Capital </w:t>
      </w:r>
    </w:p>
    <w:p w:rsidR="00000000" w:rsidRDefault="0094004B">
      <w:pPr>
        <w:jc w:val="both"/>
        <w:divId w:val="303851014"/>
        <w:rPr>
          <w:rFonts w:eastAsia="Times New Roman"/>
        </w:rPr>
      </w:pPr>
      <w:r>
        <w:rPr>
          <w:rFonts w:eastAsia="Times New Roman"/>
          <w:color w:val="000000"/>
          <w:sz w:val="20"/>
          <w:szCs w:val="20"/>
        </w:rPr>
        <w:t>Our full Board of Directors oversees our human capital management, including strategies, policies and practices, and diversity, inclusion and belonging (“DIB”), and is assisted by ou</w:t>
      </w:r>
      <w:r>
        <w:rPr>
          <w:rFonts w:eastAsia="Times New Roman"/>
          <w:color w:val="000000"/>
          <w:sz w:val="20"/>
          <w:szCs w:val="20"/>
        </w:rPr>
        <w:t xml:space="preserve">r Board’s Compensation Committee and Governance and Nominating Committee. Our Executive Committee, a committee of senior management which includes our Chief Human Resources Officer, advises, assists and makes recommendations to our Chief Executive Officer </w:t>
      </w:r>
      <w:r>
        <w:rPr>
          <w:rFonts w:eastAsia="Times New Roman"/>
          <w:color w:val="000000"/>
          <w:sz w:val="20"/>
          <w:szCs w:val="20"/>
        </w:rPr>
        <w:t xml:space="preserve">and Board of Directors on human capital matters such as human resource practices and programs, including general employee benefits and compensation programs. Our Chief Diversity, Inclusion and Belonging Officer (“Chief DIB Officer”) provides an update, at </w:t>
      </w:r>
      <w:r>
        <w:rPr>
          <w:rFonts w:eastAsia="Times New Roman"/>
          <w:color w:val="000000"/>
          <w:sz w:val="20"/>
          <w:szCs w:val="20"/>
        </w:rPr>
        <w:t xml:space="preserve">least annually, on the progress, success and challenges on workforce representation, trends and programs to the Board of Directors and Executive Committee. </w:t>
      </w:r>
    </w:p>
    <w:p w:rsidR="00000000" w:rsidRDefault="0094004B">
      <w:pPr>
        <w:jc w:val="both"/>
        <w:divId w:val="757361457"/>
        <w:rPr>
          <w:rFonts w:eastAsia="Times New Roman"/>
        </w:rPr>
      </w:pPr>
      <w:r>
        <w:rPr>
          <w:rFonts w:eastAsia="Times New Roman"/>
          <w:b/>
          <w:bCs/>
          <w:color w:val="000000"/>
          <w:sz w:val="20"/>
          <w:szCs w:val="20"/>
        </w:rPr>
        <w:t>Hiring, Retention and Development</w:t>
      </w:r>
    </w:p>
    <w:p w:rsidR="00000000" w:rsidRDefault="0094004B">
      <w:pPr>
        <w:jc w:val="both"/>
        <w:divId w:val="1681470617"/>
        <w:rPr>
          <w:rFonts w:eastAsia="Times New Roman"/>
        </w:rPr>
      </w:pPr>
      <w:r>
        <w:rPr>
          <w:rFonts w:eastAsia="Times New Roman"/>
          <w:color w:val="000000"/>
          <w:sz w:val="20"/>
          <w:szCs w:val="20"/>
        </w:rPr>
        <w:t>We employ a comprehensive people strategy that includes significa</w:t>
      </w:r>
      <w:r>
        <w:rPr>
          <w:rFonts w:eastAsia="Times New Roman"/>
          <w:color w:val="000000"/>
          <w:sz w:val="20"/>
          <w:szCs w:val="20"/>
        </w:rPr>
        <w:t xml:space="preserve">nt investments in recruiting, sourcing and associate development to attract and retain top talent from all backgrounds to help drive our business’ long-term success. We recruit through a variety of channels, including professional partnerships, job fairs, </w:t>
      </w:r>
      <w:r>
        <w:rPr>
          <w:rFonts w:eastAsia="Times New Roman"/>
          <w:color w:val="000000"/>
          <w:sz w:val="20"/>
          <w:szCs w:val="20"/>
        </w:rPr>
        <w:t>online platforms, on-campus recruiting, diversity-related recruiting events and initiatives, and internship and rotational programs, among others. We empower our associates to learn new skills, meet personalized development goals, and grow their careers. I</w:t>
      </w:r>
      <w:r>
        <w:rPr>
          <w:rFonts w:eastAsia="Times New Roman"/>
          <w:color w:val="000000"/>
          <w:sz w:val="20"/>
          <w:szCs w:val="20"/>
        </w:rPr>
        <w:t>nvestment in associate training and professional development is critical to maintaining our talent competitiveness. Our internal enterprise learning and development team blends multiple approaches to learning to support associate development across lines o</w:t>
      </w:r>
      <w:r>
        <w:rPr>
          <w:rFonts w:eastAsia="Times New Roman"/>
          <w:color w:val="000000"/>
          <w:sz w:val="20"/>
          <w:szCs w:val="20"/>
        </w:rPr>
        <w:t>f business, levels, and roles, including online and live classroom training. In addition to formal programming provided by learning professionals, including regulatory compliance, role-specific topics and others, our peer-to-peer learning strategy empowers</w:t>
      </w:r>
      <w:r>
        <w:rPr>
          <w:rFonts w:eastAsia="Times New Roman"/>
          <w:color w:val="000000"/>
          <w:sz w:val="20"/>
          <w:szCs w:val="20"/>
        </w:rPr>
        <w:t xml:space="preserve"> associates to be both learners and teachers, further enhancing a culture of learning. We also focus on cultivating talent with leadership development courses, cohort-based programs, network building and coaching.</w:t>
      </w:r>
    </w:p>
    <w:p w:rsidR="00000000" w:rsidRDefault="0094004B">
      <w:pPr>
        <w:jc w:val="both"/>
        <w:divId w:val="1812598567"/>
        <w:rPr>
          <w:rFonts w:eastAsia="Times New Roman"/>
        </w:rPr>
      </w:pPr>
      <w:r>
        <w:rPr>
          <w:rFonts w:eastAsia="Times New Roman"/>
          <w:color w:val="000000"/>
          <w:sz w:val="20"/>
          <w:szCs w:val="20"/>
        </w:rPr>
        <w:t>On a quarterly basis, we review our abilit</w:t>
      </w:r>
      <w:r>
        <w:rPr>
          <w:rFonts w:eastAsia="Times New Roman"/>
          <w:color w:val="000000"/>
          <w:sz w:val="20"/>
          <w:szCs w:val="20"/>
        </w:rPr>
        <w:t xml:space="preserve">y to attract and retain talent needed to deliver on our strategic business objectives. Each line of business and staff group reviews hiring, tenure and attrition metrics as part of this assessment, and they implement mitigation plans when needed. </w:t>
      </w:r>
    </w:p>
    <w:p w:rsidR="00000000" w:rsidRDefault="0094004B">
      <w:pPr>
        <w:jc w:val="both"/>
        <w:divId w:val="1424381453"/>
        <w:rPr>
          <w:rFonts w:eastAsia="Times New Roman"/>
        </w:rPr>
      </w:pPr>
      <w:r>
        <w:rPr>
          <w:rFonts w:eastAsia="Times New Roman"/>
          <w:b/>
          <w:bCs/>
          <w:color w:val="000000"/>
          <w:sz w:val="20"/>
          <w:szCs w:val="20"/>
        </w:rPr>
        <w:t>Diversit</w:t>
      </w:r>
      <w:r>
        <w:rPr>
          <w:rFonts w:eastAsia="Times New Roman"/>
          <w:b/>
          <w:bCs/>
          <w:color w:val="000000"/>
          <w:sz w:val="20"/>
          <w:szCs w:val="20"/>
        </w:rPr>
        <w:t>y, Inclusion and Belonging</w:t>
      </w:r>
    </w:p>
    <w:p w:rsidR="00000000" w:rsidRDefault="0094004B">
      <w:pPr>
        <w:jc w:val="both"/>
        <w:divId w:val="1639070173"/>
        <w:rPr>
          <w:rFonts w:eastAsia="Times New Roman"/>
        </w:rPr>
      </w:pPr>
      <w:r>
        <w:rPr>
          <w:rFonts w:eastAsia="Times New Roman"/>
          <w:color w:val="000000"/>
          <w:sz w:val="20"/>
          <w:szCs w:val="20"/>
        </w:rPr>
        <w:t>We continuously strive to empower our associates to do great work by creating an equitable and inclusive workplace with a culture of belonging that values diverse perspectives, fosters collaboration and encourages innovative idea</w:t>
      </w:r>
      <w:r>
        <w:rPr>
          <w:rFonts w:eastAsia="Times New Roman"/>
          <w:color w:val="000000"/>
          <w:sz w:val="20"/>
          <w:szCs w:val="20"/>
        </w:rPr>
        <w:t>s. We aim to create a place where associates of all backgrounds can thrive by bringing their best, most authentic selves to work. Our diversity and inclusion efforts are overseen by our Chief DIB Officer. This culture of belonging rests at the heart of our</w:t>
      </w:r>
      <w:r>
        <w:rPr>
          <w:rFonts w:eastAsia="Times New Roman"/>
          <w:color w:val="000000"/>
          <w:sz w:val="20"/>
          <w:szCs w:val="20"/>
        </w:rPr>
        <w:t xml:space="preserve"> DIB efforts. Central to this effort are our business resource groups, associate-led organizations which deepen our understanding of different cultures, backgrounds and experiences, and enable associates to build connections, invest in their professional d</w:t>
      </w:r>
      <w:r>
        <w:rPr>
          <w:rFonts w:eastAsia="Times New Roman"/>
          <w:color w:val="000000"/>
          <w:sz w:val="20"/>
          <w:szCs w:val="20"/>
        </w:rPr>
        <w:t>evelopment, and support our commitment to attract, develop and retain a diverse workforce. In addition, our Chief Executive Officer and the Executive Committee engage with leaders of our business resource groups to identify opportunities to further our DIB</w:t>
      </w:r>
      <w:r>
        <w:rPr>
          <w:rFonts w:eastAsia="Times New Roman"/>
          <w:color w:val="000000"/>
          <w:sz w:val="20"/>
          <w:szCs w:val="20"/>
        </w:rPr>
        <w:t xml:space="preserve"> agenda, enact positive change and build on existing initiatives designed to nurture our culture and workplace environment.</w:t>
      </w:r>
    </w:p>
    <w:p w:rsidR="00000000" w:rsidRDefault="0094004B">
      <w:pPr>
        <w:jc w:val="both"/>
        <w:divId w:val="2131624212"/>
        <w:rPr>
          <w:rFonts w:eastAsia="Times New Roman"/>
        </w:rPr>
      </w:pPr>
      <w:r>
        <w:rPr>
          <w:rFonts w:eastAsia="Times New Roman"/>
          <w:color w:val="000000"/>
          <w:sz w:val="20"/>
          <w:szCs w:val="20"/>
        </w:rPr>
        <w:t>Growing the diversity of our workforce at all levels, with an emphasis on leader and executive roles, is an important component of o</w:t>
      </w:r>
      <w:r>
        <w:rPr>
          <w:rFonts w:eastAsia="Times New Roman"/>
          <w:color w:val="000000"/>
          <w:sz w:val="20"/>
          <w:szCs w:val="20"/>
        </w:rPr>
        <w:t>ur comprehensive DIB strategy. As of December 31, 2022, key measures of our workforce representation include:</w:t>
      </w:r>
    </w:p>
    <w:p w:rsidR="00000000" w:rsidRDefault="0094004B">
      <w:pPr>
        <w:ind w:hanging="360"/>
        <w:jc w:val="both"/>
        <w:divId w:val="1818952959"/>
        <w:rPr>
          <w:rFonts w:eastAsia="Times New Roman"/>
        </w:rPr>
      </w:pPr>
      <w:r>
        <w:rPr>
          <w:rFonts w:eastAsia="Times New Roman"/>
          <w:color w:val="000000"/>
          <w:sz w:val="20"/>
          <w:szCs w:val="20"/>
        </w:rPr>
        <w:t>•Of the 12 members of our Board of Directors, 3 are women and 3 are people of color;</w:t>
      </w:r>
    </w:p>
    <w:p w:rsidR="00000000" w:rsidRDefault="0094004B">
      <w:pPr>
        <w:ind w:hanging="360"/>
        <w:jc w:val="both"/>
        <w:divId w:val="829250380"/>
        <w:rPr>
          <w:rFonts w:eastAsia="Times New Roman"/>
        </w:rPr>
      </w:pPr>
      <w:r>
        <w:rPr>
          <w:rFonts w:eastAsia="Times New Roman"/>
          <w:color w:val="000000"/>
          <w:sz w:val="20"/>
          <w:szCs w:val="20"/>
        </w:rPr>
        <w:t xml:space="preserve">•In the U.S., of the associates who are vice president level </w:t>
      </w:r>
      <w:r>
        <w:rPr>
          <w:rFonts w:eastAsia="Times New Roman"/>
          <w:color w:val="000000"/>
          <w:sz w:val="20"/>
          <w:szCs w:val="20"/>
        </w:rPr>
        <w:t>and above, approximately 33% are women and 28% are people of color;</w:t>
      </w:r>
    </w:p>
    <w:p w:rsidR="00000000" w:rsidRDefault="0094004B">
      <w:pPr>
        <w:ind w:hanging="360"/>
        <w:jc w:val="both"/>
        <w:divId w:val="561673512"/>
        <w:rPr>
          <w:rFonts w:eastAsia="Times New Roman"/>
        </w:rPr>
      </w:pPr>
      <w:r>
        <w:rPr>
          <w:rFonts w:eastAsia="Times New Roman"/>
          <w:color w:val="000000"/>
          <w:sz w:val="20"/>
          <w:szCs w:val="20"/>
        </w:rPr>
        <w:t>•In the U.S., approximately 52% of associates are people of color; and</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748045432"/>
          <w:jc w:val="center"/>
        </w:trPr>
        <w:tc>
          <w:tcPr>
            <w:tcW w:w="50" w:type="pct"/>
            <w:vAlign w:val="center"/>
            <w:hideMark/>
          </w:tcPr>
          <w:p w:rsidR="00000000" w:rsidRDefault="0094004B">
            <w:pPr>
              <w:ind w:hanging="360"/>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748045432"/>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748045432"/>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17</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042" style="width:0;height:1.5pt" o:hralign="center" o:hrstd="t" o:hr="t" fillcolor="#a0a0a0" stroked="f"/>
        </w:pict>
      </w:r>
    </w:p>
    <w:p w:rsidR="00000000" w:rsidRDefault="0094004B">
      <w:pPr>
        <w:jc w:val="both"/>
        <w:divId w:val="1203054162"/>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ind w:hanging="360"/>
        <w:jc w:val="both"/>
        <w:divId w:val="878854973"/>
        <w:rPr>
          <w:rFonts w:eastAsia="Times New Roman"/>
        </w:rPr>
      </w:pPr>
      <w:r>
        <w:rPr>
          <w:rFonts w:eastAsia="Times New Roman"/>
          <w:color w:val="000000"/>
          <w:sz w:val="20"/>
          <w:szCs w:val="20"/>
        </w:rPr>
        <w:t>•Worldwide, approximately 51% of associates are women and 49% of associates are men.</w:t>
      </w:r>
    </w:p>
    <w:p w:rsidR="00000000" w:rsidRDefault="0094004B">
      <w:pPr>
        <w:jc w:val="both"/>
        <w:divId w:val="236718309"/>
        <w:rPr>
          <w:rFonts w:eastAsia="Times New Roman"/>
        </w:rPr>
      </w:pPr>
      <w:r>
        <w:rPr>
          <w:rFonts w:eastAsia="Times New Roman"/>
          <w:color w:val="000000"/>
          <w:sz w:val="20"/>
          <w:szCs w:val="20"/>
        </w:rPr>
        <w:t>Our corporate website contains additional information regarding programs and other information integral to our philosophy of diversity, inclusion and belonging. We believe in the importance of transparency and will also provide on our website the Consolida</w:t>
      </w:r>
      <w:r>
        <w:rPr>
          <w:rFonts w:eastAsia="Times New Roman"/>
          <w:color w:val="000000"/>
          <w:sz w:val="20"/>
          <w:szCs w:val="20"/>
        </w:rPr>
        <w:t>ted EEO-1 Report in addition to submitting to the U.S. Equal Employment Opportunity Commission.</w:t>
      </w:r>
    </w:p>
    <w:p w:rsidR="00000000" w:rsidRDefault="0094004B">
      <w:pPr>
        <w:jc w:val="both"/>
        <w:divId w:val="935331778"/>
        <w:rPr>
          <w:rFonts w:eastAsia="Times New Roman"/>
        </w:rPr>
      </w:pPr>
      <w:r>
        <w:rPr>
          <w:rFonts w:eastAsia="Times New Roman"/>
          <w:b/>
          <w:bCs/>
          <w:color w:val="000000"/>
          <w:sz w:val="20"/>
          <w:szCs w:val="20"/>
        </w:rPr>
        <w:t>Compensation and Wellness</w:t>
      </w:r>
    </w:p>
    <w:p w:rsidR="00000000" w:rsidRDefault="0094004B">
      <w:pPr>
        <w:jc w:val="both"/>
        <w:divId w:val="575164913"/>
        <w:rPr>
          <w:rFonts w:eastAsia="Times New Roman"/>
        </w:rPr>
      </w:pPr>
      <w:r>
        <w:rPr>
          <w:rFonts w:eastAsia="Times New Roman"/>
          <w:color w:val="000000"/>
          <w:sz w:val="20"/>
          <w:szCs w:val="20"/>
        </w:rPr>
        <w:t>We are committed to providing a competitive total compensation package that will attract, retain and motivate talent to help drive our</w:t>
      </w:r>
      <w:r>
        <w:rPr>
          <w:rFonts w:eastAsia="Times New Roman"/>
          <w:color w:val="000000"/>
          <w:sz w:val="20"/>
          <w:szCs w:val="20"/>
        </w:rPr>
        <w:t xml:space="preserve"> business’ long-term success. Our benefits, including competitive parental leave, on-site health centers, flexible work solutions, company contributions to associates’ 401(k) plans, educational assistance and other health, wellness, and financial benefits,</w:t>
      </w:r>
      <w:r>
        <w:rPr>
          <w:rFonts w:eastAsia="Times New Roman"/>
          <w:color w:val="000000"/>
          <w:sz w:val="20"/>
          <w:szCs w:val="20"/>
        </w:rPr>
        <w:t xml:space="preserve"> are all designed to help associates grow and develop inside and outside of the workplace. Furthermore, pay equity has long been a core tenet of our pay philosophy and is central to our values. We annually evaluate base pay and incentive pay for all of our</w:t>
      </w:r>
      <w:r>
        <w:rPr>
          <w:rFonts w:eastAsia="Times New Roman"/>
          <w:color w:val="000000"/>
          <w:sz w:val="20"/>
          <w:szCs w:val="20"/>
        </w:rPr>
        <w:t xml:space="preserve"> associates globally. This review and evaluation may occur more frequently as deemed necessary and prudent. We review groups of associates in similar roles, adjusting for factors that appropriately explain differences in pay such as job location and experi</w:t>
      </w:r>
      <w:r>
        <w:rPr>
          <w:rFonts w:eastAsia="Times New Roman"/>
          <w:color w:val="000000"/>
          <w:sz w:val="20"/>
          <w:szCs w:val="20"/>
        </w:rPr>
        <w:t xml:space="preserve">ence. Based on our analysis, our aggregated adjusted pay gap results show that we pay women 100% of what men are paid, and we pay people of color in the U.S. 100% of what white associates are paid. We use statistical modeling to understand what drives pay </w:t>
      </w:r>
      <w:r>
        <w:rPr>
          <w:rFonts w:eastAsia="Times New Roman"/>
          <w:color w:val="000000"/>
          <w:sz w:val="20"/>
          <w:szCs w:val="20"/>
        </w:rPr>
        <w:t>gaps, instill new practices to eliminate pay gaps in the future, and if we find unexplained pay gaps, we close them.</w:t>
      </w:r>
    </w:p>
    <w:p w:rsidR="00000000" w:rsidRDefault="0094004B">
      <w:pPr>
        <w:jc w:val="both"/>
        <w:divId w:val="912860287"/>
        <w:rPr>
          <w:rFonts w:eastAsia="Times New Roman"/>
        </w:rPr>
      </w:pPr>
      <w:r>
        <w:rPr>
          <w:rFonts w:eastAsia="Times New Roman"/>
          <w:b/>
          <w:bCs/>
          <w:color w:val="000000"/>
          <w:sz w:val="20"/>
          <w:szCs w:val="20"/>
        </w:rPr>
        <w:t>Communication and Connection</w:t>
      </w:r>
    </w:p>
    <w:p w:rsidR="00000000" w:rsidRDefault="0094004B">
      <w:pPr>
        <w:jc w:val="both"/>
        <w:divId w:val="541016503"/>
        <w:rPr>
          <w:rFonts w:eastAsia="Times New Roman"/>
        </w:rPr>
      </w:pPr>
      <w:r>
        <w:rPr>
          <w:rFonts w:eastAsia="Times New Roman"/>
          <w:color w:val="000000"/>
          <w:sz w:val="20"/>
          <w:szCs w:val="20"/>
        </w:rPr>
        <w:t>We communicate with our associates regularly to understand their perspectives and to hear their voices. Our senior leaders and Chief Executive Officer also communicate directly on societal events impacting our associates. To assess and improve associate re</w:t>
      </w:r>
      <w:r>
        <w:rPr>
          <w:rFonts w:eastAsia="Times New Roman"/>
          <w:color w:val="000000"/>
          <w:sz w:val="20"/>
          <w:szCs w:val="20"/>
        </w:rPr>
        <w:t>tention and engagement, the Company surveys associates on a periodic basis with the assistance of third-party consultants and takes actions to address areas of associate concern. We encourage full participation and use the results to effect change and prom</w:t>
      </w:r>
      <w:r>
        <w:rPr>
          <w:rFonts w:eastAsia="Times New Roman"/>
          <w:color w:val="000000"/>
          <w:sz w:val="20"/>
          <w:szCs w:val="20"/>
        </w:rPr>
        <w:t>ote transparency.</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224756356"/>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224756356"/>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224756356"/>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18</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043" style="width:0;height:1.5pt" o:hralign="center" o:hrstd="t" o:hr="t" fillcolor="#a0a0a0" stroked="f"/>
        </w:pict>
      </w:r>
    </w:p>
    <w:p w:rsidR="00000000" w:rsidRDefault="0094004B">
      <w:pPr>
        <w:jc w:val="both"/>
        <w:divId w:val="415713073"/>
        <w:rPr>
          <w:rFonts w:eastAsia="Times New Roman"/>
        </w:rPr>
      </w:pPr>
      <w:hyperlink w:anchor="ia820611622d9441b977884dac00e0ebd_16"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916163596"/>
        </w:trPr>
        <w:tc>
          <w:tcPr>
            <w:tcW w:w="50" w:type="pct"/>
            <w:vAlign w:val="center"/>
            <w:hideMark/>
          </w:tcPr>
          <w:p w:rsidR="00000000" w:rsidRDefault="0094004B">
            <w:pPr>
              <w:jc w:val="both"/>
              <w:rPr>
                <w:rFonts w:eastAsia="Times New Roman"/>
              </w:rPr>
            </w:pPr>
          </w:p>
        </w:tc>
        <w:tc>
          <w:tcPr>
            <w:tcW w:w="494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916163596"/>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20"/>
                <w:szCs w:val="20"/>
              </w:rPr>
              <w:t>TECHNOLOGY AND INTELLECTUAL PROPERTY</w:t>
            </w:r>
          </w:p>
        </w:tc>
      </w:tr>
    </w:tbl>
    <w:p w:rsidR="00000000" w:rsidRDefault="0094004B">
      <w:pPr>
        <w:divId w:val="1033961837"/>
        <w:rPr>
          <w:rFonts w:eastAsia="Times New Roman"/>
        </w:rPr>
      </w:pPr>
      <w:r>
        <w:rPr>
          <w:rFonts w:eastAsia="Times New Roman"/>
          <w:b/>
          <w:bCs/>
          <w:color w:val="000000"/>
          <w:sz w:val="20"/>
          <w:szCs w:val="20"/>
        </w:rPr>
        <w:t>Technology/Systems</w:t>
      </w:r>
    </w:p>
    <w:p w:rsidR="00000000" w:rsidRDefault="0094004B">
      <w:pPr>
        <w:jc w:val="both"/>
        <w:divId w:val="1072503278"/>
        <w:rPr>
          <w:rFonts w:eastAsia="Times New Roman"/>
        </w:rPr>
      </w:pPr>
      <w:r>
        <w:rPr>
          <w:rFonts w:eastAsia="Times New Roman"/>
          <w:color w:val="000000"/>
          <w:sz w:val="20"/>
          <w:szCs w:val="20"/>
        </w:rPr>
        <w:t>We leverage information and technology to achieve our business objectives and to develop and deliver products and services that satisfy our customers’ needs. A key part of our strategic focus is the development and use of efficient, flexible computer and o</w:t>
      </w:r>
      <w:r>
        <w:rPr>
          <w:rFonts w:eastAsia="Times New Roman"/>
          <w:color w:val="000000"/>
          <w:sz w:val="20"/>
          <w:szCs w:val="20"/>
        </w:rPr>
        <w:t xml:space="preserve">perational systems, such as cloud technology, to support complex marketing and account management strategies, the servicing of our customers, and the development of new and diversified products. We believe that the continued development and integration of </w:t>
      </w:r>
      <w:r>
        <w:rPr>
          <w:rFonts w:eastAsia="Times New Roman"/>
          <w:color w:val="000000"/>
          <w:sz w:val="20"/>
          <w:szCs w:val="20"/>
        </w:rPr>
        <w:t>these systems is an important part of our efforts to reduce costs, improve quality and security and provide faster, more flexible technology services. Consequently, we frequently consider our capabilities and develop or acquire systems, processes and compe</w:t>
      </w:r>
      <w:r>
        <w:rPr>
          <w:rFonts w:eastAsia="Times New Roman"/>
          <w:color w:val="000000"/>
          <w:sz w:val="20"/>
          <w:szCs w:val="20"/>
        </w:rPr>
        <w:t>tencies to meet our unique business requirements.</w:t>
      </w:r>
    </w:p>
    <w:p w:rsidR="00000000" w:rsidRDefault="0094004B">
      <w:pPr>
        <w:jc w:val="both"/>
        <w:divId w:val="1012996033"/>
        <w:rPr>
          <w:rFonts w:eastAsia="Times New Roman"/>
        </w:rPr>
      </w:pPr>
      <w:r>
        <w:rPr>
          <w:rFonts w:eastAsia="Times New Roman"/>
          <w:color w:val="000000"/>
          <w:sz w:val="20"/>
          <w:szCs w:val="20"/>
        </w:rPr>
        <w:t>As part of our frequent consideration of our technologies, we may either develop such capabilities internally or rely on third-party service providers who have the ability to deliver technology that is of h</w:t>
      </w:r>
      <w:r>
        <w:rPr>
          <w:rFonts w:eastAsia="Times New Roman"/>
          <w:color w:val="000000"/>
          <w:sz w:val="20"/>
          <w:szCs w:val="20"/>
        </w:rPr>
        <w:t>igher quality, lower cost, or both. We continue to rely on third-party service providers to help us deliver systems and operational infrastructure. These relationships include (but are not limited to): Amazon Web Services, Inc. (“AWS”) for our cloud infras</w:t>
      </w:r>
      <w:r>
        <w:rPr>
          <w:rFonts w:eastAsia="Times New Roman"/>
          <w:color w:val="000000"/>
          <w:sz w:val="20"/>
          <w:szCs w:val="20"/>
        </w:rPr>
        <w:t>tructure, Total System Services LLC (“TSYS”) for consumer and commercial credit card processing services for our North American and U.K. portfolios and Fidelity Information Services (“FIS”) for certain of our banking systems.</w:t>
      </w:r>
    </w:p>
    <w:p w:rsidR="00000000" w:rsidRDefault="0094004B">
      <w:pPr>
        <w:jc w:val="both"/>
        <w:divId w:val="1672751776"/>
        <w:rPr>
          <w:rFonts w:eastAsia="Times New Roman"/>
        </w:rPr>
      </w:pPr>
      <w:r>
        <w:rPr>
          <w:rFonts w:eastAsia="Times New Roman"/>
          <w:color w:val="000000"/>
          <w:sz w:val="20"/>
          <w:szCs w:val="20"/>
        </w:rPr>
        <w:t>We are committed to implementi</w:t>
      </w:r>
      <w:r>
        <w:rPr>
          <w:rFonts w:eastAsia="Times New Roman"/>
          <w:color w:val="000000"/>
          <w:sz w:val="20"/>
          <w:szCs w:val="20"/>
        </w:rPr>
        <w:t>ng safeguards designed to protect our customers’ information, as well as our own information and technology. We implement backup and recovery systems, and we generally require the same of our third-party service providers. We take measures designed to miti</w:t>
      </w:r>
      <w:r>
        <w:rPr>
          <w:rFonts w:eastAsia="Times New Roman"/>
          <w:color w:val="000000"/>
          <w:sz w:val="20"/>
          <w:szCs w:val="20"/>
        </w:rPr>
        <w:t>gate against known attacks and use internal and external resources to scan for vulnerabilities in platforms, systems, and applications necessary for delivering our products and services. For a discussion of the risks associated with our use of technology s</w:t>
      </w:r>
      <w:r>
        <w:rPr>
          <w:rFonts w:eastAsia="Times New Roman"/>
          <w:color w:val="000000"/>
          <w:sz w:val="20"/>
          <w:szCs w:val="20"/>
        </w:rPr>
        <w:t>ystems, see “Part I—Item 1A. Risk Factors” under the headings “</w:t>
      </w:r>
      <w:r>
        <w:rPr>
          <w:rFonts w:eastAsia="Times New Roman"/>
          <w:i/>
          <w:iCs/>
          <w:color w:val="000000"/>
          <w:sz w:val="20"/>
          <w:szCs w:val="20"/>
        </w:rPr>
        <w:t>We face risks related to our operational, technological and organizational infrastructure</w:t>
      </w:r>
      <w:r>
        <w:rPr>
          <w:rFonts w:eastAsia="Times New Roman"/>
          <w:color w:val="000000"/>
          <w:sz w:val="20"/>
          <w:szCs w:val="20"/>
        </w:rPr>
        <w:t xml:space="preserve">” and </w:t>
      </w:r>
      <w:r>
        <w:rPr>
          <w:rFonts w:eastAsia="Times New Roman"/>
          <w:i/>
          <w:iCs/>
          <w:color w:val="000000"/>
          <w:sz w:val="20"/>
          <w:szCs w:val="20"/>
        </w:rPr>
        <w:t>“A cyber-attack or other security incident, including one that results in the theft, loss, manipul</w:t>
      </w:r>
      <w:r>
        <w:rPr>
          <w:rFonts w:eastAsia="Times New Roman"/>
          <w:i/>
          <w:iCs/>
          <w:color w:val="000000"/>
          <w:sz w:val="20"/>
          <w:szCs w:val="20"/>
        </w:rPr>
        <w:t>ation or misuse of information (including personal information), or the disabling of systems and access to information critical to business operations, may result in increased costs, reductions in revenue, reputational damage, legal exposure and business d</w:t>
      </w:r>
      <w:r>
        <w:rPr>
          <w:rFonts w:eastAsia="Times New Roman"/>
          <w:i/>
          <w:iCs/>
          <w:color w:val="000000"/>
          <w:sz w:val="20"/>
          <w:szCs w:val="20"/>
        </w:rPr>
        <w:t>isruptions.”</w:t>
      </w:r>
    </w:p>
    <w:p w:rsidR="00000000" w:rsidRDefault="0094004B">
      <w:pPr>
        <w:divId w:val="1329136373"/>
        <w:rPr>
          <w:rFonts w:eastAsia="Times New Roman"/>
        </w:rPr>
      </w:pPr>
      <w:r>
        <w:rPr>
          <w:rFonts w:eastAsia="Times New Roman"/>
          <w:b/>
          <w:bCs/>
          <w:color w:val="000000"/>
          <w:sz w:val="20"/>
          <w:szCs w:val="20"/>
        </w:rPr>
        <w:t>Intellectual Property and Other Proprietary Information</w:t>
      </w:r>
    </w:p>
    <w:p w:rsidR="00000000" w:rsidRDefault="0094004B">
      <w:pPr>
        <w:jc w:val="both"/>
        <w:divId w:val="1844975918"/>
        <w:rPr>
          <w:rFonts w:eastAsia="Times New Roman"/>
        </w:rPr>
      </w:pPr>
      <w:r>
        <w:rPr>
          <w:rFonts w:eastAsia="Times New Roman"/>
          <w:color w:val="000000"/>
          <w:sz w:val="20"/>
          <w:szCs w:val="20"/>
        </w:rPr>
        <w:t>As part of our overall and ongoing strategy to protect and enhance our intellectual property, we rely on a variety of protections, including copyrights, trademarks, trade secrets, patents</w:t>
      </w:r>
      <w:r>
        <w:rPr>
          <w:rFonts w:eastAsia="Times New Roman"/>
          <w:color w:val="000000"/>
          <w:sz w:val="20"/>
          <w:szCs w:val="20"/>
        </w:rPr>
        <w:t xml:space="preserve"> and certain restrictions on disclosure, solicitation and competition. We also undertake other measures to control access to, or distribution of, our other proprietary and confidential information. Any patents we may obtain may increase our competitive adv</w:t>
      </w:r>
      <w:r>
        <w:rPr>
          <w:rFonts w:eastAsia="Times New Roman"/>
          <w:color w:val="000000"/>
          <w:sz w:val="20"/>
          <w:szCs w:val="20"/>
        </w:rPr>
        <w:t>antage, preserve our freedom to operate, and allow us to enter into licensing (e.g., cross-licenses) or other arrangements with third parties. For a discussion of risks associated with intellectual property, see “Part I—Item 1A. Risk Factors” under the hea</w:t>
      </w:r>
      <w:r>
        <w:rPr>
          <w:rFonts w:eastAsia="Times New Roman"/>
          <w:color w:val="000000"/>
          <w:sz w:val="20"/>
          <w:szCs w:val="20"/>
        </w:rPr>
        <w:t>ding “</w:t>
      </w:r>
      <w:r>
        <w:rPr>
          <w:rFonts w:eastAsia="Times New Roman"/>
          <w:i/>
          <w:iCs/>
          <w:color w:val="000000"/>
          <w:sz w:val="20"/>
          <w:szCs w:val="20"/>
        </w:rPr>
        <w:t>If we are not able to protect our intellectual property, our revenue and profitability could be negatively affected.”</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744962496"/>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744962496"/>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744962496"/>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19</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044" style="width:0;height:1.5pt" o:hralign="center" o:hrstd="t" o:hr="t" fillcolor="#a0a0a0" stroked="f"/>
        </w:pict>
      </w:r>
    </w:p>
    <w:p w:rsidR="00000000" w:rsidRDefault="0094004B">
      <w:pPr>
        <w:jc w:val="both"/>
        <w:divId w:val="1533154303"/>
        <w:rPr>
          <w:rFonts w:eastAsia="Times New Roman"/>
        </w:rPr>
      </w:pPr>
      <w:hyperlink w:anchor="ia820611622d9441b977884dac00e0ebd_16"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926378008"/>
        </w:trPr>
        <w:tc>
          <w:tcPr>
            <w:tcW w:w="50" w:type="pct"/>
            <w:vAlign w:val="center"/>
            <w:hideMark/>
          </w:tcPr>
          <w:p w:rsidR="00000000" w:rsidRDefault="0094004B">
            <w:pPr>
              <w:jc w:val="both"/>
              <w:rPr>
                <w:rFonts w:eastAsia="Times New Roman"/>
              </w:rPr>
            </w:pPr>
          </w:p>
        </w:tc>
        <w:tc>
          <w:tcPr>
            <w:tcW w:w="494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926378008"/>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20"/>
                <w:szCs w:val="20"/>
              </w:rPr>
              <w:t>FORWARD-LOOKING STATEMENTS</w:t>
            </w:r>
          </w:p>
        </w:tc>
      </w:tr>
    </w:tbl>
    <w:p w:rsidR="00000000" w:rsidRDefault="0094004B">
      <w:pPr>
        <w:jc w:val="both"/>
        <w:divId w:val="93551488"/>
        <w:rPr>
          <w:rFonts w:eastAsia="Times New Roman"/>
        </w:rPr>
      </w:pPr>
      <w:r>
        <w:rPr>
          <w:rFonts w:eastAsia="Times New Roman"/>
          <w:color w:val="000000"/>
          <w:sz w:val="20"/>
          <w:szCs w:val="20"/>
        </w:rPr>
        <w:t>From time to time, we have made and will make forwar</w:t>
      </w:r>
      <w:r>
        <w:rPr>
          <w:rFonts w:eastAsia="Times New Roman"/>
          <w:color w:val="000000"/>
          <w:sz w:val="20"/>
          <w:szCs w:val="20"/>
        </w:rPr>
        <w:t>d-looking statements, including those that discuss, among other things: strategies, goals, outlook or other non-historical matters; projections, revenues, income, returns, expenses, capital measures, capital allocation plans, accruals for claims in litigat</w:t>
      </w:r>
      <w:r>
        <w:rPr>
          <w:rFonts w:eastAsia="Times New Roman"/>
          <w:color w:val="000000"/>
          <w:sz w:val="20"/>
          <w:szCs w:val="20"/>
        </w:rPr>
        <w:t>ion and for other claims against us; earnings per share, efficiency ratio, operating efficiency ratio or other financial measures for us; future financial and operating results; our plans, objectives, expectations and intentions; and the assumptions that u</w:t>
      </w:r>
      <w:r>
        <w:rPr>
          <w:rFonts w:eastAsia="Times New Roman"/>
          <w:color w:val="000000"/>
          <w:sz w:val="20"/>
          <w:szCs w:val="20"/>
        </w:rPr>
        <w:t>nderlie these matters.</w:t>
      </w:r>
    </w:p>
    <w:p w:rsidR="00000000" w:rsidRDefault="0094004B">
      <w:pPr>
        <w:jc w:val="both"/>
        <w:divId w:val="117996518"/>
        <w:rPr>
          <w:rFonts w:eastAsia="Times New Roman"/>
        </w:rPr>
      </w:pPr>
      <w:r>
        <w:rPr>
          <w:rFonts w:eastAsia="Times New Roman"/>
          <w:color w:val="000000"/>
          <w:sz w:val="20"/>
          <w:szCs w:val="20"/>
        </w:rPr>
        <w:t>To the extent that any such information is forward-looking, it is intended to fit within the safe harbor for forward-looking information provided by the Private Securities Litigation Reform Act of 1995.</w:t>
      </w:r>
    </w:p>
    <w:p w:rsidR="00000000" w:rsidRDefault="0094004B">
      <w:pPr>
        <w:jc w:val="both"/>
        <w:divId w:val="1680961103"/>
        <w:rPr>
          <w:rFonts w:eastAsia="Times New Roman"/>
        </w:rPr>
      </w:pPr>
      <w:r>
        <w:rPr>
          <w:rFonts w:eastAsia="Times New Roman"/>
          <w:color w:val="000000"/>
          <w:sz w:val="20"/>
          <w:szCs w:val="20"/>
        </w:rPr>
        <w:t>Forward-looking statements oft</w:t>
      </w:r>
      <w:r>
        <w:rPr>
          <w:rFonts w:eastAsia="Times New Roman"/>
          <w:color w:val="000000"/>
          <w:sz w:val="20"/>
          <w:szCs w:val="20"/>
        </w:rPr>
        <w:t>en use words such as “will,” “anticipate,” “target,” “expect,” “estimate,” “intend,” “plan,” “goal,” “believe,” “forecast,” “outlook” or other words of similar meaning. Any forward-looking statements made by us or on our behalf speak only as of the date th</w:t>
      </w:r>
      <w:r>
        <w:rPr>
          <w:rFonts w:eastAsia="Times New Roman"/>
          <w:color w:val="000000"/>
          <w:sz w:val="20"/>
          <w:szCs w:val="20"/>
        </w:rPr>
        <w:t>ey are made or as of the date indicated, and we do not undertake any obligation to update forward-looking statements as a result of new information, future events or otherwise. For additional information on factors that could materially influence forward-l</w:t>
      </w:r>
      <w:r>
        <w:rPr>
          <w:rFonts w:eastAsia="Times New Roman"/>
          <w:color w:val="000000"/>
          <w:sz w:val="20"/>
          <w:szCs w:val="20"/>
        </w:rPr>
        <w:t>ooking statements included in this Report, see the risk factors set forth under “Part I—Item 1A. Risk Factors.” You should carefully consider the factors discussed above, and in our Risk Factors or other disclosures, in evaluating these forward-looking sta</w:t>
      </w:r>
      <w:r>
        <w:rPr>
          <w:rFonts w:eastAsia="Times New Roman"/>
          <w:color w:val="000000"/>
          <w:sz w:val="20"/>
          <w:szCs w:val="20"/>
        </w:rPr>
        <w:t>tements.</w:t>
      </w:r>
    </w:p>
    <w:p w:rsidR="00000000" w:rsidRDefault="0094004B">
      <w:pPr>
        <w:jc w:val="both"/>
        <w:divId w:val="2062820072"/>
        <w:rPr>
          <w:rFonts w:eastAsia="Times New Roman"/>
        </w:rPr>
      </w:pPr>
      <w:r>
        <w:rPr>
          <w:rFonts w:eastAsia="Times New Roman"/>
          <w:color w:val="000000"/>
          <w:sz w:val="20"/>
          <w:szCs w:val="20"/>
        </w:rPr>
        <w:t>Numerous factors could cause our actual results to differ materially from those described in such forward-looking statements, including, among other things:</w:t>
      </w:r>
    </w:p>
    <w:p w:rsidR="00000000" w:rsidRDefault="0094004B">
      <w:pPr>
        <w:ind w:hanging="360"/>
        <w:jc w:val="both"/>
        <w:divId w:val="1007635019"/>
        <w:rPr>
          <w:rFonts w:eastAsia="Times New Roman"/>
        </w:rPr>
      </w:pPr>
      <w:r>
        <w:rPr>
          <w:rFonts w:eastAsia="Times New Roman"/>
          <w:color w:val="000000"/>
          <w:sz w:val="20"/>
          <w:szCs w:val="20"/>
          <w:shd w:val="clear" w:color="auto" w:fill="FFFFFF"/>
        </w:rPr>
        <w:t>•general economic and business conditions in our local markets, including conditions affec</w:t>
      </w:r>
      <w:r>
        <w:rPr>
          <w:rFonts w:eastAsia="Times New Roman"/>
          <w:color w:val="000000"/>
          <w:sz w:val="20"/>
          <w:szCs w:val="20"/>
          <w:shd w:val="clear" w:color="auto" w:fill="FFFFFF"/>
        </w:rPr>
        <w:t>ting employment levels, interest rates, collateral values, consumer income, creditworthiness and confidence, spending and savings that may affect consumer bankruptcies, defaults, charge-offs and deposit activity;</w:t>
      </w:r>
    </w:p>
    <w:p w:rsidR="00000000" w:rsidRDefault="0094004B">
      <w:pPr>
        <w:ind w:hanging="360"/>
        <w:jc w:val="both"/>
        <w:divId w:val="822161264"/>
        <w:rPr>
          <w:rFonts w:eastAsia="Times New Roman"/>
        </w:rPr>
      </w:pPr>
      <w:r>
        <w:rPr>
          <w:rFonts w:eastAsia="Times New Roman"/>
          <w:color w:val="000000"/>
          <w:sz w:val="20"/>
          <w:szCs w:val="20"/>
          <w:shd w:val="clear" w:color="auto" w:fill="FFFFFF"/>
        </w:rPr>
        <w:t>•increases or fluctuations in credit losses</w:t>
      </w:r>
      <w:r>
        <w:rPr>
          <w:rFonts w:eastAsia="Times New Roman"/>
          <w:color w:val="000000"/>
          <w:sz w:val="20"/>
          <w:szCs w:val="20"/>
          <w:shd w:val="clear" w:color="auto" w:fill="FFFFFF"/>
        </w:rPr>
        <w:t xml:space="preserve"> and delinquencies and the impact of inaccurate estimates or inadequate reserves;</w:t>
      </w:r>
    </w:p>
    <w:p w:rsidR="00000000" w:rsidRDefault="0094004B">
      <w:pPr>
        <w:ind w:hanging="360"/>
        <w:jc w:val="both"/>
        <w:divId w:val="1683127307"/>
        <w:rPr>
          <w:rFonts w:eastAsia="Times New Roman"/>
        </w:rPr>
      </w:pPr>
      <w:r>
        <w:rPr>
          <w:rFonts w:eastAsia="Times New Roman"/>
          <w:color w:val="000000"/>
          <w:sz w:val="20"/>
          <w:szCs w:val="20"/>
          <w:shd w:val="clear" w:color="auto" w:fill="FFFFFF"/>
        </w:rPr>
        <w:t>•the impact of the COVID-19 pandemic on our business, financial condition and results of operations may persist for an extended period or worsen, including labor shortages, d</w:t>
      </w:r>
      <w:r>
        <w:rPr>
          <w:rFonts w:eastAsia="Times New Roman"/>
          <w:color w:val="000000"/>
          <w:sz w:val="20"/>
          <w:szCs w:val="20"/>
          <w:shd w:val="clear" w:color="auto" w:fill="FFFFFF"/>
        </w:rPr>
        <w:t>isruption of global supply chains and inflationary pressures, and could impact our estimates of credit losses in our loan portfolios required in computing our allowance for credit losses;</w:t>
      </w:r>
    </w:p>
    <w:p w:rsidR="00000000" w:rsidRDefault="0094004B">
      <w:pPr>
        <w:ind w:hanging="360"/>
        <w:jc w:val="both"/>
        <w:divId w:val="1715539995"/>
        <w:rPr>
          <w:rFonts w:eastAsia="Times New Roman"/>
        </w:rPr>
      </w:pPr>
      <w:r>
        <w:rPr>
          <w:rFonts w:eastAsia="Times New Roman"/>
          <w:color w:val="000000"/>
          <w:sz w:val="20"/>
          <w:szCs w:val="20"/>
          <w:shd w:val="clear" w:color="auto" w:fill="FFFFFF"/>
        </w:rPr>
        <w:t>•</w:t>
      </w:r>
      <w:r>
        <w:rPr>
          <w:rFonts w:eastAsia="Times New Roman"/>
          <w:color w:val="000000"/>
          <w:sz w:val="20"/>
          <w:szCs w:val="20"/>
          <w:shd w:val="clear" w:color="auto" w:fill="FFFFFF"/>
        </w:rPr>
        <w:t>compliance with new and existing laws, regulations and regulatory expectations;</w:t>
      </w:r>
    </w:p>
    <w:p w:rsidR="00000000" w:rsidRDefault="0094004B">
      <w:pPr>
        <w:ind w:hanging="360"/>
        <w:jc w:val="both"/>
        <w:divId w:val="1769425474"/>
        <w:rPr>
          <w:rFonts w:eastAsia="Times New Roman"/>
        </w:rPr>
      </w:pPr>
      <w:r>
        <w:rPr>
          <w:rFonts w:eastAsia="Times New Roman"/>
          <w:color w:val="000000"/>
          <w:sz w:val="20"/>
          <w:szCs w:val="20"/>
          <w:shd w:val="clear" w:color="auto" w:fill="FFFFFF"/>
        </w:rPr>
        <w:t>•limitations on our ability to receive dividends from our subsidiaries;</w:t>
      </w:r>
    </w:p>
    <w:p w:rsidR="00000000" w:rsidRDefault="0094004B">
      <w:pPr>
        <w:ind w:hanging="360"/>
        <w:jc w:val="both"/>
        <w:divId w:val="1976794371"/>
        <w:rPr>
          <w:rFonts w:eastAsia="Times New Roman"/>
        </w:rPr>
      </w:pPr>
      <w:r>
        <w:rPr>
          <w:rFonts w:eastAsia="Times New Roman"/>
          <w:color w:val="000000"/>
          <w:sz w:val="20"/>
          <w:szCs w:val="20"/>
          <w:shd w:val="clear" w:color="auto" w:fill="FFFFFF"/>
        </w:rPr>
        <w:t>•our ability to maintain adequate capital or liquidity levels or to comply with revised capital or liqui</w:t>
      </w:r>
      <w:r>
        <w:rPr>
          <w:rFonts w:eastAsia="Times New Roman"/>
          <w:color w:val="000000"/>
          <w:sz w:val="20"/>
          <w:szCs w:val="20"/>
          <w:shd w:val="clear" w:color="auto" w:fill="FFFFFF"/>
        </w:rPr>
        <w:t>dity requirements, which could have a negative impact on our financial results and our ability to return capital to our stockholders;</w:t>
      </w:r>
    </w:p>
    <w:p w:rsidR="00000000" w:rsidRDefault="0094004B">
      <w:pPr>
        <w:ind w:hanging="360"/>
        <w:jc w:val="both"/>
        <w:divId w:val="2034530861"/>
        <w:rPr>
          <w:rFonts w:eastAsia="Times New Roman"/>
        </w:rPr>
      </w:pPr>
      <w:r>
        <w:rPr>
          <w:rFonts w:eastAsia="Times New Roman"/>
          <w:color w:val="000000"/>
          <w:sz w:val="20"/>
          <w:szCs w:val="20"/>
          <w:shd w:val="clear" w:color="auto" w:fill="FFFFFF"/>
        </w:rPr>
        <w:t>•the extensive use, reliability, and accuracy of the models and data on which we rely;</w:t>
      </w:r>
    </w:p>
    <w:p w:rsidR="00000000" w:rsidRDefault="0094004B">
      <w:pPr>
        <w:ind w:hanging="360"/>
        <w:jc w:val="both"/>
        <w:divId w:val="945768559"/>
        <w:rPr>
          <w:rFonts w:eastAsia="Times New Roman"/>
        </w:rPr>
      </w:pPr>
      <w:r>
        <w:rPr>
          <w:rFonts w:eastAsia="Times New Roman"/>
          <w:color w:val="000000"/>
          <w:sz w:val="20"/>
          <w:szCs w:val="20"/>
          <w:shd w:val="clear" w:color="auto" w:fill="FFFFFF"/>
        </w:rPr>
        <w:t>•increased costs, reductions in rev</w:t>
      </w:r>
      <w:r>
        <w:rPr>
          <w:rFonts w:eastAsia="Times New Roman"/>
          <w:color w:val="000000"/>
          <w:sz w:val="20"/>
          <w:szCs w:val="20"/>
          <w:shd w:val="clear" w:color="auto" w:fill="FFFFFF"/>
        </w:rPr>
        <w:t>enue, reputational damage, legal exposure and business disruptions that can result from data protection or security incidents or a cyber-attack or other similar incidents, including one that results in the theft, loss, manipulation or misuse of information</w:t>
      </w:r>
      <w:r>
        <w:rPr>
          <w:rFonts w:eastAsia="Times New Roman"/>
          <w:color w:val="000000"/>
          <w:sz w:val="20"/>
          <w:szCs w:val="20"/>
          <w:shd w:val="clear" w:color="auto" w:fill="FFFFFF"/>
        </w:rPr>
        <w:t>, or the disabling of systems and access to information critical to business operations;</w:t>
      </w:r>
    </w:p>
    <w:p w:rsidR="00000000" w:rsidRDefault="0094004B">
      <w:pPr>
        <w:ind w:hanging="360"/>
        <w:jc w:val="both"/>
        <w:divId w:val="1516503245"/>
        <w:rPr>
          <w:rFonts w:eastAsia="Times New Roman"/>
        </w:rPr>
      </w:pPr>
      <w:r>
        <w:rPr>
          <w:rFonts w:eastAsia="Times New Roman"/>
          <w:color w:val="000000"/>
          <w:sz w:val="20"/>
          <w:szCs w:val="20"/>
          <w:shd w:val="clear" w:color="auto" w:fill="FFFFFF"/>
        </w:rPr>
        <w:t>•developments, changes or actions relating to any litigation, governmental investigation or regulatory enforcement action or matter involving us;</w:t>
      </w:r>
    </w:p>
    <w:p w:rsidR="00000000" w:rsidRDefault="0094004B">
      <w:pPr>
        <w:ind w:hanging="360"/>
        <w:jc w:val="both"/>
        <w:divId w:val="1396926300"/>
        <w:rPr>
          <w:rFonts w:eastAsia="Times New Roman"/>
        </w:rPr>
      </w:pPr>
      <w:r>
        <w:rPr>
          <w:rFonts w:eastAsia="Times New Roman"/>
          <w:color w:val="000000"/>
          <w:sz w:val="20"/>
          <w:szCs w:val="20"/>
          <w:shd w:val="clear" w:color="auto" w:fill="FFFFFF"/>
        </w:rPr>
        <w:t xml:space="preserve">•the amount and rate </w:t>
      </w:r>
      <w:r>
        <w:rPr>
          <w:rFonts w:eastAsia="Times New Roman"/>
          <w:color w:val="000000"/>
          <w:sz w:val="20"/>
          <w:szCs w:val="20"/>
          <w:shd w:val="clear" w:color="auto" w:fill="FFFFFF"/>
        </w:rPr>
        <w:t>of deposit growth and changes in deposit costs;</w:t>
      </w:r>
    </w:p>
    <w:p w:rsidR="00000000" w:rsidRDefault="0094004B">
      <w:pPr>
        <w:ind w:hanging="360"/>
        <w:jc w:val="both"/>
        <w:divId w:val="1440222791"/>
        <w:rPr>
          <w:rFonts w:eastAsia="Times New Roman"/>
        </w:rPr>
      </w:pPr>
      <w:r>
        <w:rPr>
          <w:rFonts w:eastAsia="Times New Roman"/>
          <w:color w:val="000000"/>
          <w:sz w:val="20"/>
          <w:szCs w:val="20"/>
          <w:shd w:val="clear" w:color="auto" w:fill="FFFFFF"/>
        </w:rPr>
        <w:t>•our ability to execute on our strategic and operational plans;</w:t>
      </w:r>
    </w:p>
    <w:p w:rsidR="00000000" w:rsidRDefault="0094004B">
      <w:pPr>
        <w:ind w:hanging="360"/>
        <w:jc w:val="both"/>
        <w:divId w:val="1382166014"/>
        <w:rPr>
          <w:rFonts w:eastAsia="Times New Roman"/>
        </w:rPr>
      </w:pPr>
      <w:r>
        <w:rPr>
          <w:rFonts w:eastAsia="Times New Roman"/>
          <w:color w:val="000000"/>
          <w:sz w:val="20"/>
          <w:szCs w:val="20"/>
          <w:shd w:val="clear" w:color="auto" w:fill="FFFFFF"/>
        </w:rPr>
        <w:t>•our response to competitive pressures;</w:t>
      </w:r>
    </w:p>
    <w:p w:rsidR="00000000" w:rsidRDefault="0094004B">
      <w:pPr>
        <w:ind w:hanging="360"/>
        <w:jc w:val="both"/>
        <w:divId w:val="297687088"/>
        <w:rPr>
          <w:rFonts w:eastAsia="Times New Roman"/>
        </w:rPr>
      </w:pPr>
      <w:r>
        <w:rPr>
          <w:rFonts w:eastAsia="Times New Roman"/>
          <w:color w:val="000000"/>
          <w:sz w:val="20"/>
          <w:szCs w:val="20"/>
          <w:shd w:val="clear" w:color="auto" w:fill="FFFFFF"/>
        </w:rPr>
        <w:t>•our business, financial condition and results of operations may be adversely affected by merchants’ inc</w:t>
      </w:r>
      <w:r>
        <w:rPr>
          <w:rFonts w:eastAsia="Times New Roman"/>
          <w:color w:val="000000"/>
          <w:sz w:val="20"/>
          <w:szCs w:val="20"/>
          <w:shd w:val="clear" w:color="auto" w:fill="FFFFFF"/>
        </w:rPr>
        <w:t>reasing focus on the fees charged by credit and debit card networks and by legislation and regulation impacting such fees;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742677785"/>
          <w:jc w:val="center"/>
        </w:trPr>
        <w:tc>
          <w:tcPr>
            <w:tcW w:w="50" w:type="pct"/>
            <w:vAlign w:val="center"/>
            <w:hideMark/>
          </w:tcPr>
          <w:p w:rsidR="00000000" w:rsidRDefault="0094004B">
            <w:pPr>
              <w:ind w:hanging="360"/>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742677785"/>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742677785"/>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20</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045" style="width:0;height:1.5pt" o:hralign="center" o:hrstd="t" o:hr="t" fillcolor="#a0a0a0" stroked="f"/>
        </w:pict>
      </w:r>
    </w:p>
    <w:p w:rsidR="00000000" w:rsidRDefault="0094004B">
      <w:pPr>
        <w:jc w:val="both"/>
        <w:divId w:val="2087914557"/>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ind w:hanging="360"/>
        <w:jc w:val="both"/>
        <w:divId w:val="442965723"/>
        <w:rPr>
          <w:rFonts w:eastAsia="Times New Roman"/>
        </w:rPr>
      </w:pPr>
      <w:r>
        <w:rPr>
          <w:rFonts w:eastAsia="Times New Roman"/>
          <w:color w:val="000000"/>
          <w:sz w:val="20"/>
          <w:szCs w:val="20"/>
          <w:shd w:val="clear" w:color="auto" w:fill="FFFFFF"/>
        </w:rPr>
        <w:t>•our success in integrating acquired businesses and loan portfolios, and our ability to realize anticipated benefits from announced transaction</w:t>
      </w:r>
      <w:r>
        <w:rPr>
          <w:rFonts w:eastAsia="Times New Roman"/>
          <w:color w:val="000000"/>
          <w:sz w:val="20"/>
          <w:szCs w:val="20"/>
          <w:shd w:val="clear" w:color="auto" w:fill="FFFFFF"/>
        </w:rPr>
        <w:t>s and strategic partnerships;</w:t>
      </w:r>
    </w:p>
    <w:p w:rsidR="00000000" w:rsidRDefault="0094004B">
      <w:pPr>
        <w:ind w:hanging="360"/>
        <w:jc w:val="both"/>
        <w:divId w:val="956913514"/>
        <w:rPr>
          <w:rFonts w:eastAsia="Times New Roman"/>
        </w:rPr>
      </w:pPr>
      <w:r>
        <w:rPr>
          <w:rFonts w:eastAsia="Times New Roman"/>
          <w:color w:val="000000"/>
          <w:sz w:val="20"/>
          <w:szCs w:val="20"/>
          <w:shd w:val="clear" w:color="auto" w:fill="FFFFFF"/>
        </w:rPr>
        <w:t>•our ability to develop, operate, and adapt our operational, technology and organizational infrastructure suitable for the nature of our business;</w:t>
      </w:r>
    </w:p>
    <w:p w:rsidR="00000000" w:rsidRDefault="0094004B">
      <w:pPr>
        <w:ind w:hanging="360"/>
        <w:jc w:val="both"/>
        <w:divId w:val="495923063"/>
        <w:rPr>
          <w:rFonts w:eastAsia="Times New Roman"/>
        </w:rPr>
      </w:pPr>
      <w:r>
        <w:rPr>
          <w:rFonts w:eastAsia="Times New Roman"/>
          <w:color w:val="000000"/>
          <w:sz w:val="20"/>
          <w:szCs w:val="20"/>
          <w:shd w:val="clear" w:color="auto" w:fill="FFFFFF"/>
        </w:rPr>
        <w:t>•</w:t>
      </w:r>
      <w:r>
        <w:rPr>
          <w:rFonts w:eastAsia="Times New Roman"/>
          <w:color w:val="000000"/>
          <w:sz w:val="20"/>
          <w:szCs w:val="20"/>
          <w:shd w:val="clear" w:color="auto" w:fill="FFFFFF"/>
        </w:rPr>
        <w:t>the success of our marketing efforts in attracting and retaining customers;</w:t>
      </w:r>
    </w:p>
    <w:p w:rsidR="00000000" w:rsidRDefault="0094004B">
      <w:pPr>
        <w:ind w:hanging="360"/>
        <w:jc w:val="both"/>
        <w:divId w:val="224417682"/>
        <w:rPr>
          <w:rFonts w:eastAsia="Times New Roman"/>
        </w:rPr>
      </w:pPr>
      <w:r>
        <w:rPr>
          <w:rFonts w:eastAsia="Times New Roman"/>
          <w:color w:val="000000"/>
          <w:sz w:val="20"/>
          <w:szCs w:val="20"/>
          <w:shd w:val="clear" w:color="auto" w:fill="FFFFFF"/>
        </w:rPr>
        <w:t>•our risk management strategies;</w:t>
      </w:r>
    </w:p>
    <w:p w:rsidR="00000000" w:rsidRDefault="0094004B">
      <w:pPr>
        <w:ind w:hanging="360"/>
        <w:jc w:val="both"/>
        <w:divId w:val="498233169"/>
        <w:rPr>
          <w:rFonts w:eastAsia="Times New Roman"/>
        </w:rPr>
      </w:pPr>
      <w:r>
        <w:rPr>
          <w:rFonts w:eastAsia="Times New Roman"/>
          <w:color w:val="000000"/>
          <w:sz w:val="20"/>
          <w:szCs w:val="20"/>
          <w:shd w:val="clear" w:color="auto" w:fill="FFFFFF"/>
        </w:rPr>
        <w:t>•changes in the reputation of, or expectations regarding, us or the financial services industry with respect to practices, products or financial co</w:t>
      </w:r>
      <w:r>
        <w:rPr>
          <w:rFonts w:eastAsia="Times New Roman"/>
          <w:color w:val="000000"/>
          <w:sz w:val="20"/>
          <w:szCs w:val="20"/>
          <w:shd w:val="clear" w:color="auto" w:fill="FFFFFF"/>
        </w:rPr>
        <w:t>ndition;</w:t>
      </w:r>
    </w:p>
    <w:p w:rsidR="00000000" w:rsidRDefault="0094004B">
      <w:pPr>
        <w:ind w:hanging="360"/>
        <w:jc w:val="both"/>
        <w:divId w:val="504250246"/>
        <w:rPr>
          <w:rFonts w:eastAsia="Times New Roman"/>
        </w:rPr>
      </w:pPr>
      <w:r>
        <w:rPr>
          <w:rFonts w:eastAsia="Times New Roman"/>
          <w:color w:val="000000"/>
          <w:sz w:val="20"/>
          <w:szCs w:val="20"/>
          <w:shd w:val="clear" w:color="auto" w:fill="FFFFFF"/>
        </w:rPr>
        <w:t>•fluctuations in market interest rates or volatility in the capital markets</w:t>
      </w:r>
      <w:r>
        <w:rPr>
          <w:rFonts w:eastAsia="Times New Roman"/>
          <w:color w:val="000000"/>
          <w:sz w:val="20"/>
          <w:szCs w:val="20"/>
          <w:shd w:val="clear" w:color="auto" w:fill="FFFFFF"/>
        </w:rPr>
        <w:t>;</w:t>
      </w:r>
    </w:p>
    <w:p w:rsidR="00000000" w:rsidRDefault="0094004B">
      <w:pPr>
        <w:ind w:hanging="360"/>
        <w:jc w:val="both"/>
        <w:divId w:val="138037896"/>
        <w:rPr>
          <w:rFonts w:eastAsia="Times New Roman"/>
        </w:rPr>
      </w:pPr>
      <w:r>
        <w:rPr>
          <w:rFonts w:eastAsia="Times New Roman"/>
          <w:color w:val="000000"/>
          <w:sz w:val="20"/>
          <w:szCs w:val="20"/>
          <w:shd w:val="clear" w:color="auto" w:fill="FFFFFF"/>
        </w:rPr>
        <w:t>•the transition away from the London Interbank Offered Rate (“LIBOR”);</w:t>
      </w:r>
    </w:p>
    <w:p w:rsidR="00000000" w:rsidRDefault="0094004B">
      <w:pPr>
        <w:ind w:hanging="360"/>
        <w:jc w:val="both"/>
        <w:divId w:val="1862013277"/>
        <w:rPr>
          <w:rFonts w:eastAsia="Times New Roman"/>
        </w:rPr>
      </w:pPr>
      <w:r>
        <w:rPr>
          <w:rFonts w:eastAsia="Times New Roman"/>
          <w:color w:val="000000"/>
          <w:sz w:val="20"/>
          <w:szCs w:val="20"/>
          <w:shd w:val="clear" w:color="auto" w:fill="FFFFFF"/>
        </w:rPr>
        <w:t>•our ability to attract, retain and motivate key senior leaders and skilled employees;</w:t>
      </w:r>
    </w:p>
    <w:p w:rsidR="00000000" w:rsidRDefault="0094004B">
      <w:pPr>
        <w:ind w:hanging="360"/>
        <w:jc w:val="both"/>
        <w:divId w:val="658584732"/>
        <w:rPr>
          <w:rFonts w:eastAsia="Times New Roman"/>
        </w:rPr>
      </w:pPr>
      <w:r>
        <w:rPr>
          <w:rFonts w:eastAsia="Times New Roman"/>
          <w:color w:val="000000"/>
          <w:sz w:val="20"/>
          <w:szCs w:val="20"/>
          <w:shd w:val="clear" w:color="auto" w:fill="FFFFFF"/>
        </w:rPr>
        <w:t>•climate cha</w:t>
      </w:r>
      <w:r>
        <w:rPr>
          <w:rFonts w:eastAsia="Times New Roman"/>
          <w:color w:val="000000"/>
          <w:sz w:val="20"/>
          <w:szCs w:val="20"/>
          <w:shd w:val="clear" w:color="auto" w:fill="FFFFFF"/>
        </w:rPr>
        <w:t>nge manifesting as physical or transition risks;</w:t>
      </w:r>
    </w:p>
    <w:p w:rsidR="00000000" w:rsidRDefault="0094004B">
      <w:pPr>
        <w:ind w:hanging="360"/>
        <w:jc w:val="both"/>
        <w:divId w:val="1773815943"/>
        <w:rPr>
          <w:rFonts w:eastAsia="Times New Roman"/>
        </w:rPr>
      </w:pPr>
      <w:r>
        <w:rPr>
          <w:rFonts w:eastAsia="Times New Roman"/>
          <w:color w:val="000000"/>
          <w:sz w:val="20"/>
          <w:szCs w:val="20"/>
          <w:shd w:val="clear" w:color="auto" w:fill="FFFFFF"/>
        </w:rPr>
        <w:t>•our assumptions or estimates in our financial statements;</w:t>
      </w:r>
    </w:p>
    <w:p w:rsidR="00000000" w:rsidRDefault="0094004B">
      <w:pPr>
        <w:ind w:hanging="360"/>
        <w:jc w:val="both"/>
        <w:divId w:val="127868346"/>
        <w:rPr>
          <w:rFonts w:eastAsia="Times New Roman"/>
        </w:rPr>
      </w:pPr>
      <w:r>
        <w:rPr>
          <w:rFonts w:eastAsia="Times New Roman"/>
          <w:color w:val="000000"/>
          <w:sz w:val="20"/>
          <w:szCs w:val="20"/>
          <w:shd w:val="clear" w:color="auto" w:fill="FFFFFF"/>
        </w:rPr>
        <w:t xml:space="preserve">•the soundness of other financial institutions and other third parties; </w:t>
      </w:r>
    </w:p>
    <w:p w:rsidR="00000000" w:rsidRDefault="0094004B">
      <w:pPr>
        <w:ind w:hanging="360"/>
        <w:jc w:val="both"/>
        <w:divId w:val="2075928550"/>
        <w:rPr>
          <w:rFonts w:eastAsia="Times New Roman"/>
        </w:rPr>
      </w:pPr>
      <w:r>
        <w:rPr>
          <w:rFonts w:eastAsia="Times New Roman"/>
          <w:color w:val="000000"/>
          <w:sz w:val="20"/>
          <w:szCs w:val="20"/>
          <w:shd w:val="clear" w:color="auto" w:fill="FFFFFF"/>
        </w:rPr>
        <w:t>•</w:t>
      </w:r>
      <w:r>
        <w:rPr>
          <w:rFonts w:eastAsia="Times New Roman"/>
          <w:color w:val="000000"/>
          <w:sz w:val="20"/>
          <w:szCs w:val="20"/>
          <w:shd w:val="clear" w:color="auto" w:fill="FFFFFF"/>
        </w:rPr>
        <w:t xml:space="preserve">our ability to invest successfully in and introduce digital and other technological developments across all our businesses; </w:t>
      </w:r>
    </w:p>
    <w:p w:rsidR="00000000" w:rsidRDefault="0094004B">
      <w:pPr>
        <w:ind w:hanging="360"/>
        <w:jc w:val="both"/>
        <w:divId w:val="659046358"/>
        <w:rPr>
          <w:rFonts w:eastAsia="Times New Roman"/>
        </w:rPr>
      </w:pPr>
      <w:r>
        <w:rPr>
          <w:rFonts w:eastAsia="Times New Roman"/>
          <w:color w:val="000000"/>
          <w:sz w:val="20"/>
          <w:szCs w:val="20"/>
          <w:shd w:val="clear" w:color="auto" w:fill="FFFFFF"/>
        </w:rPr>
        <w:t>•our ability to manage risks from catastrophic events;</w:t>
      </w:r>
    </w:p>
    <w:p w:rsidR="00000000" w:rsidRDefault="0094004B">
      <w:pPr>
        <w:ind w:hanging="360"/>
        <w:jc w:val="both"/>
        <w:divId w:val="2111974965"/>
        <w:rPr>
          <w:rFonts w:eastAsia="Times New Roman"/>
        </w:rPr>
      </w:pPr>
      <w:r>
        <w:rPr>
          <w:rFonts w:eastAsia="Times New Roman"/>
          <w:color w:val="000000"/>
          <w:sz w:val="20"/>
          <w:szCs w:val="20"/>
          <w:shd w:val="clear" w:color="auto" w:fill="FFFFFF"/>
        </w:rPr>
        <w:t>•compliance with applicable laws and regulations related to privacy, data pr</w:t>
      </w:r>
      <w:r>
        <w:rPr>
          <w:rFonts w:eastAsia="Times New Roman"/>
          <w:color w:val="000000"/>
          <w:sz w:val="20"/>
          <w:szCs w:val="20"/>
          <w:shd w:val="clear" w:color="auto" w:fill="FFFFFF"/>
        </w:rPr>
        <w:t>otection and data security;</w:t>
      </w:r>
    </w:p>
    <w:p w:rsidR="00000000" w:rsidRDefault="0094004B">
      <w:pPr>
        <w:ind w:hanging="360"/>
        <w:jc w:val="both"/>
        <w:divId w:val="874074431"/>
        <w:rPr>
          <w:rFonts w:eastAsia="Times New Roman"/>
        </w:rPr>
      </w:pPr>
      <w:r>
        <w:rPr>
          <w:rFonts w:eastAsia="Times New Roman"/>
          <w:color w:val="000000"/>
          <w:sz w:val="20"/>
          <w:szCs w:val="20"/>
          <w:shd w:val="clear" w:color="auto" w:fill="FFFFFF"/>
        </w:rPr>
        <w:t xml:space="preserve">•our ability to protect our intellectual property; and </w:t>
      </w:r>
    </w:p>
    <w:p w:rsidR="00000000" w:rsidRDefault="0094004B">
      <w:pPr>
        <w:ind w:hanging="360"/>
        <w:jc w:val="both"/>
        <w:divId w:val="1834561374"/>
        <w:rPr>
          <w:rFonts w:eastAsia="Times New Roman"/>
        </w:rPr>
      </w:pPr>
      <w:r>
        <w:rPr>
          <w:rFonts w:eastAsia="Times New Roman"/>
          <w:color w:val="000000"/>
          <w:sz w:val="20"/>
          <w:szCs w:val="20"/>
          <w:shd w:val="clear" w:color="auto" w:fill="FFFFFF"/>
        </w:rPr>
        <w:t>•other risk factors identified from time to time in our public disclosures, including in the reports that we file with the SEC.</w:t>
      </w:r>
    </w:p>
    <w:p w:rsidR="00000000" w:rsidRDefault="0094004B">
      <w:pPr>
        <w:jc w:val="both"/>
        <w:divId w:val="1290209695"/>
        <w:rPr>
          <w:rFonts w:eastAsia="Times New Roman"/>
        </w:rPr>
      </w:pPr>
      <w:r>
        <w:rPr>
          <w:rFonts w:eastAsia="Times New Roman"/>
          <w:b/>
          <w:bCs/>
          <w:color w:val="000000"/>
          <w:sz w:val="20"/>
          <w:szCs w:val="20"/>
        </w:rPr>
        <w:t xml:space="preserve">Item 1A. Risk Factors </w:t>
      </w:r>
    </w:p>
    <w:p w:rsidR="00000000" w:rsidRDefault="0094004B">
      <w:pPr>
        <w:jc w:val="both"/>
        <w:divId w:val="693193362"/>
        <w:rPr>
          <w:rFonts w:eastAsia="Times New Roman"/>
        </w:rPr>
      </w:pPr>
      <w:r>
        <w:rPr>
          <w:rFonts w:eastAsia="Times New Roman"/>
          <w:color w:val="000000"/>
          <w:sz w:val="20"/>
          <w:szCs w:val="20"/>
        </w:rPr>
        <w:t>The following discuss</w:t>
      </w:r>
      <w:r>
        <w:rPr>
          <w:rFonts w:eastAsia="Times New Roman"/>
          <w:color w:val="000000"/>
          <w:sz w:val="20"/>
          <w:szCs w:val="20"/>
        </w:rPr>
        <w:t>ion sets forth what management currently believes could be the material risks and uncertainties that could impact our businesses, results of operations and financial condition. The events and consequences discussed in these risk factors could, in circumsta</w:t>
      </w:r>
      <w:r>
        <w:rPr>
          <w:rFonts w:eastAsia="Times New Roman"/>
          <w:color w:val="000000"/>
          <w:sz w:val="20"/>
          <w:szCs w:val="20"/>
        </w:rPr>
        <w:t>nces we may not be able to accurately predict, recognize, or control, have a material adverse effect on our business, growth, reputation, prospects, financial condition, operating results, cash flows, liquidity, and stock price. These risk factors do not i</w:t>
      </w:r>
      <w:r>
        <w:rPr>
          <w:rFonts w:eastAsia="Times New Roman"/>
          <w:color w:val="000000"/>
          <w:sz w:val="20"/>
          <w:szCs w:val="20"/>
        </w:rPr>
        <w:t>dentify all risks that we face; our operations could also be affected by factors, events, or uncertainties that are not presently known to us or that we currently do not consider to present significant risks to our operations. In addition, the global econo</w:t>
      </w:r>
      <w:r>
        <w:rPr>
          <w:rFonts w:eastAsia="Times New Roman"/>
          <w:color w:val="000000"/>
          <w:sz w:val="20"/>
          <w:szCs w:val="20"/>
        </w:rPr>
        <w:t>mic and political climate may amplify many of these risks.</w:t>
      </w:r>
    </w:p>
    <w:p w:rsidR="00000000" w:rsidRDefault="0094004B">
      <w:pPr>
        <w:jc w:val="both"/>
        <w:divId w:val="1805929384"/>
        <w:rPr>
          <w:rFonts w:eastAsia="Times New Roman"/>
        </w:rPr>
      </w:pPr>
      <w:r>
        <w:rPr>
          <w:rFonts w:eastAsia="Times New Roman"/>
          <w:b/>
          <w:bCs/>
          <w:color w:val="000000"/>
          <w:sz w:val="20"/>
          <w:szCs w:val="20"/>
        </w:rPr>
        <w:t>Summary of Risk Factors</w:t>
      </w:r>
    </w:p>
    <w:p w:rsidR="00000000" w:rsidRDefault="0094004B">
      <w:pPr>
        <w:jc w:val="both"/>
        <w:divId w:val="18707496"/>
        <w:rPr>
          <w:rFonts w:eastAsia="Times New Roman"/>
        </w:rPr>
      </w:pPr>
      <w:r>
        <w:rPr>
          <w:rFonts w:eastAsia="Times New Roman"/>
          <w:color w:val="000000"/>
          <w:sz w:val="20"/>
          <w:szCs w:val="20"/>
        </w:rPr>
        <w:t>The following is a summary of the Risk Factors disclosure in this Item 1A. This summary does not address all of the risks that we face. Additional discussion of the risks su</w:t>
      </w:r>
      <w:r>
        <w:rPr>
          <w:rFonts w:eastAsia="Times New Roman"/>
          <w:color w:val="000000"/>
          <w:sz w:val="20"/>
          <w:szCs w:val="20"/>
        </w:rPr>
        <w:t xml:space="preserve">mmarized in this risk factor summary, and other risks that we face, can be found below and should be carefully considered, together with other information in this Form 10-K and our other filings with the SEC, before making an investment decision regarding </w:t>
      </w:r>
      <w:r>
        <w:rPr>
          <w:rFonts w:eastAsia="Times New Roman"/>
          <w:color w:val="000000"/>
          <w:sz w:val="20"/>
          <w:szCs w:val="20"/>
        </w:rPr>
        <w:t>our securities.</w:t>
      </w:r>
    </w:p>
    <w:p w:rsidR="00000000" w:rsidRDefault="0094004B">
      <w:pPr>
        <w:ind w:hanging="360"/>
        <w:jc w:val="both"/>
        <w:divId w:val="1247686641"/>
        <w:rPr>
          <w:rFonts w:eastAsia="Times New Roman"/>
        </w:rPr>
      </w:pPr>
      <w:r>
        <w:rPr>
          <w:rFonts w:eastAsia="Times New Roman"/>
          <w:b/>
          <w:bCs/>
          <w:i/>
          <w:iCs/>
          <w:color w:val="000000"/>
          <w:sz w:val="20"/>
          <w:szCs w:val="20"/>
        </w:rPr>
        <w:t>•</w:t>
      </w:r>
      <w:r>
        <w:rPr>
          <w:rFonts w:eastAsia="Times New Roman"/>
          <w:color w:val="000000"/>
          <w:sz w:val="20"/>
          <w:szCs w:val="20"/>
        </w:rPr>
        <w:t>Changes and instability in the macroeconomic environment, consumer confidence and customer behavior may adversely affect our business.</w:t>
      </w:r>
    </w:p>
    <w:p w:rsidR="00000000" w:rsidRDefault="0094004B">
      <w:pPr>
        <w:ind w:hanging="360"/>
        <w:jc w:val="both"/>
        <w:divId w:val="1224871325"/>
        <w:rPr>
          <w:rFonts w:eastAsia="Times New Roman"/>
        </w:rPr>
      </w:pPr>
      <w:r>
        <w:rPr>
          <w:rFonts w:eastAsia="Times New Roman"/>
          <w:b/>
          <w:bCs/>
          <w:i/>
          <w:iCs/>
          <w:color w:val="000000"/>
          <w:sz w:val="20"/>
          <w:szCs w:val="20"/>
        </w:rPr>
        <w:t>•</w:t>
      </w:r>
      <w:r>
        <w:rPr>
          <w:rFonts w:eastAsia="Times New Roman"/>
          <w:color w:val="000000"/>
          <w:sz w:val="20"/>
          <w:szCs w:val="20"/>
        </w:rPr>
        <w:t>Fluctuations in market interest rates or volatility in the capital markets could adversely affect our b</w:t>
      </w:r>
      <w:r>
        <w:rPr>
          <w:rFonts w:eastAsia="Times New Roman"/>
          <w:color w:val="000000"/>
          <w:sz w:val="20"/>
          <w:szCs w:val="20"/>
        </w:rPr>
        <w:t>usiness.</w:t>
      </w:r>
    </w:p>
    <w:p w:rsidR="00000000" w:rsidRDefault="0094004B">
      <w:pPr>
        <w:ind w:hanging="360"/>
        <w:jc w:val="both"/>
        <w:divId w:val="1413235062"/>
        <w:rPr>
          <w:rFonts w:eastAsia="Times New Roman"/>
        </w:rPr>
      </w:pPr>
      <w:r>
        <w:rPr>
          <w:rFonts w:eastAsia="Times New Roman"/>
          <w:b/>
          <w:bCs/>
          <w:i/>
          <w:iCs/>
          <w:color w:val="000000"/>
          <w:sz w:val="20"/>
          <w:szCs w:val="20"/>
        </w:rPr>
        <w:t>•</w:t>
      </w:r>
      <w:r>
        <w:rPr>
          <w:rFonts w:eastAsia="Times New Roman"/>
          <w:color w:val="000000"/>
          <w:sz w:val="20"/>
          <w:szCs w:val="20"/>
        </w:rPr>
        <w:t>Our results of operations may be adversely affected by the effects of the COVID-19 pandemic.</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489440682"/>
          <w:jc w:val="center"/>
        </w:trPr>
        <w:tc>
          <w:tcPr>
            <w:tcW w:w="50" w:type="pct"/>
            <w:vAlign w:val="center"/>
            <w:hideMark/>
          </w:tcPr>
          <w:p w:rsidR="00000000" w:rsidRDefault="0094004B">
            <w:pPr>
              <w:ind w:hanging="360"/>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489440682"/>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489440682"/>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21</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046" style="width:0;height:1.5pt" o:hralign="center" o:hrstd="t" o:hr="t" fillcolor="#a0a0a0" stroked="f"/>
        </w:pict>
      </w:r>
    </w:p>
    <w:p w:rsidR="00000000" w:rsidRDefault="0094004B">
      <w:pPr>
        <w:jc w:val="both"/>
        <w:divId w:val="515734690"/>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ind w:hanging="360"/>
        <w:jc w:val="both"/>
        <w:divId w:val="2137288064"/>
        <w:rPr>
          <w:rFonts w:eastAsia="Times New Roman"/>
        </w:rPr>
      </w:pPr>
      <w:r>
        <w:rPr>
          <w:rFonts w:eastAsia="Times New Roman"/>
          <w:b/>
          <w:bCs/>
          <w:i/>
          <w:iCs/>
          <w:color w:val="000000"/>
          <w:sz w:val="20"/>
          <w:szCs w:val="20"/>
        </w:rPr>
        <w:t>•</w:t>
      </w:r>
      <w:r>
        <w:rPr>
          <w:rFonts w:eastAsia="Times New Roman"/>
          <w:color w:val="000000"/>
          <w:sz w:val="20"/>
          <w:szCs w:val="20"/>
        </w:rPr>
        <w:t>We may experience increases or fluctuations in delinquencies and credit losses, inaccurate estimates and inadequate reserves.</w:t>
      </w:r>
    </w:p>
    <w:p w:rsidR="00000000" w:rsidRDefault="0094004B">
      <w:pPr>
        <w:ind w:hanging="360"/>
        <w:jc w:val="both"/>
        <w:divId w:val="2080589052"/>
        <w:rPr>
          <w:rFonts w:eastAsia="Times New Roman"/>
        </w:rPr>
      </w:pPr>
      <w:r>
        <w:rPr>
          <w:rFonts w:eastAsia="Times New Roman"/>
          <w:b/>
          <w:bCs/>
          <w:i/>
          <w:iCs/>
          <w:color w:val="000000"/>
          <w:sz w:val="20"/>
          <w:szCs w:val="20"/>
        </w:rPr>
        <w:t>•</w:t>
      </w:r>
      <w:r>
        <w:rPr>
          <w:rFonts w:eastAsia="Times New Roman"/>
          <w:color w:val="000000"/>
          <w:sz w:val="20"/>
          <w:szCs w:val="20"/>
        </w:rPr>
        <w:t>We may not be able to maintain adequate capital or liquidity levels or may become subject to revised capital or liquidity require</w:t>
      </w:r>
      <w:r>
        <w:rPr>
          <w:rFonts w:eastAsia="Times New Roman"/>
          <w:color w:val="000000"/>
          <w:sz w:val="20"/>
          <w:szCs w:val="20"/>
        </w:rPr>
        <w:t>ments, which could have a negative impact on our financial results and our ability to return capital to our stockholders.</w:t>
      </w:r>
    </w:p>
    <w:p w:rsidR="00000000" w:rsidRDefault="0094004B">
      <w:pPr>
        <w:ind w:hanging="360"/>
        <w:jc w:val="both"/>
        <w:divId w:val="246427785"/>
        <w:rPr>
          <w:rFonts w:eastAsia="Times New Roman"/>
        </w:rPr>
      </w:pPr>
      <w:r>
        <w:rPr>
          <w:rFonts w:eastAsia="Times New Roman"/>
          <w:b/>
          <w:bCs/>
          <w:i/>
          <w:iCs/>
          <w:color w:val="000000"/>
          <w:sz w:val="20"/>
          <w:szCs w:val="20"/>
        </w:rPr>
        <w:t>•</w:t>
      </w:r>
      <w:r>
        <w:rPr>
          <w:rFonts w:eastAsia="Times New Roman"/>
          <w:color w:val="000000"/>
          <w:sz w:val="20"/>
          <w:szCs w:val="20"/>
        </w:rPr>
        <w:t>Limitations on our ability to receive dividends from our subsidiaries could affect our liquidity and ability to pay dividends and rep</w:t>
      </w:r>
      <w:r>
        <w:rPr>
          <w:rFonts w:eastAsia="Times New Roman"/>
          <w:color w:val="000000"/>
          <w:sz w:val="20"/>
          <w:szCs w:val="20"/>
        </w:rPr>
        <w:t>urchase common stock.</w:t>
      </w:r>
    </w:p>
    <w:p w:rsidR="00000000" w:rsidRDefault="0094004B">
      <w:pPr>
        <w:ind w:hanging="360"/>
        <w:jc w:val="both"/>
        <w:divId w:val="421805566"/>
        <w:rPr>
          <w:rFonts w:eastAsia="Times New Roman"/>
        </w:rPr>
      </w:pPr>
      <w:r>
        <w:rPr>
          <w:rFonts w:eastAsia="Times New Roman"/>
          <w:color w:val="000000"/>
          <w:sz w:val="20"/>
          <w:szCs w:val="20"/>
        </w:rPr>
        <w:t>•We face risks related to our operational, technological and organizational infrastructure.</w:t>
      </w:r>
    </w:p>
    <w:p w:rsidR="00000000" w:rsidRDefault="0094004B">
      <w:pPr>
        <w:ind w:hanging="360"/>
        <w:jc w:val="both"/>
        <w:divId w:val="1488015160"/>
        <w:rPr>
          <w:rFonts w:eastAsia="Times New Roman"/>
        </w:rPr>
      </w:pPr>
      <w:r>
        <w:rPr>
          <w:rFonts w:eastAsia="Times New Roman"/>
          <w:i/>
          <w:iCs/>
          <w:color w:val="000000"/>
          <w:sz w:val="20"/>
          <w:szCs w:val="20"/>
        </w:rPr>
        <w:t>•</w:t>
      </w:r>
      <w:r>
        <w:rPr>
          <w:rFonts w:eastAsia="Times New Roman"/>
          <w:color w:val="000000"/>
          <w:sz w:val="20"/>
          <w:szCs w:val="20"/>
        </w:rPr>
        <w:t>A cyber-attack or other security incident, including one that results in the theft, loss, manipulation or misuse of information (including personal information), or the disabling of systems and access to information critical to business operations, may res</w:t>
      </w:r>
      <w:r>
        <w:rPr>
          <w:rFonts w:eastAsia="Times New Roman"/>
          <w:color w:val="000000"/>
          <w:sz w:val="20"/>
          <w:szCs w:val="20"/>
        </w:rPr>
        <w:t>ult in increased costs, reductions in revenue, reputational damage, legal exposure and business disruptions.</w:t>
      </w:r>
    </w:p>
    <w:p w:rsidR="00000000" w:rsidRDefault="0094004B">
      <w:pPr>
        <w:ind w:hanging="360"/>
        <w:jc w:val="both"/>
        <w:divId w:val="1023437763"/>
        <w:rPr>
          <w:rFonts w:eastAsia="Times New Roman"/>
        </w:rPr>
      </w:pPr>
      <w:r>
        <w:rPr>
          <w:rFonts w:eastAsia="Times New Roman"/>
          <w:color w:val="000000"/>
          <w:sz w:val="20"/>
          <w:szCs w:val="20"/>
        </w:rPr>
        <w:t xml:space="preserve">•Our required compliance with applicable laws and regulations related to privacy, data protection and data security may increase our costs, reduce </w:t>
      </w:r>
      <w:r>
        <w:rPr>
          <w:rFonts w:eastAsia="Times New Roman"/>
          <w:color w:val="000000"/>
          <w:sz w:val="20"/>
          <w:szCs w:val="20"/>
        </w:rPr>
        <w:t>our revenue, increase our legal exposure and limit our ability to pursue business opportunities.</w:t>
      </w:r>
    </w:p>
    <w:p w:rsidR="00000000" w:rsidRDefault="0094004B">
      <w:pPr>
        <w:ind w:hanging="360"/>
        <w:jc w:val="both"/>
        <w:divId w:val="1013993461"/>
        <w:rPr>
          <w:rFonts w:eastAsia="Times New Roman"/>
        </w:rPr>
      </w:pPr>
      <w:r>
        <w:rPr>
          <w:rFonts w:eastAsia="Times New Roman"/>
          <w:color w:val="000000"/>
          <w:sz w:val="20"/>
          <w:szCs w:val="20"/>
        </w:rPr>
        <w:t>•We face risks resulting from the extensive use of models and data.</w:t>
      </w:r>
    </w:p>
    <w:p w:rsidR="00000000" w:rsidRDefault="0094004B">
      <w:pPr>
        <w:ind w:hanging="360"/>
        <w:jc w:val="both"/>
        <w:divId w:val="136992385"/>
        <w:rPr>
          <w:rFonts w:eastAsia="Times New Roman"/>
        </w:rPr>
      </w:pPr>
      <w:r>
        <w:rPr>
          <w:rFonts w:eastAsia="Times New Roman"/>
          <w:color w:val="000000"/>
          <w:sz w:val="20"/>
          <w:szCs w:val="20"/>
        </w:rPr>
        <w:t>•Compliance with new and existing laws, regulations and regulatory expectations is costly a</w:t>
      </w:r>
      <w:r>
        <w:rPr>
          <w:rFonts w:eastAsia="Times New Roman"/>
          <w:color w:val="000000"/>
          <w:sz w:val="20"/>
          <w:szCs w:val="20"/>
        </w:rPr>
        <w:t>nd complex.</w:t>
      </w:r>
    </w:p>
    <w:p w:rsidR="00000000" w:rsidRDefault="0094004B">
      <w:pPr>
        <w:ind w:hanging="360"/>
        <w:jc w:val="both"/>
        <w:divId w:val="594553817"/>
        <w:rPr>
          <w:rFonts w:eastAsia="Times New Roman"/>
        </w:rPr>
      </w:pPr>
      <w:r>
        <w:rPr>
          <w:rFonts w:eastAsia="Times New Roman"/>
          <w:b/>
          <w:bCs/>
          <w:i/>
          <w:iCs/>
          <w:color w:val="000000"/>
          <w:sz w:val="20"/>
          <w:szCs w:val="20"/>
        </w:rPr>
        <w:t>•</w:t>
      </w:r>
      <w:r>
        <w:rPr>
          <w:rFonts w:eastAsia="Times New Roman"/>
          <w:color w:val="000000"/>
          <w:sz w:val="20"/>
          <w:szCs w:val="20"/>
        </w:rPr>
        <w:t>Our businesses are subject to the risk of increased litigation, government investigations and regulatory enforcement.</w:t>
      </w:r>
    </w:p>
    <w:p w:rsidR="00000000" w:rsidRDefault="0094004B">
      <w:pPr>
        <w:ind w:hanging="360"/>
        <w:jc w:val="both"/>
        <w:divId w:val="1111316968"/>
        <w:rPr>
          <w:rFonts w:eastAsia="Times New Roman"/>
        </w:rPr>
      </w:pPr>
      <w:r>
        <w:rPr>
          <w:rFonts w:eastAsia="Times New Roman"/>
          <w:b/>
          <w:bCs/>
          <w:i/>
          <w:iCs/>
          <w:color w:val="000000"/>
          <w:sz w:val="20"/>
          <w:szCs w:val="20"/>
        </w:rPr>
        <w:t>•</w:t>
      </w:r>
      <w:r>
        <w:rPr>
          <w:rFonts w:eastAsia="Times New Roman"/>
          <w:color w:val="000000"/>
          <w:sz w:val="20"/>
          <w:szCs w:val="20"/>
        </w:rPr>
        <w:t>We face intense competition in all of our markets.</w:t>
      </w:r>
    </w:p>
    <w:p w:rsidR="00000000" w:rsidRDefault="0094004B">
      <w:pPr>
        <w:ind w:hanging="360"/>
        <w:jc w:val="both"/>
        <w:divId w:val="1126897668"/>
        <w:rPr>
          <w:rFonts w:eastAsia="Times New Roman"/>
        </w:rPr>
      </w:pPr>
      <w:r>
        <w:rPr>
          <w:rFonts w:eastAsia="Times New Roman"/>
          <w:b/>
          <w:bCs/>
          <w:i/>
          <w:iCs/>
          <w:color w:val="000000"/>
          <w:sz w:val="20"/>
          <w:szCs w:val="20"/>
        </w:rPr>
        <w:t>•</w:t>
      </w:r>
      <w:r>
        <w:rPr>
          <w:rFonts w:eastAsia="Times New Roman"/>
          <w:color w:val="000000"/>
          <w:sz w:val="20"/>
          <w:szCs w:val="20"/>
        </w:rPr>
        <w:t>Our business, financial condition and results of operations may be adver</w:t>
      </w:r>
      <w:r>
        <w:rPr>
          <w:rFonts w:eastAsia="Times New Roman"/>
          <w:color w:val="000000"/>
          <w:sz w:val="20"/>
          <w:szCs w:val="20"/>
        </w:rPr>
        <w:t>sely affected by merchants’ increasing focus on the fees charged by credit and debit card networks and by legislation and regulation impacting such fees.</w:t>
      </w:r>
    </w:p>
    <w:p w:rsidR="00000000" w:rsidRDefault="0094004B">
      <w:pPr>
        <w:ind w:hanging="360"/>
        <w:jc w:val="both"/>
        <w:divId w:val="1532524701"/>
        <w:rPr>
          <w:rFonts w:eastAsia="Times New Roman"/>
        </w:rPr>
      </w:pPr>
      <w:r>
        <w:rPr>
          <w:rFonts w:eastAsia="Times New Roman"/>
          <w:b/>
          <w:bCs/>
          <w:i/>
          <w:iCs/>
          <w:color w:val="000000"/>
          <w:sz w:val="20"/>
          <w:szCs w:val="20"/>
        </w:rPr>
        <w:t>•</w:t>
      </w:r>
      <w:r>
        <w:rPr>
          <w:rFonts w:eastAsia="Times New Roman"/>
          <w:color w:val="000000"/>
          <w:sz w:val="20"/>
          <w:szCs w:val="20"/>
        </w:rPr>
        <w:t>If we are not able to invest successfully in and introduce digital and other technological developmen</w:t>
      </w:r>
      <w:r>
        <w:rPr>
          <w:rFonts w:eastAsia="Times New Roman"/>
          <w:color w:val="000000"/>
          <w:sz w:val="20"/>
          <w:szCs w:val="20"/>
        </w:rPr>
        <w:t>ts across all our businesses, our financial performance may suffer.</w:t>
      </w:r>
    </w:p>
    <w:p w:rsidR="00000000" w:rsidRDefault="0094004B">
      <w:pPr>
        <w:ind w:hanging="360"/>
        <w:jc w:val="both"/>
        <w:divId w:val="1559322632"/>
        <w:rPr>
          <w:rFonts w:eastAsia="Times New Roman"/>
        </w:rPr>
      </w:pPr>
      <w:r>
        <w:rPr>
          <w:rFonts w:eastAsia="Times New Roman"/>
          <w:b/>
          <w:bCs/>
          <w:i/>
          <w:iCs/>
          <w:color w:val="000000"/>
          <w:sz w:val="20"/>
          <w:szCs w:val="20"/>
        </w:rPr>
        <w:t>•</w:t>
      </w:r>
      <w:r>
        <w:rPr>
          <w:rFonts w:eastAsia="Times New Roman"/>
          <w:color w:val="000000"/>
          <w:sz w:val="20"/>
          <w:szCs w:val="20"/>
        </w:rPr>
        <w:t>We may fail to realize the anticipated benefits of our mergers, acquisitions and strategic partnerships.</w:t>
      </w:r>
    </w:p>
    <w:p w:rsidR="00000000" w:rsidRDefault="0094004B">
      <w:pPr>
        <w:ind w:hanging="360"/>
        <w:jc w:val="both"/>
        <w:divId w:val="776414958"/>
        <w:rPr>
          <w:rFonts w:eastAsia="Times New Roman"/>
        </w:rPr>
      </w:pPr>
      <w:r>
        <w:rPr>
          <w:rFonts w:eastAsia="Times New Roman"/>
          <w:b/>
          <w:bCs/>
          <w:i/>
          <w:iCs/>
          <w:color w:val="000000"/>
          <w:sz w:val="20"/>
          <w:szCs w:val="20"/>
        </w:rPr>
        <w:t>•</w:t>
      </w:r>
      <w:r>
        <w:rPr>
          <w:rFonts w:eastAsia="Times New Roman"/>
          <w:color w:val="000000"/>
          <w:sz w:val="20"/>
          <w:szCs w:val="20"/>
        </w:rPr>
        <w:t>Reputational risk and social factors may impact our results and damage our brand.</w:t>
      </w:r>
    </w:p>
    <w:p w:rsidR="00000000" w:rsidRDefault="0094004B">
      <w:pPr>
        <w:ind w:hanging="360"/>
        <w:jc w:val="both"/>
        <w:divId w:val="2122648720"/>
        <w:rPr>
          <w:rFonts w:eastAsia="Times New Roman"/>
        </w:rPr>
      </w:pPr>
      <w:r>
        <w:rPr>
          <w:rFonts w:eastAsia="Times New Roman"/>
          <w:b/>
          <w:bCs/>
          <w:i/>
          <w:iCs/>
          <w:color w:val="000000"/>
          <w:sz w:val="20"/>
          <w:szCs w:val="20"/>
        </w:rPr>
        <w:t>•</w:t>
      </w:r>
      <w:r>
        <w:rPr>
          <w:rFonts w:eastAsia="Times New Roman"/>
          <w:color w:val="000000"/>
          <w:sz w:val="20"/>
          <w:szCs w:val="20"/>
        </w:rPr>
        <w:t>If we are not able to protect our intellectual property, our revenue and profitability could be negatively affected.</w:t>
      </w:r>
    </w:p>
    <w:p w:rsidR="00000000" w:rsidRDefault="0094004B">
      <w:pPr>
        <w:ind w:hanging="360"/>
        <w:jc w:val="both"/>
        <w:divId w:val="19161634"/>
        <w:rPr>
          <w:rFonts w:eastAsia="Times New Roman"/>
        </w:rPr>
      </w:pPr>
      <w:r>
        <w:rPr>
          <w:rFonts w:eastAsia="Times New Roman"/>
          <w:b/>
          <w:bCs/>
          <w:i/>
          <w:iCs/>
          <w:color w:val="000000"/>
          <w:sz w:val="20"/>
          <w:szCs w:val="20"/>
        </w:rPr>
        <w:t>•</w:t>
      </w:r>
      <w:r>
        <w:rPr>
          <w:rFonts w:eastAsia="Times New Roman"/>
          <w:color w:val="000000"/>
          <w:sz w:val="20"/>
          <w:szCs w:val="20"/>
        </w:rPr>
        <w:t>Our risk management strategies may not be fully effective in mitigating our risk exposures in all market environments or against all typ</w:t>
      </w:r>
      <w:r>
        <w:rPr>
          <w:rFonts w:eastAsia="Times New Roman"/>
          <w:color w:val="000000"/>
          <w:sz w:val="20"/>
          <w:szCs w:val="20"/>
        </w:rPr>
        <w:t>es of risk.</w:t>
      </w:r>
    </w:p>
    <w:p w:rsidR="00000000" w:rsidRDefault="0094004B">
      <w:pPr>
        <w:ind w:hanging="360"/>
        <w:jc w:val="both"/>
        <w:rPr>
          <w:rFonts w:eastAsia="Times New Roman"/>
        </w:rPr>
      </w:pPr>
      <w:r>
        <w:rPr>
          <w:rFonts w:eastAsia="Times New Roman"/>
          <w:color w:val="000000"/>
          <w:sz w:val="20"/>
          <w:szCs w:val="20"/>
        </w:rPr>
        <w:t>•The transition away from London Interbank Offered Rate may adversely affect our business.</w:t>
      </w:r>
    </w:p>
    <w:p w:rsidR="00000000" w:rsidRDefault="0094004B">
      <w:pPr>
        <w:ind w:hanging="360"/>
        <w:jc w:val="both"/>
        <w:divId w:val="1502820425"/>
        <w:rPr>
          <w:rFonts w:eastAsia="Times New Roman"/>
        </w:rPr>
      </w:pPr>
      <w:r>
        <w:rPr>
          <w:rFonts w:eastAsia="Times New Roman"/>
          <w:color w:val="000000"/>
          <w:sz w:val="20"/>
          <w:szCs w:val="20"/>
        </w:rPr>
        <w:t>•Our business could be negatively affected if we are unable to attract, retain and motivate key senior leaders and skilled employees.</w:t>
      </w:r>
    </w:p>
    <w:p w:rsidR="00000000" w:rsidRDefault="0094004B">
      <w:pPr>
        <w:ind w:hanging="360"/>
        <w:jc w:val="both"/>
        <w:divId w:val="1856723013"/>
        <w:rPr>
          <w:rFonts w:eastAsia="Times New Roman"/>
        </w:rPr>
      </w:pPr>
      <w:r>
        <w:rPr>
          <w:rFonts w:eastAsia="Times New Roman"/>
          <w:b/>
          <w:bCs/>
          <w:i/>
          <w:iCs/>
          <w:color w:val="000000"/>
          <w:sz w:val="20"/>
          <w:szCs w:val="20"/>
        </w:rPr>
        <w:t>•</w:t>
      </w:r>
      <w:r>
        <w:rPr>
          <w:rFonts w:eastAsia="Times New Roman"/>
          <w:color w:val="000000"/>
          <w:sz w:val="20"/>
          <w:szCs w:val="20"/>
        </w:rPr>
        <w:t>We face risks from</w:t>
      </w:r>
      <w:r>
        <w:rPr>
          <w:rFonts w:eastAsia="Times New Roman"/>
          <w:color w:val="000000"/>
          <w:sz w:val="20"/>
          <w:szCs w:val="20"/>
        </w:rPr>
        <w:t xml:space="preserve"> catastrophic events.</w:t>
      </w:r>
    </w:p>
    <w:p w:rsidR="00000000" w:rsidRDefault="0094004B">
      <w:pPr>
        <w:ind w:hanging="360"/>
        <w:jc w:val="both"/>
        <w:divId w:val="1893619097"/>
        <w:rPr>
          <w:rFonts w:eastAsia="Times New Roman"/>
        </w:rPr>
      </w:pPr>
      <w:r>
        <w:rPr>
          <w:rFonts w:eastAsia="Times New Roman"/>
          <w:color w:val="000000"/>
          <w:sz w:val="20"/>
          <w:szCs w:val="20"/>
        </w:rPr>
        <w:t>•Climate change manifesting as physical or transition risks could adversely affect our businesses, operations and customers.</w:t>
      </w:r>
    </w:p>
    <w:p w:rsidR="00000000" w:rsidRDefault="0094004B">
      <w:pPr>
        <w:ind w:hanging="360"/>
        <w:jc w:val="both"/>
        <w:divId w:val="2060585956"/>
        <w:rPr>
          <w:rFonts w:eastAsia="Times New Roman"/>
        </w:rPr>
      </w:pPr>
      <w:r>
        <w:rPr>
          <w:rFonts w:eastAsia="Times New Roman"/>
          <w:b/>
          <w:bCs/>
          <w:i/>
          <w:iCs/>
          <w:color w:val="000000"/>
          <w:sz w:val="20"/>
          <w:szCs w:val="20"/>
        </w:rPr>
        <w:t>•</w:t>
      </w:r>
      <w:r>
        <w:rPr>
          <w:rFonts w:eastAsia="Times New Roman"/>
          <w:color w:val="000000"/>
          <w:sz w:val="20"/>
          <w:szCs w:val="20"/>
        </w:rPr>
        <w:t>We face risks from the use of or changes to assumptions or estimates in our financial statements.</w:t>
      </w:r>
    </w:p>
    <w:p w:rsidR="00000000" w:rsidRDefault="0094004B">
      <w:pPr>
        <w:ind w:hanging="360"/>
        <w:jc w:val="both"/>
        <w:divId w:val="833186713"/>
        <w:rPr>
          <w:rFonts w:eastAsia="Times New Roman"/>
        </w:rPr>
      </w:pPr>
      <w:r>
        <w:rPr>
          <w:rFonts w:eastAsia="Times New Roman"/>
          <w:b/>
          <w:bCs/>
          <w:i/>
          <w:iCs/>
          <w:color w:val="000000"/>
          <w:sz w:val="20"/>
          <w:szCs w:val="20"/>
        </w:rPr>
        <w:t>•</w:t>
      </w:r>
      <w:r>
        <w:rPr>
          <w:rFonts w:eastAsia="Times New Roman"/>
          <w:color w:val="000000"/>
          <w:sz w:val="20"/>
          <w:szCs w:val="20"/>
        </w:rPr>
        <w:t>The sound</w:t>
      </w:r>
      <w:r>
        <w:rPr>
          <w:rFonts w:eastAsia="Times New Roman"/>
          <w:color w:val="000000"/>
          <w:sz w:val="20"/>
          <w:szCs w:val="20"/>
        </w:rPr>
        <w:t>ness of other financial institutions and other third parties could adversely affect us.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918250203"/>
          <w:jc w:val="center"/>
        </w:trPr>
        <w:tc>
          <w:tcPr>
            <w:tcW w:w="50" w:type="pct"/>
            <w:vAlign w:val="center"/>
            <w:hideMark/>
          </w:tcPr>
          <w:p w:rsidR="00000000" w:rsidRDefault="0094004B">
            <w:pPr>
              <w:ind w:hanging="360"/>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918250203"/>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918250203"/>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22</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047" style="width:0;height:1.5pt" o:hralign="center" o:hrstd="t" o:hr="t" fillcolor="#a0a0a0" stroked="f"/>
        </w:pict>
      </w:r>
    </w:p>
    <w:p w:rsidR="00000000" w:rsidRDefault="0094004B">
      <w:pPr>
        <w:jc w:val="both"/>
        <w:divId w:val="1637444278"/>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both"/>
        <w:divId w:val="1070151974"/>
        <w:rPr>
          <w:rFonts w:eastAsia="Times New Roman"/>
        </w:rPr>
      </w:pPr>
      <w:r>
        <w:rPr>
          <w:rFonts w:eastAsia="Times New Roman"/>
          <w:b/>
          <w:bCs/>
          <w:color w:val="000000"/>
          <w:sz w:val="20"/>
          <w:szCs w:val="20"/>
        </w:rPr>
        <w:t>General Economic and Market Risks</w:t>
      </w:r>
    </w:p>
    <w:p w:rsidR="00000000" w:rsidRDefault="0094004B">
      <w:pPr>
        <w:jc w:val="both"/>
        <w:divId w:val="2124374537"/>
        <w:rPr>
          <w:rFonts w:eastAsia="Times New Roman"/>
        </w:rPr>
      </w:pPr>
      <w:r>
        <w:rPr>
          <w:rFonts w:eastAsia="Times New Roman"/>
          <w:b/>
          <w:bCs/>
          <w:i/>
          <w:iCs/>
          <w:color w:val="000000"/>
          <w:sz w:val="20"/>
          <w:szCs w:val="20"/>
        </w:rPr>
        <w:t>Changes and instability in the macroeconomic environment, consumer confidence and customer behavior may adver</w:t>
      </w:r>
      <w:r>
        <w:rPr>
          <w:rFonts w:eastAsia="Times New Roman"/>
          <w:b/>
          <w:bCs/>
          <w:i/>
          <w:iCs/>
          <w:color w:val="000000"/>
          <w:sz w:val="20"/>
          <w:szCs w:val="20"/>
        </w:rPr>
        <w:t>sely affect our business.</w:t>
      </w:r>
    </w:p>
    <w:p w:rsidR="00000000" w:rsidRDefault="0094004B">
      <w:pPr>
        <w:jc w:val="both"/>
        <w:divId w:val="692195646"/>
        <w:rPr>
          <w:rFonts w:eastAsia="Times New Roman"/>
        </w:rPr>
      </w:pPr>
      <w:r>
        <w:rPr>
          <w:rFonts w:eastAsia="Times New Roman"/>
          <w:color w:val="000000"/>
          <w:sz w:val="20"/>
          <w:szCs w:val="20"/>
        </w:rPr>
        <w:t>We offer a broad array of financial products and services to consumers, small businesses and commercial clients. A prolonged period of economic volatility, slow growth, or a significant deterioration in economic conditions, in the</w:t>
      </w:r>
      <w:r>
        <w:rPr>
          <w:rFonts w:eastAsia="Times New Roman"/>
          <w:color w:val="000000"/>
          <w:sz w:val="20"/>
          <w:szCs w:val="20"/>
        </w:rPr>
        <w:t xml:space="preserve"> U.S., Canada or the U.K., could have a material adverse effect on our financial condition and results of operations as customers default on their loans, maintain lower deposit levels or, in the case of credit card accounts, carry lower balances and reduce</w:t>
      </w:r>
      <w:r>
        <w:rPr>
          <w:rFonts w:eastAsia="Times New Roman"/>
          <w:color w:val="000000"/>
          <w:sz w:val="20"/>
          <w:szCs w:val="20"/>
        </w:rPr>
        <w:t xml:space="preserve"> credit card purchase activity.</w:t>
      </w:r>
    </w:p>
    <w:p w:rsidR="00000000" w:rsidRDefault="0094004B">
      <w:pPr>
        <w:jc w:val="both"/>
        <w:divId w:val="63770916"/>
        <w:rPr>
          <w:rFonts w:eastAsia="Times New Roman"/>
        </w:rPr>
      </w:pPr>
      <w:r>
        <w:rPr>
          <w:rFonts w:eastAsia="Times New Roman"/>
          <w:color w:val="000000"/>
          <w:sz w:val="20"/>
          <w:szCs w:val="20"/>
        </w:rPr>
        <w:t>Some of the risks we face in connection with adverse changes and instability in the macroeconomic environment and changes in consumer confidence levels and behavior, include the following:</w:t>
      </w:r>
    </w:p>
    <w:p w:rsidR="00000000" w:rsidRDefault="0094004B">
      <w:pPr>
        <w:ind w:hanging="360"/>
        <w:jc w:val="both"/>
        <w:divId w:val="653990985"/>
        <w:rPr>
          <w:rFonts w:eastAsia="Times New Roman"/>
        </w:rPr>
      </w:pPr>
      <w:r>
        <w:rPr>
          <w:rFonts w:eastAsia="Times New Roman"/>
          <w:color w:val="000000"/>
          <w:sz w:val="20"/>
          <w:szCs w:val="20"/>
        </w:rPr>
        <w:t>•</w:t>
      </w:r>
      <w:r>
        <w:rPr>
          <w:rFonts w:eastAsia="Times New Roman"/>
          <w:color w:val="000000"/>
          <w:sz w:val="20"/>
          <w:szCs w:val="20"/>
        </w:rPr>
        <w:t>Monetary policies and actions taken by the Federal Reserve and other central banks or governmental authorities;</w:t>
      </w:r>
    </w:p>
    <w:p w:rsidR="00000000" w:rsidRDefault="0094004B">
      <w:pPr>
        <w:ind w:hanging="360"/>
        <w:jc w:val="both"/>
        <w:divId w:val="505873630"/>
        <w:rPr>
          <w:rFonts w:eastAsia="Times New Roman"/>
        </w:rPr>
      </w:pPr>
      <w:r>
        <w:rPr>
          <w:rFonts w:eastAsia="Times New Roman"/>
          <w:color w:val="000000"/>
          <w:sz w:val="20"/>
          <w:szCs w:val="20"/>
        </w:rPr>
        <w:t>•Economic deterioration due to escalation of military hostilities or other geopolitical instabilities;</w:t>
      </w:r>
    </w:p>
    <w:p w:rsidR="00000000" w:rsidRDefault="0094004B">
      <w:pPr>
        <w:ind w:hanging="360"/>
        <w:jc w:val="both"/>
        <w:divId w:val="1050686633"/>
        <w:rPr>
          <w:rFonts w:eastAsia="Times New Roman"/>
        </w:rPr>
      </w:pPr>
      <w:r>
        <w:rPr>
          <w:rFonts w:eastAsia="Times New Roman"/>
          <w:color w:val="000000"/>
          <w:sz w:val="20"/>
          <w:szCs w:val="20"/>
        </w:rPr>
        <w:t>•Changes in payment patterns, increases o</w:t>
      </w:r>
      <w:r>
        <w:rPr>
          <w:rFonts w:eastAsia="Times New Roman"/>
          <w:color w:val="000000"/>
          <w:sz w:val="20"/>
          <w:szCs w:val="20"/>
        </w:rPr>
        <w:t>r fluctuations in delinquencies and default rates, decreased consumer spending, inflation, fluctuation in interest rates, lower demand for credit and shifts in consumer behavior, including deposits and payments;</w:t>
      </w:r>
    </w:p>
    <w:p w:rsidR="00000000" w:rsidRDefault="0094004B">
      <w:pPr>
        <w:ind w:hanging="360"/>
        <w:jc w:val="both"/>
        <w:divId w:val="1197232081"/>
        <w:rPr>
          <w:rFonts w:eastAsia="Times New Roman"/>
        </w:rPr>
      </w:pPr>
      <w:r>
        <w:rPr>
          <w:rFonts w:eastAsia="Times New Roman"/>
          <w:color w:val="000000"/>
          <w:sz w:val="20"/>
          <w:szCs w:val="20"/>
        </w:rPr>
        <w:t xml:space="preserve">•Increases in our charge-off rate caused by </w:t>
      </w:r>
      <w:r>
        <w:rPr>
          <w:rFonts w:eastAsia="Times New Roman"/>
          <w:color w:val="000000"/>
          <w:sz w:val="20"/>
          <w:szCs w:val="20"/>
        </w:rPr>
        <w:t>bankruptcies and reduced ability to recover debt that we have previously charged-off;</w:t>
      </w:r>
    </w:p>
    <w:p w:rsidR="00000000" w:rsidRDefault="0094004B">
      <w:pPr>
        <w:ind w:hanging="360"/>
        <w:jc w:val="both"/>
        <w:divId w:val="396439144"/>
        <w:rPr>
          <w:rFonts w:eastAsia="Times New Roman"/>
        </w:rPr>
      </w:pPr>
      <w:r>
        <w:rPr>
          <w:rFonts w:eastAsia="Times New Roman"/>
          <w:color w:val="000000"/>
          <w:sz w:val="20"/>
          <w:szCs w:val="20"/>
        </w:rPr>
        <w:t xml:space="preserve">•Recent changes in usage of commercial real estate, which may have a sustained negative impact on utilization rates and values; </w:t>
      </w:r>
    </w:p>
    <w:p w:rsidR="00000000" w:rsidRDefault="0094004B">
      <w:pPr>
        <w:ind w:hanging="360"/>
        <w:jc w:val="both"/>
        <w:divId w:val="1719432357"/>
        <w:rPr>
          <w:rFonts w:eastAsia="Times New Roman"/>
        </w:rPr>
      </w:pPr>
      <w:r>
        <w:rPr>
          <w:rFonts w:eastAsia="Times New Roman"/>
          <w:color w:val="000000"/>
          <w:sz w:val="20"/>
          <w:szCs w:val="20"/>
        </w:rPr>
        <w:t>•Decreased reliability of the process and</w:t>
      </w:r>
      <w:r>
        <w:rPr>
          <w:rFonts w:eastAsia="Times New Roman"/>
          <w:color w:val="000000"/>
          <w:sz w:val="20"/>
          <w:szCs w:val="20"/>
        </w:rPr>
        <w:t xml:space="preserve"> models, including those we use to estimate our allowance for credit losses, particularly if unexpected variations in key inputs and assumptions cause actual losses to diverge from the projections of our models and our estimates become increasingly subject</w:t>
      </w:r>
      <w:r>
        <w:rPr>
          <w:rFonts w:eastAsia="Times New Roman"/>
          <w:color w:val="000000"/>
          <w:sz w:val="20"/>
          <w:szCs w:val="20"/>
        </w:rPr>
        <w:t xml:space="preserve"> to management’s judgment. See “</w:t>
      </w:r>
      <w:r>
        <w:rPr>
          <w:rFonts w:eastAsia="Times New Roman"/>
          <w:i/>
          <w:iCs/>
          <w:color w:val="000000"/>
          <w:sz w:val="20"/>
          <w:szCs w:val="20"/>
        </w:rPr>
        <w:t>We face risks resulting from the extensive use of models and data.</w:t>
      </w:r>
      <w:r>
        <w:rPr>
          <w:rFonts w:eastAsia="Times New Roman"/>
          <w:color w:val="000000"/>
          <w:sz w:val="20"/>
          <w:szCs w:val="20"/>
        </w:rPr>
        <w:t>”</w:t>
      </w:r>
    </w:p>
    <w:p w:rsidR="00000000" w:rsidRDefault="0094004B">
      <w:pPr>
        <w:jc w:val="both"/>
        <w:divId w:val="218590115"/>
        <w:rPr>
          <w:rFonts w:eastAsia="Times New Roman"/>
        </w:rPr>
      </w:pPr>
      <w:r>
        <w:rPr>
          <w:rFonts w:eastAsia="Times New Roman"/>
          <w:color w:val="000000"/>
          <w:sz w:val="20"/>
          <w:szCs w:val="20"/>
        </w:rPr>
        <w:t>The U.K. and the EU agreed to a free trade deal at the end of 2020 relating to the U.K.’s exit from the EU. Although this deal has provided greater near-ter</w:t>
      </w:r>
      <w:r>
        <w:rPr>
          <w:rFonts w:eastAsia="Times New Roman"/>
          <w:color w:val="000000"/>
          <w:sz w:val="20"/>
          <w:szCs w:val="20"/>
        </w:rPr>
        <w:t>m stability, there is still some degree of uncertainty as to the relationship between the U.K and the EU, which may increase volatility in the regional and global financial markets. In addition, the global economy, including economic conditions in the U.K.</w:t>
      </w:r>
      <w:r>
        <w:rPr>
          <w:rFonts w:eastAsia="Times New Roman"/>
          <w:color w:val="000000"/>
          <w:sz w:val="20"/>
          <w:szCs w:val="20"/>
        </w:rPr>
        <w:t>, has been negatively impacted by the war between Russia and Ukraine. Continued escalation of geopolitical tensions related to the war, including increased trade barriers or restrictions on global trade, could further deteriorate international economic con</w:t>
      </w:r>
      <w:r>
        <w:rPr>
          <w:rFonts w:eastAsia="Times New Roman"/>
          <w:color w:val="000000"/>
          <w:sz w:val="20"/>
          <w:szCs w:val="20"/>
        </w:rPr>
        <w:t xml:space="preserve">ditions. We continue to consider and monitor the potential impacts of the relationship between the U.K. and EU, as well as the war between Russia and Ukraine. </w:t>
      </w:r>
    </w:p>
    <w:p w:rsidR="00000000" w:rsidRDefault="0094004B">
      <w:pPr>
        <w:jc w:val="both"/>
        <w:divId w:val="1723673491"/>
        <w:rPr>
          <w:rFonts w:eastAsia="Times New Roman"/>
        </w:rPr>
      </w:pPr>
      <w:r>
        <w:rPr>
          <w:rFonts w:eastAsia="Times New Roman"/>
          <w:b/>
          <w:bCs/>
          <w:i/>
          <w:iCs/>
          <w:color w:val="000000"/>
          <w:sz w:val="20"/>
          <w:szCs w:val="20"/>
        </w:rPr>
        <w:t>Fluctuations in market interest rates or volatility in the capital markets could adversely affec</w:t>
      </w:r>
      <w:r>
        <w:rPr>
          <w:rFonts w:eastAsia="Times New Roman"/>
          <w:b/>
          <w:bCs/>
          <w:i/>
          <w:iCs/>
          <w:color w:val="000000"/>
          <w:sz w:val="20"/>
          <w:szCs w:val="20"/>
        </w:rPr>
        <w:t>t our business.</w:t>
      </w:r>
    </w:p>
    <w:p w:rsidR="00000000" w:rsidRDefault="0094004B">
      <w:pPr>
        <w:jc w:val="both"/>
        <w:divId w:val="1158812055"/>
        <w:rPr>
          <w:rFonts w:eastAsia="Times New Roman"/>
        </w:rPr>
      </w:pPr>
      <w:r>
        <w:rPr>
          <w:rFonts w:eastAsia="Times New Roman"/>
          <w:color w:val="000000"/>
          <w:sz w:val="20"/>
          <w:szCs w:val="20"/>
        </w:rPr>
        <w:t>Like other financial institutions, our business is sensitive to interest rate movements and the performance of the capital markets.</w:t>
      </w:r>
    </w:p>
    <w:p w:rsidR="00000000" w:rsidRDefault="0094004B">
      <w:pPr>
        <w:jc w:val="both"/>
        <w:divId w:val="1226986280"/>
        <w:rPr>
          <w:rFonts w:eastAsia="Times New Roman"/>
        </w:rPr>
      </w:pPr>
      <w:r>
        <w:rPr>
          <w:rFonts w:eastAsia="Times New Roman"/>
          <w:color w:val="000000"/>
          <w:sz w:val="20"/>
          <w:szCs w:val="20"/>
        </w:rPr>
        <w:t>We rely on access to the capital markets to fund our operations and to grow our business. Our ability to bor</w:t>
      </w:r>
      <w:r>
        <w:rPr>
          <w:rFonts w:eastAsia="Times New Roman"/>
          <w:color w:val="000000"/>
          <w:sz w:val="20"/>
          <w:szCs w:val="20"/>
        </w:rPr>
        <w:t>row from other financial institutions or to engage in funding transactions on favorable terms or at all could be adversely affected by disruptions, uncertainty or volatility in the capital markets or other events, including changing credit rating agency re</w:t>
      </w:r>
      <w:r>
        <w:rPr>
          <w:rFonts w:eastAsia="Times New Roman"/>
          <w:color w:val="000000"/>
          <w:sz w:val="20"/>
          <w:szCs w:val="20"/>
        </w:rPr>
        <w:t>quirements. For example, a credit rating downgrade could affect our ability to access the capital markets, increase our funding costs and have a negative impact on our results of operations. Additionally, increased charge-offs, rising interest rates and ot</w:t>
      </w:r>
      <w:r>
        <w:rPr>
          <w:rFonts w:eastAsia="Times New Roman"/>
          <w:color w:val="000000"/>
          <w:sz w:val="20"/>
          <w:szCs w:val="20"/>
        </w:rPr>
        <w:t xml:space="preserve">her events may cause our securitization transactions to amortize earlier than scheduled or reduce the value of the securities that we hold for liquidity purposes, which could accelerate our need for additional funding from other sources. </w:t>
      </w:r>
    </w:p>
    <w:p w:rsidR="00000000" w:rsidRDefault="0094004B">
      <w:pPr>
        <w:jc w:val="both"/>
        <w:divId w:val="1424571833"/>
        <w:rPr>
          <w:rFonts w:eastAsia="Times New Roman"/>
        </w:rPr>
      </w:pPr>
      <w:r>
        <w:rPr>
          <w:rFonts w:eastAsia="Times New Roman"/>
          <w:color w:val="000000"/>
          <w:sz w:val="20"/>
          <w:szCs w:val="20"/>
        </w:rPr>
        <w:t>Additionally, cha</w:t>
      </w:r>
      <w:r>
        <w:rPr>
          <w:rFonts w:eastAsia="Times New Roman"/>
          <w:color w:val="000000"/>
          <w:sz w:val="20"/>
          <w:szCs w:val="20"/>
        </w:rPr>
        <w:t>nges in interest rates could adversely affect the results of our operations and financial condition. For example, we borrow money from other institutions and depositors, which we use to make loans to customers and invest in debt securities and other intere</w:t>
      </w:r>
      <w:r>
        <w:rPr>
          <w:rFonts w:eastAsia="Times New Roman"/>
          <w:color w:val="000000"/>
          <w:sz w:val="20"/>
          <w:szCs w:val="20"/>
        </w:rPr>
        <w:t>st-earning assets. We earn interest on these loans and assets and pay interest on the money we borrow from institutions and depositors. In response to inflationary pressures, the Federal Reserve has reversed its policy of maintaining the low benchmark fede</w:t>
      </w:r>
      <w:r>
        <w:rPr>
          <w:rFonts w:eastAsia="Times New Roman"/>
          <w:color w:val="000000"/>
          <w:sz w:val="20"/>
          <w:szCs w:val="20"/>
        </w:rPr>
        <w:t xml:space="preserve">ral funds interest rate over the last several years. In March 2022, the Federal Reserve began increasing the benchmark federal funds interest rate and has signaled its intention to continue to raise interest rates in an effort to tame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226262200"/>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226262200"/>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226262200"/>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23</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048" style="width:0;height:1.5pt" o:hralign="center" o:hrstd="t" o:hr="t" fillcolor="#a0a0a0" stroked="f"/>
        </w:pict>
      </w:r>
    </w:p>
    <w:p w:rsidR="00000000" w:rsidRDefault="0094004B">
      <w:pPr>
        <w:jc w:val="both"/>
        <w:divId w:val="268241215"/>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both"/>
        <w:divId w:val="597375713"/>
        <w:rPr>
          <w:rFonts w:eastAsia="Times New Roman"/>
        </w:rPr>
      </w:pPr>
      <w:r>
        <w:rPr>
          <w:rFonts w:eastAsia="Times New Roman"/>
          <w:color w:val="000000"/>
          <w:sz w:val="20"/>
          <w:szCs w:val="20"/>
        </w:rPr>
        <w:t>inflation. Thus, the amount of interest that we pay on certain borrowings has increased and could increase further. Additionally, a shrinking y</w:t>
      </w:r>
      <w:r>
        <w:rPr>
          <w:rFonts w:eastAsia="Times New Roman"/>
          <w:color w:val="000000"/>
          <w:sz w:val="20"/>
          <w:szCs w:val="20"/>
        </w:rPr>
        <w:t xml:space="preserve">ield premium between short-term and long-term market interest rates and in the relationship between our funding basis rate and our lending basis rate and inflation could affect our profitability. </w:t>
      </w:r>
    </w:p>
    <w:p w:rsidR="00000000" w:rsidRDefault="0094004B">
      <w:pPr>
        <w:jc w:val="both"/>
        <w:divId w:val="1550604112"/>
        <w:rPr>
          <w:rFonts w:eastAsia="Times New Roman"/>
        </w:rPr>
      </w:pPr>
      <w:r>
        <w:rPr>
          <w:rFonts w:eastAsia="Times New Roman"/>
          <w:color w:val="000000"/>
          <w:sz w:val="20"/>
          <w:szCs w:val="20"/>
        </w:rPr>
        <w:t>We assess our interest rate risk by estimating the effect o</w:t>
      </w:r>
      <w:r>
        <w:rPr>
          <w:rFonts w:eastAsia="Times New Roman"/>
          <w:color w:val="000000"/>
          <w:sz w:val="20"/>
          <w:szCs w:val="20"/>
        </w:rPr>
        <w:t>n our earnings, economic value and capital under various scenarios that differ based on assumptions about the direction and the magnitude of interest rate changes. We take risk mitigation actions based on those assessments. We face the risk that changes in</w:t>
      </w:r>
      <w:r>
        <w:rPr>
          <w:rFonts w:eastAsia="Times New Roman"/>
          <w:color w:val="000000"/>
          <w:sz w:val="20"/>
          <w:szCs w:val="20"/>
        </w:rPr>
        <w:t xml:space="preserve"> interest rates could materially reduce our net interest income and our earnings, especially if actual conditions turn out to be materially different than those we assumed. See “Part II—Item 7. MD&amp;A—Market Risk Profile” for additional information.</w:t>
      </w:r>
    </w:p>
    <w:p w:rsidR="00000000" w:rsidRDefault="0094004B">
      <w:pPr>
        <w:jc w:val="both"/>
        <w:divId w:val="1233271433"/>
        <w:rPr>
          <w:rFonts w:eastAsia="Times New Roman"/>
        </w:rPr>
      </w:pPr>
      <w:r>
        <w:rPr>
          <w:rFonts w:eastAsia="Times New Roman"/>
          <w:color w:val="000000"/>
          <w:sz w:val="20"/>
          <w:szCs w:val="20"/>
        </w:rPr>
        <w:t>Furtherm</w:t>
      </w:r>
      <w:r>
        <w:rPr>
          <w:rFonts w:eastAsia="Times New Roman"/>
          <w:color w:val="000000"/>
          <w:sz w:val="20"/>
          <w:szCs w:val="20"/>
        </w:rPr>
        <w:t>ore, interest rate fluctuations and competitor responses to those changes may affect the rate of customer prepayments for auto and other term loans and may affect the balances customers carry on their credit cards and their balances in the deposits account</w:t>
      </w:r>
      <w:r>
        <w:rPr>
          <w:rFonts w:eastAsia="Times New Roman"/>
          <w:color w:val="000000"/>
          <w:sz w:val="20"/>
          <w:szCs w:val="20"/>
        </w:rPr>
        <w:t>s they have with us. For example, increases in interest rates increase debt service requirements for some of our borrowers, which may adversely affect those borrowers’ ability to pay as contractually obligated. This could result in additional or fluctuatin</w:t>
      </w:r>
      <w:r>
        <w:rPr>
          <w:rFonts w:eastAsia="Times New Roman"/>
          <w:color w:val="000000"/>
          <w:sz w:val="20"/>
          <w:szCs w:val="20"/>
        </w:rPr>
        <w:t>g delinquencies or charge-offs and negatively impact our results of operations. These changes can reduce the overall yield on our interest-earning asset portfolio. An inability to attract or maintain deposits could materially affect our ability to fund our</w:t>
      </w:r>
      <w:r>
        <w:rPr>
          <w:rFonts w:eastAsia="Times New Roman"/>
          <w:color w:val="000000"/>
          <w:sz w:val="20"/>
          <w:szCs w:val="20"/>
        </w:rPr>
        <w:t xml:space="preserve"> business and our liquidity position. Many other financial institutions have increased their reliance on deposit funding and, as such, we expect continued competition in the deposit markets. We cannot predict how this competition will affect our costs. If </w:t>
      </w:r>
      <w:r>
        <w:rPr>
          <w:rFonts w:eastAsia="Times New Roman"/>
          <w:color w:val="000000"/>
          <w:sz w:val="20"/>
          <w:szCs w:val="20"/>
        </w:rPr>
        <w:t>we are required to offer higher interest rates to attract or maintain deposits, our funding costs will be adversely impacted. Changes in valuations in the debt and equity markets could have a negative impact on the assets we hold in our investment portfoli</w:t>
      </w:r>
      <w:r>
        <w:rPr>
          <w:rFonts w:eastAsia="Times New Roman"/>
          <w:color w:val="000000"/>
          <w:sz w:val="20"/>
          <w:szCs w:val="20"/>
        </w:rPr>
        <w:t>o. Such market changes could also have a negative impact on the valuation of assets for which we provide servicing.</w:t>
      </w:r>
    </w:p>
    <w:p w:rsidR="00000000" w:rsidRDefault="0094004B">
      <w:pPr>
        <w:jc w:val="both"/>
        <w:divId w:val="1015113269"/>
        <w:rPr>
          <w:rFonts w:eastAsia="Times New Roman"/>
        </w:rPr>
      </w:pPr>
      <w:r>
        <w:rPr>
          <w:rFonts w:eastAsia="Times New Roman"/>
          <w:b/>
          <w:bCs/>
          <w:i/>
          <w:iCs/>
          <w:color w:val="000000"/>
          <w:sz w:val="20"/>
          <w:szCs w:val="20"/>
        </w:rPr>
        <w:t>Our results of operations may be adversely affected by the effects of the COVID-19 pandemic.</w:t>
      </w:r>
    </w:p>
    <w:p w:rsidR="00000000" w:rsidRDefault="0094004B">
      <w:pPr>
        <w:jc w:val="both"/>
        <w:divId w:val="796685643"/>
        <w:rPr>
          <w:rFonts w:eastAsia="Times New Roman"/>
        </w:rPr>
      </w:pPr>
      <w:r>
        <w:rPr>
          <w:rFonts w:eastAsia="Times New Roman"/>
          <w:color w:val="000000"/>
          <w:sz w:val="20"/>
          <w:szCs w:val="20"/>
        </w:rPr>
        <w:t>Although the global economy has begun to recove</w:t>
      </w:r>
      <w:r>
        <w:rPr>
          <w:rFonts w:eastAsia="Times New Roman"/>
          <w:color w:val="000000"/>
          <w:sz w:val="20"/>
          <w:szCs w:val="20"/>
        </w:rPr>
        <w:t>r from the COVID-19 pandemic, certain adverse consequences of the pandemic, including labor shortages, disruptions of global supply chains and inflationary pressures, continue to impact the macroeconomic environment and could adversely affect our business.</w:t>
      </w:r>
      <w:r>
        <w:rPr>
          <w:rFonts w:eastAsia="Times New Roman"/>
          <w:color w:val="000000"/>
          <w:sz w:val="20"/>
          <w:szCs w:val="20"/>
        </w:rPr>
        <w:t xml:space="preserve"> Should these ongoing effects of the pandemic continue for an extended period or worsen, our purchase volume, loan balances and the overall demand for our products and services may be significantly impacted, which could adversely affect our financial condi</w:t>
      </w:r>
      <w:r>
        <w:rPr>
          <w:rFonts w:eastAsia="Times New Roman"/>
          <w:color w:val="000000"/>
          <w:sz w:val="20"/>
          <w:szCs w:val="20"/>
        </w:rPr>
        <w:t>tion and other results of operations. In addition, we could experience higher credit losses in our loan portfolios and increases in our allowance for credit losses beyond current levels. We could also experience impairments of other financial assets and ot</w:t>
      </w:r>
      <w:r>
        <w:rPr>
          <w:rFonts w:eastAsia="Times New Roman"/>
          <w:color w:val="000000"/>
          <w:sz w:val="20"/>
          <w:szCs w:val="20"/>
        </w:rPr>
        <w:t xml:space="preserve">her negative impacts on our financial position, including possible constraints on liquidity and capital, as well as higher costs of capital. Long-term consequences of the COVID-19 pandemic on our business, results of operations and financial condition, as </w:t>
      </w:r>
      <w:r>
        <w:rPr>
          <w:rFonts w:eastAsia="Times New Roman"/>
          <w:color w:val="000000"/>
          <w:sz w:val="20"/>
          <w:szCs w:val="20"/>
        </w:rPr>
        <w:t>well as our capital and liquidity ratios and our ability to take capital actions, will depend on future developments that remain uncertain, including, for example, future actions taken by governmental authorities, central banks and other third parties in r</w:t>
      </w:r>
      <w:r>
        <w:rPr>
          <w:rFonts w:eastAsia="Times New Roman"/>
          <w:color w:val="000000"/>
          <w:sz w:val="20"/>
          <w:szCs w:val="20"/>
        </w:rPr>
        <w:t>esponse to the pandemic and the effects on our customers, counterparties, associates and third-party service providers.</w:t>
      </w:r>
    </w:p>
    <w:p w:rsidR="00000000" w:rsidRDefault="0094004B">
      <w:pPr>
        <w:jc w:val="both"/>
        <w:divId w:val="1905408079"/>
        <w:rPr>
          <w:rFonts w:eastAsia="Times New Roman"/>
        </w:rPr>
      </w:pPr>
      <w:r>
        <w:rPr>
          <w:rFonts w:eastAsia="Times New Roman"/>
          <w:color w:val="000000"/>
          <w:sz w:val="20"/>
          <w:szCs w:val="20"/>
        </w:rPr>
        <w:t>In the third quarter of 2022, we moved our associates to a hybrid work model. As a result we may experience increased costs and/or disru</w:t>
      </w:r>
      <w:r>
        <w:rPr>
          <w:rFonts w:eastAsia="Times New Roman"/>
          <w:color w:val="000000"/>
          <w:sz w:val="20"/>
          <w:szCs w:val="20"/>
        </w:rPr>
        <w:t>ption as we experiment with hybrid work models, in addition to potential effects on our ability to operate effectively and maintain our corporate culture. We will continue to monitor local conditions to ensure the safety of our associates and customers whi</w:t>
      </w:r>
      <w:r>
        <w:rPr>
          <w:rFonts w:eastAsia="Times New Roman"/>
          <w:color w:val="000000"/>
          <w:sz w:val="20"/>
          <w:szCs w:val="20"/>
        </w:rPr>
        <w:t>le providing critical banking services. We may take further actions as required by government authorities or that we otherwise determine are in the best interests of our customers, associates and business partners. These measures could impair our ability t</w:t>
      </w:r>
      <w:r>
        <w:rPr>
          <w:rFonts w:eastAsia="Times New Roman"/>
          <w:color w:val="000000"/>
          <w:sz w:val="20"/>
          <w:szCs w:val="20"/>
        </w:rPr>
        <w:t>o perform critical functions and may adversely impact our results of operations.</w:t>
      </w:r>
    </w:p>
    <w:p w:rsidR="00000000" w:rsidRDefault="0094004B">
      <w:pPr>
        <w:jc w:val="both"/>
        <w:divId w:val="933902804"/>
        <w:rPr>
          <w:rFonts w:eastAsia="Times New Roman"/>
        </w:rPr>
      </w:pPr>
      <w:r>
        <w:rPr>
          <w:rFonts w:eastAsia="Times New Roman"/>
          <w:b/>
          <w:bCs/>
          <w:color w:val="000000"/>
          <w:sz w:val="20"/>
          <w:szCs w:val="20"/>
        </w:rPr>
        <w:t>Credit Risk</w:t>
      </w:r>
    </w:p>
    <w:p w:rsidR="00000000" w:rsidRDefault="0094004B">
      <w:pPr>
        <w:jc w:val="both"/>
        <w:divId w:val="405343667"/>
        <w:rPr>
          <w:rFonts w:eastAsia="Times New Roman"/>
        </w:rPr>
      </w:pPr>
      <w:r>
        <w:rPr>
          <w:rFonts w:eastAsia="Times New Roman"/>
          <w:b/>
          <w:bCs/>
          <w:i/>
          <w:iCs/>
          <w:color w:val="000000"/>
          <w:sz w:val="20"/>
          <w:szCs w:val="20"/>
        </w:rPr>
        <w:t>We may experience increases or fluctuations in delinquencies and credit losses, inaccurate estimates and inadequate reserves.</w:t>
      </w:r>
    </w:p>
    <w:p w:rsidR="00000000" w:rsidRDefault="0094004B">
      <w:pPr>
        <w:jc w:val="both"/>
        <w:divId w:val="266817765"/>
        <w:rPr>
          <w:rFonts w:eastAsia="Times New Roman"/>
        </w:rPr>
      </w:pPr>
      <w:r>
        <w:rPr>
          <w:rFonts w:eastAsia="Times New Roman"/>
          <w:color w:val="000000"/>
          <w:sz w:val="20"/>
          <w:szCs w:val="20"/>
        </w:rPr>
        <w:t xml:space="preserve">Like other lenders, we face the risk </w:t>
      </w:r>
      <w:r>
        <w:rPr>
          <w:rFonts w:eastAsia="Times New Roman"/>
          <w:color w:val="000000"/>
          <w:sz w:val="20"/>
          <w:szCs w:val="20"/>
        </w:rPr>
        <w:t>that our customers will not repay their loans. A customer’s ability and willingness to repay us can be adversely affected by decreases in the income of the borrower or increases in their payment obligations to other lenders, whether as a result of higher d</w:t>
      </w:r>
      <w:r>
        <w:rPr>
          <w:rFonts w:eastAsia="Times New Roman"/>
          <w:color w:val="000000"/>
          <w:sz w:val="20"/>
          <w:szCs w:val="20"/>
        </w:rPr>
        <w:t xml:space="preserve">ebt levels or rising interest rates, by rising levels of inflation, or by restricted availability of credit generally. We may fail to quickly identify and reduce our exposure to customers that are likely to default on their payment obligations, whether by </w:t>
      </w:r>
      <w:r>
        <w:rPr>
          <w:rFonts w:eastAsia="Times New Roman"/>
          <w:color w:val="000000"/>
          <w:sz w:val="20"/>
          <w:szCs w:val="20"/>
        </w:rPr>
        <w:t xml:space="preserve">closing credit lines or restricting authorizations. Our ability to manage credit risk also is affected by legal or regulatory changes (such as restrictions on collections, bankruptcy laws, minimum payment regulations and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743484720"/>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743484720"/>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743484720"/>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24</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049" style="width:0;height:1.5pt" o:hralign="center" o:hrstd="t" o:hr="t" fillcolor="#a0a0a0" stroked="f"/>
        </w:pict>
      </w:r>
    </w:p>
    <w:p w:rsidR="00000000" w:rsidRDefault="0094004B">
      <w:pPr>
        <w:jc w:val="both"/>
        <w:divId w:val="2069449506"/>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both"/>
        <w:divId w:val="1180507413"/>
        <w:rPr>
          <w:rFonts w:eastAsia="Times New Roman"/>
        </w:rPr>
      </w:pPr>
      <w:r>
        <w:rPr>
          <w:rFonts w:eastAsia="Times New Roman"/>
          <w:color w:val="000000"/>
          <w:sz w:val="20"/>
          <w:szCs w:val="20"/>
        </w:rPr>
        <w:t>re-age guidance), competitors’ actions and consumer behavior, and depends on the effectiveness of our collections staff, techniques and models.</w:t>
      </w:r>
    </w:p>
    <w:p w:rsidR="00000000" w:rsidRDefault="0094004B">
      <w:pPr>
        <w:jc w:val="both"/>
        <w:divId w:val="849754382"/>
        <w:rPr>
          <w:rFonts w:eastAsia="Times New Roman"/>
        </w:rPr>
      </w:pPr>
      <w:r>
        <w:rPr>
          <w:rFonts w:eastAsia="Times New Roman"/>
          <w:color w:val="000000"/>
          <w:sz w:val="20"/>
          <w:szCs w:val="20"/>
        </w:rPr>
        <w:t>Rising losses or leading indicators of rising losses (such as higher delinquencies, charge-offs, higher rates of nonperforming loans, higher bankruptcy rates, lower collateral values, elevated unemployment rates or changing market terms) may require us to</w:t>
      </w:r>
      <w:r>
        <w:rPr>
          <w:rFonts w:eastAsia="Times New Roman"/>
          <w:color w:val="000000"/>
          <w:sz w:val="20"/>
          <w:szCs w:val="20"/>
        </w:rPr>
        <w:t xml:space="preserve"> increase our allowance for credit losses, which would decrease our profitability if we are unable to raise revenue or reduce costs to compensate for higher losses. In particular, we face the following risks in this area:</w:t>
      </w:r>
    </w:p>
    <w:p w:rsidR="00000000" w:rsidRDefault="0094004B">
      <w:pPr>
        <w:ind w:hanging="360"/>
        <w:jc w:val="both"/>
        <w:divId w:val="1567567723"/>
        <w:rPr>
          <w:rFonts w:eastAsia="Times New Roman"/>
        </w:rPr>
      </w:pPr>
      <w:r>
        <w:rPr>
          <w:rFonts w:eastAsia="Times New Roman"/>
          <w:color w:val="000000"/>
          <w:sz w:val="20"/>
          <w:szCs w:val="20"/>
        </w:rPr>
        <w:t>•</w:t>
      </w:r>
      <w:r>
        <w:rPr>
          <w:rFonts w:eastAsia="Times New Roman"/>
          <w:i/>
          <w:iCs/>
          <w:color w:val="000000"/>
          <w:sz w:val="20"/>
          <w:szCs w:val="20"/>
        </w:rPr>
        <w:t>Missed Payments:</w:t>
      </w:r>
      <w:r>
        <w:rPr>
          <w:rFonts w:eastAsia="Times New Roman"/>
          <w:color w:val="000000"/>
          <w:sz w:val="20"/>
          <w:szCs w:val="20"/>
        </w:rPr>
        <w:t xml:space="preserve"> Our customers ma</w:t>
      </w:r>
      <w:r>
        <w:rPr>
          <w:rFonts w:eastAsia="Times New Roman"/>
          <w:color w:val="000000"/>
          <w:sz w:val="20"/>
          <w:szCs w:val="20"/>
        </w:rPr>
        <w:t>y miss payments. Loan charge-offs (including from bankruptcies) are generally preceded by missed payments or other indications of worsening financial condition for our customers. Historically, customers are more likely to miss payments during an economic d</w:t>
      </w:r>
      <w:r>
        <w:rPr>
          <w:rFonts w:eastAsia="Times New Roman"/>
          <w:color w:val="000000"/>
          <w:sz w:val="20"/>
          <w:szCs w:val="20"/>
        </w:rPr>
        <w:t>ownturn, recession, periods of high unemployment, or prolonged periods of slow economic growth. In addition, we face the risk that consumer and commercial customer behavior may change (for example, an increase in the unwillingness or inability of customers</w:t>
      </w:r>
      <w:r>
        <w:rPr>
          <w:rFonts w:eastAsia="Times New Roman"/>
          <w:color w:val="000000"/>
          <w:sz w:val="20"/>
          <w:szCs w:val="20"/>
        </w:rPr>
        <w:t xml:space="preserve"> to repay debt, which may be heightened by increasing interest rates or levels of consumer debt), causing a long-term rise or fluctuations in delinquencies and charge-offs.</w:t>
      </w:r>
    </w:p>
    <w:p w:rsidR="00000000" w:rsidRDefault="0094004B">
      <w:pPr>
        <w:ind w:hanging="360"/>
        <w:jc w:val="both"/>
        <w:divId w:val="984628814"/>
        <w:rPr>
          <w:rFonts w:eastAsia="Times New Roman"/>
        </w:rPr>
      </w:pPr>
      <w:r>
        <w:rPr>
          <w:rFonts w:eastAsia="Times New Roman"/>
          <w:color w:val="000000"/>
          <w:sz w:val="20"/>
          <w:szCs w:val="20"/>
        </w:rPr>
        <w:t>•</w:t>
      </w:r>
      <w:r>
        <w:rPr>
          <w:rFonts w:eastAsia="Times New Roman"/>
          <w:i/>
          <w:iCs/>
          <w:color w:val="000000"/>
          <w:sz w:val="20"/>
          <w:szCs w:val="20"/>
        </w:rPr>
        <w:t>Incorrect Estimates of Expected Losses:</w:t>
      </w:r>
      <w:r>
        <w:rPr>
          <w:rFonts w:eastAsia="Times New Roman"/>
          <w:color w:val="000000"/>
          <w:sz w:val="20"/>
          <w:szCs w:val="20"/>
        </w:rPr>
        <w:t xml:space="preserve"> </w:t>
      </w:r>
      <w:r>
        <w:rPr>
          <w:rFonts w:eastAsia="Times New Roman"/>
          <w:color w:val="000000"/>
          <w:sz w:val="20"/>
          <w:szCs w:val="20"/>
        </w:rPr>
        <w:t>The credit quality of our portfolio can have a significant impact on our earnings. We allow for and reserve against credit risks based on our assessment of expected credit losses in our loan portfolios. This process, which is critical to our financial cond</w:t>
      </w:r>
      <w:r>
        <w:rPr>
          <w:rFonts w:eastAsia="Times New Roman"/>
          <w:color w:val="000000"/>
          <w:sz w:val="20"/>
          <w:szCs w:val="20"/>
        </w:rPr>
        <w:t xml:space="preserve">ition and results of operations, requires complex judgments, including forecasts of economic conditions. We may underestimate our expected losses and fail to hold an allowance for credit losses sufficient to account for these losses. Incorrect assumptions </w:t>
      </w:r>
      <w:r>
        <w:rPr>
          <w:rFonts w:eastAsia="Times New Roman"/>
          <w:color w:val="000000"/>
          <w:sz w:val="20"/>
          <w:szCs w:val="20"/>
        </w:rPr>
        <w:t>could lead to material underestimations of expected credit losses and an inadequate allowance for credit losses. See “</w:t>
      </w:r>
      <w:r>
        <w:rPr>
          <w:rFonts w:eastAsia="Times New Roman"/>
          <w:i/>
          <w:iCs/>
          <w:color w:val="000000"/>
          <w:sz w:val="20"/>
          <w:szCs w:val="20"/>
        </w:rPr>
        <w:t>We face risks resulting from the extensive use of models and data.</w:t>
      </w:r>
      <w:r>
        <w:rPr>
          <w:rFonts w:eastAsia="Times New Roman"/>
          <w:color w:val="000000"/>
          <w:sz w:val="20"/>
          <w:szCs w:val="20"/>
        </w:rPr>
        <w:t>”</w:t>
      </w:r>
    </w:p>
    <w:p w:rsidR="00000000" w:rsidRDefault="0094004B">
      <w:pPr>
        <w:ind w:hanging="360"/>
        <w:jc w:val="both"/>
        <w:divId w:val="1065882433"/>
        <w:rPr>
          <w:rFonts w:eastAsia="Times New Roman"/>
        </w:rPr>
      </w:pPr>
      <w:r>
        <w:rPr>
          <w:rFonts w:eastAsia="Times New Roman"/>
          <w:color w:val="000000"/>
          <w:sz w:val="20"/>
          <w:szCs w:val="20"/>
        </w:rPr>
        <w:t>•</w:t>
      </w:r>
      <w:r>
        <w:rPr>
          <w:rFonts w:eastAsia="Times New Roman"/>
          <w:i/>
          <w:iCs/>
          <w:color w:val="000000"/>
          <w:sz w:val="20"/>
          <w:szCs w:val="20"/>
        </w:rPr>
        <w:t>Inaccurate Underwriting:</w:t>
      </w:r>
      <w:r>
        <w:rPr>
          <w:rFonts w:eastAsia="Times New Roman"/>
          <w:color w:val="000000"/>
          <w:sz w:val="20"/>
          <w:szCs w:val="20"/>
        </w:rPr>
        <w:t xml:space="preserve"> Our ability to accurately assess the creditw</w:t>
      </w:r>
      <w:r>
        <w:rPr>
          <w:rFonts w:eastAsia="Times New Roman"/>
          <w:color w:val="000000"/>
          <w:sz w:val="20"/>
          <w:szCs w:val="20"/>
        </w:rPr>
        <w:t>orthiness of our customers may diminish, which could result in an increase in our credit losses and a deterioration of our returns. See “</w:t>
      </w:r>
      <w:r>
        <w:rPr>
          <w:rFonts w:eastAsia="Times New Roman"/>
          <w:i/>
          <w:iCs/>
          <w:color w:val="000000"/>
          <w:sz w:val="20"/>
          <w:szCs w:val="20"/>
        </w:rPr>
        <w:t>Our risk management strategies may not be fully effective in mitigating our risk exposures in all market environments o</w:t>
      </w:r>
      <w:r>
        <w:rPr>
          <w:rFonts w:eastAsia="Times New Roman"/>
          <w:i/>
          <w:iCs/>
          <w:color w:val="000000"/>
          <w:sz w:val="20"/>
          <w:szCs w:val="20"/>
        </w:rPr>
        <w:t>r against all types of risk</w:t>
      </w:r>
      <w:r>
        <w:rPr>
          <w:rFonts w:eastAsia="Times New Roman"/>
          <w:color w:val="000000"/>
          <w:sz w:val="20"/>
          <w:szCs w:val="20"/>
        </w:rPr>
        <w:t>.”</w:t>
      </w:r>
    </w:p>
    <w:p w:rsidR="00000000" w:rsidRDefault="0094004B">
      <w:pPr>
        <w:ind w:hanging="360"/>
        <w:jc w:val="both"/>
        <w:divId w:val="783040507"/>
        <w:rPr>
          <w:rFonts w:eastAsia="Times New Roman"/>
        </w:rPr>
      </w:pPr>
      <w:r>
        <w:rPr>
          <w:rFonts w:eastAsia="Times New Roman"/>
          <w:color w:val="000000"/>
          <w:sz w:val="20"/>
          <w:szCs w:val="20"/>
        </w:rPr>
        <w:t>•</w:t>
      </w:r>
      <w:r>
        <w:rPr>
          <w:rFonts w:eastAsia="Times New Roman"/>
          <w:i/>
          <w:iCs/>
          <w:color w:val="000000"/>
          <w:sz w:val="20"/>
          <w:szCs w:val="20"/>
        </w:rPr>
        <w:t>Business Mix:</w:t>
      </w:r>
      <w:r>
        <w:rPr>
          <w:rFonts w:eastAsia="Times New Roman"/>
          <w:color w:val="000000"/>
          <w:sz w:val="20"/>
          <w:szCs w:val="20"/>
        </w:rPr>
        <w:t xml:space="preserve"> We engage in a diverse mix of businesses with a broad range of potential credit exposure. Because we originate a relatively greater proportion of consumer loans in our loan portfolio compared to other large bank</w:t>
      </w:r>
      <w:r>
        <w:rPr>
          <w:rFonts w:eastAsia="Times New Roman"/>
          <w:color w:val="000000"/>
          <w:sz w:val="20"/>
          <w:szCs w:val="20"/>
        </w:rPr>
        <w:t xml:space="preserve"> peers and originate both prime and subprime credit card accounts and auto loans, we may experience higher delinquencies and a greater number of accounts charging off, as well as greater fluctuations in those metrics, compared to other large bank peers, wh</w:t>
      </w:r>
      <w:r>
        <w:rPr>
          <w:rFonts w:eastAsia="Times New Roman"/>
          <w:color w:val="000000"/>
          <w:sz w:val="20"/>
          <w:szCs w:val="20"/>
        </w:rPr>
        <w:t xml:space="preserve">ich could result in increased credit losses, operating costs and regulatory scrutiny. Additionally, a change in this business mix over time to include proportionally more consumer loans or subprime credit card accounts or auto loans could adversely affect </w:t>
      </w:r>
      <w:r>
        <w:rPr>
          <w:rFonts w:eastAsia="Times New Roman"/>
          <w:color w:val="000000"/>
          <w:sz w:val="20"/>
          <w:szCs w:val="20"/>
        </w:rPr>
        <w:t>the credit quality of our portfolio.</w:t>
      </w:r>
    </w:p>
    <w:p w:rsidR="00000000" w:rsidRDefault="0094004B">
      <w:pPr>
        <w:ind w:hanging="360"/>
        <w:jc w:val="both"/>
        <w:rPr>
          <w:rFonts w:eastAsia="Times New Roman"/>
        </w:rPr>
      </w:pPr>
      <w:r>
        <w:rPr>
          <w:rFonts w:ascii="Arial" w:eastAsia="Times New Roman" w:hAnsi="Arial" w:cs="Arial"/>
          <w:color w:val="000000"/>
        </w:rPr>
        <w:t>•</w:t>
      </w:r>
      <w:r>
        <w:rPr>
          <w:rFonts w:eastAsia="Times New Roman"/>
          <w:i/>
          <w:iCs/>
          <w:color w:val="000000"/>
          <w:sz w:val="20"/>
          <w:szCs w:val="20"/>
        </w:rPr>
        <w:t>Increasing Charge-off Recognition/Allowance for Credit Losses:</w:t>
      </w:r>
      <w:r>
        <w:rPr>
          <w:rFonts w:eastAsia="Times New Roman"/>
          <w:color w:val="000000"/>
          <w:sz w:val="20"/>
          <w:szCs w:val="20"/>
        </w:rPr>
        <w:t xml:space="preserve"> We account for the allowance for credit losses according to accounting and regulatory guidelines and rules, including Financial Accounting Standards Board </w:t>
      </w:r>
      <w:r>
        <w:rPr>
          <w:rFonts w:eastAsia="Times New Roman"/>
          <w:color w:val="000000"/>
          <w:sz w:val="20"/>
          <w:szCs w:val="20"/>
        </w:rPr>
        <w:t>(“FASB”) standards and the Federal Financial Institutions Examination Council (“FFIEC”) Account Management Guidance. We measure our allowance for credit losses under the CECL standard, which is based on management’s best estimate of expected lifetime credi</w:t>
      </w:r>
      <w:r>
        <w:rPr>
          <w:rFonts w:eastAsia="Times New Roman"/>
          <w:color w:val="000000"/>
          <w:sz w:val="20"/>
          <w:szCs w:val="20"/>
        </w:rPr>
        <w:t xml:space="preserve">t losses. The impact of measuring our allowance for credit losses on our results will depend on the characteristics of our financial instruments, economic conditions, and our economic and loss forecasts. The application of the CECL standard may require us </w:t>
      </w:r>
      <w:r>
        <w:rPr>
          <w:rFonts w:eastAsia="Times New Roman"/>
          <w:color w:val="000000"/>
          <w:sz w:val="20"/>
          <w:szCs w:val="20"/>
        </w:rPr>
        <w:t>to increase reserves faster and to a higher level in an economic downturn, resulting in greater adverse impact to our results and our capital ratios than we would have experienced in similar circumstances prior to the adoption of CECL. In addition, because</w:t>
      </w:r>
      <w:r>
        <w:rPr>
          <w:rFonts w:eastAsia="Times New Roman"/>
          <w:color w:val="000000"/>
          <w:sz w:val="20"/>
          <w:szCs w:val="20"/>
        </w:rPr>
        <w:t xml:space="preserve"> credit cards represent a significant portion of our product mix, we could be disproportionately affected by use of the CECL standard, as compared to our large bank peers with a different product mix.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2000763837"/>
          <w:jc w:val="center"/>
        </w:trPr>
        <w:tc>
          <w:tcPr>
            <w:tcW w:w="50" w:type="pct"/>
            <w:vAlign w:val="center"/>
            <w:hideMark/>
          </w:tcPr>
          <w:p w:rsidR="00000000" w:rsidRDefault="0094004B">
            <w:pPr>
              <w:ind w:hanging="360"/>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2000763837"/>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2000763837"/>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25</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050" style="width:0;height:1.5pt" o:hralign="center" o:hrstd="t" o:hr="t" fillcolor="#a0a0a0" stroked="f"/>
        </w:pict>
      </w:r>
    </w:p>
    <w:p w:rsidR="00000000" w:rsidRDefault="0094004B">
      <w:pPr>
        <w:jc w:val="both"/>
        <w:divId w:val="364602636"/>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ind w:hanging="360"/>
        <w:jc w:val="both"/>
        <w:divId w:val="1866673268"/>
        <w:rPr>
          <w:rFonts w:eastAsia="Times New Roman"/>
        </w:rPr>
      </w:pPr>
      <w:r>
        <w:rPr>
          <w:rFonts w:eastAsia="Times New Roman"/>
          <w:color w:val="000000"/>
          <w:sz w:val="20"/>
          <w:szCs w:val="20"/>
        </w:rPr>
        <w:t>•</w:t>
      </w:r>
      <w:r>
        <w:rPr>
          <w:rFonts w:eastAsia="Times New Roman"/>
          <w:i/>
          <w:iCs/>
          <w:color w:val="000000"/>
          <w:sz w:val="20"/>
          <w:szCs w:val="20"/>
        </w:rPr>
        <w:t xml:space="preserve">Insufficient Asset Values: </w:t>
      </w:r>
      <w:r>
        <w:rPr>
          <w:rFonts w:eastAsia="Times New Roman"/>
          <w:color w:val="000000"/>
          <w:sz w:val="20"/>
          <w:szCs w:val="20"/>
        </w:rPr>
        <w:t>The collateral we have on secured loans could be insufficient to compensate us for credit losses. When customers de</w:t>
      </w:r>
      <w:r>
        <w:rPr>
          <w:rFonts w:eastAsia="Times New Roman"/>
          <w:color w:val="000000"/>
          <w:sz w:val="20"/>
          <w:szCs w:val="20"/>
        </w:rPr>
        <w:t>fault on their secured loans, we attempt to recover collateral where permissible and appropriate. However, the value of the collateral may not be sufficient to compensate us for the amount of the unpaid loan, and we may be unsuccessful in recovering the re</w:t>
      </w:r>
      <w:r>
        <w:rPr>
          <w:rFonts w:eastAsia="Times New Roman"/>
          <w:color w:val="000000"/>
          <w:sz w:val="20"/>
          <w:szCs w:val="20"/>
        </w:rPr>
        <w:t>maining balance from our customers. Decreases in real estate and other asset values adversely affect the collateral value for our commercial lending activities, while the auto business is similarly exposed to collateral risks arising from the auction marke</w:t>
      </w:r>
      <w:r>
        <w:rPr>
          <w:rFonts w:eastAsia="Times New Roman"/>
          <w:color w:val="000000"/>
          <w:sz w:val="20"/>
          <w:szCs w:val="20"/>
        </w:rPr>
        <w:t>ts that determine used car prices. Borrowers may be less likely to continue making payments on loans if the value of the property used as collateral for the loan is less than what the borrower owes, even if the borrower is still financially able to make th</w:t>
      </w:r>
      <w:r>
        <w:rPr>
          <w:rFonts w:eastAsia="Times New Roman"/>
          <w:color w:val="000000"/>
          <w:sz w:val="20"/>
          <w:szCs w:val="20"/>
        </w:rPr>
        <w:t>e payments. In that circumstance, the recovery of such property could be insufficient to compensate us for the value of these loans upon a default. In our auto business, business and economic conditions that negatively affect household incomes, housing pri</w:t>
      </w:r>
      <w:r>
        <w:rPr>
          <w:rFonts w:eastAsia="Times New Roman"/>
          <w:color w:val="000000"/>
          <w:sz w:val="20"/>
          <w:szCs w:val="20"/>
        </w:rPr>
        <w:t>ces and consumer behavior, as well as technological advances that make older cars obsolete faster, could decrease (i) the demand for new and used vehicles and (ii) the value of the collateral underlying our portfolio of auto loans, which could cause the nu</w:t>
      </w:r>
      <w:r>
        <w:rPr>
          <w:rFonts w:eastAsia="Times New Roman"/>
          <w:color w:val="000000"/>
          <w:sz w:val="20"/>
          <w:szCs w:val="20"/>
        </w:rPr>
        <w:t>mber of consumers who become delinquent or default on their loans to increase.</w:t>
      </w:r>
    </w:p>
    <w:p w:rsidR="00000000" w:rsidRDefault="0094004B">
      <w:pPr>
        <w:ind w:hanging="360"/>
        <w:jc w:val="both"/>
        <w:divId w:val="2115518425"/>
        <w:rPr>
          <w:rFonts w:eastAsia="Times New Roman"/>
        </w:rPr>
      </w:pPr>
      <w:r>
        <w:rPr>
          <w:rFonts w:eastAsia="Times New Roman"/>
          <w:color w:val="000000"/>
          <w:sz w:val="20"/>
          <w:szCs w:val="20"/>
        </w:rPr>
        <w:t>•</w:t>
      </w:r>
      <w:r>
        <w:rPr>
          <w:rFonts w:eastAsia="Times New Roman"/>
          <w:i/>
          <w:iCs/>
          <w:color w:val="000000"/>
          <w:sz w:val="20"/>
          <w:szCs w:val="20"/>
        </w:rPr>
        <w:t>Geographic and Industry Concentration:</w:t>
      </w:r>
      <w:r>
        <w:rPr>
          <w:rFonts w:eastAsia="Times New Roman"/>
          <w:color w:val="000000"/>
          <w:sz w:val="20"/>
          <w:szCs w:val="20"/>
        </w:rPr>
        <w:t xml:space="preserve"> Although our consumer lending is geographically diversified, approximately 40% of our commercial real estate loan portfolio is concentrat</w:t>
      </w:r>
      <w:r>
        <w:rPr>
          <w:rFonts w:eastAsia="Times New Roman"/>
          <w:color w:val="000000"/>
          <w:sz w:val="20"/>
          <w:szCs w:val="20"/>
        </w:rPr>
        <w:t>ed in the Northeast region. The regional economic conditions in the Northeast affect the demand for our commercial products and services as well as the ability of our customers to repay their commercial real estate loans and the value of the collateral sec</w:t>
      </w:r>
      <w:r>
        <w:rPr>
          <w:rFonts w:eastAsia="Times New Roman"/>
          <w:color w:val="000000"/>
          <w:sz w:val="20"/>
          <w:szCs w:val="20"/>
        </w:rPr>
        <w:t>uring these loans. An economic downturn or prolonged period of slow economic growth in, or a catastrophic event or natural disaster that disproportionately affects the Northeast region could have a material adverse effect on the performance of our commerci</w:t>
      </w:r>
      <w:r>
        <w:rPr>
          <w:rFonts w:eastAsia="Times New Roman"/>
          <w:color w:val="000000"/>
          <w:sz w:val="20"/>
          <w:szCs w:val="20"/>
        </w:rPr>
        <w:t>al real estate loan portfolio and our results of operations. In addition, our Commercial Banking strategy includes an industry-specific focus. If any of the industries that we focus on experience changes, we may experience increased credit losses and our r</w:t>
      </w:r>
      <w:r>
        <w:rPr>
          <w:rFonts w:eastAsia="Times New Roman"/>
          <w:color w:val="000000"/>
          <w:sz w:val="20"/>
          <w:szCs w:val="20"/>
        </w:rPr>
        <w:t>esults of operations could be adversely impacted.</w:t>
      </w:r>
    </w:p>
    <w:p w:rsidR="00000000" w:rsidRDefault="0094004B">
      <w:pPr>
        <w:jc w:val="both"/>
        <w:divId w:val="264534239"/>
        <w:rPr>
          <w:rFonts w:eastAsia="Times New Roman"/>
        </w:rPr>
      </w:pPr>
      <w:r>
        <w:rPr>
          <w:rFonts w:eastAsia="Times New Roman"/>
          <w:b/>
          <w:bCs/>
          <w:color w:val="000000"/>
          <w:sz w:val="20"/>
          <w:szCs w:val="20"/>
        </w:rPr>
        <w:t>Capital and Liquidity Risk</w:t>
      </w:r>
    </w:p>
    <w:p w:rsidR="00000000" w:rsidRDefault="0094004B">
      <w:pPr>
        <w:jc w:val="both"/>
        <w:divId w:val="670109950"/>
        <w:rPr>
          <w:rFonts w:eastAsia="Times New Roman"/>
        </w:rPr>
      </w:pPr>
      <w:r>
        <w:rPr>
          <w:rFonts w:eastAsia="Times New Roman"/>
          <w:b/>
          <w:bCs/>
          <w:i/>
          <w:iCs/>
          <w:color w:val="000000"/>
          <w:sz w:val="20"/>
          <w:szCs w:val="20"/>
        </w:rPr>
        <w:t>We may not be able to maintain adequate capital or liquidity levels or may become subject to revised capital or liquidity requirements, which could have a negative impact on our financial results and our ability to return capital to our stockholders.</w:t>
      </w:r>
    </w:p>
    <w:p w:rsidR="00000000" w:rsidRDefault="0094004B">
      <w:pPr>
        <w:jc w:val="both"/>
        <w:divId w:val="1926649651"/>
        <w:rPr>
          <w:rFonts w:eastAsia="Times New Roman"/>
        </w:rPr>
      </w:pPr>
      <w:r>
        <w:rPr>
          <w:rFonts w:eastAsia="Times New Roman"/>
          <w:color w:val="000000"/>
          <w:sz w:val="20"/>
          <w:szCs w:val="20"/>
        </w:rPr>
        <w:t>Financial institutions are subject to extensive and complex capital and liquidity requirements, which are subject to change. These requirements affect our ability to lend, grow deposit balances, make acquisitions and distribute capital. Failure to maintain</w:t>
      </w:r>
      <w:r>
        <w:rPr>
          <w:rFonts w:eastAsia="Times New Roman"/>
          <w:color w:val="000000"/>
          <w:sz w:val="20"/>
          <w:szCs w:val="20"/>
        </w:rPr>
        <w:t xml:space="preserve"> adequate capital or liquidity levels, whether due to adverse developments in our business or the economy or to changes in the applicable requirements, could subject us to a variety of restrictions and/or remedial actions imposed by our regulators. These i</w:t>
      </w:r>
      <w:r>
        <w:rPr>
          <w:rFonts w:eastAsia="Times New Roman"/>
          <w:color w:val="000000"/>
          <w:sz w:val="20"/>
          <w:szCs w:val="20"/>
        </w:rPr>
        <w:t>nclude limitations on the ability to pay dividends and/or repurchase shares and the issuance of a capital directive to increase capital. Such limitations or capital directive could have a material adverse effect on our business and results of operations.</w:t>
      </w:r>
    </w:p>
    <w:p w:rsidR="00000000" w:rsidRDefault="0094004B">
      <w:pPr>
        <w:jc w:val="both"/>
        <w:rPr>
          <w:rFonts w:eastAsia="Times New Roman"/>
        </w:rPr>
      </w:pPr>
      <w:r>
        <w:rPr>
          <w:rFonts w:eastAsia="Times New Roman"/>
          <w:color w:val="000000"/>
          <w:sz w:val="20"/>
          <w:szCs w:val="20"/>
        </w:rPr>
        <w:t>W</w:t>
      </w:r>
      <w:r>
        <w:rPr>
          <w:rFonts w:eastAsia="Times New Roman"/>
          <w:color w:val="000000"/>
          <w:sz w:val="20"/>
          <w:szCs w:val="20"/>
        </w:rPr>
        <w:t>e consider various factors in the management of capital, including the impact of both internal and supervisory stress scenarios on our capital levels as determined by our internal modeling and the Federal Reserve’s estimation of losses in supervisory stres</w:t>
      </w:r>
      <w:r>
        <w:rPr>
          <w:rFonts w:eastAsia="Times New Roman"/>
          <w:color w:val="000000"/>
          <w:sz w:val="20"/>
          <w:szCs w:val="20"/>
        </w:rPr>
        <w:t>s scenarios that are used to annually set our stress capital buffer requirement. There can be significant differences between our modeling and the Federal Reserve’s projections for a given supervisory stress scenario and between the capital needs suggested</w:t>
      </w:r>
      <w:r>
        <w:rPr>
          <w:rFonts w:eastAsia="Times New Roman"/>
          <w:color w:val="000000"/>
          <w:sz w:val="20"/>
          <w:szCs w:val="20"/>
        </w:rPr>
        <w:t xml:space="preserve"> by our internal stress scenarios and the supervisory scenarios. Therefore, although our estimated capital levels under stress disclosed as part of the stress testing processes may suggest that we have a particular capacity to return capital to stockholder</w:t>
      </w:r>
      <w:r>
        <w:rPr>
          <w:rFonts w:eastAsia="Times New Roman"/>
          <w:color w:val="000000"/>
          <w:sz w:val="20"/>
          <w:szCs w:val="20"/>
        </w:rPr>
        <w:t>s and remain well capitalized under stress, the Federal Reserve’s modeling, our internal modeling of another scenario and/or other factors related to our capital management process may reflect a lower capacity to return capital to stockholders than that in</w:t>
      </w:r>
      <w:r>
        <w:rPr>
          <w:rFonts w:eastAsia="Times New Roman"/>
          <w:color w:val="000000"/>
          <w:sz w:val="20"/>
          <w:szCs w:val="20"/>
        </w:rPr>
        <w:t>dicated by the projections released in the stress testing processes. This in turn, could lead to restrictions on our ability to pay dividends and engage in share repurchases. See “Part I—Item 1. Business—Supervision and Regulation” for additional informati</w:t>
      </w:r>
      <w:r>
        <w:rPr>
          <w:rFonts w:eastAsia="Times New Roman"/>
          <w:color w:val="000000"/>
          <w:sz w:val="20"/>
          <w:szCs w:val="20"/>
        </w:rPr>
        <w:t>on.</w:t>
      </w:r>
    </w:p>
    <w:p w:rsidR="00000000" w:rsidRDefault="0094004B">
      <w:pPr>
        <w:jc w:val="both"/>
        <w:rPr>
          <w:rFonts w:eastAsia="Times New Roman"/>
        </w:rPr>
      </w:pPr>
    </w:p>
    <w:p w:rsidR="00000000" w:rsidRDefault="0094004B">
      <w:pPr>
        <w:jc w:val="both"/>
        <w:rPr>
          <w:rFonts w:eastAsia="Times New Roman"/>
        </w:rPr>
      </w:pPr>
      <w:r>
        <w:rPr>
          <w:rFonts w:eastAsia="Times New Roman"/>
          <w:color w:val="000000"/>
          <w:sz w:val="20"/>
          <w:szCs w:val="20"/>
        </w:rPr>
        <w:t>We also consider various factors in the management of liquidity, including maintaining sufficient liquid assets to meet the requirements of several internal and regulatory stress tests. There can be significant differences in estimated liquidity need</w:t>
      </w:r>
      <w:r>
        <w:rPr>
          <w:rFonts w:eastAsia="Times New Roman"/>
          <w:color w:val="000000"/>
          <w:sz w:val="20"/>
          <w:szCs w:val="20"/>
        </w:rPr>
        <w:t>s between internal and regulatory stress testing, and liquidity resources required to meet regulatory requirements, such as applicable LCR and NSFR requirements, may exceed what would otherwise be required to satisfy internal liquidity metrics and stress t</w:t>
      </w:r>
      <w:r>
        <w:rPr>
          <w:rFonts w:eastAsia="Times New Roman"/>
          <w:color w:val="000000"/>
          <w:sz w:val="20"/>
          <w:szCs w:val="20"/>
        </w:rPr>
        <w:t>esting. Regulatory liquidity stress testing and regulatory liquidity requirements may, therefore, require us to take actions to increase our liquid assets or alter our activities or funding sources, which could negatively affect our financial results or ou</w:t>
      </w:r>
      <w:r>
        <w:rPr>
          <w:rFonts w:eastAsia="Times New Roman"/>
          <w:color w:val="000000"/>
          <w:sz w:val="20"/>
          <w:szCs w:val="20"/>
        </w:rPr>
        <w:t xml:space="preserve">r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245647296"/>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245647296"/>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245647296"/>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26</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051" style="width:0;height:1.5pt" o:hralign="center" o:hrstd="t" o:hr="t" fillcolor="#a0a0a0" stroked="f"/>
        </w:pict>
      </w:r>
    </w:p>
    <w:p w:rsidR="00000000" w:rsidRDefault="0094004B">
      <w:pPr>
        <w:jc w:val="both"/>
        <w:divId w:val="2098087616"/>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both"/>
        <w:rPr>
          <w:rFonts w:eastAsia="Times New Roman"/>
        </w:rPr>
      </w:pPr>
      <w:r>
        <w:rPr>
          <w:rFonts w:eastAsia="Times New Roman"/>
          <w:color w:val="000000"/>
          <w:sz w:val="20"/>
          <w:szCs w:val="20"/>
        </w:rPr>
        <w:t>ability to return capital to our stockholders. See “Part I—Item 1. Business—Supervision and Regulation” for additional information.</w:t>
      </w:r>
    </w:p>
    <w:p w:rsidR="00000000" w:rsidRDefault="0094004B">
      <w:pPr>
        <w:jc w:val="both"/>
        <w:divId w:val="1633825344"/>
        <w:rPr>
          <w:rFonts w:eastAsia="Times New Roman"/>
        </w:rPr>
      </w:pPr>
      <w:r>
        <w:rPr>
          <w:rFonts w:eastAsia="Times New Roman"/>
          <w:color w:val="000000"/>
          <w:sz w:val="20"/>
          <w:szCs w:val="20"/>
        </w:rPr>
        <w:t>In addition</w:t>
      </w:r>
      <w:r>
        <w:rPr>
          <w:rFonts w:eastAsia="Times New Roman"/>
          <w:color w:val="000000"/>
          <w:sz w:val="20"/>
          <w:szCs w:val="20"/>
        </w:rPr>
        <w:t>, changes to applicable capital and liquidity requirements could result in increased expenses or unexpected or new limitations on our ability to pay dividends and engage in share repurchases.</w:t>
      </w:r>
    </w:p>
    <w:p w:rsidR="00000000" w:rsidRDefault="0094004B">
      <w:pPr>
        <w:jc w:val="both"/>
        <w:divId w:val="1792048288"/>
        <w:rPr>
          <w:rFonts w:eastAsia="Times New Roman"/>
        </w:rPr>
      </w:pPr>
      <w:r>
        <w:rPr>
          <w:rFonts w:eastAsia="Times New Roman"/>
          <w:b/>
          <w:bCs/>
          <w:i/>
          <w:iCs/>
          <w:color w:val="000000"/>
          <w:sz w:val="20"/>
          <w:szCs w:val="20"/>
        </w:rPr>
        <w:t>Limitations on our ability to receive dividends from our subsidi</w:t>
      </w:r>
      <w:r>
        <w:rPr>
          <w:rFonts w:eastAsia="Times New Roman"/>
          <w:b/>
          <w:bCs/>
          <w:i/>
          <w:iCs/>
          <w:color w:val="000000"/>
          <w:sz w:val="20"/>
          <w:szCs w:val="20"/>
        </w:rPr>
        <w:t>aries could affect our liquidity and ability to pay dividends and repurchase common stock.</w:t>
      </w:r>
    </w:p>
    <w:p w:rsidR="00000000" w:rsidRDefault="0094004B">
      <w:pPr>
        <w:jc w:val="both"/>
        <w:rPr>
          <w:rFonts w:eastAsia="Times New Roman"/>
        </w:rPr>
      </w:pPr>
      <w:r>
        <w:rPr>
          <w:rFonts w:eastAsia="Times New Roman"/>
          <w:color w:val="000000"/>
          <w:sz w:val="20"/>
          <w:szCs w:val="20"/>
        </w:rPr>
        <w:t>We are a separate and distinct legal entity from our subsidiaries, including the Bank and our broker-dealer subsidiaries. Dividends to us from these direct and indir</w:t>
      </w:r>
      <w:r>
        <w:rPr>
          <w:rFonts w:eastAsia="Times New Roman"/>
          <w:color w:val="000000"/>
          <w:sz w:val="20"/>
          <w:szCs w:val="20"/>
        </w:rPr>
        <w:t xml:space="preserve">ect subsidiaries have represented a major source of funds for us to pay dividends on our common and preferred stock, repurchase common stock, make payments on corporate debt securities and meet other obligations. These capital distributions may be limited </w:t>
      </w:r>
      <w:r>
        <w:rPr>
          <w:rFonts w:eastAsia="Times New Roman"/>
          <w:color w:val="000000"/>
          <w:sz w:val="20"/>
          <w:szCs w:val="20"/>
        </w:rPr>
        <w:t xml:space="preserve">by law, regulation or supervisory policy. There are various federal law limitations on the extent to which the Bank can finance or otherwise supply funds to us through dividends and loans. These limitations include minimum regulatory capital requirements, </w:t>
      </w:r>
      <w:r>
        <w:rPr>
          <w:rFonts w:eastAsia="Times New Roman"/>
          <w:color w:val="000000"/>
          <w:sz w:val="20"/>
          <w:szCs w:val="20"/>
        </w:rPr>
        <w:t>federal banking law requirements concerning the payment of dividends out of net profits or surplus, and Sections 23A and 23B of the Federal Reserve Act and Regulation W governing transactions between an insured depository institution and its affiliates, as</w:t>
      </w:r>
      <w:r>
        <w:rPr>
          <w:rFonts w:eastAsia="Times New Roman"/>
          <w:color w:val="000000"/>
          <w:sz w:val="20"/>
          <w:szCs w:val="20"/>
        </w:rPr>
        <w:t xml:space="preserve"> well as general federal regulatory oversight to prevent unsafe or unsound practices. Our broker-dealer subsidiaries are also subject to laws and regulations, including net capital requirements, that may limit their ability to pay dividends or make other d</w:t>
      </w:r>
      <w:r>
        <w:rPr>
          <w:rFonts w:eastAsia="Times New Roman"/>
          <w:color w:val="000000"/>
          <w:sz w:val="20"/>
          <w:szCs w:val="20"/>
        </w:rPr>
        <w:t>istributions to us. If our subsidiaries’ earnings are not sufficient to make dividend payments to us while maintaining adequate capital levels, our liquidity may be affected and we may not be able to make dividend payments to our common or preferred stockh</w:t>
      </w:r>
      <w:r>
        <w:rPr>
          <w:rFonts w:eastAsia="Times New Roman"/>
          <w:color w:val="000000"/>
          <w:sz w:val="20"/>
          <w:szCs w:val="20"/>
        </w:rPr>
        <w:t xml:space="preserve">olders, repurchase our common stock, make payments on outstanding corporate debt securities or meet other obligations, each and any of which could have a material adverse impact on our results of operations, our financial position or the perception of our </w:t>
      </w:r>
      <w:r>
        <w:rPr>
          <w:rFonts w:eastAsia="Times New Roman"/>
          <w:color w:val="000000"/>
          <w:sz w:val="20"/>
          <w:szCs w:val="20"/>
        </w:rPr>
        <w:t>financial health. The frequency and size of any future dividends to our stockholders and stock repurchases will depend upon regulatory limitations imposed by the Federal Banking Agencies and the SEC and our results of operations, financial condition, capit</w:t>
      </w:r>
      <w:r>
        <w:rPr>
          <w:rFonts w:eastAsia="Times New Roman"/>
          <w:color w:val="000000"/>
          <w:sz w:val="20"/>
          <w:szCs w:val="20"/>
        </w:rPr>
        <w:t>al levels, cash requirements, future prospects, regulatory review and other factors as further described in “Part I—Item 1. Business—Supervision and Regulation.”</w:t>
      </w:r>
    </w:p>
    <w:p w:rsidR="00000000" w:rsidRDefault="0094004B">
      <w:pPr>
        <w:jc w:val="both"/>
        <w:divId w:val="1007172756"/>
        <w:rPr>
          <w:rFonts w:eastAsia="Times New Roman"/>
        </w:rPr>
      </w:pPr>
      <w:r>
        <w:rPr>
          <w:rFonts w:eastAsia="Times New Roman"/>
          <w:b/>
          <w:bCs/>
          <w:color w:val="000000"/>
          <w:sz w:val="20"/>
          <w:szCs w:val="20"/>
        </w:rPr>
        <w:t>Operational Risk</w:t>
      </w:r>
    </w:p>
    <w:p w:rsidR="00000000" w:rsidRDefault="0094004B">
      <w:pPr>
        <w:jc w:val="both"/>
        <w:divId w:val="244806731"/>
        <w:rPr>
          <w:rFonts w:eastAsia="Times New Roman"/>
        </w:rPr>
      </w:pPr>
      <w:r>
        <w:rPr>
          <w:rFonts w:eastAsia="Times New Roman"/>
          <w:b/>
          <w:bCs/>
          <w:i/>
          <w:iCs/>
          <w:color w:val="000000"/>
          <w:sz w:val="20"/>
          <w:szCs w:val="20"/>
        </w:rPr>
        <w:t>We face risks related to our operational, technological and organizational in</w:t>
      </w:r>
      <w:r>
        <w:rPr>
          <w:rFonts w:eastAsia="Times New Roman"/>
          <w:b/>
          <w:bCs/>
          <w:i/>
          <w:iCs/>
          <w:color w:val="000000"/>
          <w:sz w:val="20"/>
          <w:szCs w:val="20"/>
        </w:rPr>
        <w:t>frastructure.</w:t>
      </w:r>
    </w:p>
    <w:p w:rsidR="00000000" w:rsidRDefault="0094004B">
      <w:pPr>
        <w:jc w:val="both"/>
        <w:divId w:val="212885050"/>
        <w:rPr>
          <w:rFonts w:eastAsia="Times New Roman"/>
        </w:rPr>
      </w:pPr>
      <w:r>
        <w:rPr>
          <w:rFonts w:eastAsia="Times New Roman"/>
          <w:color w:val="000000"/>
          <w:sz w:val="20"/>
          <w:szCs w:val="20"/>
        </w:rPr>
        <w:t xml:space="preserve">Our ability to retain and attract customers depends on our ability to develop, operate, and adapt our technology and organizational infrastructure in a rapidly changing environment. In addition, we must accurately process, record and monitor </w:t>
      </w:r>
      <w:r>
        <w:rPr>
          <w:rFonts w:eastAsia="Times New Roman"/>
          <w:color w:val="000000"/>
          <w:sz w:val="20"/>
          <w:szCs w:val="20"/>
        </w:rPr>
        <w:t>an increasingly large number of complex transactions. Digital technology, cloud-based services, data and software development are deeply embedded into our business model and how we work.</w:t>
      </w:r>
    </w:p>
    <w:p w:rsidR="00000000" w:rsidRDefault="0094004B">
      <w:pPr>
        <w:jc w:val="both"/>
        <w:rPr>
          <w:rFonts w:eastAsia="Times New Roman"/>
        </w:rPr>
      </w:pPr>
      <w:r>
        <w:rPr>
          <w:rFonts w:eastAsia="Times New Roman"/>
          <w:color w:val="000000"/>
          <w:sz w:val="20"/>
          <w:szCs w:val="20"/>
        </w:rPr>
        <w:t>Similar to other large corporations in our industry, we are exposed t</w:t>
      </w:r>
      <w:r>
        <w:rPr>
          <w:rFonts w:eastAsia="Times New Roman"/>
          <w:color w:val="000000"/>
          <w:sz w:val="20"/>
          <w:szCs w:val="20"/>
        </w:rPr>
        <w:t xml:space="preserve">o operational risk that can manifest itself in many ways, such as errors in execution, inadequate processes, inaccurate models, faulty or disabled technological infrastructure, malicious disruption and fraud by employees or persons outside of our company, </w:t>
      </w:r>
      <w:r>
        <w:rPr>
          <w:rFonts w:eastAsia="Times New Roman"/>
          <w:color w:val="000000"/>
          <w:sz w:val="20"/>
          <w:szCs w:val="20"/>
        </w:rPr>
        <w:t>whether through attacks on Capital One directly or on our customers. In addition, the increasing use of near real-time money movement solutions, among other risks, increases the complexity of preventing, detecting and recovering fraudulent transactions. In</w:t>
      </w:r>
      <w:r>
        <w:rPr>
          <w:rFonts w:eastAsia="Times New Roman"/>
          <w:color w:val="000000"/>
          <w:sz w:val="20"/>
          <w:szCs w:val="20"/>
        </w:rPr>
        <w:t xml:space="preserve"> addition, we are heavily dependent on the security, capability, integrity and continuous availability of the technology systems that we use to manage our internal financial and other systems, monitor risk and compliance with regulatory requirements, provi</w:t>
      </w:r>
      <w:r>
        <w:rPr>
          <w:rFonts w:eastAsia="Times New Roman"/>
          <w:color w:val="000000"/>
          <w:sz w:val="20"/>
          <w:szCs w:val="20"/>
        </w:rPr>
        <w:t>de services to our customers, develop and offer new products and communicate with stakeholders. We also face risk of adverse customer impacts and business disruption arising from the execution of strategic initiatives and operational plans we may pursue ac</w:t>
      </w:r>
      <w:r>
        <w:rPr>
          <w:rFonts w:eastAsia="Times New Roman"/>
          <w:color w:val="000000"/>
          <w:sz w:val="20"/>
          <w:szCs w:val="20"/>
        </w:rPr>
        <w:t>ross our operations.</w:t>
      </w:r>
    </w:p>
    <w:p w:rsidR="00000000" w:rsidRDefault="0094004B">
      <w:pPr>
        <w:jc w:val="both"/>
        <w:divId w:val="1841119695"/>
        <w:rPr>
          <w:rFonts w:eastAsia="Times New Roman"/>
        </w:rPr>
      </w:pPr>
      <w:r>
        <w:rPr>
          <w:rFonts w:eastAsia="Times New Roman"/>
          <w:color w:val="000000"/>
          <w:sz w:val="20"/>
          <w:szCs w:val="20"/>
        </w:rPr>
        <w:t>If we do not maintain the necessary operational, technological and organizational infrastructure to operate our business, including to maintain the resiliency and security of that infrastructure, our business and reputation could be ma</w:t>
      </w:r>
      <w:r>
        <w:rPr>
          <w:rFonts w:eastAsia="Times New Roman"/>
          <w:color w:val="000000"/>
          <w:sz w:val="20"/>
          <w:szCs w:val="20"/>
        </w:rPr>
        <w:t>terially adversely affected. We also are subject to disruptions to our systems arising from events that are wholly or partially beyond our control, which may include computer viruses, electrical or telecommunications outages, bugs, design flaws in foundati</w:t>
      </w:r>
      <w:r>
        <w:rPr>
          <w:rFonts w:eastAsia="Times New Roman"/>
          <w:color w:val="000000"/>
          <w:sz w:val="20"/>
          <w:szCs w:val="20"/>
        </w:rPr>
        <w:t>onal components or platforms, availability and quality of vulnerability patches from key vendors, cyber-attacks and other security incidents, natural disasters, other damage to property or physical assets, or events arising from local or larger scale polit</w:t>
      </w:r>
      <w:r>
        <w:rPr>
          <w:rFonts w:eastAsia="Times New Roman"/>
          <w:color w:val="000000"/>
          <w:sz w:val="20"/>
          <w:szCs w:val="20"/>
        </w:rPr>
        <w:t>ics, including terrorist acts. Any failure to maintain our infrastructure or prevent disruption of our systems and applications could diminish our ability to operate our businesses, service customer accounts and protect customers’ information, or result in</w:t>
      </w:r>
      <w:r>
        <w:rPr>
          <w:rFonts w:eastAsia="Times New Roman"/>
          <w:color w:val="000000"/>
          <w:sz w:val="20"/>
          <w:szCs w:val="20"/>
        </w:rPr>
        <w:t xml:space="preserve"> potential liability to customers, reputational damage, regulatory intervention and customers’ loss of confidence in our businesses, any of which could result in a material adverse effect.</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527059675"/>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527059675"/>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527059675"/>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27</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052" style="width:0;height:1.5pt" o:hralign="center" o:hrstd="t" o:hr="t" fillcolor="#a0a0a0" stroked="f"/>
        </w:pict>
      </w:r>
    </w:p>
    <w:p w:rsidR="00000000" w:rsidRDefault="0094004B">
      <w:pPr>
        <w:jc w:val="both"/>
        <w:divId w:val="457384095"/>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both"/>
        <w:divId w:val="1685324074"/>
        <w:rPr>
          <w:rFonts w:eastAsia="Times New Roman"/>
        </w:rPr>
      </w:pPr>
      <w:r>
        <w:rPr>
          <w:rFonts w:eastAsia="Times New Roman"/>
          <w:color w:val="000000"/>
          <w:sz w:val="20"/>
          <w:szCs w:val="20"/>
        </w:rPr>
        <w:t xml:space="preserve">We also rely on the business infrastructure and systems of third parties with which we do business and to whom we outsource the operation, maintenance and development of our information technology and communications systems. We have substantially migrated </w:t>
      </w:r>
      <w:r>
        <w:rPr>
          <w:rFonts w:eastAsia="Times New Roman"/>
          <w:color w:val="000000"/>
          <w:sz w:val="20"/>
          <w:szCs w:val="20"/>
        </w:rPr>
        <w:t>all aspects of our core information technology systems and customer-facing applications to third-party cloud infrastructure platforms, principally AWS. If we fail to architect, administer or oversee these environments in a well-managed, secure and effectiv</w:t>
      </w:r>
      <w:r>
        <w:rPr>
          <w:rFonts w:eastAsia="Times New Roman"/>
          <w:color w:val="000000"/>
          <w:sz w:val="20"/>
          <w:szCs w:val="20"/>
        </w:rPr>
        <w:t>e manner, or if such platforms become unavailable, are disrupted, fail to scale, do not operate as designed, or do not meet their service level agreements for any reason, we may experience unplanned service disruption or unforeseen costs which could result</w:t>
      </w:r>
      <w:r>
        <w:rPr>
          <w:rFonts w:eastAsia="Times New Roman"/>
          <w:color w:val="000000"/>
          <w:sz w:val="20"/>
          <w:szCs w:val="20"/>
        </w:rPr>
        <w:t xml:space="preserve"> in material harm to our business and operations. We must successfully develop and maintain information, financial reporting, disclosure, privacy, data protection, data security and other controls adapted to our reliance on outside platforms and providers.</w:t>
      </w:r>
      <w:r>
        <w:rPr>
          <w:rFonts w:eastAsia="Times New Roman"/>
          <w:color w:val="000000"/>
          <w:sz w:val="20"/>
          <w:szCs w:val="20"/>
        </w:rPr>
        <w:t xml:space="preserve"> In addition, AWS, or other service providers could experience system or telecommunication breakdowns or failures, outages, degradation in service, downtime, failure to scale, software bugs, cyber-attacks and other security incidents, adverse changes to fi</w:t>
      </w:r>
      <w:r>
        <w:rPr>
          <w:rFonts w:eastAsia="Times New Roman"/>
          <w:color w:val="000000"/>
          <w:sz w:val="20"/>
          <w:szCs w:val="20"/>
        </w:rPr>
        <w:t>nancial condition, bankruptcy, or other adverse conditions, (including conditions which interfere with our access to and use of AWS), which could have a material adverse effect on our business and reputation. Thus, the substantial amount of our infrastruct</w:t>
      </w:r>
      <w:r>
        <w:rPr>
          <w:rFonts w:eastAsia="Times New Roman"/>
          <w:color w:val="000000"/>
          <w:sz w:val="20"/>
          <w:szCs w:val="20"/>
        </w:rPr>
        <w:t>ure that we outsource to AWS or to other third parties may increase our risk exposure.</w:t>
      </w:r>
    </w:p>
    <w:p w:rsidR="00000000" w:rsidRDefault="0094004B">
      <w:pPr>
        <w:jc w:val="both"/>
        <w:divId w:val="560942489"/>
        <w:rPr>
          <w:rFonts w:eastAsia="Times New Roman"/>
        </w:rPr>
      </w:pPr>
      <w:r>
        <w:rPr>
          <w:rFonts w:eastAsia="Times New Roman"/>
          <w:color w:val="000000"/>
          <w:sz w:val="20"/>
          <w:szCs w:val="20"/>
        </w:rPr>
        <w:t>Any disruptions, failures or inaccuracies of our operational processes, technology systems and models, including those associated with improvements or modifications to s</w:t>
      </w:r>
      <w:r>
        <w:rPr>
          <w:rFonts w:eastAsia="Times New Roman"/>
          <w:color w:val="000000"/>
          <w:sz w:val="20"/>
          <w:szCs w:val="20"/>
        </w:rPr>
        <w:t>uch technology systems and models, could cause us to be unable to market and manage our products and services, manage our risk, meet our regulatory obligations or report our financial results in a timely and accurate manner, all of which could have a negat</w:t>
      </w:r>
      <w:r>
        <w:rPr>
          <w:rFonts w:eastAsia="Times New Roman"/>
          <w:color w:val="000000"/>
          <w:sz w:val="20"/>
          <w:szCs w:val="20"/>
        </w:rPr>
        <w:t>ive impact on our results of operations. In addition, our ongoing investments in infrastructure, which are necessary to maintain a competitive business, integrate acquisitions and establish scalable operations, may increase our expenses. As our business de</w:t>
      </w:r>
      <w:r>
        <w:rPr>
          <w:rFonts w:eastAsia="Times New Roman"/>
          <w:color w:val="000000"/>
          <w:sz w:val="20"/>
          <w:szCs w:val="20"/>
        </w:rPr>
        <w:t>velops, changes or expands, additional expenses can arise as a result of a reevaluation of business strategies, management of outsourced services, asset purchases or other acquisitions, structural reorganization, compliance with new laws or regulations, th</w:t>
      </w:r>
      <w:r>
        <w:rPr>
          <w:rFonts w:eastAsia="Times New Roman"/>
          <w:color w:val="000000"/>
          <w:sz w:val="20"/>
          <w:szCs w:val="20"/>
        </w:rPr>
        <w:t>e integration of newly acquired businesses, or the prevention or occurrence of cyber-attacks and other security incidents. If we are unable to successfully manage our expenses, our financial results will be negatively affected. Changes to our business, inc</w:t>
      </w:r>
      <w:r>
        <w:rPr>
          <w:rFonts w:eastAsia="Times New Roman"/>
          <w:color w:val="000000"/>
          <w:sz w:val="20"/>
          <w:szCs w:val="20"/>
        </w:rPr>
        <w:t>luding those resulting from our strategic objectives, also requires robust governance to ensure that our objectives are executed as intended without adversely impacting our customers, associates, operations or financial performance. Ineffective change mana</w:t>
      </w:r>
      <w:r>
        <w:rPr>
          <w:rFonts w:eastAsia="Times New Roman"/>
          <w:color w:val="000000"/>
          <w:sz w:val="20"/>
          <w:szCs w:val="20"/>
        </w:rPr>
        <w:t xml:space="preserve">gement oversight and governance over the execution of our strategic objectives could expose us to operational, strategic and reputational risk and could negatively impact customers or our financial performance. </w:t>
      </w:r>
    </w:p>
    <w:p w:rsidR="00000000" w:rsidRDefault="0094004B">
      <w:pPr>
        <w:jc w:val="both"/>
        <w:divId w:val="1984582859"/>
        <w:rPr>
          <w:rFonts w:eastAsia="Times New Roman"/>
        </w:rPr>
      </w:pPr>
      <w:r>
        <w:rPr>
          <w:rFonts w:eastAsia="Times New Roman"/>
          <w:b/>
          <w:bCs/>
          <w:i/>
          <w:iCs/>
          <w:color w:val="000000"/>
          <w:sz w:val="20"/>
          <w:szCs w:val="20"/>
        </w:rPr>
        <w:t>A cyber-attack or other security incident, i</w:t>
      </w:r>
      <w:r>
        <w:rPr>
          <w:rFonts w:eastAsia="Times New Roman"/>
          <w:b/>
          <w:bCs/>
          <w:i/>
          <w:iCs/>
          <w:color w:val="000000"/>
          <w:sz w:val="20"/>
          <w:szCs w:val="20"/>
        </w:rPr>
        <w:t>ncluding one that results in the theft, loss, manipulation or misuse of information (including personal information), or the disabling of systems and access to information critical to business operations, may result in increased costs, reductions in revenu</w:t>
      </w:r>
      <w:r>
        <w:rPr>
          <w:rFonts w:eastAsia="Times New Roman"/>
          <w:b/>
          <w:bCs/>
          <w:i/>
          <w:iCs/>
          <w:color w:val="000000"/>
          <w:sz w:val="20"/>
          <w:szCs w:val="20"/>
        </w:rPr>
        <w:t>e, reputational damage, legal exposure and business disruptions.</w:t>
      </w:r>
    </w:p>
    <w:p w:rsidR="00000000" w:rsidRDefault="0094004B">
      <w:pPr>
        <w:jc w:val="both"/>
        <w:rPr>
          <w:rFonts w:eastAsia="Times New Roman"/>
        </w:rPr>
      </w:pPr>
      <w:r>
        <w:rPr>
          <w:rFonts w:eastAsia="Times New Roman"/>
          <w:color w:val="000000"/>
          <w:sz w:val="20"/>
          <w:szCs w:val="20"/>
        </w:rPr>
        <w:t>Our ability to provide our products and services, many of which are internet-based, and communicate with our customers, depends upon the management and safeguarding of information systems and</w:t>
      </w:r>
      <w:r>
        <w:rPr>
          <w:rFonts w:eastAsia="Times New Roman"/>
          <w:color w:val="000000"/>
          <w:sz w:val="20"/>
          <w:szCs w:val="20"/>
        </w:rPr>
        <w:t xml:space="preserve"> infrastructure, networks, software, data, technology, methodologies and business secrets, including those of our service providers. Our products and services involve the collection, authentication, management, usage, storage, transmission and eventual des</w:t>
      </w:r>
      <w:r>
        <w:rPr>
          <w:rFonts w:eastAsia="Times New Roman"/>
          <w:color w:val="000000"/>
          <w:sz w:val="20"/>
          <w:szCs w:val="20"/>
        </w:rPr>
        <w:t>truction of sensitive and confidential information, including personal information, regarding our customers and their accounts, our employees, our partners and other third parties with which we do business. We also have arrangements in place with third par</w:t>
      </w:r>
      <w:r>
        <w:rPr>
          <w:rFonts w:eastAsia="Times New Roman"/>
          <w:color w:val="000000"/>
          <w:sz w:val="20"/>
          <w:szCs w:val="20"/>
        </w:rPr>
        <w:t>ties through which we share and receive information about their customers who are or may become our customers. The financial services industry, including Capital One, is particularly at risk because of the use of and reliance on digital banking products an</w:t>
      </w:r>
      <w:r>
        <w:rPr>
          <w:rFonts w:eastAsia="Times New Roman"/>
          <w:color w:val="000000"/>
          <w:sz w:val="20"/>
          <w:szCs w:val="20"/>
        </w:rPr>
        <w:t>d other digital services, including mobile banking products, such as mobile payments, and other internet- and cloud-based products and applications, and the development of additional remote connectivity solutions, which increase cybersecurity risks and exp</w:t>
      </w:r>
      <w:r>
        <w:rPr>
          <w:rFonts w:eastAsia="Times New Roman"/>
          <w:color w:val="000000"/>
          <w:sz w:val="20"/>
          <w:szCs w:val="20"/>
        </w:rPr>
        <w:t>osure. Consumer acceptance and use of such digital banking products and services has substantially increased since the onset of the COVID pandemic.</w:t>
      </w:r>
    </w:p>
    <w:p w:rsidR="00000000" w:rsidRDefault="0094004B">
      <w:pPr>
        <w:jc w:val="both"/>
        <w:divId w:val="176385589"/>
        <w:rPr>
          <w:rFonts w:eastAsia="Times New Roman"/>
        </w:rPr>
      </w:pPr>
      <w:r>
        <w:rPr>
          <w:rFonts w:eastAsia="Times New Roman"/>
          <w:color w:val="000000"/>
          <w:sz w:val="20"/>
          <w:szCs w:val="20"/>
        </w:rPr>
        <w:t>Technologies, systems, networks, and other devices of Capital One, as well as those of our employees, service providers, partners and other third parties with whom we interact, have been and may continue to be the subject of cyber-attacks and other securit</w:t>
      </w:r>
      <w:r>
        <w:rPr>
          <w:rFonts w:eastAsia="Times New Roman"/>
          <w:color w:val="000000"/>
          <w:sz w:val="20"/>
          <w:szCs w:val="20"/>
        </w:rPr>
        <w:t>y incidents, including computer viruses, hacking, malware, ransomware, supply chain attacks, vulnerabilities, credential stuffing, or phishing or other forms of social engineering. Such cyber-attacks and other security incidents are designed to lead to var</w:t>
      </w:r>
      <w:r>
        <w:rPr>
          <w:rFonts w:eastAsia="Times New Roman"/>
          <w:color w:val="000000"/>
          <w:sz w:val="20"/>
          <w:szCs w:val="20"/>
        </w:rPr>
        <w:t>ious harmful outcomes, such as unauthorized transactions in Capital One accounts, unauthorized or unintended access to or release, gathering, monitoring, disclosure, loss, destruction, corruption, disablement, encryption, misuse, modification or other proc</w:t>
      </w:r>
      <w:r>
        <w:rPr>
          <w:rFonts w:eastAsia="Times New Roman"/>
          <w:color w:val="000000"/>
          <w:sz w:val="20"/>
          <w:szCs w:val="20"/>
        </w:rPr>
        <w:t>essing of confidential or sensitive information (including personal information), intellectual property, software, methodologies or business secrets, disruption, sabotage or degradation of service, systems or networks, or other damage. These threats may de</w:t>
      </w:r>
      <w:r>
        <w:rPr>
          <w:rFonts w:eastAsia="Times New Roman"/>
          <w:color w:val="000000"/>
          <w:sz w:val="20"/>
          <w:szCs w:val="20"/>
        </w:rPr>
        <w:t xml:space="preserve">rive from, among other things, error, fraud or malice on the part of our employees, insiders, or third parties or may result from accidental technological failure or design flaws. Any of these parties may also attempt to fraudulently induce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577470523"/>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577470523"/>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577470523"/>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28</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053" style="width:0;height:1.5pt" o:hralign="center" o:hrstd="t" o:hr="t" fillcolor="#a0a0a0" stroked="f"/>
        </w:pict>
      </w:r>
    </w:p>
    <w:p w:rsidR="00000000" w:rsidRDefault="0094004B">
      <w:pPr>
        <w:jc w:val="both"/>
        <w:divId w:val="1538352673"/>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both"/>
        <w:divId w:val="239413696"/>
        <w:rPr>
          <w:rFonts w:eastAsia="Times New Roman"/>
        </w:rPr>
      </w:pPr>
      <w:r>
        <w:rPr>
          <w:rFonts w:eastAsia="Times New Roman"/>
          <w:color w:val="000000"/>
          <w:sz w:val="20"/>
          <w:szCs w:val="20"/>
        </w:rPr>
        <w:t>employees, service providers, customers, partners or other third-party users of our systems or networks to disclose confidential or sensitive i</w:t>
      </w:r>
      <w:r>
        <w:rPr>
          <w:rFonts w:eastAsia="Times New Roman"/>
          <w:color w:val="000000"/>
          <w:sz w:val="20"/>
          <w:szCs w:val="20"/>
        </w:rPr>
        <w:t>nformation (including personal information) in order to gain access to our systems, networks or data or that of our customers, partners, or third parties with whom we interact, or to unlawfully obtain monetary benefit through misdirected or otherwise impro</w:t>
      </w:r>
      <w:r>
        <w:rPr>
          <w:rFonts w:eastAsia="Times New Roman"/>
          <w:color w:val="000000"/>
          <w:sz w:val="20"/>
          <w:szCs w:val="20"/>
        </w:rPr>
        <w:t>per payment. For instance, any party that obtains our confidential or sensitive information (including personal information) through a cyber-attack or other security incident may use this information for ransom, to be paid by us or a third party, as part o</w:t>
      </w:r>
      <w:r>
        <w:rPr>
          <w:rFonts w:eastAsia="Times New Roman"/>
          <w:color w:val="000000"/>
          <w:sz w:val="20"/>
          <w:szCs w:val="20"/>
        </w:rPr>
        <w:t>f a fraudulent activity that is part of a broader criminal activity, or for other illicit purposes.</w:t>
      </w:r>
    </w:p>
    <w:p w:rsidR="00000000" w:rsidRDefault="0094004B">
      <w:pPr>
        <w:jc w:val="both"/>
        <w:rPr>
          <w:rFonts w:eastAsia="Times New Roman"/>
        </w:rPr>
      </w:pPr>
      <w:r>
        <w:rPr>
          <w:rFonts w:eastAsia="Times New Roman"/>
          <w:color w:val="000000"/>
          <w:sz w:val="20"/>
          <w:szCs w:val="20"/>
        </w:rPr>
        <w:t>For example, on July 29, 2019, we announced that on March 22 and 23, 2019 an outside individual gained unauthorized access to our systems (the “Cybersecurit</w:t>
      </w:r>
      <w:r>
        <w:rPr>
          <w:rFonts w:eastAsia="Times New Roman"/>
          <w:color w:val="000000"/>
          <w:sz w:val="20"/>
          <w:szCs w:val="20"/>
        </w:rPr>
        <w:t>y Incident”). This individual obtained certain types of personal information relating to people who had applied for our credit card products and to our credit card customers. While the Cybersecurity Incident has been remediated, it has resulted in fines, l</w:t>
      </w:r>
      <w:r>
        <w:rPr>
          <w:rFonts w:eastAsia="Times New Roman"/>
          <w:color w:val="000000"/>
          <w:sz w:val="20"/>
          <w:szCs w:val="20"/>
        </w:rPr>
        <w:t>itigation, settlements, government investigations and other regulatory enforcement inquiries, as well as consent orders with the Federal Reserve and the OCC. On August 31, 2022, the OCC terminated its consent order. Cyber and information security risks for</w:t>
      </w:r>
      <w:r>
        <w:rPr>
          <w:rFonts w:eastAsia="Times New Roman"/>
          <w:color w:val="000000"/>
          <w:sz w:val="20"/>
          <w:szCs w:val="20"/>
        </w:rPr>
        <w:t xml:space="preserve"> large financial institutions like us continue to increase due to the proliferation of new technologies, the industry-wide shift to reliance upon the internet to conduct financial transactions, and the increased sophistication and activities of malicious a</w:t>
      </w:r>
      <w:r>
        <w:rPr>
          <w:rFonts w:eastAsia="Times New Roman"/>
          <w:color w:val="000000"/>
          <w:sz w:val="20"/>
          <w:szCs w:val="20"/>
        </w:rPr>
        <w:t>ctors, organized crime, perpetrators of fraud, hackers, terrorists, activists, extremist parties, formal and informal instrumentalities of foreign governments, state-sponsored actors and other external parties. In addition, our customers access our product</w:t>
      </w:r>
      <w:r>
        <w:rPr>
          <w:rFonts w:eastAsia="Times New Roman"/>
          <w:color w:val="000000"/>
          <w:sz w:val="20"/>
          <w:szCs w:val="20"/>
        </w:rPr>
        <w:t>s and services using personal devices that are necessarily external to our security control systems. There has also been a significant proliferation of consumer information available on the internet resulting from breaches of third-party entities, includin</w:t>
      </w:r>
      <w:r>
        <w:rPr>
          <w:rFonts w:eastAsia="Times New Roman"/>
          <w:color w:val="000000"/>
          <w:sz w:val="20"/>
          <w:szCs w:val="20"/>
        </w:rPr>
        <w:t>g personal information, log-in credentials and authentication data. While we were not directly involved in these third-party breach events, the stolen information can create a threat for our customers if their Capital One log-in credentials are the same as</w:t>
      </w:r>
      <w:r>
        <w:rPr>
          <w:rFonts w:eastAsia="Times New Roman"/>
          <w:color w:val="000000"/>
          <w:sz w:val="20"/>
          <w:szCs w:val="20"/>
        </w:rPr>
        <w:t xml:space="preserve"> or similar to the credentials that have been compromised on other internet sites. This threat could include the risk of unauthorized account access, data loss and fraud. The use of artificial intelligence, “bots” or other automation software can increase </w:t>
      </w:r>
      <w:r>
        <w:rPr>
          <w:rFonts w:eastAsia="Times New Roman"/>
          <w:color w:val="000000"/>
          <w:sz w:val="20"/>
          <w:szCs w:val="20"/>
        </w:rPr>
        <w:t>the velocity and efficacy of these types of attacks. As our employees are currently operating under our hybrid work model, our remote interaction with service providers, partners and other third parties on systems, networks and environments over which we h</w:t>
      </w:r>
      <w:r>
        <w:rPr>
          <w:rFonts w:eastAsia="Times New Roman"/>
          <w:color w:val="000000"/>
          <w:sz w:val="20"/>
          <w:szCs w:val="20"/>
        </w:rPr>
        <w:t>ave less control increases our cybersecurity risk exposure. We will likely face an increasing number of attempted cyber-attacks as we expand our mobile and other internet-based products and services, as well as our usage of mobile and cloud technologies an</w:t>
      </w:r>
      <w:r>
        <w:rPr>
          <w:rFonts w:eastAsia="Times New Roman"/>
          <w:color w:val="000000"/>
          <w:sz w:val="20"/>
          <w:szCs w:val="20"/>
        </w:rPr>
        <w:t>d as we provide more of these services to a greater number of retail banking customers.</w:t>
      </w:r>
    </w:p>
    <w:p w:rsidR="00000000" w:rsidRDefault="0094004B">
      <w:pPr>
        <w:jc w:val="both"/>
        <w:divId w:val="1250236832"/>
        <w:rPr>
          <w:rFonts w:eastAsia="Times New Roman"/>
        </w:rPr>
      </w:pPr>
      <w:r>
        <w:rPr>
          <w:rFonts w:eastAsia="Times New Roman"/>
          <w:color w:val="000000"/>
          <w:sz w:val="20"/>
          <w:szCs w:val="20"/>
        </w:rPr>
        <w:t>The methods and techniques employed by malicious actors change frequently, are increasingly sophisticated and often are not fully recognized or understood until after t</w:t>
      </w:r>
      <w:r>
        <w:rPr>
          <w:rFonts w:eastAsia="Times New Roman"/>
          <w:color w:val="000000"/>
          <w:sz w:val="20"/>
          <w:szCs w:val="20"/>
        </w:rPr>
        <w:t xml:space="preserve">hey have occurred, and some techniques could occur and persist for an extended period of time before being detected and remediated. For example, although we immediately fixed the configuration vulnerability that was exploited in the Cybersecurity Incident </w:t>
      </w:r>
      <w:r>
        <w:rPr>
          <w:rFonts w:eastAsia="Times New Roman"/>
          <w:color w:val="000000"/>
          <w:sz w:val="20"/>
          <w:szCs w:val="20"/>
        </w:rPr>
        <w:t>once we discovered the unauthorized access, a period of time elapsed between the occurrence of the unauthorized access and the time when we discovered it. In other circumstances, we and our service providers and other third parties with which we interact m</w:t>
      </w:r>
      <w:r>
        <w:rPr>
          <w:rFonts w:eastAsia="Times New Roman"/>
          <w:color w:val="000000"/>
          <w:sz w:val="20"/>
          <w:szCs w:val="20"/>
        </w:rPr>
        <w:t>ay be unable to anticipate or identify certain attack methods or techniques in order to implement effective preventative or detective measures or mitigate or remediate the damages caused in a timely manner. We may also be unable to hire, develop and retain</w:t>
      </w:r>
      <w:r>
        <w:rPr>
          <w:rFonts w:eastAsia="Times New Roman"/>
          <w:color w:val="000000"/>
          <w:sz w:val="20"/>
          <w:szCs w:val="20"/>
        </w:rPr>
        <w:t xml:space="preserve"> talent that keeps pace with the rapidly changing cyber threat landscape, and which are capable of preventing, detecting, mitigating or remediating these risks. Although we seek to maintain a robust suite of authentication and layered information security </w:t>
      </w:r>
      <w:r>
        <w:rPr>
          <w:rFonts w:eastAsia="Times New Roman"/>
          <w:color w:val="000000"/>
          <w:sz w:val="20"/>
          <w:szCs w:val="20"/>
        </w:rPr>
        <w:t xml:space="preserve">controls, any one or combination of these controls could fail to prevent, detect, mitigate or remediate these risks in a timely manner. </w:t>
      </w:r>
    </w:p>
    <w:p w:rsidR="00000000" w:rsidRDefault="0094004B">
      <w:pPr>
        <w:jc w:val="both"/>
        <w:divId w:val="243808416"/>
        <w:rPr>
          <w:rFonts w:eastAsia="Times New Roman"/>
        </w:rPr>
      </w:pPr>
      <w:r>
        <w:rPr>
          <w:rFonts w:eastAsia="Times New Roman"/>
          <w:color w:val="000000"/>
          <w:sz w:val="20"/>
          <w:szCs w:val="20"/>
        </w:rPr>
        <w:t>A disruption or breach, including as a result of a cyber-attack such as the Cybersecurity Incident, or media reports of</w:t>
      </w:r>
      <w:r>
        <w:rPr>
          <w:rFonts w:eastAsia="Times New Roman"/>
          <w:color w:val="000000"/>
          <w:sz w:val="20"/>
          <w:szCs w:val="20"/>
        </w:rPr>
        <w:t xml:space="preserve"> perceived security vulnerabilities at Capital One or at our service providers, could result in significant legal and financial exposure, regulatory intervention, litigation, remediation costs, card reissuance, supervisory liability, damage to our reputati</w:t>
      </w:r>
      <w:r>
        <w:rPr>
          <w:rFonts w:eastAsia="Times New Roman"/>
          <w:color w:val="000000"/>
          <w:sz w:val="20"/>
          <w:szCs w:val="20"/>
        </w:rPr>
        <w:t>on or loss of confidence in the security of our systems, products and services that could adversely affect our business. There can be no assurance that unauthorized access or cyber incidents similar to the Cybersecurity Incident will not occur or that we w</w:t>
      </w:r>
      <w:r>
        <w:rPr>
          <w:rFonts w:eastAsia="Times New Roman"/>
          <w:color w:val="000000"/>
          <w:sz w:val="20"/>
          <w:szCs w:val="20"/>
        </w:rPr>
        <w:t>ill not suffer material losses in the future. If future attacks are successful or if customers are unable to access their accounts online for other reasons, it could adversely impact our ability to service customer accounts or loans, complete financial tra</w:t>
      </w:r>
      <w:r>
        <w:rPr>
          <w:rFonts w:eastAsia="Times New Roman"/>
          <w:color w:val="000000"/>
          <w:sz w:val="20"/>
          <w:szCs w:val="20"/>
        </w:rPr>
        <w:t>nsactions for our customers or otherwise operate any of our businesses or services. In addition, a breach or attack affecting one of our service providers or other third parties with which we interact could harm our business even if we do not control the s</w:t>
      </w:r>
      <w:r>
        <w:rPr>
          <w:rFonts w:eastAsia="Times New Roman"/>
          <w:color w:val="000000"/>
          <w:sz w:val="20"/>
          <w:szCs w:val="20"/>
        </w:rPr>
        <w:t>ervice that is attacked.</w:t>
      </w:r>
    </w:p>
    <w:p w:rsidR="00000000" w:rsidRDefault="0094004B">
      <w:pPr>
        <w:jc w:val="both"/>
        <w:divId w:val="2001810979"/>
        <w:rPr>
          <w:rFonts w:eastAsia="Times New Roman"/>
        </w:rPr>
      </w:pPr>
      <w:r>
        <w:rPr>
          <w:rFonts w:eastAsia="Times New Roman"/>
          <w:color w:val="000000"/>
          <w:sz w:val="20"/>
          <w:szCs w:val="20"/>
        </w:rPr>
        <w:t>Further, our ability to monitor our service providers’ cybersecurity practices is limited. Although the agreements that we have in place with our service providers generally include requirements relating to cybersecurity and data p</w:t>
      </w:r>
      <w:r>
        <w:rPr>
          <w:rFonts w:eastAsia="Times New Roman"/>
          <w:color w:val="000000"/>
          <w:sz w:val="20"/>
          <w:szCs w:val="20"/>
        </w:rPr>
        <w:t>rivacy, we cannot guarantee that such agreements will prevent a cyber incident impacting our systems or information or enable us to obtain adequate or any reimbursement from our service providers in the event we should suffer any such incidents. However, d</w:t>
      </w:r>
      <w:r>
        <w:rPr>
          <w:rFonts w:eastAsia="Times New Roman"/>
          <w:color w:val="000000"/>
          <w:sz w:val="20"/>
          <w:szCs w:val="20"/>
        </w:rPr>
        <w:t xml:space="preserve">ue to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4748256"/>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4748256"/>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4748256"/>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29</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054" style="width:0;height:1.5pt" o:hralign="center" o:hrstd="t" o:hr="t" fillcolor="#a0a0a0" stroked="f"/>
        </w:pict>
      </w:r>
    </w:p>
    <w:p w:rsidR="00000000" w:rsidRDefault="0094004B">
      <w:pPr>
        <w:jc w:val="both"/>
        <w:divId w:val="40637402"/>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both"/>
        <w:divId w:val="774129495"/>
        <w:rPr>
          <w:rFonts w:eastAsia="Times New Roman"/>
        </w:rPr>
      </w:pPr>
      <w:r>
        <w:rPr>
          <w:rFonts w:eastAsia="Times New Roman"/>
          <w:color w:val="000000"/>
          <w:sz w:val="20"/>
          <w:szCs w:val="20"/>
        </w:rPr>
        <w:t xml:space="preserve">applicable laws and regulations or contractual obligations, we may be held responsible for cyber incidents attributed to our service providers </w:t>
      </w:r>
      <w:r>
        <w:rPr>
          <w:rFonts w:eastAsia="Times New Roman"/>
          <w:color w:val="000000"/>
          <w:sz w:val="20"/>
          <w:szCs w:val="20"/>
        </w:rPr>
        <w:t xml:space="preserve">as they relate to the information we share with them. </w:t>
      </w:r>
    </w:p>
    <w:p w:rsidR="00000000" w:rsidRDefault="0094004B">
      <w:pPr>
        <w:jc w:val="both"/>
        <w:divId w:val="1993100198"/>
        <w:rPr>
          <w:rFonts w:eastAsia="Times New Roman"/>
        </w:rPr>
      </w:pPr>
      <w:r>
        <w:rPr>
          <w:rFonts w:eastAsia="Times New Roman"/>
          <w:color w:val="000000"/>
          <w:sz w:val="20"/>
          <w:szCs w:val="20"/>
        </w:rPr>
        <w:t xml:space="preserve">In addition, the increasing prevalence and the evolution of cyber-attacks and other efforts to breach or disrupt our systems or networks or those of our customers, service providers, partners or other </w:t>
      </w:r>
      <w:r>
        <w:rPr>
          <w:rFonts w:eastAsia="Times New Roman"/>
          <w:color w:val="000000"/>
          <w:sz w:val="20"/>
          <w:szCs w:val="20"/>
        </w:rPr>
        <w:t xml:space="preserve">third parties with which we interact has led, and will likely continue to lead, to increased costs to us with respect to preventing, detecting, mitigating and remediating these risks, as well as any related attempted fraud. In order to address ongoing and </w:t>
      </w:r>
      <w:r>
        <w:rPr>
          <w:rFonts w:eastAsia="Times New Roman"/>
          <w:color w:val="000000"/>
          <w:sz w:val="20"/>
          <w:szCs w:val="20"/>
        </w:rPr>
        <w:t>future risks, we must expend significant resources to support protective security measures, investigate and remediate any vulnerabilities of our information systems and infrastructure and invest in new technology designed to mitigate security risks. Furthe</w:t>
      </w:r>
      <w:r>
        <w:rPr>
          <w:rFonts w:eastAsia="Times New Roman"/>
          <w:color w:val="000000"/>
          <w:sz w:val="20"/>
          <w:szCs w:val="20"/>
        </w:rPr>
        <w:t>r, high profile cyber incidents at Capital One or other large financial institutions could lead to a general loss of customer confidence in financial institutions that could negatively affect us, including harming the market perception of the effectiveness</w:t>
      </w:r>
      <w:r>
        <w:rPr>
          <w:rFonts w:eastAsia="Times New Roman"/>
          <w:color w:val="000000"/>
          <w:sz w:val="20"/>
          <w:szCs w:val="20"/>
        </w:rPr>
        <w:t xml:space="preserve"> of our security measures or the global financial system in general, which could result in reduced use of our financial products. We have insurance against some cyber risks and attacks; nonetheless, our insurance coverage may not be sufficient to offset th</w:t>
      </w:r>
      <w:r>
        <w:rPr>
          <w:rFonts w:eastAsia="Times New Roman"/>
          <w:color w:val="000000"/>
          <w:sz w:val="20"/>
          <w:szCs w:val="20"/>
        </w:rPr>
        <w:t>e impact of a material loss event (including if our insurer denies coverage as to any particular claim in the future), and such insurance may increase in cost or cease to be available on commercially reasonable terms, or at all, in the future.</w:t>
      </w:r>
    </w:p>
    <w:p w:rsidR="00000000" w:rsidRDefault="0094004B">
      <w:pPr>
        <w:jc w:val="both"/>
        <w:divId w:val="877358672"/>
        <w:rPr>
          <w:rFonts w:eastAsia="Times New Roman"/>
        </w:rPr>
      </w:pPr>
      <w:r>
        <w:rPr>
          <w:rFonts w:eastAsia="Times New Roman"/>
          <w:b/>
          <w:bCs/>
          <w:i/>
          <w:iCs/>
          <w:color w:val="000000"/>
          <w:sz w:val="20"/>
          <w:szCs w:val="20"/>
        </w:rPr>
        <w:t>Our required</w:t>
      </w:r>
      <w:r>
        <w:rPr>
          <w:rFonts w:eastAsia="Times New Roman"/>
          <w:b/>
          <w:bCs/>
          <w:i/>
          <w:iCs/>
          <w:color w:val="000000"/>
          <w:sz w:val="20"/>
          <w:szCs w:val="20"/>
        </w:rPr>
        <w:t xml:space="preserve"> compliance with applicable laws and regulations related to privacy, data protection and data security may increase our costs, reduce our revenue, increase our legal exposure and limit our ability to pursue business opportunities.</w:t>
      </w:r>
    </w:p>
    <w:p w:rsidR="00000000" w:rsidRDefault="0094004B">
      <w:pPr>
        <w:jc w:val="both"/>
        <w:rPr>
          <w:rFonts w:eastAsia="Times New Roman"/>
        </w:rPr>
      </w:pPr>
      <w:r>
        <w:rPr>
          <w:rFonts w:eastAsia="Times New Roman"/>
          <w:color w:val="000000"/>
          <w:sz w:val="20"/>
          <w:szCs w:val="20"/>
        </w:rPr>
        <w:t>We are subject to a varie</w:t>
      </w:r>
      <w:r>
        <w:rPr>
          <w:rFonts w:eastAsia="Times New Roman"/>
          <w:color w:val="000000"/>
          <w:sz w:val="20"/>
          <w:szCs w:val="20"/>
        </w:rPr>
        <w:t xml:space="preserve">ty of continuously evolving and developing laws and regulations in the United States at the federal, state and local level regarding privacy, data protection and data security, including those related to the collection, storage, handling, use, disclosure, </w:t>
      </w:r>
      <w:r>
        <w:rPr>
          <w:rFonts w:eastAsia="Times New Roman"/>
          <w:color w:val="000000"/>
          <w:sz w:val="20"/>
          <w:szCs w:val="20"/>
        </w:rPr>
        <w:t xml:space="preserve">transfer, security and other processing of personal information. For example, at the federal level, we are subject to the GLBA, among other laws and regulations. Moreover, the U.S. Congress is currently considering various proposals for more comprehensive </w:t>
      </w:r>
      <w:r>
        <w:rPr>
          <w:rFonts w:eastAsia="Times New Roman"/>
          <w:color w:val="000000"/>
          <w:sz w:val="20"/>
          <w:szCs w:val="20"/>
        </w:rPr>
        <w:t>privacy, data protection and data security legislation, to which we may be subject if passed. In addition, in November 2021, the Federal Reserve, OCC, and FDIC issued a final rule that, among other things, requires all banking organizations in the United S</w:t>
      </w:r>
      <w:r>
        <w:rPr>
          <w:rFonts w:eastAsia="Times New Roman"/>
          <w:color w:val="000000"/>
          <w:sz w:val="20"/>
          <w:szCs w:val="20"/>
        </w:rPr>
        <w:t>tates to notify their primary federal regulators of certain material computer-security incidents as soon as possible and no later than 36 hours after determining that the incident has occurred. The enactment of CIRCIA, once rulemaking is complete, will req</w:t>
      </w:r>
      <w:r>
        <w:rPr>
          <w:rFonts w:eastAsia="Times New Roman"/>
          <w:color w:val="000000"/>
          <w:sz w:val="20"/>
          <w:szCs w:val="20"/>
        </w:rPr>
        <w:t>uire, among other things, certain companies to report significant cyber incidents to the CISA within 72 hours from the time the company reasonably believes the incident occurred, and a proposed rule by the SEC, if enacted, would mandate public disclosure o</w:t>
      </w:r>
      <w:r>
        <w:rPr>
          <w:rFonts w:eastAsia="Times New Roman"/>
          <w:color w:val="000000"/>
          <w:sz w:val="20"/>
          <w:szCs w:val="20"/>
        </w:rPr>
        <w:t xml:space="preserve">f material cybersecurity incidents within four business days of determining that such an incident has occurred. At the state level, California has enacted the California Privacy Rights Act (“CPRA”), and various other states also have enacted or are in the </w:t>
      </w:r>
      <w:r>
        <w:rPr>
          <w:rFonts w:eastAsia="Times New Roman"/>
          <w:color w:val="000000"/>
          <w:sz w:val="20"/>
          <w:szCs w:val="20"/>
        </w:rPr>
        <w:t>process of enacting state-level privacy, data protection and/or data security laws and regulations, with which we may be required to comply.</w:t>
      </w:r>
    </w:p>
    <w:p w:rsidR="00000000" w:rsidRDefault="0094004B">
      <w:pPr>
        <w:jc w:val="both"/>
        <w:divId w:val="305859625"/>
        <w:rPr>
          <w:rFonts w:eastAsia="Times New Roman"/>
        </w:rPr>
      </w:pPr>
      <w:r>
        <w:rPr>
          <w:rFonts w:eastAsia="Times New Roman"/>
          <w:color w:val="000000"/>
          <w:sz w:val="20"/>
          <w:szCs w:val="20"/>
        </w:rPr>
        <w:t>We also are, or may become, subject to continuously evolving and developing laws and regulations in other jurisdict</w:t>
      </w:r>
      <w:r>
        <w:rPr>
          <w:rFonts w:eastAsia="Times New Roman"/>
          <w:color w:val="000000"/>
          <w:sz w:val="20"/>
          <w:szCs w:val="20"/>
        </w:rPr>
        <w:t>ions regarding privacy, data protection and data security. For example, in Canada we are subject to the Personal Information Protection and Electronic Documents Act (“PIPEDA”). In addition, subject to limited exceptions, the EU General Data Projection Regu</w:t>
      </w:r>
      <w:r>
        <w:rPr>
          <w:rFonts w:eastAsia="Times New Roman"/>
          <w:color w:val="000000"/>
          <w:sz w:val="20"/>
          <w:szCs w:val="20"/>
        </w:rPr>
        <w:t xml:space="preserve">lation (“EU GDPR”) applies EU data protection law to all companies processing personal data of EU residents, regardless of the company’s location. We also are subject to the UK General Data Protection Regulation (“U.K. GDPR”), which is how the EU GDPR has </w:t>
      </w:r>
      <w:r>
        <w:rPr>
          <w:rFonts w:eastAsia="Times New Roman"/>
          <w:color w:val="000000"/>
          <w:sz w:val="20"/>
          <w:szCs w:val="20"/>
        </w:rPr>
        <w:t>been implemented into U.K. law. These laws and regulations, and similar laws and regulations in other jurisdictions, impose strict requirements regarding the collection, storage, handling, use, disclosure, transfer, security and other processing of persona</w:t>
      </w:r>
      <w:r>
        <w:rPr>
          <w:rFonts w:eastAsia="Times New Roman"/>
          <w:color w:val="000000"/>
          <w:sz w:val="20"/>
          <w:szCs w:val="20"/>
        </w:rPr>
        <w:t>l information, which may have adverse consequences, including significant compliance costs and severe monetary penalties for non-compliance. Significant uncertainty exists as privacy, data protection, and data security laws may be interpreted and applied d</w:t>
      </w:r>
      <w:r>
        <w:rPr>
          <w:rFonts w:eastAsia="Times New Roman"/>
          <w:color w:val="000000"/>
          <w:sz w:val="20"/>
          <w:szCs w:val="20"/>
        </w:rPr>
        <w:t xml:space="preserve">ifferently from country to country and may create inconsistent or conflicting requirements. </w:t>
      </w:r>
    </w:p>
    <w:p w:rsidR="00000000" w:rsidRDefault="0094004B">
      <w:pPr>
        <w:jc w:val="both"/>
        <w:divId w:val="120612344"/>
        <w:rPr>
          <w:rFonts w:eastAsia="Times New Roman"/>
        </w:rPr>
      </w:pPr>
      <w:r>
        <w:rPr>
          <w:rFonts w:eastAsia="Times New Roman"/>
          <w:color w:val="000000"/>
          <w:sz w:val="20"/>
          <w:szCs w:val="20"/>
        </w:rPr>
        <w:t>Further, we make public statements about our use, collection, disclosure and other processing of personal information through our privacy policies, information provided on our website and press statements. Although we endeavor to comply with our public sta</w:t>
      </w:r>
      <w:r>
        <w:rPr>
          <w:rFonts w:eastAsia="Times New Roman"/>
          <w:color w:val="000000"/>
          <w:sz w:val="20"/>
          <w:szCs w:val="20"/>
        </w:rPr>
        <w:t>tements and documentation, we may at times fail to do so or be alleged to have failed to do so. The publication of our privacy policies and other statements that provide promises and assurances about privacy, data protection and data security can subject u</w:t>
      </w:r>
      <w:r>
        <w:rPr>
          <w:rFonts w:eastAsia="Times New Roman"/>
          <w:color w:val="000000"/>
          <w:sz w:val="20"/>
          <w:szCs w:val="20"/>
        </w:rPr>
        <w:t>s to potential government or legal action if they are found to be deceptive, unfair or misrepresentative of our actual practices.</w:t>
      </w:r>
    </w:p>
    <w:p w:rsidR="00000000" w:rsidRDefault="0094004B">
      <w:pPr>
        <w:jc w:val="both"/>
        <w:divId w:val="333655363"/>
        <w:rPr>
          <w:rFonts w:eastAsia="Times New Roman"/>
        </w:rPr>
      </w:pPr>
      <w:r>
        <w:rPr>
          <w:rFonts w:eastAsia="Times New Roman"/>
          <w:color w:val="000000"/>
          <w:sz w:val="20"/>
          <w:szCs w:val="20"/>
        </w:rPr>
        <w:t>Our efforts to comply with GLBA, CPRA, PIPEDA, EU GDPR, U.K. GDPR and other privacy, data protection and data security laws an</w:t>
      </w:r>
      <w:r>
        <w:rPr>
          <w:rFonts w:eastAsia="Times New Roman"/>
          <w:color w:val="000000"/>
          <w:sz w:val="20"/>
          <w:szCs w:val="20"/>
        </w:rPr>
        <w:t>d regulations, as well as our posted privacy policies, and related contractual obligations to third parties, entail substantial expenses, may divert resources from other initiatives and projects, and could limit the services we are able to offer. Furthermo</w:t>
      </w:r>
      <w:r>
        <w:rPr>
          <w:rFonts w:eastAsia="Times New Roman"/>
          <w:color w:val="000000"/>
          <w:sz w:val="20"/>
          <w:szCs w:val="20"/>
        </w:rPr>
        <w:t xml:space="preserve">re, enforcement actions and investigations by regulatory authorities related to data security incidents and privacy, data protection and data security violations continue to increase. The enactment of more restrictive laws or regulations, or future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031035861"/>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031035861"/>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031035861"/>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30</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055" style="width:0;height:1.5pt" o:hralign="center" o:hrstd="t" o:hr="t" fillcolor="#a0a0a0" stroked="f"/>
        </w:pict>
      </w:r>
    </w:p>
    <w:p w:rsidR="00000000" w:rsidRDefault="0094004B">
      <w:pPr>
        <w:jc w:val="both"/>
        <w:divId w:val="712580706"/>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both"/>
        <w:divId w:val="37702367"/>
        <w:rPr>
          <w:rFonts w:eastAsia="Times New Roman"/>
        </w:rPr>
      </w:pPr>
      <w:r>
        <w:rPr>
          <w:rFonts w:eastAsia="Times New Roman"/>
          <w:color w:val="000000"/>
          <w:sz w:val="20"/>
          <w:szCs w:val="20"/>
        </w:rPr>
        <w:t>enforcement actions or investigations, could impact us through increased costs or restrictions on our business, and any noncompliance or percei</w:t>
      </w:r>
      <w:r>
        <w:rPr>
          <w:rFonts w:eastAsia="Times New Roman"/>
          <w:color w:val="000000"/>
          <w:sz w:val="20"/>
          <w:szCs w:val="20"/>
        </w:rPr>
        <w:t>ved noncompliance could result in monetary or other penalties, harm to our reputation and significant legal liability.</w:t>
      </w:r>
    </w:p>
    <w:p w:rsidR="00000000" w:rsidRDefault="0094004B">
      <w:pPr>
        <w:jc w:val="both"/>
        <w:divId w:val="1785073502"/>
        <w:rPr>
          <w:rFonts w:eastAsia="Times New Roman"/>
        </w:rPr>
      </w:pPr>
      <w:r>
        <w:rPr>
          <w:rFonts w:eastAsia="Times New Roman"/>
          <w:b/>
          <w:bCs/>
          <w:i/>
          <w:iCs/>
          <w:color w:val="000000"/>
          <w:sz w:val="20"/>
          <w:szCs w:val="20"/>
        </w:rPr>
        <w:t>We face risks resulting from the extensive use of models and data.</w:t>
      </w:r>
    </w:p>
    <w:p w:rsidR="00000000" w:rsidRDefault="0094004B">
      <w:pPr>
        <w:jc w:val="both"/>
        <w:rPr>
          <w:rFonts w:eastAsia="Times New Roman"/>
        </w:rPr>
      </w:pPr>
      <w:r>
        <w:rPr>
          <w:rFonts w:eastAsia="Times New Roman"/>
          <w:color w:val="000000"/>
          <w:sz w:val="20"/>
          <w:szCs w:val="20"/>
        </w:rPr>
        <w:t>We rely on quantitative models and our ability to manage and aggregate</w:t>
      </w:r>
      <w:r>
        <w:rPr>
          <w:rFonts w:eastAsia="Times New Roman"/>
          <w:color w:val="000000"/>
          <w:sz w:val="20"/>
          <w:szCs w:val="20"/>
        </w:rPr>
        <w:t xml:space="preserve"> data in an accurate and timely manner to assess and manage our various risk exposures, create estimates and forecasts, and manage compliance with regulatory capital requirements. Models may be used in processes such as determining the pricing of various p</w:t>
      </w:r>
      <w:r>
        <w:rPr>
          <w:rFonts w:eastAsia="Times New Roman"/>
          <w:color w:val="000000"/>
          <w:sz w:val="20"/>
          <w:szCs w:val="20"/>
        </w:rPr>
        <w:t>roducts, grading loans and extending credit, measuring interest rate and other market risks, predicting deposit levels or loan losses, assessing capital adequacy, calculating managerial and regulatory capital levels, estimating the value of financial instr</w:t>
      </w:r>
      <w:r>
        <w:rPr>
          <w:rFonts w:eastAsia="Times New Roman"/>
          <w:color w:val="000000"/>
          <w:sz w:val="20"/>
          <w:szCs w:val="20"/>
        </w:rPr>
        <w:t xml:space="preserve">uments and balance sheet items, and other operational functions. Our risk reporting and management, including business decisions based on information incorporating models, depend on the effectiveness of our models and our policies, programs, processes and </w:t>
      </w:r>
      <w:r>
        <w:rPr>
          <w:rFonts w:eastAsia="Times New Roman"/>
          <w:color w:val="000000"/>
          <w:sz w:val="20"/>
          <w:szCs w:val="20"/>
        </w:rPr>
        <w:t xml:space="preserve">practices governing how data or models, as applicable, are acquired, validated, stored, protected, processed and analyzed. Any issues with the quality or effectiveness of our data aggregation and validation procedures, as well as the quality and integrity </w:t>
      </w:r>
      <w:r>
        <w:rPr>
          <w:rFonts w:eastAsia="Times New Roman"/>
          <w:color w:val="000000"/>
          <w:sz w:val="20"/>
          <w:szCs w:val="20"/>
        </w:rPr>
        <w:t>of data inputs, formulas or algorithms, could result in inaccurate forecasts, ineffective risk management practices or inaccurate risk reporting. In addition, models based on historical data sets might not be accurate predictors of future outcomes and thei</w:t>
      </w:r>
      <w:r>
        <w:rPr>
          <w:rFonts w:eastAsia="Times New Roman"/>
          <w:color w:val="000000"/>
          <w:sz w:val="20"/>
          <w:szCs w:val="20"/>
        </w:rPr>
        <w:t>r ability to appropriately predict future outcomes may degrade over time. While we continuously update our policies, programs, processes and practices, many of our data management, modeling, aggregation and implementation processes are manual and may be su</w:t>
      </w:r>
      <w:r>
        <w:rPr>
          <w:rFonts w:eastAsia="Times New Roman"/>
          <w:color w:val="000000"/>
          <w:sz w:val="20"/>
          <w:szCs w:val="20"/>
        </w:rPr>
        <w:t>bject to human error, data limitations, process delays or system failure. Failure to manage data effectively and to aggregate data in an accurate and timely manner may limit our ability to manage current and emerging risk, to produce accurate financial, re</w:t>
      </w:r>
      <w:r>
        <w:rPr>
          <w:rFonts w:eastAsia="Times New Roman"/>
          <w:color w:val="000000"/>
          <w:sz w:val="20"/>
          <w:szCs w:val="20"/>
        </w:rPr>
        <w:t>gulatory and operational reporting as well as to manage changing business needs. If our Framework is ineffective, we could suffer unexpected losses which could materially adversely affect our results of operation or financial condition. Also, any informati</w:t>
      </w:r>
      <w:r>
        <w:rPr>
          <w:rFonts w:eastAsia="Times New Roman"/>
          <w:color w:val="000000"/>
          <w:sz w:val="20"/>
          <w:szCs w:val="20"/>
        </w:rPr>
        <w:t>on we provide to the public or to our regulators based on poorly designed or implemented models could be inaccurate or misleading. Some of the decisions that our regulators make, including those related to capital distribution to our stockholders, could be</w:t>
      </w:r>
      <w:r>
        <w:rPr>
          <w:rFonts w:eastAsia="Times New Roman"/>
          <w:color w:val="000000"/>
          <w:sz w:val="20"/>
          <w:szCs w:val="20"/>
        </w:rPr>
        <w:t xml:space="preserve"> affected adversely due to the perception that the quality of the models used to generate the relevant information is insufficient.</w:t>
      </w:r>
    </w:p>
    <w:p w:rsidR="00000000" w:rsidRDefault="0094004B">
      <w:pPr>
        <w:jc w:val="both"/>
        <w:divId w:val="495388997"/>
        <w:rPr>
          <w:rFonts w:eastAsia="Times New Roman"/>
        </w:rPr>
      </w:pPr>
      <w:r>
        <w:rPr>
          <w:rFonts w:eastAsia="Times New Roman"/>
          <w:b/>
          <w:bCs/>
          <w:color w:val="000000"/>
          <w:sz w:val="20"/>
          <w:szCs w:val="20"/>
        </w:rPr>
        <w:t>Legal and Regulatory Risk</w:t>
      </w:r>
    </w:p>
    <w:p w:rsidR="00000000" w:rsidRDefault="0094004B">
      <w:pPr>
        <w:jc w:val="both"/>
        <w:divId w:val="741491104"/>
        <w:rPr>
          <w:rFonts w:eastAsia="Times New Roman"/>
        </w:rPr>
      </w:pPr>
      <w:r>
        <w:rPr>
          <w:rFonts w:eastAsia="Times New Roman"/>
          <w:b/>
          <w:bCs/>
          <w:i/>
          <w:iCs/>
          <w:color w:val="000000"/>
          <w:sz w:val="20"/>
          <w:szCs w:val="20"/>
        </w:rPr>
        <w:t>Compliance with new and existing laws, regulations and regulatory expectations is costly and compl</w:t>
      </w:r>
      <w:r>
        <w:rPr>
          <w:rFonts w:eastAsia="Times New Roman"/>
          <w:b/>
          <w:bCs/>
          <w:i/>
          <w:iCs/>
          <w:color w:val="000000"/>
          <w:sz w:val="20"/>
          <w:szCs w:val="20"/>
        </w:rPr>
        <w:t>ex.</w:t>
      </w:r>
    </w:p>
    <w:p w:rsidR="00000000" w:rsidRDefault="0094004B">
      <w:pPr>
        <w:jc w:val="both"/>
        <w:divId w:val="1001198210"/>
        <w:rPr>
          <w:rFonts w:eastAsia="Times New Roman"/>
        </w:rPr>
      </w:pPr>
      <w:r>
        <w:rPr>
          <w:rFonts w:eastAsia="Times New Roman"/>
          <w:color w:val="000000"/>
          <w:sz w:val="20"/>
          <w:szCs w:val="20"/>
        </w:rPr>
        <w:t xml:space="preserve">A wide array of laws and regulations, including banking and consumer lending laws and regulations, apply to every aspect of our business. We and our subsidiaries are also subject to supervision and examination by multiple regulators, and the manner in </w:t>
      </w:r>
      <w:r>
        <w:rPr>
          <w:rFonts w:eastAsia="Times New Roman"/>
          <w:color w:val="000000"/>
          <w:sz w:val="20"/>
          <w:szCs w:val="20"/>
        </w:rPr>
        <w:t>which our regulators interpret applicable laws and regulations may affect how we comply with them. Failure to comply with these laws and regulations, even if the failure was inadvertent or reflects a difference in interpretation, could subject us to restri</w:t>
      </w:r>
      <w:r>
        <w:rPr>
          <w:rFonts w:eastAsia="Times New Roman"/>
          <w:color w:val="000000"/>
          <w:sz w:val="20"/>
          <w:szCs w:val="20"/>
        </w:rPr>
        <w:t>ctions on our business activities, fines, criminal sanctions and other penalties, and/or damage to our reputation with regulators, our customers or the public. Hiring, training and retaining qualified compliance and legal personnel, and establishing and ma</w:t>
      </w:r>
      <w:r>
        <w:rPr>
          <w:rFonts w:eastAsia="Times New Roman"/>
          <w:color w:val="000000"/>
          <w:sz w:val="20"/>
          <w:szCs w:val="20"/>
        </w:rPr>
        <w:t xml:space="preserve">intaining risk management and compliance-related systems, infrastructure and processes, is difficult and may lead to increased expenses. These efforts and the associated costs could limit our ability to invest in other business opportunities. </w:t>
      </w:r>
    </w:p>
    <w:p w:rsidR="00000000" w:rsidRDefault="0094004B">
      <w:pPr>
        <w:jc w:val="both"/>
        <w:divId w:val="58945122"/>
        <w:rPr>
          <w:rFonts w:eastAsia="Times New Roman"/>
        </w:rPr>
      </w:pPr>
      <w:r>
        <w:rPr>
          <w:rFonts w:eastAsia="Times New Roman"/>
          <w:color w:val="000000"/>
          <w:sz w:val="20"/>
          <w:szCs w:val="20"/>
        </w:rPr>
        <w:t>Applicable r</w:t>
      </w:r>
      <w:r>
        <w:rPr>
          <w:rFonts w:eastAsia="Times New Roman"/>
          <w:color w:val="000000"/>
          <w:sz w:val="20"/>
          <w:szCs w:val="20"/>
        </w:rPr>
        <w:t>ules and regulations may affect us disproportionately compared to our competitors or in an unforeseen manner. For example, we have a large number of customer accounts in our credit card and auto lending businesses and we have made the strategic choice to o</w:t>
      </w:r>
      <w:r>
        <w:rPr>
          <w:rFonts w:eastAsia="Times New Roman"/>
          <w:color w:val="000000"/>
          <w:sz w:val="20"/>
          <w:szCs w:val="20"/>
        </w:rPr>
        <w:t>riginate and service subprime credit card and auto loans, which typically have higher delinquencies and charge-offs than prime customer accounts. As a result, we have significant involvement with credit bureau reporting and the collection and recovery of d</w:t>
      </w:r>
      <w:r>
        <w:rPr>
          <w:rFonts w:eastAsia="Times New Roman"/>
          <w:color w:val="000000"/>
          <w:sz w:val="20"/>
          <w:szCs w:val="20"/>
        </w:rPr>
        <w:t>elinquent and charged-off debt, primarily through customer communications, the filing of litigation against customers in default, the periodic sale of charged-off debt and vehicle repossession. These and other consumer lending activities are subject to enh</w:t>
      </w:r>
      <w:r>
        <w:rPr>
          <w:rFonts w:eastAsia="Times New Roman"/>
          <w:color w:val="000000"/>
          <w:sz w:val="20"/>
          <w:szCs w:val="20"/>
        </w:rPr>
        <w:t>anced legal and regulatory scrutiny from regulators, courts and legislators. Any future changes to or legal liabilities resulting from our business practices in these areas, including our debt collection practices and the fees we charge, whether mandated b</w:t>
      </w:r>
      <w:r>
        <w:rPr>
          <w:rFonts w:eastAsia="Times New Roman"/>
          <w:color w:val="000000"/>
          <w:sz w:val="20"/>
          <w:szCs w:val="20"/>
        </w:rPr>
        <w:t>y regulators, courts, legislators or otherwise, could have a material adverse impact on our financial condition.</w:t>
      </w:r>
    </w:p>
    <w:p w:rsidR="00000000" w:rsidRDefault="0094004B">
      <w:pPr>
        <w:jc w:val="both"/>
        <w:divId w:val="1013410362"/>
        <w:rPr>
          <w:rFonts w:eastAsia="Times New Roman"/>
        </w:rPr>
      </w:pPr>
      <w:r>
        <w:rPr>
          <w:rFonts w:eastAsia="Times New Roman"/>
          <w:color w:val="000000"/>
          <w:sz w:val="20"/>
          <w:szCs w:val="20"/>
        </w:rPr>
        <w:t>The legislative and regulatory environment is beyond our control, may change rapidly and unpredictably, and may negatively influence our revenu</w:t>
      </w:r>
      <w:r>
        <w:rPr>
          <w:rFonts w:eastAsia="Times New Roman"/>
          <w:color w:val="000000"/>
          <w:sz w:val="20"/>
          <w:szCs w:val="20"/>
        </w:rPr>
        <w:t>e, costs, earnings, growth, liquidity and capital levels. For example, there may be future rulemaking in emerging regulatory areas such as climate-related risks and new technologies. In addition, some rules and regulations may be subject to litigation or o</w:t>
      </w:r>
      <w:r>
        <w:rPr>
          <w:rFonts w:eastAsia="Times New Roman"/>
          <w:color w:val="000000"/>
          <w:sz w:val="20"/>
          <w:szCs w:val="20"/>
        </w:rPr>
        <w:t>ther challenges that delay or modify their implementation and impact on us. Adoption of new technologies, such as distributed ledger technologies, tokenization, cloud computing, artificial intelligence and machine learning technologies, can present unfores</w:t>
      </w:r>
      <w:r>
        <w:rPr>
          <w:rFonts w:eastAsia="Times New Roman"/>
          <w:color w:val="000000"/>
          <w:sz w:val="20"/>
          <w:szCs w:val="20"/>
        </w:rPr>
        <w:t>een challenges in applying and relying on existing compliance systems.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421830387"/>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421830387"/>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421830387"/>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31</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056" style="width:0;height:1.5pt" o:hralign="center" o:hrstd="t" o:hr="t" fillcolor="#a0a0a0" stroked="f"/>
        </w:pict>
      </w:r>
    </w:p>
    <w:p w:rsidR="00000000" w:rsidRDefault="0094004B">
      <w:pPr>
        <w:jc w:val="both"/>
        <w:divId w:val="1296184594"/>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both"/>
        <w:divId w:val="2038582238"/>
        <w:rPr>
          <w:rFonts w:eastAsia="Times New Roman"/>
        </w:rPr>
      </w:pPr>
      <w:r>
        <w:rPr>
          <w:rFonts w:eastAsia="Times New Roman"/>
          <w:color w:val="000000"/>
          <w:sz w:val="20"/>
          <w:szCs w:val="20"/>
        </w:rPr>
        <w:t>Certain laws and regulations, and any interpretations and applications with respect thereto, are generally intended to protect consumers, borro</w:t>
      </w:r>
      <w:r>
        <w:rPr>
          <w:rFonts w:eastAsia="Times New Roman"/>
          <w:color w:val="000000"/>
          <w:sz w:val="20"/>
          <w:szCs w:val="20"/>
        </w:rPr>
        <w:t>wers, depositors, the DIF, the U.S. banking and financial system, and financial markets as a whole, but not stockholders. Our success depends on our ability to maintain compliance with both existing and new laws and regulations. For a description of the ma</w:t>
      </w:r>
      <w:r>
        <w:rPr>
          <w:rFonts w:eastAsia="Times New Roman"/>
          <w:color w:val="000000"/>
          <w:sz w:val="20"/>
          <w:szCs w:val="20"/>
        </w:rPr>
        <w:t>terial laws and regulations, including those related to the consumer lending business, to which we are subject, see “Part I—Item 1. Business—Supervision and Regulation.”</w:t>
      </w:r>
    </w:p>
    <w:p w:rsidR="00000000" w:rsidRDefault="0094004B">
      <w:pPr>
        <w:jc w:val="both"/>
        <w:divId w:val="569461029"/>
        <w:rPr>
          <w:rFonts w:eastAsia="Times New Roman"/>
        </w:rPr>
      </w:pPr>
      <w:r>
        <w:rPr>
          <w:rFonts w:eastAsia="Times New Roman"/>
          <w:b/>
          <w:bCs/>
          <w:i/>
          <w:iCs/>
          <w:color w:val="000000"/>
          <w:sz w:val="20"/>
          <w:szCs w:val="20"/>
        </w:rPr>
        <w:t>Our businesses are subject to the risk of increased litigation, government investigati</w:t>
      </w:r>
      <w:r>
        <w:rPr>
          <w:rFonts w:eastAsia="Times New Roman"/>
          <w:b/>
          <w:bCs/>
          <w:i/>
          <w:iCs/>
          <w:color w:val="000000"/>
          <w:sz w:val="20"/>
          <w:szCs w:val="20"/>
        </w:rPr>
        <w:t>ons and regulatory enforcement.</w:t>
      </w:r>
    </w:p>
    <w:p w:rsidR="00000000" w:rsidRDefault="0094004B">
      <w:pPr>
        <w:jc w:val="both"/>
        <w:divId w:val="509225676"/>
        <w:rPr>
          <w:rFonts w:eastAsia="Times New Roman"/>
        </w:rPr>
      </w:pPr>
      <w:r>
        <w:rPr>
          <w:rFonts w:eastAsia="Times New Roman"/>
          <w:color w:val="000000"/>
          <w:sz w:val="20"/>
          <w:szCs w:val="20"/>
        </w:rPr>
        <w:t xml:space="preserve">Our businesses are subject to increased litigation, government investigations and other regulatory enforcement risks as a result of a number of factors and from various sources, including the highly regulated nature of the financial services industry, the </w:t>
      </w:r>
      <w:r>
        <w:rPr>
          <w:rFonts w:eastAsia="Times New Roman"/>
          <w:color w:val="000000"/>
          <w:sz w:val="20"/>
          <w:szCs w:val="20"/>
        </w:rPr>
        <w:t xml:space="preserve">focus of state and federal prosecutors on banks and the financial services industry and the structure of the credit card industry. </w:t>
      </w:r>
    </w:p>
    <w:p w:rsidR="00000000" w:rsidRDefault="0094004B">
      <w:pPr>
        <w:jc w:val="both"/>
        <w:divId w:val="1919095348"/>
        <w:rPr>
          <w:rFonts w:eastAsia="Times New Roman"/>
        </w:rPr>
      </w:pPr>
      <w:r>
        <w:rPr>
          <w:rFonts w:eastAsia="Times New Roman"/>
          <w:color w:val="000000"/>
          <w:sz w:val="20"/>
          <w:szCs w:val="20"/>
        </w:rPr>
        <w:t>Given the inherent uncertainties involved in litigation, government investigations and regulatory enforcement decisions, and</w:t>
      </w:r>
      <w:r>
        <w:rPr>
          <w:rFonts w:eastAsia="Times New Roman"/>
          <w:color w:val="000000"/>
          <w:sz w:val="20"/>
          <w:szCs w:val="20"/>
        </w:rPr>
        <w:t xml:space="preserve"> the very large or indeterminate damages sought in some matters asserted against us, there can be significant uncertainty as to the ultimate liability we may incur from these kinds of matters. The finding, or even the assertion, of substantial legal liabil</w:t>
      </w:r>
      <w:r>
        <w:rPr>
          <w:rFonts w:eastAsia="Times New Roman"/>
          <w:color w:val="000000"/>
          <w:sz w:val="20"/>
          <w:szCs w:val="20"/>
        </w:rPr>
        <w:t>ity against us could have a material adverse effect on our business and financial condition and could cause significant reputational harm to us, which could seriously harm our business. For example, the Cybersecurity Incident has resulted in litigation, se</w:t>
      </w:r>
      <w:r>
        <w:rPr>
          <w:rFonts w:eastAsia="Times New Roman"/>
          <w:color w:val="000000"/>
          <w:sz w:val="20"/>
          <w:szCs w:val="20"/>
        </w:rPr>
        <w:t>ttlements, government investigations and other regulatory enforcement inquiries.</w:t>
      </w:r>
    </w:p>
    <w:p w:rsidR="00000000" w:rsidRDefault="0094004B">
      <w:pPr>
        <w:jc w:val="both"/>
        <w:divId w:val="1529102713"/>
        <w:rPr>
          <w:rFonts w:eastAsia="Times New Roman"/>
        </w:rPr>
      </w:pPr>
      <w:r>
        <w:rPr>
          <w:rFonts w:eastAsia="Times New Roman"/>
          <w:color w:val="000000"/>
          <w:sz w:val="20"/>
          <w:szCs w:val="20"/>
        </w:rPr>
        <w:t>In addition, financial institutions, such as ourselves, face significant regulatory scrutiny, which can lead to public enforcement actions or nonpublic supervisory actions. We</w:t>
      </w:r>
      <w:r>
        <w:rPr>
          <w:rFonts w:eastAsia="Times New Roman"/>
          <w:color w:val="000000"/>
          <w:sz w:val="20"/>
          <w:szCs w:val="20"/>
        </w:rPr>
        <w:t xml:space="preserve"> and our subsidiaries are subject to comprehensive regulation and periodic examination by, among other regulatory bodies, the Federal Banking Agencies, SEC, CFTC and CFPB. We have been subject to enforcement actions by many of these and other regulators an</w:t>
      </w:r>
      <w:r>
        <w:rPr>
          <w:rFonts w:eastAsia="Times New Roman"/>
          <w:color w:val="000000"/>
          <w:sz w:val="20"/>
          <w:szCs w:val="20"/>
        </w:rPr>
        <w:t xml:space="preserve">d may continue to be involved in such actions, including governmental inquiries, investigations and enforcement proceedings, including by the OCC, Department of Justice, Financial Crimes Enforcement Network (“FinCEN”) and state Attorneys General. </w:t>
      </w:r>
    </w:p>
    <w:p w:rsidR="00000000" w:rsidRDefault="0094004B">
      <w:pPr>
        <w:jc w:val="both"/>
        <w:divId w:val="1363902187"/>
        <w:rPr>
          <w:rFonts w:eastAsia="Times New Roman"/>
        </w:rPr>
      </w:pPr>
      <w:r>
        <w:rPr>
          <w:rFonts w:eastAsia="Times New Roman"/>
          <w:color w:val="000000"/>
          <w:sz w:val="20"/>
          <w:szCs w:val="20"/>
        </w:rPr>
        <w:t>Over the last several years, federal and state regulators have focused on compliance with AML and sanctions laws, privacy, data protection and data security, use of service providers, fair lending and other consumer protection issues. In August 2020, we en</w:t>
      </w:r>
      <w:r>
        <w:rPr>
          <w:rFonts w:eastAsia="Times New Roman"/>
          <w:color w:val="000000"/>
          <w:sz w:val="20"/>
          <w:szCs w:val="20"/>
        </w:rPr>
        <w:t>tered into consent orders with the Federal Reserve and the OCC resulting from regulatory reviews of the Cybersecurity Incident and relating to ongoing enhancements of our cybersecurity and operational risk management processes, and we paid a civil monetary</w:t>
      </w:r>
      <w:r>
        <w:rPr>
          <w:rFonts w:eastAsia="Times New Roman"/>
          <w:color w:val="000000"/>
          <w:sz w:val="20"/>
          <w:szCs w:val="20"/>
        </w:rPr>
        <w:t xml:space="preserve"> penalty as part of the OCC agreement. On August 31, 2022, the OCC terminated its consent order. In January 2021, we also paid a civil monetary penalty assessed by FinCEN against the Bank in connection with AML violations alleged to have occurred between 2</w:t>
      </w:r>
      <w:r>
        <w:rPr>
          <w:rFonts w:eastAsia="Times New Roman"/>
          <w:color w:val="000000"/>
          <w:sz w:val="20"/>
          <w:szCs w:val="20"/>
        </w:rPr>
        <w:t xml:space="preserve">008 and 2014. Regulatory scrutiny is expected to continue in these areas, including as a result of implementation of the AML Act of 2020. </w:t>
      </w:r>
    </w:p>
    <w:p w:rsidR="00000000" w:rsidRDefault="0094004B">
      <w:pPr>
        <w:jc w:val="both"/>
        <w:divId w:val="1031372666"/>
        <w:rPr>
          <w:rFonts w:eastAsia="Times New Roman"/>
        </w:rPr>
      </w:pPr>
      <w:r>
        <w:rPr>
          <w:rFonts w:eastAsia="Times New Roman"/>
          <w:color w:val="000000"/>
          <w:sz w:val="20"/>
          <w:szCs w:val="20"/>
        </w:rPr>
        <w:t>We expect that regulators and governmental enforcement bodies will continue taking public enforcement actions against</w:t>
      </w:r>
      <w:r>
        <w:rPr>
          <w:rFonts w:eastAsia="Times New Roman"/>
          <w:color w:val="000000"/>
          <w:sz w:val="20"/>
          <w:szCs w:val="20"/>
        </w:rPr>
        <w:t xml:space="preserve"> financial institutions in addition to addressing supervisory concerns through nonpublic supervisory actions or findings, which could involve restrictions on our activities, or our ability to make acquisitions or otherwise expand our business, among other </w:t>
      </w:r>
      <w:r>
        <w:rPr>
          <w:rFonts w:eastAsia="Times New Roman"/>
          <w:color w:val="000000"/>
          <w:sz w:val="20"/>
          <w:szCs w:val="20"/>
        </w:rPr>
        <w:t>limitations that could adversely affect our business. In addition, a violation of law or regulation by another financial institution is likely to give rise to an investigation by regulators and other governmental agencies of the same or similar practices b</w:t>
      </w:r>
      <w:r>
        <w:rPr>
          <w:rFonts w:eastAsia="Times New Roman"/>
          <w:color w:val="000000"/>
          <w:sz w:val="20"/>
          <w:szCs w:val="20"/>
        </w:rPr>
        <w:t>y us. Furthermore, a single event may give rise to numerous and overlapping investigations and proceedings. These and other initiatives from governmental authorities and officials may subject us to further judgments, settlements, fines or penalties, or cau</w:t>
      </w:r>
      <w:r>
        <w:rPr>
          <w:rFonts w:eastAsia="Times New Roman"/>
          <w:color w:val="000000"/>
          <w:sz w:val="20"/>
          <w:szCs w:val="20"/>
        </w:rPr>
        <w:t>se us to restructure our operations and activities or to cease offering certain products or services, all of which could harm our reputation or lead to higher operational costs. Litigation, government investigations and other regulatory actions could gener</w:t>
      </w:r>
      <w:r>
        <w:rPr>
          <w:rFonts w:eastAsia="Times New Roman"/>
          <w:color w:val="000000"/>
          <w:sz w:val="20"/>
          <w:szCs w:val="20"/>
        </w:rPr>
        <w:t>ally subject us to significant fines, increased expenses, restrictions on our activities and damage to our reputation and our brand, and could adversely affect our business, financial condition and results of operations. For additional information regardin</w:t>
      </w:r>
      <w:r>
        <w:rPr>
          <w:rFonts w:eastAsia="Times New Roman"/>
          <w:color w:val="000000"/>
          <w:sz w:val="20"/>
          <w:szCs w:val="20"/>
        </w:rPr>
        <w:t>g legal and regulatory proceedings to which we are subject, see “Part II—Item 8.</w:t>
      </w:r>
      <w:r>
        <w:rPr>
          <w:rFonts w:eastAsia="Times New Roman"/>
          <w:color w:val="0000FF"/>
          <w:sz w:val="20"/>
          <w:szCs w:val="20"/>
        </w:rPr>
        <w:t xml:space="preserve"> </w:t>
      </w:r>
      <w:r>
        <w:rPr>
          <w:rFonts w:eastAsia="Times New Roman"/>
          <w:color w:val="000000"/>
          <w:sz w:val="20"/>
          <w:szCs w:val="20"/>
        </w:rPr>
        <w:t>Financial Statements and Supplementary Data—Note 18—Commitments, Contingencies, Guarantees and Others.”</w:t>
      </w:r>
    </w:p>
    <w:p w:rsidR="00000000" w:rsidRDefault="0094004B">
      <w:pPr>
        <w:jc w:val="both"/>
        <w:divId w:val="365376007"/>
        <w:rPr>
          <w:rFonts w:eastAsia="Times New Roman"/>
        </w:rPr>
      </w:pPr>
      <w:r>
        <w:rPr>
          <w:rFonts w:eastAsia="Times New Roman"/>
          <w:b/>
          <w:bCs/>
          <w:color w:val="000000"/>
          <w:sz w:val="20"/>
          <w:szCs w:val="20"/>
        </w:rPr>
        <w:t>Other Business Risks</w:t>
      </w:r>
    </w:p>
    <w:p w:rsidR="00000000" w:rsidRDefault="0094004B">
      <w:pPr>
        <w:jc w:val="both"/>
        <w:divId w:val="1244992466"/>
        <w:rPr>
          <w:rFonts w:eastAsia="Times New Roman"/>
        </w:rPr>
      </w:pPr>
      <w:r>
        <w:rPr>
          <w:rFonts w:eastAsia="Times New Roman"/>
          <w:b/>
          <w:bCs/>
          <w:i/>
          <w:iCs/>
          <w:color w:val="000000"/>
          <w:sz w:val="20"/>
          <w:szCs w:val="20"/>
        </w:rPr>
        <w:t>We face intense competition in all of our markets.</w:t>
      </w:r>
    </w:p>
    <w:p w:rsidR="00000000" w:rsidRDefault="0094004B">
      <w:pPr>
        <w:jc w:val="both"/>
        <w:divId w:val="1670980401"/>
        <w:rPr>
          <w:rFonts w:eastAsia="Times New Roman"/>
        </w:rPr>
      </w:pPr>
      <w:r>
        <w:rPr>
          <w:rFonts w:eastAsia="Times New Roman"/>
          <w:color w:val="000000"/>
          <w:sz w:val="20"/>
          <w:szCs w:val="20"/>
        </w:rPr>
        <w:t xml:space="preserve">We operate in a highly competitive environment across all of our lines of business, whether in making loans, attracting deposits or in the global payments industry, and we expect competitive conditions to continue to intensify with respect to most of our </w:t>
      </w:r>
      <w:r>
        <w:rPr>
          <w:rFonts w:eastAsia="Times New Roman"/>
          <w:color w:val="000000"/>
          <w:sz w:val="20"/>
          <w:szCs w:val="20"/>
        </w:rPr>
        <w:t xml:space="preserve">products particularly in our credit card and consumer banking business. We compete on the basis of the rates we pay on deposits and the rates and other terms we charge on the loans we originate or purchase, as well as the quality and range of our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853761101"/>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853761101"/>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853761101"/>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32</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057" style="width:0;height:1.5pt" o:hralign="center" o:hrstd="t" o:hr="t" fillcolor="#a0a0a0" stroked="f"/>
        </w:pict>
      </w:r>
    </w:p>
    <w:p w:rsidR="00000000" w:rsidRDefault="0094004B">
      <w:pPr>
        <w:jc w:val="both"/>
        <w:divId w:val="947349468"/>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both"/>
        <w:divId w:val="883518312"/>
        <w:rPr>
          <w:rFonts w:eastAsia="Times New Roman"/>
        </w:rPr>
      </w:pPr>
      <w:r>
        <w:rPr>
          <w:rFonts w:eastAsia="Times New Roman"/>
          <w:color w:val="000000"/>
          <w:sz w:val="20"/>
          <w:szCs w:val="20"/>
        </w:rPr>
        <w:t>customer service, products, innovation and experience. This increasingly competitive environment is primarily a result of changes in technology</w:t>
      </w:r>
      <w:r>
        <w:rPr>
          <w:rFonts w:eastAsia="Times New Roman"/>
          <w:color w:val="000000"/>
          <w:sz w:val="20"/>
          <w:szCs w:val="20"/>
        </w:rPr>
        <w:t xml:space="preserve">, product delivery systems and regulation, as well as the emergence of new or significantly larger financial services providers, all of which may affect our customers’ expectations and demands. In addition to offering competitive products and services, we </w:t>
      </w:r>
      <w:r>
        <w:rPr>
          <w:rFonts w:eastAsia="Times New Roman"/>
          <w:color w:val="000000"/>
          <w:sz w:val="20"/>
          <w:szCs w:val="20"/>
        </w:rPr>
        <w:t>invest in and conduct marketing campaigns to attract and inform customers. If our marketing campaigns are unsuccessful, it may adversely impact our ability to attract new customers and grow market share.</w:t>
      </w:r>
    </w:p>
    <w:p w:rsidR="00000000" w:rsidRDefault="0094004B">
      <w:pPr>
        <w:jc w:val="both"/>
        <w:divId w:val="702360335"/>
        <w:rPr>
          <w:rFonts w:eastAsia="Times New Roman"/>
        </w:rPr>
      </w:pPr>
      <w:r>
        <w:rPr>
          <w:rFonts w:eastAsia="Times New Roman"/>
          <w:color w:val="000000"/>
          <w:sz w:val="20"/>
          <w:szCs w:val="20"/>
        </w:rPr>
        <w:t xml:space="preserve">Some of our competitors, including new and emerging </w:t>
      </w:r>
      <w:r>
        <w:rPr>
          <w:rFonts w:eastAsia="Times New Roman"/>
          <w:color w:val="000000"/>
          <w:sz w:val="20"/>
          <w:szCs w:val="20"/>
        </w:rPr>
        <w:t>competitors in the digital and mobile payments space and other financial technology providers, are not subject to the same regulatory requirements or scrutiny to which we are subject, which also could place us at a competitive disadvantage, in particular i</w:t>
      </w:r>
      <w:r>
        <w:rPr>
          <w:rFonts w:eastAsia="Times New Roman"/>
          <w:color w:val="000000"/>
          <w:sz w:val="20"/>
          <w:szCs w:val="20"/>
        </w:rPr>
        <w:t>n the development of new technology platforms or the ability to rapidly innovate. We compete with many forms of payments offered by both bank and non-bank providers, including a variety of new and evolving alternative payment mechanisms, systems and produc</w:t>
      </w:r>
      <w:r>
        <w:rPr>
          <w:rFonts w:eastAsia="Times New Roman"/>
          <w:color w:val="000000"/>
          <w:sz w:val="20"/>
          <w:szCs w:val="20"/>
        </w:rPr>
        <w:t>ts, such as aggregators and web-based and wireless payment platforms or technologies, digital or cryptocurrencies, prepaid systems and payment services targeting users of social networks, communications platforms and online gaming. If we are unable to cont</w:t>
      </w:r>
      <w:r>
        <w:rPr>
          <w:rFonts w:eastAsia="Times New Roman"/>
          <w:color w:val="000000"/>
          <w:sz w:val="20"/>
          <w:szCs w:val="20"/>
        </w:rPr>
        <w:t>inue to keep pace with innovation, do not effectively market our products and services or are prohibited from or unwilling to enter emerging areas of competition, our business and results of operations could be adversely affected.</w:t>
      </w:r>
    </w:p>
    <w:p w:rsidR="00000000" w:rsidRDefault="0094004B">
      <w:pPr>
        <w:jc w:val="both"/>
        <w:divId w:val="1802380094"/>
        <w:rPr>
          <w:rFonts w:eastAsia="Times New Roman"/>
        </w:rPr>
      </w:pPr>
      <w:r>
        <w:rPr>
          <w:rFonts w:eastAsia="Times New Roman"/>
          <w:color w:val="000000"/>
          <w:sz w:val="20"/>
          <w:szCs w:val="20"/>
        </w:rPr>
        <w:t>Some of our competitors a</w:t>
      </w:r>
      <w:r>
        <w:rPr>
          <w:rFonts w:eastAsia="Times New Roman"/>
          <w:color w:val="000000"/>
          <w:sz w:val="20"/>
          <w:szCs w:val="20"/>
        </w:rPr>
        <w:t xml:space="preserve">re substantially larger than we are, which may give those competitors advantages, including a more diversified product and customer base, the ability to reach more customers and potential customers, operational efficiencies, broad-based local distribution </w:t>
      </w:r>
      <w:r>
        <w:rPr>
          <w:rFonts w:eastAsia="Times New Roman"/>
          <w:color w:val="000000"/>
          <w:sz w:val="20"/>
          <w:szCs w:val="20"/>
        </w:rPr>
        <w:t>capabilities, lower-cost funding and larger existing branch networks. Many of our competitors are also focusing on cross-selling their products and developing new products or technologies, which could affect our ability to maintain or grow existing custome</w:t>
      </w:r>
      <w:r>
        <w:rPr>
          <w:rFonts w:eastAsia="Times New Roman"/>
          <w:color w:val="000000"/>
          <w:sz w:val="20"/>
          <w:szCs w:val="20"/>
        </w:rPr>
        <w:t>r relationships or require us to offer lower interest rates or fees on our lending products or higher interest rates on deposits. Competition for loans could result in origination of fewer loans, earning less on our loans or an increase in loans that perfo</w:t>
      </w:r>
      <w:r>
        <w:rPr>
          <w:rFonts w:eastAsia="Times New Roman"/>
          <w:color w:val="000000"/>
          <w:sz w:val="20"/>
          <w:szCs w:val="20"/>
        </w:rPr>
        <w:t>rm below expectations.</w:t>
      </w:r>
    </w:p>
    <w:p w:rsidR="00000000" w:rsidRDefault="0094004B">
      <w:pPr>
        <w:jc w:val="both"/>
        <w:divId w:val="310796463"/>
        <w:rPr>
          <w:rFonts w:eastAsia="Times New Roman"/>
        </w:rPr>
      </w:pPr>
      <w:r>
        <w:rPr>
          <w:rFonts w:eastAsia="Times New Roman"/>
          <w:color w:val="000000"/>
          <w:sz w:val="20"/>
          <w:szCs w:val="20"/>
        </w:rPr>
        <w:t>We operate as an online direct bank in the United States. While direct banking provides a significant opportunity to attract new customers that value greater and more flexible access to banking services at reduced costs, we face stro</w:t>
      </w:r>
      <w:r>
        <w:rPr>
          <w:rFonts w:eastAsia="Times New Roman"/>
          <w:color w:val="000000"/>
          <w:sz w:val="20"/>
          <w:szCs w:val="20"/>
        </w:rPr>
        <w:t>ng and increasing competition in the direct banking market. Aggressive pricing throughout the industry may adversely affect the retention of existing balances and the cost-efficient acquisition of new deposit funds and may affect our growth and profitabili</w:t>
      </w:r>
      <w:r>
        <w:rPr>
          <w:rFonts w:eastAsia="Times New Roman"/>
          <w:color w:val="000000"/>
          <w:sz w:val="20"/>
          <w:szCs w:val="20"/>
        </w:rPr>
        <w:t xml:space="preserve">ty. Customers could also close their online accounts or reduce balances or deposits in favor of products and services offered by competitors for other reasons. These shifts, which could be rapid, could result from general dissatisfaction with our products </w:t>
      </w:r>
      <w:r>
        <w:rPr>
          <w:rFonts w:eastAsia="Times New Roman"/>
          <w:color w:val="000000"/>
          <w:sz w:val="20"/>
          <w:szCs w:val="20"/>
        </w:rPr>
        <w:t>or services, including concerns over pricing, online security or our reputation. The potential consequences of this competitive environment are exacerbated by the flexibility of direct banking and the financial and technological sophistication of our onlin</w:t>
      </w:r>
      <w:r>
        <w:rPr>
          <w:rFonts w:eastAsia="Times New Roman"/>
          <w:color w:val="000000"/>
          <w:sz w:val="20"/>
          <w:szCs w:val="20"/>
        </w:rPr>
        <w:t>e customer base.</w:t>
      </w:r>
    </w:p>
    <w:p w:rsidR="00000000" w:rsidRDefault="0094004B">
      <w:pPr>
        <w:jc w:val="both"/>
        <w:divId w:val="1266577147"/>
        <w:rPr>
          <w:rFonts w:eastAsia="Times New Roman"/>
        </w:rPr>
      </w:pPr>
      <w:r>
        <w:rPr>
          <w:rFonts w:eastAsia="Times New Roman"/>
          <w:color w:val="000000"/>
          <w:sz w:val="20"/>
          <w:szCs w:val="20"/>
        </w:rPr>
        <w:t>In our credit card business, competition for rewards customers may result in higher rewards expenses, or we may fail to attract new customers or retain existing rewards customers due to increasing competition for these consumers. As of Dec</w:t>
      </w:r>
      <w:r>
        <w:rPr>
          <w:rFonts w:eastAsia="Times New Roman"/>
          <w:color w:val="000000"/>
          <w:sz w:val="20"/>
          <w:szCs w:val="20"/>
        </w:rPr>
        <w:t>ember 31, 2022, we have a number of large partnerships in our credit card loan portfolio. The market for key business partners, especially in the credit card business, is very competitive, and we may not be able to grow or maintain these partner relationsh</w:t>
      </w:r>
      <w:r>
        <w:rPr>
          <w:rFonts w:eastAsia="Times New Roman"/>
          <w:color w:val="000000"/>
          <w:sz w:val="20"/>
          <w:szCs w:val="20"/>
        </w:rPr>
        <w:t xml:space="preserve">ips or assure that these relationships will be profitable or valued by our customers. Additionally, partners themselves may face changes in their business, including market factors and ownership changes, that could impact the partnership. We face the risk </w:t>
      </w:r>
      <w:r>
        <w:rPr>
          <w:rFonts w:eastAsia="Times New Roman"/>
          <w:color w:val="000000"/>
          <w:sz w:val="20"/>
          <w:szCs w:val="20"/>
        </w:rPr>
        <w:t>that we could lose partner relationships, even after we have invested significant resources into acquiring and developing the relationships. The loss of key business partners could have a negative impact on our results of operations, including lower return</w:t>
      </w:r>
      <w:r>
        <w:rPr>
          <w:rFonts w:eastAsia="Times New Roman"/>
          <w:color w:val="000000"/>
          <w:sz w:val="20"/>
          <w:szCs w:val="20"/>
        </w:rPr>
        <w:t>s, excess operating expense and excess funding capacity.</w:t>
      </w:r>
    </w:p>
    <w:p w:rsidR="00000000" w:rsidRDefault="0094004B">
      <w:pPr>
        <w:jc w:val="both"/>
        <w:divId w:val="1312825786"/>
        <w:rPr>
          <w:rFonts w:eastAsia="Times New Roman"/>
        </w:rPr>
      </w:pPr>
      <w:r>
        <w:rPr>
          <w:rFonts w:eastAsia="Times New Roman"/>
          <w:color w:val="000000"/>
          <w:sz w:val="20"/>
          <w:szCs w:val="20"/>
        </w:rPr>
        <w:t>We depend on our partners to effectively promote our co-brand and private label products and integrate the use of our credit cards into their retail operations. The failure by our partners to effecti</w:t>
      </w:r>
      <w:r>
        <w:rPr>
          <w:rFonts w:eastAsia="Times New Roman"/>
          <w:color w:val="000000"/>
          <w:sz w:val="20"/>
          <w:szCs w:val="20"/>
        </w:rPr>
        <w:t>vely promote and support our products as well as changes they may make in their business models could adversely affect card usage and our ability to achieve the growth and profitability objectives of our partnerships. In addition, if our partners do not ad</w:t>
      </w:r>
      <w:r>
        <w:rPr>
          <w:rFonts w:eastAsia="Times New Roman"/>
          <w:color w:val="000000"/>
          <w:sz w:val="20"/>
          <w:szCs w:val="20"/>
        </w:rPr>
        <w:t>here to the terms of our program agreements and standards, or otherwise diminish the value of our brand, we may suffer reputational damage and customers may be less likely to use our products.</w:t>
      </w:r>
    </w:p>
    <w:p w:rsidR="00000000" w:rsidRDefault="0094004B">
      <w:pPr>
        <w:jc w:val="both"/>
        <w:divId w:val="1660452195"/>
        <w:rPr>
          <w:rFonts w:eastAsia="Times New Roman"/>
        </w:rPr>
      </w:pPr>
      <w:r>
        <w:rPr>
          <w:rFonts w:eastAsia="Times New Roman"/>
          <w:color w:val="000000"/>
          <w:sz w:val="20"/>
          <w:szCs w:val="20"/>
        </w:rPr>
        <w:t>Some of our competitors have developed, or may develop, substan</w:t>
      </w:r>
      <w:r>
        <w:rPr>
          <w:rFonts w:eastAsia="Times New Roman"/>
          <w:color w:val="000000"/>
          <w:sz w:val="20"/>
          <w:szCs w:val="20"/>
        </w:rPr>
        <w:t xml:space="preserve">tially greater financial and other resources than we have, may offer richer value propositions or a wider range of programs and services than we offer, or may use more effective advertising, marketing or cross-selling strategies to acquire and retain more </w:t>
      </w:r>
      <w:r>
        <w:rPr>
          <w:rFonts w:eastAsia="Times New Roman"/>
          <w:color w:val="000000"/>
          <w:sz w:val="20"/>
          <w:szCs w:val="20"/>
        </w:rPr>
        <w:t>customers, capture a greater share of spending and borrowings, attain and develop more attractive co-brand card programs and maintain greater merchant acceptance than we have. We may not be able to compete effectively against these threats or respond or ad</w:t>
      </w:r>
      <w:r>
        <w:rPr>
          <w:rFonts w:eastAsia="Times New Roman"/>
          <w:color w:val="000000"/>
          <w:sz w:val="20"/>
          <w:szCs w:val="20"/>
        </w:rPr>
        <w:t>apt to changes in consumer spending habits as effectively as our competitors.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255430771"/>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255430771"/>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255430771"/>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33</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058" style="width:0;height:1.5pt" o:hralign="center" o:hrstd="t" o:hr="t" fillcolor="#a0a0a0" stroked="f"/>
        </w:pict>
      </w:r>
    </w:p>
    <w:p w:rsidR="00000000" w:rsidRDefault="0094004B">
      <w:pPr>
        <w:jc w:val="both"/>
        <w:divId w:val="2141528644"/>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both"/>
        <w:divId w:val="1661546309"/>
        <w:rPr>
          <w:rFonts w:eastAsia="Times New Roman"/>
        </w:rPr>
      </w:pPr>
      <w:r>
        <w:rPr>
          <w:rFonts w:eastAsia="Times New Roman"/>
          <w:color w:val="000000"/>
          <w:sz w:val="20"/>
          <w:szCs w:val="20"/>
        </w:rPr>
        <w:t>In such a competitive environment, we may lose entire accounts or may lose account balances to competing firms, or we may find it more costly t</w:t>
      </w:r>
      <w:r>
        <w:rPr>
          <w:rFonts w:eastAsia="Times New Roman"/>
          <w:color w:val="000000"/>
          <w:sz w:val="20"/>
          <w:szCs w:val="20"/>
        </w:rPr>
        <w:t>o maintain our existing customer base. Customer attrition from any or all of our lending products, together with any lowering of interest rates or fees that we might implement to retain customers, could reduce our revenues and therefore our earnings. Simil</w:t>
      </w:r>
      <w:r>
        <w:rPr>
          <w:rFonts w:eastAsia="Times New Roman"/>
          <w:color w:val="000000"/>
          <w:sz w:val="20"/>
          <w:szCs w:val="20"/>
        </w:rPr>
        <w:t>arly, unexpected customer attrition from our deposit products, in addition to an increase in rates or services that we may offer to retain deposits, may increase our expenses and therefore reduce our earnings.</w:t>
      </w:r>
    </w:p>
    <w:p w:rsidR="00000000" w:rsidRDefault="0094004B">
      <w:pPr>
        <w:jc w:val="both"/>
        <w:rPr>
          <w:rFonts w:eastAsia="Times New Roman"/>
        </w:rPr>
      </w:pPr>
      <w:r>
        <w:rPr>
          <w:rFonts w:eastAsia="Times New Roman"/>
          <w:b/>
          <w:bCs/>
          <w:i/>
          <w:iCs/>
          <w:color w:val="000000"/>
          <w:sz w:val="20"/>
          <w:szCs w:val="20"/>
        </w:rPr>
        <w:t xml:space="preserve">Our business, financial condition and results </w:t>
      </w:r>
      <w:r>
        <w:rPr>
          <w:rFonts w:eastAsia="Times New Roman"/>
          <w:b/>
          <w:bCs/>
          <w:i/>
          <w:iCs/>
          <w:color w:val="000000"/>
          <w:sz w:val="20"/>
          <w:szCs w:val="20"/>
        </w:rPr>
        <w:t>of operations may be adversely affected by merchants’ increasing focus on the fees charged by credit and debit card networks and by legislation and regulation impacting such fees.</w:t>
      </w:r>
    </w:p>
    <w:p w:rsidR="00000000" w:rsidRDefault="0094004B">
      <w:pPr>
        <w:jc w:val="both"/>
        <w:rPr>
          <w:rFonts w:eastAsia="Times New Roman"/>
        </w:rPr>
      </w:pPr>
    </w:p>
    <w:p w:rsidR="00000000" w:rsidRDefault="0094004B">
      <w:pPr>
        <w:jc w:val="both"/>
        <w:rPr>
          <w:rFonts w:eastAsia="Times New Roman"/>
        </w:rPr>
      </w:pPr>
      <w:r>
        <w:rPr>
          <w:rFonts w:eastAsia="Times New Roman"/>
          <w:color w:val="000000"/>
          <w:sz w:val="20"/>
          <w:szCs w:val="20"/>
        </w:rPr>
        <w:t xml:space="preserve">Interchange fees are generally one of the largest components of the costs </w:t>
      </w:r>
      <w:r>
        <w:rPr>
          <w:rFonts w:eastAsia="Times New Roman"/>
          <w:color w:val="000000"/>
          <w:sz w:val="20"/>
          <w:szCs w:val="20"/>
        </w:rPr>
        <w:t>that merchants pay in connection with the acceptance of credit and debit cards and are a meaningful source of revenue for our credit and debit card businesses. Interchange fees are the subject of significant and intense global legal, legislative and regula</w:t>
      </w:r>
      <w:r>
        <w:rPr>
          <w:rFonts w:eastAsia="Times New Roman"/>
          <w:color w:val="000000"/>
          <w:sz w:val="20"/>
          <w:szCs w:val="20"/>
        </w:rPr>
        <w:t>tory focus, and the resulting decisions, legislation and regulation may have a material adverse impact on our overall business, financial condition and results of operations.</w:t>
      </w:r>
    </w:p>
    <w:p w:rsidR="00000000" w:rsidRDefault="0094004B">
      <w:pPr>
        <w:jc w:val="both"/>
        <w:rPr>
          <w:rFonts w:eastAsia="Times New Roman"/>
        </w:rPr>
      </w:pPr>
    </w:p>
    <w:p w:rsidR="00000000" w:rsidRDefault="0094004B">
      <w:pPr>
        <w:jc w:val="both"/>
        <w:rPr>
          <w:rFonts w:eastAsia="Times New Roman"/>
        </w:rPr>
      </w:pPr>
      <w:r>
        <w:rPr>
          <w:rFonts w:eastAsia="Times New Roman"/>
          <w:color w:val="000000"/>
          <w:sz w:val="20"/>
          <w:szCs w:val="20"/>
        </w:rPr>
        <w:t>Legislative and regulatory bodies in a number of countries are seeking to reduce interchange fees through legislation, competition-related regulatory proceedings, voluntary agreements, central bank regulation and/or litigation. For credit transactions, int</w:t>
      </w:r>
      <w:r>
        <w:rPr>
          <w:rFonts w:eastAsia="Times New Roman"/>
          <w:color w:val="000000"/>
          <w:sz w:val="20"/>
          <w:szCs w:val="20"/>
        </w:rPr>
        <w:t>erchange reimbursement rates in the United States are set by credit card networks such as MasterCard and Visa. For debit transactions, Federal Reserve rules place limits on the interchange fees we may charge. For more information on these rules, please see</w:t>
      </w:r>
      <w:r>
        <w:rPr>
          <w:rFonts w:eastAsia="Times New Roman"/>
          <w:color w:val="000000"/>
          <w:sz w:val="20"/>
          <w:szCs w:val="20"/>
        </w:rPr>
        <w:t xml:space="preserve"> “Part I—Item 1. Business—Supervision and Regulation.” In some jurisdictions, such as Canada and certain countries in Europe, including the U.K., interchange fees and related practices are subject to regulatory activity, including in some cases, imposing c</w:t>
      </w:r>
      <w:r>
        <w:rPr>
          <w:rFonts w:eastAsia="Times New Roman"/>
          <w:color w:val="000000"/>
          <w:sz w:val="20"/>
          <w:szCs w:val="20"/>
        </w:rPr>
        <w:t xml:space="preserve">aps on permissible interchange fees. Our international card businesses have been impacted by these restrictions. For example, in the U.K., interchange fees are capped for both credit and debit card transactions. In addition, in Canada, Visa and Mastercard </w:t>
      </w:r>
      <w:r>
        <w:rPr>
          <w:rFonts w:eastAsia="Times New Roman"/>
          <w:color w:val="000000"/>
          <w:sz w:val="20"/>
          <w:szCs w:val="20"/>
        </w:rPr>
        <w:t>payment networks have entered into voluntary agreements with the Department of Finance Canada to maintain an agreed upon average interchange rate. Lowering interchange fees remains an area of domestic and international governmental focus. Legislators and r</w:t>
      </w:r>
      <w:r>
        <w:rPr>
          <w:rFonts w:eastAsia="Times New Roman"/>
          <w:color w:val="000000"/>
          <w:sz w:val="20"/>
          <w:szCs w:val="20"/>
        </w:rPr>
        <w:t>egulators around the world are aware of each other’s approaches to the regulation of the payments industry. Consequently, a development in one country, state or region may influence regulatory approaches in another, such as our primary market, the United S</w:t>
      </w:r>
      <w:r>
        <w:rPr>
          <w:rFonts w:eastAsia="Times New Roman"/>
          <w:color w:val="000000"/>
          <w:sz w:val="20"/>
          <w:szCs w:val="20"/>
        </w:rPr>
        <w:t>tates.</w:t>
      </w:r>
    </w:p>
    <w:p w:rsidR="00000000" w:rsidRDefault="0094004B">
      <w:pPr>
        <w:jc w:val="both"/>
        <w:rPr>
          <w:rFonts w:eastAsia="Times New Roman"/>
        </w:rPr>
      </w:pPr>
    </w:p>
    <w:p w:rsidR="00000000" w:rsidRDefault="0094004B">
      <w:pPr>
        <w:jc w:val="both"/>
        <w:rPr>
          <w:rFonts w:eastAsia="Times New Roman"/>
        </w:rPr>
      </w:pPr>
      <w:r>
        <w:rPr>
          <w:rFonts w:eastAsia="Times New Roman"/>
          <w:color w:val="000000"/>
          <w:sz w:val="20"/>
          <w:szCs w:val="20"/>
        </w:rPr>
        <w:t>In addition to this regulatory activity, merchants are also seeking avenues to reduce interchange fees. In the past, merchants and their trade groups have filed numerous lawsuits against Visa, MasterCard, American Express and their card-issuing ba</w:t>
      </w:r>
      <w:r>
        <w:rPr>
          <w:rFonts w:eastAsia="Times New Roman"/>
          <w:color w:val="000000"/>
          <w:sz w:val="20"/>
          <w:szCs w:val="20"/>
        </w:rPr>
        <w:t>nks, claiming that their practices toward merchants, including interchange and similar fees, violate federal antitrust laws. In 2005, a number of entities filed antitrust lawsuits against MasterCard and Visa and several member banks, including our subsidia</w:t>
      </w:r>
      <w:r>
        <w:rPr>
          <w:rFonts w:eastAsia="Times New Roman"/>
          <w:color w:val="000000"/>
          <w:sz w:val="20"/>
          <w:szCs w:val="20"/>
        </w:rPr>
        <w:t>ries and us, alleging among other things, that the defendants conspired to fix the level of interchange fees. In December 2013, the U.S. District Court for the Eastern District of New York granted final approval of the proposed class settlement. The settle</w:t>
      </w:r>
      <w:r>
        <w:rPr>
          <w:rFonts w:eastAsia="Times New Roman"/>
          <w:color w:val="000000"/>
          <w:sz w:val="20"/>
          <w:szCs w:val="20"/>
        </w:rPr>
        <w:t>ment provided, among other things, that merchants would be entitled to join together to negotiate lower interchange fees. The settlement was appealed to the Second Circuit Court of Appeals, which rejected the settlement in June 2016; a revised settlement w</w:t>
      </w:r>
      <w:r>
        <w:rPr>
          <w:rFonts w:eastAsia="Times New Roman"/>
          <w:color w:val="000000"/>
          <w:sz w:val="20"/>
          <w:szCs w:val="20"/>
        </w:rPr>
        <w:t>as reached in the second half of 2018, and the trial court issued its final approval of the settlement in December 2019. See “Part II—Item 8.</w:t>
      </w:r>
      <w:r>
        <w:rPr>
          <w:rFonts w:eastAsia="Times New Roman"/>
          <w:color w:val="0000FF"/>
          <w:sz w:val="20"/>
          <w:szCs w:val="20"/>
        </w:rPr>
        <w:t xml:space="preserve"> </w:t>
      </w:r>
      <w:r>
        <w:rPr>
          <w:rFonts w:eastAsia="Times New Roman"/>
          <w:color w:val="000000"/>
          <w:sz w:val="20"/>
          <w:szCs w:val="20"/>
        </w:rPr>
        <w:t>Financial Statements and Supplementary Data—Note 18—Commitments, Contingencies, Guarantees and Others” for further</w:t>
      </w:r>
      <w:r>
        <w:rPr>
          <w:rFonts w:eastAsia="Times New Roman"/>
          <w:color w:val="000000"/>
          <w:sz w:val="20"/>
          <w:szCs w:val="20"/>
        </w:rPr>
        <w:t xml:space="preserve"> details.</w:t>
      </w:r>
    </w:p>
    <w:p w:rsidR="00000000" w:rsidRDefault="0094004B">
      <w:pPr>
        <w:jc w:val="both"/>
        <w:rPr>
          <w:rFonts w:eastAsia="Times New Roman"/>
        </w:rPr>
      </w:pPr>
    </w:p>
    <w:p w:rsidR="00000000" w:rsidRDefault="0094004B">
      <w:pPr>
        <w:jc w:val="both"/>
        <w:rPr>
          <w:rFonts w:eastAsia="Times New Roman"/>
        </w:rPr>
      </w:pPr>
      <w:r>
        <w:rPr>
          <w:rFonts w:eastAsia="Times New Roman"/>
          <w:color w:val="000000"/>
          <w:sz w:val="20"/>
          <w:szCs w:val="20"/>
        </w:rPr>
        <w:t>Some major retailers have sufficient bargaining power to independently negotiate lower interchange fees with MasterCard and Visa, which could, in turn, result in lower interchange fees for us when our cardholders undertake purchase transactions</w:t>
      </w:r>
      <w:r>
        <w:rPr>
          <w:rFonts w:eastAsia="Times New Roman"/>
          <w:color w:val="000000"/>
          <w:sz w:val="20"/>
          <w:szCs w:val="20"/>
        </w:rPr>
        <w:t xml:space="preserve"> with these retailers. Merchants also continue to lobby Congress aggressively for restrictions on interchange fees and their efforts may be successful. Retailers may in the future bring legal proceedings against us or other credit card and debit card issue</w:t>
      </w:r>
      <w:r>
        <w:rPr>
          <w:rFonts w:eastAsia="Times New Roman"/>
          <w:color w:val="000000"/>
          <w:sz w:val="20"/>
          <w:szCs w:val="20"/>
        </w:rPr>
        <w:t>rs and networks.</w:t>
      </w:r>
    </w:p>
    <w:p w:rsidR="00000000" w:rsidRDefault="0094004B">
      <w:pPr>
        <w:jc w:val="both"/>
        <w:rPr>
          <w:rFonts w:eastAsia="Times New Roman"/>
        </w:rPr>
      </w:pPr>
    </w:p>
    <w:p w:rsidR="00000000" w:rsidRDefault="0094004B">
      <w:pPr>
        <w:jc w:val="both"/>
        <w:rPr>
          <w:rFonts w:eastAsia="Times New Roman"/>
        </w:rPr>
      </w:pPr>
      <w:r>
        <w:rPr>
          <w:rFonts w:eastAsia="Times New Roman"/>
          <w:color w:val="000000"/>
          <w:sz w:val="20"/>
          <w:szCs w:val="20"/>
        </w:rPr>
        <w:t>Beyond pursuing litigation, legislation and regulation, merchants may also promote forms of payment with lower fees, such as ACH-based payments, or seek to impose surcharges at the point of sale for use of credit or debit cards. New paym</w:t>
      </w:r>
      <w:r>
        <w:rPr>
          <w:rFonts w:eastAsia="Times New Roman"/>
          <w:color w:val="000000"/>
          <w:sz w:val="20"/>
          <w:szCs w:val="20"/>
        </w:rPr>
        <w:t>ent systems, particularly mobile-based payment technologies, could also gain widespread adoption and lead to issuer transaction fees or the displacement of credit card accounts as a payment method.</w:t>
      </w:r>
    </w:p>
    <w:p w:rsidR="00000000" w:rsidRDefault="0094004B">
      <w:pPr>
        <w:jc w:val="both"/>
        <w:rPr>
          <w:rFonts w:eastAsia="Times New Roman"/>
        </w:rPr>
      </w:pPr>
    </w:p>
    <w:p w:rsidR="00000000" w:rsidRDefault="0094004B">
      <w:pPr>
        <w:jc w:val="both"/>
        <w:rPr>
          <w:rFonts w:eastAsia="Times New Roman"/>
        </w:rPr>
      </w:pPr>
      <w:r>
        <w:rPr>
          <w:rFonts w:eastAsia="Times New Roman"/>
          <w:color w:val="000000"/>
          <w:sz w:val="20"/>
          <w:szCs w:val="20"/>
        </w:rPr>
        <w:t>The heightened focus by merchants and legislative and re</w:t>
      </w:r>
      <w:r>
        <w:rPr>
          <w:rFonts w:eastAsia="Times New Roman"/>
          <w:color w:val="000000"/>
          <w:sz w:val="20"/>
          <w:szCs w:val="20"/>
        </w:rPr>
        <w:t>gulatory bodies on the fees charged by credit and debit card networks, and the ability of certain merchants to successfully negotiate discounts to interchange fees with MasterCard and Visa or develop alternative payment systems, could result in a reduction</w:t>
      </w:r>
      <w:r>
        <w:rPr>
          <w:rFonts w:eastAsia="Times New Roman"/>
          <w:color w:val="000000"/>
          <w:sz w:val="20"/>
          <w:szCs w:val="20"/>
        </w:rPr>
        <w:t xml:space="preserve"> of interchange fees. Any resulting loss in income to us could have a material adverse effect on our business, financial condition and results of operations.</w:t>
      </w:r>
    </w:p>
    <w:p w:rsidR="00000000" w:rsidRDefault="0094004B">
      <w:pPr>
        <w:jc w:val="both"/>
        <w:rPr>
          <w:rFonts w:eastAsia="Times New Roman"/>
        </w:rPr>
      </w:pPr>
    </w:p>
    <w:p w:rsidR="00000000" w:rsidRDefault="0094004B">
      <w:pPr>
        <w:jc w:val="both"/>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99981067"/>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99981067"/>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99981067"/>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34</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059" style="width:0;height:1.5pt" o:hralign="center" o:hrstd="t" o:hr="t" fillcolor="#a0a0a0" stroked="f"/>
        </w:pict>
      </w:r>
    </w:p>
    <w:p w:rsidR="00000000" w:rsidRDefault="0094004B">
      <w:pPr>
        <w:jc w:val="both"/>
        <w:divId w:val="1134829332"/>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both"/>
        <w:rPr>
          <w:rFonts w:eastAsia="Times New Roman"/>
        </w:rPr>
      </w:pPr>
      <w:r>
        <w:rPr>
          <w:rFonts w:eastAsia="Times New Roman"/>
          <w:b/>
          <w:bCs/>
          <w:i/>
          <w:iCs/>
          <w:color w:val="000000"/>
          <w:sz w:val="20"/>
          <w:szCs w:val="20"/>
        </w:rPr>
        <w:t>If we are not able to invest successfully in and introduce digital and other technological developments across all our businesses, our financia</w:t>
      </w:r>
      <w:r>
        <w:rPr>
          <w:rFonts w:eastAsia="Times New Roman"/>
          <w:b/>
          <w:bCs/>
          <w:i/>
          <w:iCs/>
          <w:color w:val="000000"/>
          <w:sz w:val="20"/>
          <w:szCs w:val="20"/>
        </w:rPr>
        <w:t>l performance may suffer.</w:t>
      </w:r>
    </w:p>
    <w:p w:rsidR="00000000" w:rsidRDefault="0094004B">
      <w:pPr>
        <w:jc w:val="both"/>
        <w:rPr>
          <w:rFonts w:eastAsia="Times New Roman"/>
        </w:rPr>
      </w:pPr>
    </w:p>
    <w:p w:rsidR="00000000" w:rsidRDefault="0094004B">
      <w:pPr>
        <w:jc w:val="both"/>
        <w:rPr>
          <w:rFonts w:eastAsia="Times New Roman"/>
        </w:rPr>
      </w:pPr>
      <w:r>
        <w:rPr>
          <w:rFonts w:eastAsia="Times New Roman"/>
          <w:color w:val="000000"/>
          <w:sz w:val="20"/>
          <w:szCs w:val="20"/>
        </w:rPr>
        <w:t xml:space="preserve">Our industry is subject to rapid and significant technological changes and our ability to meet our customers’ needs and expectations is key to our ability to grow revenue and earnings. We expect digital technologies to continue </w:t>
      </w:r>
      <w:r>
        <w:rPr>
          <w:rFonts w:eastAsia="Times New Roman"/>
          <w:color w:val="000000"/>
          <w:sz w:val="20"/>
          <w:szCs w:val="20"/>
        </w:rPr>
        <w:t>to have a significant impact on banking over time. Consumers expect robust digital experiences from their financial services providers. The ability for customers to access their accounts and conduct financial transactions using digital technology, includin</w:t>
      </w:r>
      <w:r>
        <w:rPr>
          <w:rFonts w:eastAsia="Times New Roman"/>
          <w:color w:val="000000"/>
          <w:sz w:val="20"/>
          <w:szCs w:val="20"/>
        </w:rPr>
        <w:t>g mobile applications, is an important aspect of the financial services industry and financial institutions are rapidly introducing new digital and other technology-driven products and services that aim to offer a better customer experience and to reduce c</w:t>
      </w:r>
      <w:r>
        <w:rPr>
          <w:rFonts w:eastAsia="Times New Roman"/>
          <w:color w:val="000000"/>
          <w:sz w:val="20"/>
          <w:szCs w:val="20"/>
        </w:rPr>
        <w:t>osts. We continue to invest in digital technology designed to attract new customers, facilitate the ability of existing customers to conduct financial transactions and enhance the customer experience related to our products and services.</w:t>
      </w:r>
    </w:p>
    <w:p w:rsidR="00000000" w:rsidRDefault="0094004B">
      <w:pPr>
        <w:jc w:val="both"/>
        <w:rPr>
          <w:rFonts w:eastAsia="Times New Roman"/>
        </w:rPr>
      </w:pPr>
    </w:p>
    <w:p w:rsidR="00000000" w:rsidRDefault="0094004B">
      <w:pPr>
        <w:jc w:val="both"/>
        <w:rPr>
          <w:rFonts w:eastAsia="Times New Roman"/>
        </w:rPr>
      </w:pPr>
      <w:r>
        <w:rPr>
          <w:rFonts w:eastAsia="Times New Roman"/>
          <w:color w:val="000000"/>
          <w:sz w:val="20"/>
          <w:szCs w:val="20"/>
        </w:rPr>
        <w:t>Our continued su</w:t>
      </w:r>
      <w:r>
        <w:rPr>
          <w:rFonts w:eastAsia="Times New Roman"/>
          <w:color w:val="000000"/>
          <w:sz w:val="20"/>
          <w:szCs w:val="20"/>
        </w:rPr>
        <w:t xml:space="preserve">ccess depends, in part, upon our ability to assess and address the needs of our customers by using digital technology to provide products and services that meet their expectations. The development and launch of new digital products and services depends in </w:t>
      </w:r>
      <w:r>
        <w:rPr>
          <w:rFonts w:eastAsia="Times New Roman"/>
          <w:color w:val="000000"/>
          <w:sz w:val="20"/>
          <w:szCs w:val="20"/>
        </w:rPr>
        <w:t>large part on our ability to invest in and build the technology platforms that can enable them, in a cost effective and timely manner. See “</w:t>
      </w:r>
      <w:r>
        <w:rPr>
          <w:rFonts w:eastAsia="Times New Roman"/>
          <w:i/>
          <w:iCs/>
          <w:color w:val="000000"/>
          <w:sz w:val="20"/>
          <w:szCs w:val="20"/>
        </w:rPr>
        <w:t>We face intense competition in all of our markets</w:t>
      </w:r>
      <w:r>
        <w:rPr>
          <w:rFonts w:eastAsia="Times New Roman"/>
          <w:color w:val="000000"/>
          <w:sz w:val="20"/>
          <w:szCs w:val="20"/>
        </w:rPr>
        <w:t>” and “</w:t>
      </w:r>
      <w:r>
        <w:rPr>
          <w:rFonts w:eastAsia="Times New Roman"/>
          <w:i/>
          <w:iCs/>
          <w:color w:val="000000"/>
          <w:sz w:val="20"/>
          <w:szCs w:val="20"/>
        </w:rPr>
        <w:t>We face risks related to our operational, technological and organizational infrastructure.</w:t>
      </w:r>
      <w:r>
        <w:rPr>
          <w:rFonts w:eastAsia="Times New Roman"/>
          <w:color w:val="000000"/>
          <w:sz w:val="20"/>
          <w:szCs w:val="20"/>
        </w:rPr>
        <w:t>”</w:t>
      </w:r>
    </w:p>
    <w:p w:rsidR="00000000" w:rsidRDefault="0094004B">
      <w:pPr>
        <w:jc w:val="both"/>
        <w:rPr>
          <w:rFonts w:eastAsia="Times New Roman"/>
        </w:rPr>
      </w:pPr>
    </w:p>
    <w:p w:rsidR="00000000" w:rsidRDefault="0094004B">
      <w:pPr>
        <w:jc w:val="both"/>
        <w:rPr>
          <w:rFonts w:eastAsia="Times New Roman"/>
        </w:rPr>
      </w:pPr>
      <w:r>
        <w:rPr>
          <w:rFonts w:eastAsia="Times New Roman"/>
          <w:color w:val="000000"/>
          <w:sz w:val="20"/>
          <w:szCs w:val="20"/>
        </w:rPr>
        <w:t>Some of our competitors are substantially larger than we are, which may allow those competitors to invest more money into their technology infrastructure and digi</w:t>
      </w:r>
      <w:r>
        <w:rPr>
          <w:rFonts w:eastAsia="Times New Roman"/>
          <w:color w:val="000000"/>
          <w:sz w:val="20"/>
          <w:szCs w:val="20"/>
        </w:rPr>
        <w:t>tal innovation than we do. In addition, smaller competitors may experience lower cost structures and different regulatory requirements and scrutiny than we do, which may allow them to innovate more rapidly than we can. See “</w:t>
      </w:r>
      <w:r>
        <w:rPr>
          <w:rFonts w:eastAsia="Times New Roman"/>
          <w:i/>
          <w:iCs/>
          <w:color w:val="000000"/>
          <w:sz w:val="20"/>
          <w:szCs w:val="20"/>
        </w:rPr>
        <w:t>We face intense competition in a</w:t>
      </w:r>
      <w:r>
        <w:rPr>
          <w:rFonts w:eastAsia="Times New Roman"/>
          <w:i/>
          <w:iCs/>
          <w:color w:val="000000"/>
          <w:sz w:val="20"/>
          <w:szCs w:val="20"/>
        </w:rPr>
        <w:t>ll</w:t>
      </w:r>
      <w:r>
        <w:rPr>
          <w:rFonts w:eastAsia="Times New Roman"/>
          <w:color w:val="000000"/>
          <w:sz w:val="20"/>
          <w:szCs w:val="20"/>
        </w:rPr>
        <w:t xml:space="preserve"> </w:t>
      </w:r>
      <w:r>
        <w:rPr>
          <w:rFonts w:eastAsia="Times New Roman"/>
          <w:i/>
          <w:iCs/>
          <w:color w:val="000000"/>
          <w:sz w:val="20"/>
          <w:szCs w:val="20"/>
        </w:rPr>
        <w:t>of our markets.</w:t>
      </w:r>
      <w:r>
        <w:rPr>
          <w:rFonts w:eastAsia="Times New Roman"/>
          <w:color w:val="000000"/>
          <w:sz w:val="20"/>
          <w:szCs w:val="20"/>
        </w:rPr>
        <w:t>” Further, our success depends on our ability to attract and retain strong digital and technology leaders, engineers and other specialized</w:t>
      </w:r>
      <w:r>
        <w:rPr>
          <w:rFonts w:eastAsia="Times New Roman"/>
          <w:i/>
          <w:iCs/>
          <w:color w:val="000000"/>
          <w:sz w:val="20"/>
          <w:szCs w:val="20"/>
        </w:rPr>
        <w:t xml:space="preserve"> </w:t>
      </w:r>
      <w:r>
        <w:rPr>
          <w:rFonts w:eastAsia="Times New Roman"/>
          <w:color w:val="000000"/>
          <w:sz w:val="20"/>
          <w:szCs w:val="20"/>
        </w:rPr>
        <w:t>personnel. The competition is intense and the compensation costs continue to increase for such tale</w:t>
      </w:r>
      <w:r>
        <w:rPr>
          <w:rFonts w:eastAsia="Times New Roman"/>
          <w:color w:val="000000"/>
          <w:sz w:val="20"/>
          <w:szCs w:val="20"/>
        </w:rPr>
        <w:t>nt. If we are unable to attract and retain digital and technology talent, our ability to offer digital products and services and build the necessary technology infrastructure could be negatively affected, which could negatively impact our business and fina</w:t>
      </w:r>
      <w:r>
        <w:rPr>
          <w:rFonts w:eastAsia="Times New Roman"/>
          <w:color w:val="000000"/>
          <w:sz w:val="20"/>
          <w:szCs w:val="20"/>
        </w:rPr>
        <w:t xml:space="preserve">ncial results. A failure to maintain or enhance our competitive position with respect to digital products and services, whether because we fail to anticipate customer expectations or because our technological developments fail to perform as desired or are </w:t>
      </w:r>
      <w:r>
        <w:rPr>
          <w:rFonts w:eastAsia="Times New Roman"/>
          <w:color w:val="000000"/>
          <w:sz w:val="20"/>
          <w:szCs w:val="20"/>
        </w:rPr>
        <w:t>not implemented in a timely or successful manner, could negatively impact our business and financial results.</w:t>
      </w:r>
    </w:p>
    <w:p w:rsidR="00000000" w:rsidRDefault="0094004B">
      <w:pPr>
        <w:jc w:val="both"/>
        <w:divId w:val="949822501"/>
        <w:rPr>
          <w:rFonts w:eastAsia="Times New Roman"/>
        </w:rPr>
      </w:pPr>
      <w:r>
        <w:rPr>
          <w:rFonts w:eastAsia="Times New Roman"/>
          <w:b/>
          <w:bCs/>
          <w:i/>
          <w:iCs/>
          <w:color w:val="000000"/>
          <w:sz w:val="20"/>
          <w:szCs w:val="20"/>
        </w:rPr>
        <w:t>We may fail to realize the anticipated benefits of our mergers, acquisitions and strategic partnerships.</w:t>
      </w:r>
    </w:p>
    <w:p w:rsidR="00000000" w:rsidRDefault="0094004B">
      <w:pPr>
        <w:jc w:val="both"/>
        <w:rPr>
          <w:rFonts w:eastAsia="Times New Roman"/>
        </w:rPr>
      </w:pPr>
      <w:r>
        <w:rPr>
          <w:rFonts w:eastAsia="Times New Roman"/>
          <w:color w:val="000000"/>
          <w:sz w:val="20"/>
          <w:szCs w:val="20"/>
        </w:rPr>
        <w:t>We engage in merger and acquisition activ</w:t>
      </w:r>
      <w:r>
        <w:rPr>
          <w:rFonts w:eastAsia="Times New Roman"/>
          <w:color w:val="000000"/>
          <w:sz w:val="20"/>
          <w:szCs w:val="20"/>
        </w:rPr>
        <w:t>ity and enter into strategic partnerships from time to time. We continue to evaluate and anticipate engaging in, among other merger and acquisition activity, additional strategic partnerships and selected acquisitions of financial institutions and other bu</w:t>
      </w:r>
      <w:r>
        <w:rPr>
          <w:rFonts w:eastAsia="Times New Roman"/>
          <w:color w:val="000000"/>
          <w:sz w:val="20"/>
          <w:szCs w:val="20"/>
        </w:rPr>
        <w:t>sinesses or assets, including credit card and other loan portfolios. We may not be able to identify and secure future acquisition targets on terms and conditions that are acceptable to us, or successfully complete and integrate the businesses within the an</w:t>
      </w:r>
      <w:r>
        <w:rPr>
          <w:rFonts w:eastAsia="Times New Roman"/>
          <w:color w:val="000000"/>
          <w:sz w:val="20"/>
          <w:szCs w:val="20"/>
        </w:rPr>
        <w:t>ticipated time frame and achieve the anticipated benefits of proposed mergers, acquisitions and strategic partnerships, which could impair our growth.</w:t>
      </w:r>
    </w:p>
    <w:p w:rsidR="00000000" w:rsidRDefault="0094004B">
      <w:pPr>
        <w:jc w:val="both"/>
        <w:rPr>
          <w:rFonts w:eastAsia="Times New Roman"/>
        </w:rPr>
      </w:pPr>
    </w:p>
    <w:p w:rsidR="00000000" w:rsidRDefault="0094004B">
      <w:pPr>
        <w:jc w:val="both"/>
        <w:rPr>
          <w:rFonts w:eastAsia="Times New Roman"/>
        </w:rPr>
      </w:pPr>
      <w:r>
        <w:rPr>
          <w:rFonts w:eastAsia="Times New Roman"/>
          <w:color w:val="000000"/>
          <w:sz w:val="20"/>
          <w:szCs w:val="20"/>
        </w:rPr>
        <w:t>Any merger, acquisition or strategic partnership we undertake entails certain risks, which may material</w:t>
      </w:r>
      <w:r>
        <w:rPr>
          <w:rFonts w:eastAsia="Times New Roman"/>
          <w:color w:val="000000"/>
          <w:sz w:val="20"/>
          <w:szCs w:val="20"/>
        </w:rPr>
        <w:t>ly and adversely affect our results of operations. If we experience greater than anticipated costs to integrate acquired businesses into our existing operations, or are not able to achieve the anticipated benefits of any merger, acquisition or strategic pa</w:t>
      </w:r>
      <w:r>
        <w:rPr>
          <w:rFonts w:eastAsia="Times New Roman"/>
          <w:color w:val="000000"/>
          <w:sz w:val="20"/>
          <w:szCs w:val="20"/>
        </w:rPr>
        <w:t>rtnership, including cost savings and other synergies, our business could be negatively affected. In addition, it is possible that the ongoing integration processes could result in the loss of key employees, errors or delays in systems implementation, expo</w:t>
      </w:r>
      <w:r>
        <w:rPr>
          <w:rFonts w:eastAsia="Times New Roman"/>
          <w:color w:val="000000"/>
          <w:sz w:val="20"/>
          <w:szCs w:val="20"/>
        </w:rPr>
        <w:t>sure to cybersecurity risks associated with acquired businesses, exposure to additional regulatory oversight, the disruption of our ongoing businesses or inconsistencies in standards, controls, procedures and policies that adversely affect our ability to m</w:t>
      </w:r>
      <w:r>
        <w:rPr>
          <w:rFonts w:eastAsia="Times New Roman"/>
          <w:color w:val="000000"/>
          <w:sz w:val="20"/>
          <w:szCs w:val="20"/>
        </w:rPr>
        <w:t>aintain relationships with partners, clients, customers, depositors and employees or to achieve the anticipated benefits of any merger, acquisition or strategic partnership. Integration efforts also may divert management attention and resources. These inte</w:t>
      </w:r>
      <w:r>
        <w:rPr>
          <w:rFonts w:eastAsia="Times New Roman"/>
          <w:color w:val="000000"/>
          <w:sz w:val="20"/>
          <w:szCs w:val="20"/>
        </w:rPr>
        <w:t>gration matters may have an adverse effect on us during any transition period.</w:t>
      </w:r>
    </w:p>
    <w:p w:rsidR="00000000" w:rsidRDefault="0094004B">
      <w:pPr>
        <w:jc w:val="both"/>
        <w:rPr>
          <w:rFonts w:eastAsia="Times New Roman"/>
        </w:rPr>
      </w:pPr>
    </w:p>
    <w:p w:rsidR="00000000" w:rsidRDefault="0094004B">
      <w:pPr>
        <w:jc w:val="both"/>
        <w:rPr>
          <w:rFonts w:eastAsia="Times New Roman"/>
        </w:rPr>
      </w:pPr>
      <w:r>
        <w:rPr>
          <w:rFonts w:eastAsia="Times New Roman"/>
          <w:color w:val="000000"/>
          <w:sz w:val="20"/>
          <w:szCs w:val="20"/>
        </w:rPr>
        <w:t>In addition, we may face the following risks in connection with any merger, acquisition or strategic partnership:</w:t>
      </w:r>
    </w:p>
    <w:p w:rsidR="00000000" w:rsidRDefault="0094004B">
      <w:pPr>
        <w:jc w:val="both"/>
        <w:rPr>
          <w:rFonts w:eastAsia="Times New Roman"/>
        </w:rPr>
      </w:pPr>
    </w:p>
    <w:p w:rsidR="00000000" w:rsidRDefault="0094004B">
      <w:pPr>
        <w:ind w:hanging="360"/>
        <w:jc w:val="both"/>
        <w:rPr>
          <w:rFonts w:eastAsia="Times New Roman"/>
        </w:rPr>
      </w:pPr>
      <w:r>
        <w:rPr>
          <w:rFonts w:ascii="Arial" w:eastAsia="Times New Roman" w:hAnsi="Arial" w:cs="Arial"/>
          <w:color w:val="000000"/>
          <w:sz w:val="22"/>
          <w:szCs w:val="22"/>
        </w:rPr>
        <w:t>•</w:t>
      </w:r>
      <w:r>
        <w:rPr>
          <w:rFonts w:eastAsia="Times New Roman"/>
          <w:i/>
          <w:iCs/>
          <w:color w:val="000000"/>
          <w:sz w:val="20"/>
          <w:szCs w:val="20"/>
        </w:rPr>
        <w:t>New Businesses and Geographic or Other Markets:</w:t>
      </w:r>
      <w:r>
        <w:rPr>
          <w:rFonts w:eastAsia="Times New Roman"/>
          <w:color w:val="000000"/>
          <w:sz w:val="20"/>
          <w:szCs w:val="20"/>
        </w:rPr>
        <w:t xml:space="preserve"> Our merger, acquisition or strategic partnership activity may involve our entry into new bu</w:t>
      </w:r>
      <w:r>
        <w:rPr>
          <w:rFonts w:eastAsia="Times New Roman"/>
          <w:color w:val="000000"/>
          <w:sz w:val="20"/>
          <w:szCs w:val="20"/>
        </w:rPr>
        <w:t>sinesses, or new geographic areas or markets which present risks resulting from our relative inexperience in these new businesses or markets. These new businesses or markets may change the overall character of our consolidated portfolio of businesses and a</w:t>
      </w:r>
      <w:r>
        <w:rPr>
          <w:rFonts w:eastAsia="Times New Roman"/>
          <w:color w:val="000000"/>
          <w:sz w:val="20"/>
          <w:szCs w:val="20"/>
        </w:rPr>
        <w:t>lter our exposure to economic and other external factors. We face the risk that we will not be successful in these new businesses or in these new markets.</w:t>
      </w:r>
    </w:p>
    <w:p w:rsidR="00000000" w:rsidRDefault="0094004B">
      <w:pPr>
        <w:jc w:val="both"/>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882521562"/>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882521562"/>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882521562"/>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35</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060" style="width:0;height:1.5pt" o:hralign="center" o:hrstd="t" o:hr="t" fillcolor="#a0a0a0" stroked="f"/>
        </w:pict>
      </w:r>
    </w:p>
    <w:p w:rsidR="00000000" w:rsidRDefault="0094004B">
      <w:pPr>
        <w:jc w:val="both"/>
        <w:divId w:val="8486146"/>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ind w:hanging="360"/>
        <w:jc w:val="both"/>
        <w:rPr>
          <w:rFonts w:eastAsia="Times New Roman"/>
        </w:rPr>
      </w:pPr>
      <w:r>
        <w:rPr>
          <w:rFonts w:ascii="Arial" w:eastAsia="Times New Roman" w:hAnsi="Arial" w:cs="Arial"/>
          <w:color w:val="000000"/>
          <w:sz w:val="22"/>
          <w:szCs w:val="22"/>
        </w:rPr>
        <w:t>•</w:t>
      </w:r>
      <w:r>
        <w:rPr>
          <w:rFonts w:eastAsia="Times New Roman"/>
          <w:i/>
          <w:iCs/>
          <w:color w:val="000000"/>
          <w:sz w:val="20"/>
          <w:szCs w:val="20"/>
        </w:rPr>
        <w:t>Identification and Assessment of Merger and Acquisition Targets and Deployment of Acquired Assets:</w:t>
      </w:r>
      <w:r>
        <w:rPr>
          <w:rFonts w:eastAsia="Times New Roman"/>
          <w:color w:val="000000"/>
          <w:sz w:val="20"/>
          <w:szCs w:val="20"/>
        </w:rPr>
        <w:t xml:space="preserve"> We may not be able to identify, acquire or </w:t>
      </w:r>
      <w:r>
        <w:rPr>
          <w:rFonts w:eastAsia="Times New Roman"/>
          <w:color w:val="000000"/>
          <w:sz w:val="20"/>
          <w:szCs w:val="20"/>
        </w:rPr>
        <w:t xml:space="preserve">partner with suitable targets. Further, our ability to achieve the anticipated benefits of any merger, acquisition or strategic partnership will depend on our ability to assess the asset quality, risks and value of the particular assets or institutions we </w:t>
      </w:r>
      <w:r>
        <w:rPr>
          <w:rFonts w:eastAsia="Times New Roman"/>
          <w:color w:val="000000"/>
          <w:sz w:val="20"/>
          <w:szCs w:val="20"/>
        </w:rPr>
        <w:t>partner with, merge with or acquire. We may be unable to profitably deploy any assets we acquire.</w:t>
      </w:r>
    </w:p>
    <w:p w:rsidR="00000000" w:rsidRDefault="0094004B">
      <w:pPr>
        <w:jc w:val="both"/>
        <w:rPr>
          <w:rFonts w:eastAsia="Times New Roman"/>
        </w:rPr>
      </w:pPr>
    </w:p>
    <w:p w:rsidR="00000000" w:rsidRDefault="0094004B">
      <w:pPr>
        <w:ind w:hanging="360"/>
        <w:jc w:val="both"/>
        <w:rPr>
          <w:rFonts w:eastAsia="Times New Roman"/>
        </w:rPr>
      </w:pPr>
      <w:r>
        <w:rPr>
          <w:rFonts w:ascii="Arial" w:eastAsia="Times New Roman" w:hAnsi="Arial" w:cs="Arial"/>
          <w:color w:val="000000"/>
          <w:sz w:val="22"/>
          <w:szCs w:val="22"/>
        </w:rPr>
        <w:t>•</w:t>
      </w:r>
      <w:r>
        <w:rPr>
          <w:rFonts w:eastAsia="Times New Roman"/>
          <w:i/>
          <w:iCs/>
          <w:color w:val="000000"/>
          <w:sz w:val="20"/>
          <w:szCs w:val="20"/>
        </w:rPr>
        <w:t>Accuracy of Assumptions:</w:t>
      </w:r>
      <w:r>
        <w:rPr>
          <w:rFonts w:eastAsia="Times New Roman"/>
          <w:color w:val="000000"/>
          <w:sz w:val="20"/>
          <w:szCs w:val="20"/>
        </w:rPr>
        <w:t xml:space="preserve"> In connection with any merger, acquisition or strategic partnership, we may make certain assumptions relating to the proposed merg</w:t>
      </w:r>
      <w:r>
        <w:rPr>
          <w:rFonts w:eastAsia="Times New Roman"/>
          <w:color w:val="000000"/>
          <w:sz w:val="20"/>
          <w:szCs w:val="20"/>
        </w:rPr>
        <w:t>er, acquisition or strategic partnership that may be, or may prove to be, inaccurate, including as a result of the failure to anticipate the costs, timeline or ability to realize the expected benefits of any merger, acquisition or strategic partnership. Th</w:t>
      </w:r>
      <w:r>
        <w:rPr>
          <w:rFonts w:eastAsia="Times New Roman"/>
          <w:color w:val="000000"/>
          <w:sz w:val="20"/>
          <w:szCs w:val="20"/>
        </w:rPr>
        <w:t>e inaccuracy of any assumptions we may make could result in unanticipated consequences that could have a material adverse effect on our results of operations or financial condition.</w:t>
      </w:r>
    </w:p>
    <w:p w:rsidR="00000000" w:rsidRDefault="0094004B">
      <w:pPr>
        <w:jc w:val="both"/>
        <w:rPr>
          <w:rFonts w:eastAsia="Times New Roman"/>
        </w:rPr>
      </w:pPr>
    </w:p>
    <w:p w:rsidR="00000000" w:rsidRDefault="0094004B">
      <w:pPr>
        <w:ind w:hanging="360"/>
        <w:jc w:val="both"/>
        <w:rPr>
          <w:rFonts w:eastAsia="Times New Roman"/>
        </w:rPr>
      </w:pPr>
      <w:r>
        <w:rPr>
          <w:rFonts w:ascii="Arial" w:eastAsia="Times New Roman" w:hAnsi="Arial" w:cs="Arial"/>
          <w:color w:val="000000"/>
          <w:sz w:val="22"/>
          <w:szCs w:val="22"/>
        </w:rPr>
        <w:t>•</w:t>
      </w:r>
      <w:r>
        <w:rPr>
          <w:rFonts w:eastAsia="Times New Roman"/>
          <w:i/>
          <w:iCs/>
          <w:color w:val="000000"/>
          <w:sz w:val="20"/>
          <w:szCs w:val="20"/>
        </w:rPr>
        <w:t>Target-specific Risk:</w:t>
      </w:r>
      <w:r>
        <w:rPr>
          <w:rFonts w:eastAsia="Times New Roman"/>
          <w:color w:val="000000"/>
          <w:sz w:val="20"/>
          <w:szCs w:val="20"/>
        </w:rPr>
        <w:t xml:space="preserve"> Assets and companies that we acquire, or companie</w:t>
      </w:r>
      <w:r>
        <w:rPr>
          <w:rFonts w:eastAsia="Times New Roman"/>
          <w:color w:val="000000"/>
          <w:sz w:val="20"/>
          <w:szCs w:val="20"/>
        </w:rPr>
        <w:t>s that we enter into strategic partnerships with, will have their own risks that are specific to a particular asset or company. These risks include, but are not limited to, particular or specific regulatory, accounting, operational, reputational and indust</w:t>
      </w:r>
      <w:r>
        <w:rPr>
          <w:rFonts w:eastAsia="Times New Roman"/>
          <w:color w:val="000000"/>
          <w:sz w:val="20"/>
          <w:szCs w:val="20"/>
        </w:rPr>
        <w:t xml:space="preserve">ry risks, any of which could have a material adverse effect on our results of operations or financial condition. For example, we may face challenges associated with integrating other companies due to differences in corporate culture, compliance systems or </w:t>
      </w:r>
      <w:r>
        <w:rPr>
          <w:rFonts w:eastAsia="Times New Roman"/>
          <w:color w:val="000000"/>
          <w:sz w:val="20"/>
          <w:szCs w:val="20"/>
        </w:rPr>
        <w:t xml:space="preserve">standards of conduct. Indemnification rights, if any, may be insufficient to compensate us for any losses or damages resulting from such risks. In addition to regulatory approvals discussed below, certain of our merger, acquisition or partnership activity </w:t>
      </w:r>
      <w:r>
        <w:rPr>
          <w:rFonts w:eastAsia="Times New Roman"/>
          <w:color w:val="000000"/>
          <w:sz w:val="20"/>
          <w:szCs w:val="20"/>
        </w:rPr>
        <w:t>may require third-party consents in order for us to fully realize the anticipated benefits of any such transaction.</w:t>
      </w:r>
    </w:p>
    <w:p w:rsidR="00000000" w:rsidRDefault="0094004B">
      <w:pPr>
        <w:jc w:val="both"/>
        <w:rPr>
          <w:rFonts w:eastAsia="Times New Roman"/>
        </w:rPr>
      </w:pPr>
    </w:p>
    <w:p w:rsidR="00000000" w:rsidRDefault="0094004B">
      <w:pPr>
        <w:ind w:hanging="360"/>
        <w:jc w:val="both"/>
        <w:rPr>
          <w:rFonts w:eastAsia="Times New Roman"/>
        </w:rPr>
      </w:pPr>
      <w:r>
        <w:rPr>
          <w:rFonts w:ascii="Arial" w:eastAsia="Times New Roman" w:hAnsi="Arial" w:cs="Arial"/>
          <w:color w:val="000000"/>
          <w:sz w:val="22"/>
          <w:szCs w:val="22"/>
        </w:rPr>
        <w:t>•</w:t>
      </w:r>
      <w:r>
        <w:rPr>
          <w:rFonts w:eastAsia="Times New Roman"/>
          <w:i/>
          <w:iCs/>
          <w:color w:val="000000"/>
          <w:sz w:val="20"/>
          <w:szCs w:val="20"/>
        </w:rPr>
        <w:t>Conditions to Regulatory Approval:</w:t>
      </w:r>
      <w:r>
        <w:rPr>
          <w:rFonts w:eastAsia="Times New Roman"/>
          <w:color w:val="000000"/>
          <w:sz w:val="20"/>
          <w:szCs w:val="20"/>
        </w:rPr>
        <w:t xml:space="preserve"> </w:t>
      </w:r>
      <w:r>
        <w:rPr>
          <w:rFonts w:eastAsia="Times New Roman"/>
          <w:color w:val="000000"/>
          <w:sz w:val="20"/>
          <w:szCs w:val="20"/>
        </w:rPr>
        <w:t>We may be required to obtain various governmental and regulatory approvals to consummate certain acquisitions. We cannot be certain whether, when or on what terms and conditions, such approvals may be granted. Consequently, we may not obtain governmental o</w:t>
      </w:r>
      <w:r>
        <w:rPr>
          <w:rFonts w:eastAsia="Times New Roman"/>
          <w:color w:val="000000"/>
          <w:sz w:val="20"/>
          <w:szCs w:val="20"/>
        </w:rPr>
        <w:t>r regulatory approval for a proposed acquisition on acceptable terms or at all, in which case we would not be able to complete the acquisition despite investing resources in pursuing it.</w:t>
      </w:r>
    </w:p>
    <w:p w:rsidR="00000000" w:rsidRDefault="0094004B">
      <w:pPr>
        <w:jc w:val="both"/>
        <w:rPr>
          <w:rFonts w:eastAsia="Times New Roman"/>
        </w:rPr>
      </w:pPr>
    </w:p>
    <w:p w:rsidR="00000000" w:rsidRDefault="0094004B">
      <w:pPr>
        <w:jc w:val="both"/>
        <w:rPr>
          <w:rFonts w:eastAsia="Times New Roman"/>
        </w:rPr>
      </w:pPr>
      <w:r>
        <w:rPr>
          <w:rFonts w:eastAsia="Times New Roman"/>
          <w:b/>
          <w:bCs/>
          <w:i/>
          <w:iCs/>
          <w:color w:val="000000"/>
          <w:sz w:val="20"/>
          <w:szCs w:val="20"/>
        </w:rPr>
        <w:t>Reputational risk and social factors may impact our results and dam</w:t>
      </w:r>
      <w:r>
        <w:rPr>
          <w:rFonts w:eastAsia="Times New Roman"/>
          <w:b/>
          <w:bCs/>
          <w:i/>
          <w:iCs/>
          <w:color w:val="000000"/>
          <w:sz w:val="20"/>
          <w:szCs w:val="20"/>
        </w:rPr>
        <w:t>age our brand.</w:t>
      </w:r>
    </w:p>
    <w:p w:rsidR="00000000" w:rsidRDefault="0094004B">
      <w:pPr>
        <w:jc w:val="both"/>
        <w:rPr>
          <w:rFonts w:eastAsia="Times New Roman"/>
        </w:rPr>
      </w:pPr>
    </w:p>
    <w:p w:rsidR="00000000" w:rsidRDefault="0094004B">
      <w:pPr>
        <w:jc w:val="both"/>
        <w:rPr>
          <w:rFonts w:eastAsia="Times New Roman"/>
        </w:rPr>
      </w:pPr>
      <w:r>
        <w:rPr>
          <w:rFonts w:eastAsia="Times New Roman"/>
          <w:color w:val="000000"/>
          <w:sz w:val="20"/>
          <w:szCs w:val="20"/>
        </w:rPr>
        <w:t>Our ability to attract and retain customers is highly dependent upon the perceptions of consumer and commercial borrowers and deposit holders and other external perceptions of our products, services, trustworthiness, business practices, wo</w:t>
      </w:r>
      <w:r>
        <w:rPr>
          <w:rFonts w:eastAsia="Times New Roman"/>
          <w:color w:val="000000"/>
          <w:sz w:val="20"/>
          <w:szCs w:val="20"/>
        </w:rPr>
        <w:t>rkplace culture, compliance practices or our financial health. In addition, our brand is very important to us. Maintaining and enhancing our brand depends largely on our ability to continue to provide high-quality products and services. Adverse perceptions</w:t>
      </w:r>
      <w:r>
        <w:rPr>
          <w:rFonts w:eastAsia="Times New Roman"/>
          <w:color w:val="000000"/>
          <w:sz w:val="20"/>
          <w:szCs w:val="20"/>
        </w:rPr>
        <w:t xml:space="preserve"> regarding our reputation in the consumer, commercial and funding markets could lead to difficulties in generating and maintaining accounts as well as in financing them. In particular, negative public perceptions regarding our reputation, including negativ</w:t>
      </w:r>
      <w:r>
        <w:rPr>
          <w:rFonts w:eastAsia="Times New Roman"/>
          <w:color w:val="000000"/>
          <w:sz w:val="20"/>
          <w:szCs w:val="20"/>
        </w:rPr>
        <w:t>e perceptions regarding our ability to maintain the security of our technology systems and protect customer data, could lead to decreases in the levels of deposits that consumer and commercial customers and potential customers choose to maintain with us or</w:t>
      </w:r>
      <w:r>
        <w:rPr>
          <w:rFonts w:eastAsia="Times New Roman"/>
          <w:color w:val="000000"/>
          <w:sz w:val="20"/>
          <w:szCs w:val="20"/>
        </w:rPr>
        <w:t xml:space="preserve"> significantly increase the costs of attracting and retaining customers. In addition, negative perceptions regarding certain industries, partners or clients could also prompt us to cease business activities associated with those entities.</w:t>
      </w:r>
    </w:p>
    <w:p w:rsidR="00000000" w:rsidRDefault="0094004B">
      <w:pPr>
        <w:jc w:val="both"/>
        <w:rPr>
          <w:rFonts w:eastAsia="Times New Roman"/>
        </w:rPr>
      </w:pPr>
    </w:p>
    <w:p w:rsidR="00000000" w:rsidRDefault="0094004B">
      <w:pPr>
        <w:jc w:val="both"/>
        <w:rPr>
          <w:rFonts w:eastAsia="Times New Roman"/>
        </w:rPr>
      </w:pPr>
      <w:r>
        <w:rPr>
          <w:rFonts w:eastAsia="Times New Roman"/>
          <w:color w:val="000000"/>
          <w:sz w:val="20"/>
          <w:szCs w:val="20"/>
        </w:rPr>
        <w:t>Negative public</w:t>
      </w:r>
      <w:r>
        <w:rPr>
          <w:rFonts w:eastAsia="Times New Roman"/>
          <w:color w:val="000000"/>
          <w:sz w:val="20"/>
          <w:szCs w:val="20"/>
        </w:rPr>
        <w:t xml:space="preserve"> opinion or damage to our brand could also result from actual or alleged conduct in any number of activities or circumstances, including lending practices, regulatory compliance, security breaches (including the use and protection of customer data, such as</w:t>
      </w:r>
      <w:r>
        <w:rPr>
          <w:rFonts w:eastAsia="Times New Roman"/>
          <w:color w:val="000000"/>
          <w:sz w:val="20"/>
          <w:szCs w:val="20"/>
        </w:rPr>
        <w:t xml:space="preserve"> resulting from the Cybersecurity Incident), corporate governance and sales and marketing, and from actions taken by regulators or other persons in response to such conduct. Such conduct could fall short of our customers’ and the public’s heightened expect</w:t>
      </w:r>
      <w:r>
        <w:rPr>
          <w:rFonts w:eastAsia="Times New Roman"/>
          <w:color w:val="000000"/>
          <w:sz w:val="20"/>
          <w:szCs w:val="20"/>
        </w:rPr>
        <w:t>ations of companies of our size with rigorous privacy, data protection, data security and compliance practices, and could further harm our reputation. In addition, our co-brand and private label partners or other third parties with whom we have important r</w:t>
      </w:r>
      <w:r>
        <w:rPr>
          <w:rFonts w:eastAsia="Times New Roman"/>
          <w:color w:val="000000"/>
          <w:sz w:val="20"/>
          <w:szCs w:val="20"/>
        </w:rPr>
        <w:t>elationships may take actions over which we have limited control that could negatively impact perceptions about us or the financial services industry. The proliferation of social media may increase the likelihood that negative public opinion from any of th</w:t>
      </w:r>
      <w:r>
        <w:rPr>
          <w:rFonts w:eastAsia="Times New Roman"/>
          <w:color w:val="000000"/>
          <w:sz w:val="20"/>
          <w:szCs w:val="20"/>
        </w:rPr>
        <w:t>e events discussed above will impact our reputation and business.</w:t>
      </w:r>
    </w:p>
    <w:p w:rsidR="00000000" w:rsidRDefault="0094004B">
      <w:pPr>
        <w:jc w:val="both"/>
        <w:rPr>
          <w:rFonts w:eastAsia="Times New Roman"/>
        </w:rPr>
      </w:pPr>
    </w:p>
    <w:p w:rsidR="00000000" w:rsidRDefault="0094004B">
      <w:pPr>
        <w:jc w:val="both"/>
        <w:rPr>
          <w:rFonts w:eastAsia="Times New Roman"/>
        </w:rPr>
      </w:pPr>
      <w:r>
        <w:rPr>
          <w:rFonts w:eastAsia="Times New Roman"/>
          <w:color w:val="000000"/>
          <w:sz w:val="20"/>
          <w:szCs w:val="20"/>
        </w:rPr>
        <w:t>In addition, a variety of social factors may cause changes in borrowing activity, including credit card use, payment patterns and the rate of defaults by account holders and borrowers dome</w:t>
      </w:r>
      <w:r>
        <w:rPr>
          <w:rFonts w:eastAsia="Times New Roman"/>
          <w:color w:val="000000"/>
          <w:sz w:val="20"/>
          <w:szCs w:val="20"/>
        </w:rPr>
        <w:t>stically and internationally. These social factors include changes in consumer confidence levels, the public’s perception regarding the banking industry and consumer debt, including credit card use, and changing attitudes about the stigma of bankruptcy. Th</w:t>
      </w:r>
      <w:r>
        <w:rPr>
          <w:rFonts w:eastAsia="Times New Roman"/>
          <w:color w:val="000000"/>
          <w:sz w:val="20"/>
          <w:szCs w:val="20"/>
        </w:rPr>
        <w:t xml:space="preserve">ere has also been increased focus by investor advocacy groups, investment funds and shareholder activists, among others, on topics related to environmental, social and corporate governance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366834004"/>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366834004"/>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366834004"/>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36</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061" style="width:0;height:1.5pt" o:hralign="center" o:hrstd="t" o:hr="t" fillcolor="#a0a0a0" stroked="f"/>
        </w:pict>
      </w:r>
    </w:p>
    <w:p w:rsidR="00000000" w:rsidRDefault="0094004B">
      <w:pPr>
        <w:jc w:val="both"/>
        <w:divId w:val="1577981324"/>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both"/>
        <w:rPr>
          <w:rFonts w:eastAsia="Times New Roman"/>
        </w:rPr>
      </w:pPr>
      <w:r>
        <w:rPr>
          <w:rFonts w:eastAsia="Times New Roman"/>
          <w:color w:val="000000"/>
          <w:sz w:val="20"/>
          <w:szCs w:val="20"/>
        </w:rPr>
        <w:t xml:space="preserve">policies, and our policies, practices and disclosure in these areas, including related to climate change. If these groups consider our efforts </w:t>
      </w:r>
      <w:r>
        <w:rPr>
          <w:rFonts w:eastAsia="Times New Roman"/>
          <w:color w:val="000000"/>
          <w:sz w:val="20"/>
          <w:szCs w:val="20"/>
        </w:rPr>
        <w:t>unsatisfactory, whether real or perceived, it could also harm our reputation. If consumers develop or maintain negative attitudes about incurring debt, or consumption trends decline or if we fail to maintain and enhance our brand, or we incur significant e</w:t>
      </w:r>
      <w:r>
        <w:rPr>
          <w:rFonts w:eastAsia="Times New Roman"/>
          <w:color w:val="000000"/>
          <w:sz w:val="20"/>
          <w:szCs w:val="20"/>
        </w:rPr>
        <w:t>xpenses to do so, our reputation and business and financial results could be materially and negatively affected.</w:t>
      </w:r>
    </w:p>
    <w:p w:rsidR="00000000" w:rsidRDefault="0094004B">
      <w:pPr>
        <w:jc w:val="both"/>
        <w:rPr>
          <w:rFonts w:eastAsia="Times New Roman"/>
        </w:rPr>
      </w:pPr>
    </w:p>
    <w:p w:rsidR="00000000" w:rsidRDefault="0094004B">
      <w:pPr>
        <w:jc w:val="both"/>
        <w:rPr>
          <w:rFonts w:eastAsia="Times New Roman"/>
        </w:rPr>
      </w:pPr>
      <w:r>
        <w:rPr>
          <w:rFonts w:eastAsia="Times New Roman"/>
          <w:b/>
          <w:bCs/>
          <w:i/>
          <w:iCs/>
          <w:color w:val="000000"/>
          <w:sz w:val="20"/>
          <w:szCs w:val="20"/>
        </w:rPr>
        <w:t>If we are not able to protect our intellectual property, our revenue and profitability could be negatively affected.</w:t>
      </w:r>
    </w:p>
    <w:p w:rsidR="00000000" w:rsidRDefault="0094004B">
      <w:pPr>
        <w:jc w:val="both"/>
        <w:rPr>
          <w:rFonts w:eastAsia="Times New Roman"/>
        </w:rPr>
      </w:pPr>
    </w:p>
    <w:p w:rsidR="00000000" w:rsidRDefault="0094004B">
      <w:pPr>
        <w:jc w:val="both"/>
        <w:rPr>
          <w:rFonts w:eastAsia="Times New Roman"/>
        </w:rPr>
      </w:pPr>
      <w:r>
        <w:rPr>
          <w:rFonts w:eastAsia="Times New Roman"/>
          <w:color w:val="000000"/>
          <w:sz w:val="20"/>
          <w:szCs w:val="20"/>
        </w:rPr>
        <w:t>We rely on a variety o</w:t>
      </w:r>
      <w:r>
        <w:rPr>
          <w:rFonts w:eastAsia="Times New Roman"/>
          <w:color w:val="000000"/>
          <w:sz w:val="20"/>
          <w:szCs w:val="20"/>
        </w:rPr>
        <w:t>f measures to protect and enhance our intellectual property, including copyrights, trademarks, trade secrets, patents and certain restrictions on disclosure, solicitation and competition. We also undertake other measures to control access to and distributi</w:t>
      </w:r>
      <w:r>
        <w:rPr>
          <w:rFonts w:eastAsia="Times New Roman"/>
          <w:color w:val="000000"/>
          <w:sz w:val="20"/>
          <w:szCs w:val="20"/>
        </w:rPr>
        <w:t>on of our other proprietary and confidential information. These measures may not prevent misappropriation of our proprietary or confidential information or infringement, misappropriation or other violations of our intellectual property rights and a resulti</w:t>
      </w:r>
      <w:r>
        <w:rPr>
          <w:rFonts w:eastAsia="Times New Roman"/>
          <w:color w:val="000000"/>
          <w:sz w:val="20"/>
          <w:szCs w:val="20"/>
        </w:rPr>
        <w:t>ng loss of competitive advantage. In addition, our competitors or other third parties may obtain patents for innovations that are used in our industry or allege that our systems, processes or technologies infringe, misappropriate or violate their intellect</w:t>
      </w:r>
      <w:r>
        <w:rPr>
          <w:rFonts w:eastAsia="Times New Roman"/>
          <w:color w:val="000000"/>
          <w:sz w:val="20"/>
          <w:szCs w:val="20"/>
        </w:rPr>
        <w:t>ual property rights. Given the complex, rapidly changing and competitive technological and business environments in which we operate, if our competitors or other third parties are successful in obtaining such patents or prevail in intellectual property-rel</w:t>
      </w:r>
      <w:r>
        <w:rPr>
          <w:rFonts w:eastAsia="Times New Roman"/>
          <w:color w:val="000000"/>
          <w:sz w:val="20"/>
          <w:szCs w:val="20"/>
        </w:rPr>
        <w:t>ated litigation against us, we could lose significant revenues, incur significant license, royalty, technology development or other expenses, or pay significant damages.</w:t>
      </w:r>
    </w:p>
    <w:p w:rsidR="00000000" w:rsidRDefault="0094004B">
      <w:pPr>
        <w:jc w:val="both"/>
        <w:rPr>
          <w:rFonts w:eastAsia="Times New Roman"/>
        </w:rPr>
      </w:pPr>
    </w:p>
    <w:p w:rsidR="00000000" w:rsidRDefault="0094004B">
      <w:pPr>
        <w:jc w:val="both"/>
        <w:rPr>
          <w:rFonts w:eastAsia="Times New Roman"/>
        </w:rPr>
      </w:pPr>
      <w:r>
        <w:rPr>
          <w:rFonts w:eastAsia="Times New Roman"/>
          <w:b/>
          <w:bCs/>
          <w:i/>
          <w:iCs/>
          <w:color w:val="000000"/>
          <w:sz w:val="20"/>
          <w:szCs w:val="20"/>
        </w:rPr>
        <w:t>Our risk management strategies may not be fully effective in mitigating our risk exp</w:t>
      </w:r>
      <w:r>
        <w:rPr>
          <w:rFonts w:eastAsia="Times New Roman"/>
          <w:b/>
          <w:bCs/>
          <w:i/>
          <w:iCs/>
          <w:color w:val="000000"/>
          <w:sz w:val="20"/>
          <w:szCs w:val="20"/>
        </w:rPr>
        <w:t>osures in all market environments or against all types of risk.</w:t>
      </w:r>
    </w:p>
    <w:p w:rsidR="00000000" w:rsidRDefault="0094004B">
      <w:pPr>
        <w:jc w:val="both"/>
        <w:rPr>
          <w:rFonts w:eastAsia="Times New Roman"/>
        </w:rPr>
      </w:pPr>
    </w:p>
    <w:p w:rsidR="00000000" w:rsidRDefault="0094004B">
      <w:pPr>
        <w:jc w:val="both"/>
        <w:rPr>
          <w:rFonts w:eastAsia="Times New Roman"/>
        </w:rPr>
      </w:pPr>
      <w:r>
        <w:rPr>
          <w:rFonts w:eastAsia="Times New Roman"/>
          <w:color w:val="000000"/>
          <w:sz w:val="20"/>
          <w:szCs w:val="20"/>
        </w:rPr>
        <w:t xml:space="preserve">Management of market, credit, liquidity, strategic, reputational, operational and compliance risk requires, among other things, policies and procedures to properly record and verify a large </w:t>
      </w:r>
      <w:r>
        <w:rPr>
          <w:rFonts w:eastAsia="Times New Roman"/>
          <w:color w:val="000000"/>
          <w:sz w:val="20"/>
          <w:szCs w:val="20"/>
        </w:rPr>
        <w:t>number of transactions and events. See “Part II—Item 7. MD&amp;A—Risk Management” for further details. We maintain an enterprise Framework that is designed to identify, measure, assess, monitor, test, control, report, escalate, and mitigate the risks that we f</w:t>
      </w:r>
      <w:r>
        <w:rPr>
          <w:rFonts w:eastAsia="Times New Roman"/>
          <w:color w:val="000000"/>
          <w:sz w:val="20"/>
          <w:szCs w:val="20"/>
        </w:rPr>
        <w:t>ace. Even though we continue to devote significant resources to developing our Framework, our risk management strategies may not be fully effective in identifying and mitigating our risk exposure in all market environments or against all types of risk, inc</w:t>
      </w:r>
      <w:r>
        <w:rPr>
          <w:rFonts w:eastAsia="Times New Roman"/>
          <w:color w:val="000000"/>
          <w:sz w:val="20"/>
          <w:szCs w:val="20"/>
        </w:rPr>
        <w:t>luding risks that are unidentified or unanticipated.</w:t>
      </w:r>
    </w:p>
    <w:p w:rsidR="00000000" w:rsidRDefault="0094004B">
      <w:pPr>
        <w:jc w:val="both"/>
        <w:rPr>
          <w:rFonts w:eastAsia="Times New Roman"/>
        </w:rPr>
      </w:pPr>
    </w:p>
    <w:p w:rsidR="00000000" w:rsidRDefault="0094004B">
      <w:pPr>
        <w:jc w:val="both"/>
        <w:rPr>
          <w:rFonts w:eastAsia="Times New Roman"/>
        </w:rPr>
      </w:pPr>
      <w:r>
        <w:rPr>
          <w:rFonts w:eastAsia="Times New Roman"/>
          <w:color w:val="000000"/>
          <w:sz w:val="20"/>
          <w:szCs w:val="20"/>
        </w:rPr>
        <w:t>Some of our methods of managing these risks are based upon our use of observed historical market behavior, the use of analytical and/or forecasting models and management’s judgment. These methods may n</w:t>
      </w:r>
      <w:r>
        <w:rPr>
          <w:rFonts w:eastAsia="Times New Roman"/>
          <w:color w:val="000000"/>
          <w:sz w:val="20"/>
          <w:szCs w:val="20"/>
        </w:rPr>
        <w:t>ot accurately predict future exposures, which could be significantly greater than the historical measures or models indicate and market conditions, particularly during a period of financial market stress, can involve unprecedented dislocations. For example</w:t>
      </w:r>
      <w:r>
        <w:rPr>
          <w:rFonts w:eastAsia="Times New Roman"/>
          <w:color w:val="000000"/>
          <w:sz w:val="20"/>
          <w:szCs w:val="20"/>
        </w:rPr>
        <w:t>, credit risk is inherent in the financial services business and results from, among other things, extending credit to customers. Our ability to assess the creditworthiness of our customers may be impaired if the models and approaches we use to select, man</w:t>
      </w:r>
      <w:r>
        <w:rPr>
          <w:rFonts w:eastAsia="Times New Roman"/>
          <w:color w:val="000000"/>
          <w:sz w:val="20"/>
          <w:szCs w:val="20"/>
        </w:rPr>
        <w:t>age and underwrite our consumer and commercial customers become less predictive of future charge-offs due, for example, to rapid changes in the economy, or degradation in the predictive nature of credit bureau and other data used in underwriting.</w:t>
      </w:r>
    </w:p>
    <w:p w:rsidR="00000000" w:rsidRDefault="0094004B">
      <w:pPr>
        <w:jc w:val="both"/>
        <w:rPr>
          <w:rFonts w:eastAsia="Times New Roman"/>
        </w:rPr>
      </w:pPr>
    </w:p>
    <w:p w:rsidR="00000000" w:rsidRDefault="0094004B">
      <w:pPr>
        <w:jc w:val="both"/>
        <w:rPr>
          <w:rFonts w:eastAsia="Times New Roman"/>
        </w:rPr>
      </w:pPr>
      <w:r>
        <w:rPr>
          <w:rFonts w:eastAsia="Times New Roman"/>
          <w:color w:val="000000"/>
          <w:sz w:val="20"/>
          <w:szCs w:val="20"/>
        </w:rPr>
        <w:t>While w</w:t>
      </w:r>
      <w:r>
        <w:rPr>
          <w:rFonts w:eastAsia="Times New Roman"/>
          <w:color w:val="000000"/>
          <w:sz w:val="20"/>
          <w:szCs w:val="20"/>
        </w:rPr>
        <w:t xml:space="preserve">e employ a broad and diversified set of risk monitoring and risk mitigation techniques, those techniques and the judgments that accompany their application cannot anticipate every economic and financial outcome or the timing of such outcomes. For example, </w:t>
      </w:r>
      <w:r>
        <w:rPr>
          <w:rFonts w:eastAsia="Times New Roman"/>
          <w:color w:val="000000"/>
          <w:sz w:val="20"/>
          <w:szCs w:val="20"/>
        </w:rPr>
        <w:t>our ability to implement our risk management strategies may be hindered by adverse changes in the volatility or liquidity conditions in certain markets and as a result, may limit our ability to distribute such risks (for instance, when we seek to syndicate</w:t>
      </w:r>
      <w:r>
        <w:rPr>
          <w:rFonts w:eastAsia="Times New Roman"/>
          <w:color w:val="000000"/>
          <w:sz w:val="20"/>
          <w:szCs w:val="20"/>
        </w:rPr>
        <w:t xml:space="preserve"> exposure in bridge financing transactions we have underwritten). We may, therefore, incur losses in the course of our risk management or investing activities.</w:t>
      </w:r>
    </w:p>
    <w:p w:rsidR="00000000" w:rsidRDefault="0094004B">
      <w:pPr>
        <w:jc w:val="both"/>
        <w:divId w:val="138616451"/>
        <w:rPr>
          <w:rFonts w:eastAsia="Times New Roman"/>
        </w:rPr>
      </w:pPr>
      <w:r>
        <w:rPr>
          <w:rFonts w:eastAsia="Times New Roman"/>
          <w:b/>
          <w:bCs/>
          <w:i/>
          <w:iCs/>
          <w:color w:val="000000"/>
          <w:sz w:val="20"/>
          <w:szCs w:val="20"/>
        </w:rPr>
        <w:t>The transition away from LIBOR may adversely affect our business.</w:t>
      </w:r>
    </w:p>
    <w:p w:rsidR="00000000" w:rsidRDefault="0094004B">
      <w:pPr>
        <w:jc w:val="both"/>
        <w:rPr>
          <w:rFonts w:eastAsia="Times New Roman"/>
        </w:rPr>
      </w:pPr>
      <w:r>
        <w:rPr>
          <w:rFonts w:eastAsia="Times New Roman"/>
          <w:color w:val="000000"/>
          <w:sz w:val="20"/>
          <w:szCs w:val="20"/>
        </w:rPr>
        <w:t>A transition away from the use</w:t>
      </w:r>
      <w:r>
        <w:rPr>
          <w:rFonts w:eastAsia="Times New Roman"/>
          <w:color w:val="000000"/>
          <w:sz w:val="20"/>
          <w:szCs w:val="20"/>
        </w:rPr>
        <w:t xml:space="preserve"> of LIBOR to alternative rates and other potential interest rate benchmark reforms is not yet complete. These reforms have caused and may in the future cause such rates to perform differently than in the past, or to disappear entirely, or have other conseq</w:t>
      </w:r>
      <w:r>
        <w:rPr>
          <w:rFonts w:eastAsia="Times New Roman"/>
          <w:color w:val="000000"/>
          <w:sz w:val="20"/>
          <w:szCs w:val="20"/>
        </w:rPr>
        <w:t>uences which cannot be predicted.</w:t>
      </w:r>
    </w:p>
    <w:p w:rsidR="00000000" w:rsidRDefault="0094004B">
      <w:pPr>
        <w:jc w:val="both"/>
        <w:rPr>
          <w:rFonts w:eastAsia="Times New Roman"/>
        </w:rPr>
      </w:pPr>
    </w:p>
    <w:p w:rsidR="00000000" w:rsidRDefault="0094004B">
      <w:pPr>
        <w:jc w:val="both"/>
        <w:rPr>
          <w:rFonts w:eastAsia="Times New Roman"/>
        </w:rPr>
      </w:pPr>
      <w:r>
        <w:rPr>
          <w:rFonts w:eastAsia="Times New Roman"/>
          <w:color w:val="000000"/>
          <w:sz w:val="20"/>
          <w:szCs w:val="20"/>
        </w:rPr>
        <w:t>Given LIBOR’s extensive use across financial markets, the ongoing transition away from LIBOR presents several risks and challenges to the financial markets and financial institutions, including Capital One. While we have</w:t>
      </w:r>
      <w:r>
        <w:rPr>
          <w:rFonts w:eastAsia="Times New Roman"/>
          <w:color w:val="000000"/>
          <w:sz w:val="20"/>
          <w:szCs w:val="20"/>
        </w:rPr>
        <w:t xml:space="preserve"> substantially decreased our exposure to LIBOR, we have certain loans, derivative contracts, securitizations, and other contracts with attributes that are either directly or indirectly dependent on LIBOR. Our ability to transition those exposures away from</w:t>
      </w:r>
      <w:r>
        <w:rPr>
          <w:rFonts w:eastAsia="Times New Roman"/>
          <w:color w:val="000000"/>
          <w:sz w:val="20"/>
          <w:szCs w:val="20"/>
        </w:rPr>
        <w:t xml:space="preserve"> LIBOR could be affected by market and customer acceptance of and the specific terms and parameters for alternative reference rates. The Secured Overnight Financing Rate (“SOFR”) has been recommended by the Alternative Reference Rates Committee (“ARRC”) as</w:t>
      </w:r>
      <w:r>
        <w:rPr>
          <w:rFonts w:eastAsia="Times New Roman"/>
          <w:color w:val="000000"/>
          <w:sz w:val="20"/>
          <w:szCs w:val="20"/>
        </w:rPr>
        <w:t xml:space="preserve"> an alternative to U.S. dollar LIBOR. Nevertheless, the transition away from LIBOR could result in loss of market share in certain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173422583"/>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173422583"/>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173422583"/>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37</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062" style="width:0;height:1.5pt" o:hralign="center" o:hrstd="t" o:hr="t" fillcolor="#a0a0a0" stroked="f"/>
        </w:pict>
      </w:r>
    </w:p>
    <w:p w:rsidR="00000000" w:rsidRDefault="0094004B">
      <w:pPr>
        <w:jc w:val="both"/>
        <w:divId w:val="924412734"/>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both"/>
        <w:rPr>
          <w:rFonts w:eastAsia="Times New Roman"/>
        </w:rPr>
      </w:pPr>
      <w:r>
        <w:rPr>
          <w:rFonts w:eastAsia="Times New Roman"/>
          <w:color w:val="000000"/>
          <w:sz w:val="20"/>
          <w:szCs w:val="20"/>
        </w:rPr>
        <w:t>products, adverse tax or accounting impacts, compliance, legal or operational costs and risks associated with client disclosures, as well as sy</w:t>
      </w:r>
      <w:r>
        <w:rPr>
          <w:rFonts w:eastAsia="Times New Roman"/>
          <w:color w:val="000000"/>
          <w:sz w:val="20"/>
          <w:szCs w:val="20"/>
        </w:rPr>
        <w:t>stems disruption, model disruption and other business continuity issues for us.</w:t>
      </w:r>
    </w:p>
    <w:p w:rsidR="00000000" w:rsidRDefault="0094004B">
      <w:pPr>
        <w:jc w:val="both"/>
        <w:rPr>
          <w:rFonts w:eastAsia="Times New Roman"/>
        </w:rPr>
      </w:pPr>
    </w:p>
    <w:p w:rsidR="00000000" w:rsidRDefault="0094004B">
      <w:pPr>
        <w:jc w:val="both"/>
        <w:rPr>
          <w:rFonts w:eastAsia="Times New Roman"/>
        </w:rPr>
      </w:pPr>
      <w:r>
        <w:rPr>
          <w:rFonts w:eastAsia="Times New Roman"/>
          <w:color w:val="000000"/>
          <w:sz w:val="20"/>
          <w:szCs w:val="20"/>
        </w:rPr>
        <w:t>In addition, risks will remain for us with respect to outstanding instruments which rely on LIBOR. Those risks arise in connection with transitioning such instruments to a ne</w:t>
      </w:r>
      <w:r>
        <w:rPr>
          <w:rFonts w:eastAsia="Times New Roman"/>
          <w:color w:val="000000"/>
          <w:sz w:val="20"/>
          <w:szCs w:val="20"/>
        </w:rPr>
        <w:t>w reference rate, the taking of discretionary actions (for example, under fallback provisions) or the negotiation of fallback provisions and final amendments to existing LIBOR based agreements. Payments under contracts referencing new reference rates may s</w:t>
      </w:r>
      <w:r>
        <w:rPr>
          <w:rFonts w:eastAsia="Times New Roman"/>
          <w:color w:val="000000"/>
          <w:sz w:val="20"/>
          <w:szCs w:val="20"/>
        </w:rPr>
        <w:t>ignificantly differ from those referencing LIBOR. The Adjustable Interest Rate (LIBOR) Act passed by Congress in March 2022 (“LIBOR Act”) is intended to minimize legal and economic uncertainty following U.S. dollar LIBOR’s cessation by replacing LIBOR refe</w:t>
      </w:r>
      <w:r>
        <w:rPr>
          <w:rFonts w:eastAsia="Times New Roman"/>
          <w:color w:val="000000"/>
          <w:sz w:val="20"/>
          <w:szCs w:val="20"/>
        </w:rPr>
        <w:t>rences in certain contracts under certain circumstances with a SOFR-based rate identified in a Federal Reserve rule that incorporates a spread adjustment specified in the statute. For some instruments, the method of transitioning to a new reference rate ma</w:t>
      </w:r>
      <w:r>
        <w:rPr>
          <w:rFonts w:eastAsia="Times New Roman"/>
          <w:color w:val="000000"/>
          <w:sz w:val="20"/>
          <w:szCs w:val="20"/>
        </w:rPr>
        <w:t>y be challenging, especially if parties to an instrument cannot agree as to how to effect that transition and the LIBOR Act does not apply. In addition, prior to LIBOR cessation, instruments that continue to refer to LIBOR may be impacted if there is a cha</w:t>
      </w:r>
      <w:r>
        <w:rPr>
          <w:rFonts w:eastAsia="Times New Roman"/>
          <w:color w:val="000000"/>
          <w:sz w:val="20"/>
          <w:szCs w:val="20"/>
        </w:rPr>
        <w:t>nge in the availability or calculation of LIBOR. The transition from LIBOR to an alternative reference rate has changed our market risk profile and required changes to risk and pricing models, valuation tools, product design, information technology systems</w:t>
      </w:r>
      <w:r>
        <w:rPr>
          <w:rFonts w:eastAsia="Times New Roman"/>
          <w:color w:val="000000"/>
          <w:sz w:val="20"/>
          <w:szCs w:val="20"/>
        </w:rPr>
        <w:t xml:space="preserve">, reporting infrastructure, operational processes and controls, and hedging strategies, and may result in or require further such changes in the future. In many cases, we are and may in the future be dependent on third parties to upgrade systems, software </w:t>
      </w:r>
      <w:r>
        <w:rPr>
          <w:rFonts w:eastAsia="Times New Roman"/>
          <w:color w:val="000000"/>
          <w:sz w:val="20"/>
          <w:szCs w:val="20"/>
        </w:rPr>
        <w:t>and other critical functions that could materially disrupt our readiness if they are not done on a timely basis or otherwise fail. While we have largely remediated the majority of our exposures, our effort to remediate the remaining exposures remains ongoi</w:t>
      </w:r>
      <w:r>
        <w:rPr>
          <w:rFonts w:eastAsia="Times New Roman"/>
          <w:color w:val="000000"/>
          <w:sz w:val="20"/>
          <w:szCs w:val="20"/>
        </w:rPr>
        <w:t>ng. Failure to adequately manage the transition could have a material adverse effect on our reputation, business, financial condition and results of operations. See “Part II—Item 7. MD&amp;A—Market Risk Profile” for additional information.</w:t>
      </w:r>
    </w:p>
    <w:p w:rsidR="00000000" w:rsidRDefault="0094004B">
      <w:pPr>
        <w:jc w:val="both"/>
        <w:rPr>
          <w:rFonts w:eastAsia="Times New Roman"/>
        </w:rPr>
      </w:pPr>
    </w:p>
    <w:p w:rsidR="00000000" w:rsidRDefault="0094004B">
      <w:pPr>
        <w:jc w:val="both"/>
        <w:rPr>
          <w:rFonts w:eastAsia="Times New Roman"/>
        </w:rPr>
      </w:pPr>
      <w:r>
        <w:rPr>
          <w:rFonts w:eastAsia="Times New Roman"/>
          <w:b/>
          <w:bCs/>
          <w:i/>
          <w:iCs/>
          <w:color w:val="000000"/>
          <w:sz w:val="20"/>
          <w:szCs w:val="20"/>
        </w:rPr>
        <w:t>Our business could</w:t>
      </w:r>
      <w:r>
        <w:rPr>
          <w:rFonts w:eastAsia="Times New Roman"/>
          <w:b/>
          <w:bCs/>
          <w:i/>
          <w:iCs/>
          <w:color w:val="000000"/>
          <w:sz w:val="20"/>
          <w:szCs w:val="20"/>
        </w:rPr>
        <w:t xml:space="preserve"> be negatively affected if we are unable to attract, retain and motivate key senior leaders and skilled employees.</w:t>
      </w:r>
    </w:p>
    <w:p w:rsidR="00000000" w:rsidRDefault="0094004B">
      <w:pPr>
        <w:jc w:val="both"/>
        <w:rPr>
          <w:rFonts w:eastAsia="Times New Roman"/>
        </w:rPr>
      </w:pPr>
    </w:p>
    <w:p w:rsidR="00000000" w:rsidRDefault="0094004B">
      <w:pPr>
        <w:jc w:val="both"/>
        <w:rPr>
          <w:rFonts w:eastAsia="Times New Roman"/>
        </w:rPr>
      </w:pPr>
      <w:r>
        <w:rPr>
          <w:rFonts w:eastAsia="Times New Roman"/>
          <w:color w:val="000000"/>
          <w:sz w:val="20"/>
          <w:szCs w:val="20"/>
        </w:rPr>
        <w:t>Our success depends, in large part, on our ability to retain key senior leaders and to attract and retain skilled employees, particularly e</w:t>
      </w:r>
      <w:r>
        <w:rPr>
          <w:rFonts w:eastAsia="Times New Roman"/>
          <w:color w:val="000000"/>
          <w:sz w:val="20"/>
          <w:szCs w:val="20"/>
        </w:rPr>
        <w:t>mployees with advanced expertise in credit, risk, digital and technology skills. We depend on our senior leaders and skilled employees to oversee simultaneous, transformative initiatives across the enterprise and execute on our business plans in an efficie</w:t>
      </w:r>
      <w:r>
        <w:rPr>
          <w:rFonts w:eastAsia="Times New Roman"/>
          <w:color w:val="000000"/>
          <w:sz w:val="20"/>
          <w:szCs w:val="20"/>
        </w:rPr>
        <w:t>nt and effective manner. Competition for such senior leaders and employees, and the costs associated with attracting and retaining them, is high and competitive. While we engage in robust succession planning, our key senior leaders have deep and broad indu</w:t>
      </w:r>
      <w:r>
        <w:rPr>
          <w:rFonts w:eastAsia="Times New Roman"/>
          <w:color w:val="000000"/>
          <w:sz w:val="20"/>
          <w:szCs w:val="20"/>
        </w:rPr>
        <w:t>stry experience and could be difficult to replace without some degree of disruption.</w:t>
      </w:r>
    </w:p>
    <w:p w:rsidR="00000000" w:rsidRDefault="0094004B">
      <w:pPr>
        <w:jc w:val="both"/>
        <w:rPr>
          <w:rFonts w:eastAsia="Times New Roman"/>
        </w:rPr>
      </w:pPr>
    </w:p>
    <w:p w:rsidR="00000000" w:rsidRDefault="0094004B">
      <w:pPr>
        <w:jc w:val="both"/>
        <w:rPr>
          <w:rFonts w:eastAsia="Times New Roman"/>
        </w:rPr>
      </w:pPr>
      <w:r>
        <w:rPr>
          <w:rFonts w:eastAsia="Times New Roman"/>
          <w:color w:val="000000"/>
          <w:sz w:val="20"/>
          <w:szCs w:val="20"/>
        </w:rPr>
        <w:t>Our ability to attract and retain qualified employees also is affected by perceptions of our culture and management, including our position on remote and hybrid work arr</w:t>
      </w:r>
      <w:r>
        <w:rPr>
          <w:rFonts w:eastAsia="Times New Roman"/>
          <w:color w:val="000000"/>
          <w:sz w:val="20"/>
          <w:szCs w:val="20"/>
        </w:rPr>
        <w:t>angements, our profile in the regions where we have offices and the professional opportunities we offer. Regulation or regulatory guidance restricting executive compensation, as well as evolving investor expectations, may limit the types of compensation ar</w:t>
      </w:r>
      <w:r>
        <w:rPr>
          <w:rFonts w:eastAsia="Times New Roman"/>
          <w:color w:val="000000"/>
          <w:sz w:val="20"/>
          <w:szCs w:val="20"/>
        </w:rPr>
        <w:t>rangements that we may enter into with our most senior leaders and could have a negative impact on our ability to attract, retain and motivate such leaders in support of our long-term strategy. These laws and regulations may not apply in the same manner to</w:t>
      </w:r>
      <w:r>
        <w:rPr>
          <w:rFonts w:eastAsia="Times New Roman"/>
          <w:color w:val="000000"/>
          <w:sz w:val="20"/>
          <w:szCs w:val="20"/>
        </w:rPr>
        <w:t xml:space="preserve"> all financial institutions and technology companies, which therefore may subject us to more restrictions than other institutions and companies with which we compete for talent and may also hinder our ability to compete for talent with other industries. We</w:t>
      </w:r>
      <w:r>
        <w:rPr>
          <w:rFonts w:eastAsia="Times New Roman"/>
          <w:color w:val="000000"/>
          <w:sz w:val="20"/>
          <w:szCs w:val="20"/>
        </w:rPr>
        <w:t xml:space="preserve"> rely upon our senior leaders not only for business success, but also to lead with integrity. To the extent our senior leaders behave in a manner that does not comport with our values, the consequences to our brand and reputation could be severe and could </w:t>
      </w:r>
      <w:r>
        <w:rPr>
          <w:rFonts w:eastAsia="Times New Roman"/>
          <w:color w:val="000000"/>
          <w:sz w:val="20"/>
          <w:szCs w:val="20"/>
        </w:rPr>
        <w:t>adversely affect our financial condition and results of operations. If we are unable to attract, develop and retain talented senior leadership and employees, or to implement appropriate succession plans for our senior leadership, our business could be nega</w:t>
      </w:r>
      <w:r>
        <w:rPr>
          <w:rFonts w:eastAsia="Times New Roman"/>
          <w:color w:val="000000"/>
          <w:sz w:val="20"/>
          <w:szCs w:val="20"/>
        </w:rPr>
        <w:t>tively affected.</w:t>
      </w:r>
    </w:p>
    <w:p w:rsidR="00000000" w:rsidRDefault="0094004B">
      <w:pPr>
        <w:jc w:val="both"/>
        <w:divId w:val="1303854113"/>
        <w:rPr>
          <w:rFonts w:eastAsia="Times New Roman"/>
        </w:rPr>
      </w:pPr>
      <w:r>
        <w:rPr>
          <w:rFonts w:eastAsia="Times New Roman"/>
          <w:b/>
          <w:bCs/>
          <w:i/>
          <w:iCs/>
          <w:color w:val="000000"/>
          <w:sz w:val="20"/>
          <w:szCs w:val="20"/>
        </w:rPr>
        <w:t>We face risks from catastrophic events.</w:t>
      </w:r>
    </w:p>
    <w:p w:rsidR="00000000" w:rsidRDefault="0094004B">
      <w:pPr>
        <w:jc w:val="both"/>
        <w:rPr>
          <w:rFonts w:eastAsia="Times New Roman"/>
        </w:rPr>
      </w:pPr>
      <w:r>
        <w:rPr>
          <w:rFonts w:eastAsia="Times New Roman"/>
          <w:color w:val="000000"/>
          <w:sz w:val="20"/>
          <w:szCs w:val="20"/>
        </w:rPr>
        <w:t xml:space="preserve">Despite the business contingency plans we have in place, such plans do not fully mitigate all potential business continuity risks to us. Geopolitical events, natural disasters and other catastrophic </w:t>
      </w:r>
      <w:r>
        <w:rPr>
          <w:rFonts w:eastAsia="Times New Roman"/>
          <w:color w:val="000000"/>
          <w:sz w:val="20"/>
          <w:szCs w:val="20"/>
        </w:rPr>
        <w:t>events could harm our employees, business and infrastructure, including our information technology systems and third-party platforms. Our ability to conduct business may be adversely affected by a disruption in the infrastructure that supports our business</w:t>
      </w:r>
      <w:r>
        <w:rPr>
          <w:rFonts w:eastAsia="Times New Roman"/>
          <w:color w:val="000000"/>
          <w:sz w:val="20"/>
          <w:szCs w:val="20"/>
        </w:rPr>
        <w:t xml:space="preserve"> and the communities where we are located, which are concentrated in the Northern Virginia and New York metropolitan areas, as well as Richmond, Virginia and Plano, Texas. This may include a disruption involving damage or loss of access to a physical site,</w:t>
      </w:r>
      <w:r>
        <w:rPr>
          <w:rFonts w:eastAsia="Times New Roman"/>
          <w:color w:val="000000"/>
          <w:sz w:val="20"/>
          <w:szCs w:val="20"/>
        </w:rPr>
        <w:t xml:space="preserve"> cyber-attacks and other security incidents, terrorist activities, the occurrence or worsening of disease outbreaks or pandemics (including the COVID-19 pandemic), natural disasters, extreme weather events, electrical outage, environmental hazards, disrupt</w:t>
      </w:r>
      <w:r>
        <w:rPr>
          <w:rFonts w:eastAsia="Times New Roman"/>
          <w:color w:val="000000"/>
          <w:sz w:val="20"/>
          <w:szCs w:val="20"/>
        </w:rPr>
        <w:t>ion to technological infrastructure, communications or other services we use, our employees or third parties with whom we conduct business. Our business, financial condition and results of operations may be impacted by any such disruption and our ability t</w:t>
      </w:r>
      <w:r>
        <w:rPr>
          <w:rFonts w:eastAsia="Times New Roman"/>
          <w:color w:val="000000"/>
          <w:sz w:val="20"/>
          <w:szCs w:val="20"/>
        </w:rPr>
        <w:t xml:space="preserve">o implement corresponding response measures quickly. In addition, if a natural disaster or other catastrophic event occurs in certain regions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859007528"/>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859007528"/>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859007528"/>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38</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063" style="width:0;height:1.5pt" o:hralign="center" o:hrstd="t" o:hr="t" fillcolor="#a0a0a0" stroked="f"/>
        </w:pict>
      </w:r>
    </w:p>
    <w:p w:rsidR="00000000" w:rsidRDefault="0094004B">
      <w:pPr>
        <w:jc w:val="both"/>
        <w:divId w:val="183398329"/>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both"/>
        <w:rPr>
          <w:rFonts w:eastAsia="Times New Roman"/>
        </w:rPr>
      </w:pPr>
      <w:r>
        <w:rPr>
          <w:rFonts w:eastAsia="Times New Roman"/>
          <w:color w:val="000000"/>
          <w:sz w:val="20"/>
          <w:szCs w:val="20"/>
        </w:rPr>
        <w:t>where our business and customers are concentrated, such as the mid-Atlantic, New York, California or Texas metropolitan areas, or in regions wh</w:t>
      </w:r>
      <w:r>
        <w:rPr>
          <w:rFonts w:eastAsia="Times New Roman"/>
          <w:color w:val="000000"/>
          <w:sz w:val="20"/>
          <w:szCs w:val="20"/>
        </w:rPr>
        <w:t>ere our third-party platforms are located, we could be disproportionately impacted as compared to our competitors. The impact of such events and other catastrophes on the overall economy and our physical and transition risks may also adversely affect our f</w:t>
      </w:r>
      <w:r>
        <w:rPr>
          <w:rFonts w:eastAsia="Times New Roman"/>
          <w:color w:val="000000"/>
          <w:sz w:val="20"/>
          <w:szCs w:val="20"/>
        </w:rPr>
        <w:t>inancial condition and results of operations.</w:t>
      </w:r>
    </w:p>
    <w:p w:rsidR="00000000" w:rsidRDefault="0094004B">
      <w:pPr>
        <w:jc w:val="both"/>
        <w:rPr>
          <w:rFonts w:eastAsia="Times New Roman"/>
        </w:rPr>
      </w:pPr>
    </w:p>
    <w:p w:rsidR="00000000" w:rsidRDefault="0094004B">
      <w:pPr>
        <w:jc w:val="both"/>
        <w:rPr>
          <w:rFonts w:eastAsia="Times New Roman"/>
        </w:rPr>
      </w:pPr>
      <w:r>
        <w:rPr>
          <w:rFonts w:eastAsia="Times New Roman"/>
          <w:b/>
          <w:bCs/>
          <w:i/>
          <w:iCs/>
          <w:color w:val="000000"/>
          <w:sz w:val="20"/>
          <w:szCs w:val="20"/>
        </w:rPr>
        <w:t xml:space="preserve">Climate change manifesting as physical or transition risks could adversely affect our businesses, operations and customers. </w:t>
      </w:r>
    </w:p>
    <w:p w:rsidR="00000000" w:rsidRDefault="0094004B">
      <w:pPr>
        <w:jc w:val="both"/>
        <w:rPr>
          <w:rFonts w:eastAsia="Times New Roman"/>
        </w:rPr>
      </w:pPr>
    </w:p>
    <w:p w:rsidR="00000000" w:rsidRDefault="0094004B">
      <w:pPr>
        <w:jc w:val="both"/>
        <w:rPr>
          <w:rFonts w:eastAsia="Times New Roman"/>
        </w:rPr>
      </w:pPr>
      <w:r>
        <w:rPr>
          <w:rFonts w:eastAsia="Times New Roman"/>
          <w:color w:val="000000"/>
          <w:sz w:val="20"/>
          <w:szCs w:val="20"/>
        </w:rPr>
        <w:t>Climate change risks can manifest as physical or transition risks.</w:t>
      </w:r>
    </w:p>
    <w:p w:rsidR="00000000" w:rsidRDefault="0094004B">
      <w:pPr>
        <w:jc w:val="both"/>
        <w:rPr>
          <w:rFonts w:eastAsia="Times New Roman"/>
        </w:rPr>
      </w:pPr>
    </w:p>
    <w:p w:rsidR="00000000" w:rsidRDefault="0094004B">
      <w:pPr>
        <w:jc w:val="both"/>
        <w:rPr>
          <w:rFonts w:eastAsia="Times New Roman"/>
        </w:rPr>
      </w:pPr>
      <w:r>
        <w:rPr>
          <w:rFonts w:eastAsia="Times New Roman"/>
          <w:color w:val="000000"/>
          <w:sz w:val="20"/>
          <w:szCs w:val="20"/>
        </w:rPr>
        <w:t>Physical risks are the risks from the effects of climate cha</w:t>
      </w:r>
      <w:r>
        <w:rPr>
          <w:rFonts w:eastAsia="Times New Roman"/>
          <w:color w:val="000000"/>
          <w:sz w:val="20"/>
          <w:szCs w:val="20"/>
        </w:rPr>
        <w:t>nge arising from acute, climate-related events, such as, hurricanes and wildfires, and chronic shifts in climate, such as sea level rise and higher average temperatures. Such events could lead to financial losses or disrupt our operations or those of our c</w:t>
      </w:r>
      <w:r>
        <w:rPr>
          <w:rFonts w:eastAsia="Times New Roman"/>
          <w:color w:val="000000"/>
          <w:sz w:val="20"/>
          <w:szCs w:val="20"/>
        </w:rPr>
        <w:t>ustomers or third parties on which we rely, including through direct damage to assets and indirect impacts from supply chain disruption and market volatility.</w:t>
      </w:r>
    </w:p>
    <w:p w:rsidR="00000000" w:rsidRDefault="0094004B">
      <w:pPr>
        <w:jc w:val="both"/>
        <w:rPr>
          <w:rFonts w:eastAsia="Times New Roman"/>
        </w:rPr>
      </w:pPr>
    </w:p>
    <w:p w:rsidR="00000000" w:rsidRDefault="0094004B">
      <w:pPr>
        <w:jc w:val="both"/>
        <w:rPr>
          <w:rFonts w:eastAsia="Times New Roman"/>
        </w:rPr>
      </w:pPr>
      <w:r>
        <w:rPr>
          <w:rFonts w:eastAsia="Times New Roman"/>
          <w:color w:val="000000"/>
          <w:sz w:val="20"/>
          <w:szCs w:val="20"/>
        </w:rPr>
        <w:t>Transition risks are the risks resulting from the shift toward a lower-carbon economy arising f</w:t>
      </w:r>
      <w:r>
        <w:rPr>
          <w:rFonts w:eastAsia="Times New Roman"/>
          <w:color w:val="000000"/>
          <w:sz w:val="20"/>
          <w:szCs w:val="20"/>
        </w:rPr>
        <w:t>rom the changes in policy, consumer and business sentiment or technologies in regards to limiting climate change. Transition risks, including changes in consumer preferences and additional regulatory requirements or taxes, could increase our expenses, affe</w:t>
      </w:r>
      <w:r>
        <w:rPr>
          <w:rFonts w:eastAsia="Times New Roman"/>
          <w:color w:val="000000"/>
          <w:sz w:val="20"/>
          <w:szCs w:val="20"/>
        </w:rPr>
        <w:t>ct credit performance, and impact our strategies or those of our customers. For more information on climate-related regulatory developments, see “Part I—Item 1. Business—Supervision and Regulation” for additional information.</w:t>
      </w:r>
    </w:p>
    <w:p w:rsidR="00000000" w:rsidRDefault="0094004B">
      <w:pPr>
        <w:jc w:val="both"/>
        <w:rPr>
          <w:rFonts w:eastAsia="Times New Roman"/>
        </w:rPr>
      </w:pPr>
    </w:p>
    <w:p w:rsidR="00000000" w:rsidRDefault="0094004B">
      <w:pPr>
        <w:jc w:val="both"/>
        <w:rPr>
          <w:rFonts w:eastAsia="Times New Roman"/>
        </w:rPr>
      </w:pPr>
      <w:r>
        <w:rPr>
          <w:rFonts w:eastAsia="Times New Roman"/>
          <w:color w:val="000000"/>
          <w:sz w:val="20"/>
          <w:szCs w:val="20"/>
        </w:rPr>
        <w:t>Physical and transition risk</w:t>
      </w:r>
      <w:r>
        <w:rPr>
          <w:rFonts w:eastAsia="Times New Roman"/>
          <w:color w:val="000000"/>
          <w:sz w:val="20"/>
          <w:szCs w:val="20"/>
        </w:rPr>
        <w:t xml:space="preserve">s could also affect the financial health of certain customers in impacted industries or geographies. In addition, we face reputational risk as a result of our policies, practices, disclosures and decisions related to climate change and the environment, or </w:t>
      </w:r>
      <w:r>
        <w:rPr>
          <w:rFonts w:eastAsia="Times New Roman"/>
          <w:color w:val="000000"/>
          <w:sz w:val="20"/>
          <w:szCs w:val="20"/>
        </w:rPr>
        <w:t>the practices or involvement of our clients or vendors and suppliers, in certain industries or projects associated with causing or exacerbating climate change.</w:t>
      </w:r>
    </w:p>
    <w:p w:rsidR="00000000" w:rsidRDefault="0094004B">
      <w:pPr>
        <w:jc w:val="both"/>
        <w:rPr>
          <w:rFonts w:eastAsia="Times New Roman"/>
        </w:rPr>
      </w:pPr>
    </w:p>
    <w:p w:rsidR="00000000" w:rsidRDefault="0094004B">
      <w:pPr>
        <w:jc w:val="both"/>
        <w:rPr>
          <w:rFonts w:eastAsia="Times New Roman"/>
        </w:rPr>
      </w:pPr>
      <w:r>
        <w:rPr>
          <w:rFonts w:eastAsia="Times New Roman"/>
          <w:color w:val="000000"/>
          <w:sz w:val="20"/>
          <w:szCs w:val="20"/>
        </w:rPr>
        <w:t>As climate risk is interconnected with many risk types, we continue to enhance processes to em</w:t>
      </w:r>
      <w:r>
        <w:rPr>
          <w:rFonts w:eastAsia="Times New Roman"/>
          <w:color w:val="000000"/>
          <w:sz w:val="20"/>
          <w:szCs w:val="20"/>
        </w:rPr>
        <w:t>bed evolving climate risk considerations into our existing risk management strategies; however, because the timing and severity of climate change may not be predictable, our risk management strategies may not be effective in mitigating climate risk exposur</w:t>
      </w:r>
      <w:r>
        <w:rPr>
          <w:rFonts w:eastAsia="Times New Roman"/>
          <w:color w:val="000000"/>
          <w:sz w:val="20"/>
          <w:szCs w:val="20"/>
        </w:rPr>
        <w:t>e.</w:t>
      </w:r>
    </w:p>
    <w:p w:rsidR="00000000" w:rsidRDefault="0094004B">
      <w:pPr>
        <w:jc w:val="both"/>
        <w:rPr>
          <w:rFonts w:eastAsia="Times New Roman"/>
        </w:rPr>
      </w:pPr>
    </w:p>
    <w:p w:rsidR="00000000" w:rsidRDefault="0094004B">
      <w:pPr>
        <w:jc w:val="both"/>
        <w:rPr>
          <w:rFonts w:eastAsia="Times New Roman"/>
        </w:rPr>
      </w:pPr>
      <w:r>
        <w:rPr>
          <w:rFonts w:eastAsia="Times New Roman"/>
          <w:b/>
          <w:bCs/>
          <w:i/>
          <w:iCs/>
          <w:color w:val="000000"/>
          <w:sz w:val="20"/>
          <w:szCs w:val="20"/>
        </w:rPr>
        <w:t>We face risks from the use of or changes to assumptions or estimates in our financial statements.</w:t>
      </w:r>
    </w:p>
    <w:p w:rsidR="00000000" w:rsidRDefault="0094004B">
      <w:pPr>
        <w:jc w:val="both"/>
        <w:rPr>
          <w:rFonts w:eastAsia="Times New Roman"/>
        </w:rPr>
      </w:pPr>
    </w:p>
    <w:p w:rsidR="00000000" w:rsidRDefault="0094004B">
      <w:pPr>
        <w:jc w:val="both"/>
        <w:rPr>
          <w:rFonts w:eastAsia="Times New Roman"/>
        </w:rPr>
      </w:pPr>
      <w:r>
        <w:rPr>
          <w:rFonts w:eastAsia="Times New Roman"/>
          <w:color w:val="000000"/>
          <w:sz w:val="20"/>
          <w:szCs w:val="20"/>
        </w:rPr>
        <w:t>Pursuant to generally accepted accounting principles in the U.S. (“U.S. GAAP”), we are required to use certain assumptions and estimates in preparing o</w:t>
      </w:r>
      <w:r>
        <w:rPr>
          <w:rFonts w:eastAsia="Times New Roman"/>
          <w:color w:val="000000"/>
          <w:sz w:val="20"/>
          <w:szCs w:val="20"/>
        </w:rPr>
        <w:t>ur financial statements, including determining our allowance for credit losses, the fair value of certain assets and liabilities, and goodwill impairment, among other items. In addition, the FASB, the SEC and other regulatory bodies may change the financia</w:t>
      </w:r>
      <w:r>
        <w:rPr>
          <w:rFonts w:eastAsia="Times New Roman"/>
          <w:color w:val="000000"/>
          <w:sz w:val="20"/>
          <w:szCs w:val="20"/>
        </w:rPr>
        <w:t>l accounting and reporting standards, including those related to assumptions and estimates we use to prepare our financial statements, in ways that we cannot predict and that could impact our financial statements. If actual results differ from the assumpti</w:t>
      </w:r>
      <w:r>
        <w:rPr>
          <w:rFonts w:eastAsia="Times New Roman"/>
          <w:color w:val="000000"/>
          <w:sz w:val="20"/>
          <w:szCs w:val="20"/>
        </w:rPr>
        <w:t>ons or estimates underlying our financial statements or if financial accounting and reporting standards are changed, we may experience unexpected material losses. For a discussion of our use of estimates in the preparation of our consolidated financial sta</w:t>
      </w:r>
      <w:r>
        <w:rPr>
          <w:rFonts w:eastAsia="Times New Roman"/>
          <w:color w:val="000000"/>
          <w:sz w:val="20"/>
          <w:szCs w:val="20"/>
        </w:rPr>
        <w:t>tements, see “Part II—Item 7. MD&amp;A—Critical Accounting Policies and Estimates” and “Part II—Item 8.</w:t>
      </w:r>
      <w:r>
        <w:rPr>
          <w:rFonts w:eastAsia="Times New Roman"/>
          <w:color w:val="0000FF"/>
          <w:sz w:val="20"/>
          <w:szCs w:val="20"/>
        </w:rPr>
        <w:t xml:space="preserve"> </w:t>
      </w:r>
      <w:r>
        <w:rPr>
          <w:rFonts w:eastAsia="Times New Roman"/>
          <w:color w:val="000000"/>
          <w:sz w:val="20"/>
          <w:szCs w:val="20"/>
        </w:rPr>
        <w:t>Financial Statements and Supplementary Data—Note 1—Summary of Significant Accounting Policies.”</w:t>
      </w:r>
    </w:p>
    <w:p w:rsidR="00000000" w:rsidRDefault="0094004B">
      <w:pPr>
        <w:jc w:val="both"/>
        <w:rPr>
          <w:rFonts w:eastAsia="Times New Roman"/>
        </w:rPr>
      </w:pPr>
    </w:p>
    <w:p w:rsidR="00000000" w:rsidRDefault="0094004B">
      <w:pPr>
        <w:jc w:val="both"/>
        <w:rPr>
          <w:rFonts w:eastAsia="Times New Roman"/>
        </w:rPr>
      </w:pPr>
      <w:r>
        <w:rPr>
          <w:rFonts w:eastAsia="Times New Roman"/>
          <w:b/>
          <w:bCs/>
          <w:i/>
          <w:iCs/>
          <w:color w:val="000000"/>
          <w:sz w:val="20"/>
          <w:szCs w:val="20"/>
        </w:rPr>
        <w:t>The soundness of other financial institutions and other third parties could adversely affect us.</w:t>
      </w:r>
    </w:p>
    <w:p w:rsidR="00000000" w:rsidRDefault="0094004B">
      <w:pPr>
        <w:jc w:val="both"/>
        <w:rPr>
          <w:rFonts w:eastAsia="Times New Roman"/>
        </w:rPr>
      </w:pPr>
    </w:p>
    <w:p w:rsidR="00000000" w:rsidRDefault="0094004B">
      <w:pPr>
        <w:jc w:val="both"/>
        <w:rPr>
          <w:rFonts w:eastAsia="Times New Roman"/>
        </w:rPr>
      </w:pPr>
      <w:r>
        <w:rPr>
          <w:rFonts w:eastAsia="Times New Roman"/>
          <w:color w:val="000000"/>
          <w:sz w:val="20"/>
          <w:szCs w:val="20"/>
        </w:rPr>
        <w:t>Our ability to engage in routine funding and other transactions could be adversely affected by the stability and actions of other financial services institut</w:t>
      </w:r>
      <w:r>
        <w:rPr>
          <w:rFonts w:eastAsia="Times New Roman"/>
          <w:color w:val="000000"/>
          <w:sz w:val="20"/>
          <w:szCs w:val="20"/>
        </w:rPr>
        <w:t xml:space="preserve">ions. Financial services institutions are interrelated as a result of trading, clearing, servicing, counterparty and other relationships. We have exposure to financial institutions, intermediaries and counterparties that are exposed to risks over which we </w:t>
      </w:r>
      <w:r>
        <w:rPr>
          <w:rFonts w:eastAsia="Times New Roman"/>
          <w:color w:val="000000"/>
          <w:sz w:val="20"/>
          <w:szCs w:val="20"/>
        </w:rPr>
        <w:t>have little or no control.</w:t>
      </w:r>
    </w:p>
    <w:p w:rsidR="00000000" w:rsidRDefault="0094004B">
      <w:pPr>
        <w:jc w:val="both"/>
        <w:rPr>
          <w:rFonts w:eastAsia="Times New Roman"/>
        </w:rPr>
      </w:pPr>
    </w:p>
    <w:p w:rsidR="00000000" w:rsidRDefault="0094004B">
      <w:pPr>
        <w:jc w:val="both"/>
        <w:rPr>
          <w:rFonts w:eastAsia="Times New Roman"/>
        </w:rPr>
      </w:pPr>
      <w:r>
        <w:rPr>
          <w:rFonts w:eastAsia="Times New Roman"/>
          <w:color w:val="000000"/>
          <w:sz w:val="20"/>
          <w:szCs w:val="20"/>
        </w:rPr>
        <w:t>In addition, we routinely execute transactions with counterparties in the financial services industry, including brokers and dealers, commercial banks, investment banks, mutual and hedge funds and other institutional clients, r</w:t>
      </w:r>
      <w:r>
        <w:rPr>
          <w:rFonts w:eastAsia="Times New Roman"/>
          <w:color w:val="000000"/>
          <w:sz w:val="20"/>
          <w:szCs w:val="20"/>
        </w:rPr>
        <w:t xml:space="preserve">esulting in a significant credit concentration with respect to the financial services industry overall. As a result, defaults by, or even rumors or questions about, one or more financial services institutions, or the financial services industry generally, </w:t>
      </w:r>
      <w:r>
        <w:rPr>
          <w:rFonts w:eastAsia="Times New Roman"/>
          <w:color w:val="000000"/>
          <w:sz w:val="20"/>
          <w:szCs w:val="20"/>
        </w:rPr>
        <w:t>have led to market-wide liquidity problems and could lead to losses or defaults by us or by other institutions.</w:t>
      </w:r>
    </w:p>
    <w:p w:rsidR="00000000" w:rsidRDefault="0094004B">
      <w:pPr>
        <w:jc w:val="both"/>
        <w:rPr>
          <w:rFonts w:eastAsia="Times New Roman"/>
        </w:rPr>
      </w:pPr>
    </w:p>
    <w:p w:rsidR="00000000" w:rsidRDefault="0094004B">
      <w:pPr>
        <w:jc w:val="both"/>
        <w:rPr>
          <w:rFonts w:eastAsia="Times New Roman"/>
        </w:rPr>
      </w:pPr>
      <w:r>
        <w:rPr>
          <w:rFonts w:eastAsia="Times New Roman"/>
          <w:color w:val="000000"/>
          <w:sz w:val="20"/>
          <w:szCs w:val="20"/>
        </w:rPr>
        <w:t>Likewise, adverse developments affecting the overall strength and soundness of our competitors, the financial services industry as a whole and</w:t>
      </w:r>
      <w:r>
        <w:rPr>
          <w:rFonts w:eastAsia="Times New Roman"/>
          <w:color w:val="000000"/>
          <w:sz w:val="20"/>
          <w:szCs w:val="20"/>
        </w:rPr>
        <w:t xml:space="preserve"> the general economic climate and the U.S. Treasury market could have a negative impact on perceptions about the strength and soundness of our business even if we are not subject to the same adverse developments. In addition, adverse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334990462"/>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334990462"/>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334990462"/>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39</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064" style="width:0;height:1.5pt" o:hralign="center" o:hrstd="t" o:hr="t" fillcolor="#a0a0a0" stroked="f"/>
        </w:pict>
      </w:r>
    </w:p>
    <w:p w:rsidR="00000000" w:rsidRDefault="0094004B">
      <w:pPr>
        <w:jc w:val="both"/>
        <w:divId w:val="322004078"/>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both"/>
        <w:rPr>
          <w:rFonts w:eastAsia="Times New Roman"/>
        </w:rPr>
      </w:pPr>
      <w:r>
        <w:rPr>
          <w:rFonts w:eastAsia="Times New Roman"/>
          <w:color w:val="000000"/>
          <w:sz w:val="20"/>
          <w:szCs w:val="20"/>
        </w:rPr>
        <w:t>developments with respect to third parties with whom we have important relationships also could negatively impact perceptions about us. These perceptions about us could cause our business to be negatively affected and exacerbate the other risks that we fac</w:t>
      </w:r>
      <w:r>
        <w:rPr>
          <w:rFonts w:eastAsia="Times New Roman"/>
          <w:color w:val="000000"/>
          <w:sz w:val="20"/>
          <w:szCs w:val="20"/>
        </w:rPr>
        <w:t>e.</w:t>
      </w:r>
    </w:p>
    <w:p w:rsidR="00000000" w:rsidRDefault="0094004B">
      <w:pPr>
        <w:divId w:val="417288392"/>
        <w:rPr>
          <w:rFonts w:eastAsia="Times New Roman"/>
        </w:rPr>
      </w:pPr>
      <w:r>
        <w:rPr>
          <w:rFonts w:eastAsia="Times New Roman"/>
          <w:b/>
          <w:bCs/>
          <w:color w:val="000000"/>
          <w:sz w:val="20"/>
          <w:szCs w:val="20"/>
        </w:rPr>
        <w:t xml:space="preserve">Item 1B. Unresolved Staff Comments </w:t>
      </w:r>
    </w:p>
    <w:p w:rsidR="00000000" w:rsidRDefault="0094004B">
      <w:pPr>
        <w:jc w:val="both"/>
        <w:divId w:val="371199999"/>
        <w:rPr>
          <w:rFonts w:eastAsia="Times New Roman"/>
        </w:rPr>
      </w:pPr>
      <w:r>
        <w:rPr>
          <w:rFonts w:eastAsia="Times New Roman"/>
          <w:color w:val="000000"/>
          <w:sz w:val="20"/>
          <w:szCs w:val="20"/>
        </w:rPr>
        <w:t>None.</w:t>
      </w:r>
    </w:p>
    <w:p w:rsidR="00000000" w:rsidRDefault="0094004B">
      <w:pPr>
        <w:divId w:val="1119879828"/>
        <w:rPr>
          <w:rFonts w:eastAsia="Times New Roman"/>
        </w:rPr>
      </w:pPr>
      <w:r>
        <w:rPr>
          <w:rFonts w:eastAsia="Times New Roman"/>
          <w:b/>
          <w:bCs/>
          <w:color w:val="000000"/>
          <w:sz w:val="20"/>
          <w:szCs w:val="20"/>
        </w:rPr>
        <w:t xml:space="preserve">Item 2. Properties </w:t>
      </w:r>
    </w:p>
    <w:p w:rsidR="00000000" w:rsidRDefault="0094004B">
      <w:pPr>
        <w:jc w:val="both"/>
        <w:divId w:val="1980306828"/>
        <w:rPr>
          <w:rFonts w:eastAsia="Times New Roman"/>
        </w:rPr>
      </w:pPr>
      <w:r>
        <w:rPr>
          <w:rFonts w:eastAsia="Times New Roman"/>
          <w:color w:val="000000"/>
          <w:sz w:val="20"/>
          <w:szCs w:val="20"/>
        </w:rPr>
        <w:t>Our corporate and banking real estate portfolio consists of approximately 11.9 million square feet of owned or leased office and retail space, which is used to support our business. Of this o</w:t>
      </w:r>
      <w:r>
        <w:rPr>
          <w:rFonts w:eastAsia="Times New Roman"/>
          <w:color w:val="000000"/>
          <w:sz w:val="20"/>
          <w:szCs w:val="20"/>
        </w:rPr>
        <w:t>verall portfolio, approximately 9.9 million square feet of space is dedicated for various corporate office uses and approximately 2.0 million square feet of space is for bank branches and cafés.</w:t>
      </w:r>
    </w:p>
    <w:p w:rsidR="00000000" w:rsidRDefault="0094004B">
      <w:pPr>
        <w:jc w:val="both"/>
        <w:divId w:val="628366727"/>
        <w:rPr>
          <w:rFonts w:eastAsia="Times New Roman"/>
        </w:rPr>
      </w:pPr>
      <w:r>
        <w:rPr>
          <w:rFonts w:eastAsia="Times New Roman"/>
          <w:color w:val="000000"/>
          <w:sz w:val="20"/>
          <w:szCs w:val="20"/>
        </w:rPr>
        <w:t>Our 9.9 million square feet of corporate office space consist</w:t>
      </w:r>
      <w:r>
        <w:rPr>
          <w:rFonts w:eastAsia="Times New Roman"/>
          <w:color w:val="000000"/>
          <w:sz w:val="20"/>
          <w:szCs w:val="20"/>
        </w:rPr>
        <w:t>s of approximately 6.0 million square feet of owned space and 3.9 million square feet of leased space. We maintain corporate office space primarily in Virginia, Texas and New York, including our headquarters located in McLean, Virginia.</w:t>
      </w:r>
    </w:p>
    <w:p w:rsidR="00000000" w:rsidRDefault="0094004B">
      <w:pPr>
        <w:jc w:val="both"/>
        <w:divId w:val="1406337690"/>
        <w:rPr>
          <w:rFonts w:eastAsia="Times New Roman"/>
        </w:rPr>
      </w:pPr>
      <w:r>
        <w:rPr>
          <w:rFonts w:eastAsia="Times New Roman"/>
          <w:color w:val="000000"/>
          <w:sz w:val="20"/>
          <w:szCs w:val="20"/>
        </w:rPr>
        <w:t>Our 2.0 million squ</w:t>
      </w:r>
      <w:r>
        <w:rPr>
          <w:rFonts w:eastAsia="Times New Roman"/>
          <w:color w:val="000000"/>
          <w:sz w:val="20"/>
          <w:szCs w:val="20"/>
        </w:rPr>
        <w:t>are feet for bank branches and cafés is located primarily across New York, Louisiana, Texas, Maryland, and Virginia and consists of approximately 1.3 million square feet of leased space and 0.7 million square feet of owned space. See “Part II—Item 8.</w:t>
      </w:r>
      <w:r>
        <w:rPr>
          <w:rFonts w:eastAsia="Times New Roman"/>
          <w:color w:val="0000FF"/>
          <w:sz w:val="20"/>
          <w:szCs w:val="20"/>
        </w:rPr>
        <w:t xml:space="preserve"> </w:t>
      </w:r>
      <w:r>
        <w:rPr>
          <w:rFonts w:eastAsia="Times New Roman"/>
          <w:color w:val="000000"/>
          <w:sz w:val="20"/>
          <w:szCs w:val="20"/>
        </w:rPr>
        <w:t>Finan</w:t>
      </w:r>
      <w:r>
        <w:rPr>
          <w:rFonts w:eastAsia="Times New Roman"/>
          <w:color w:val="000000"/>
          <w:sz w:val="20"/>
          <w:szCs w:val="20"/>
        </w:rPr>
        <w:t>cial Statements and Supplementary Data—Note 7—Premises, Equipment and Leases” for information about our premises.</w:t>
      </w:r>
    </w:p>
    <w:p w:rsidR="00000000" w:rsidRDefault="0094004B">
      <w:pPr>
        <w:divId w:val="1172184085"/>
        <w:rPr>
          <w:rFonts w:eastAsia="Times New Roman"/>
        </w:rPr>
      </w:pPr>
      <w:r>
        <w:rPr>
          <w:rFonts w:eastAsia="Times New Roman"/>
          <w:b/>
          <w:bCs/>
          <w:color w:val="000000"/>
          <w:sz w:val="20"/>
          <w:szCs w:val="20"/>
        </w:rPr>
        <w:t xml:space="preserve">Item 3. Legal Proceedings </w:t>
      </w:r>
    </w:p>
    <w:p w:rsidR="00000000" w:rsidRDefault="0094004B">
      <w:pPr>
        <w:jc w:val="both"/>
        <w:divId w:val="1686203358"/>
        <w:rPr>
          <w:rFonts w:eastAsia="Times New Roman"/>
        </w:rPr>
      </w:pPr>
      <w:r>
        <w:rPr>
          <w:rFonts w:eastAsia="Times New Roman"/>
          <w:color w:val="000000"/>
          <w:sz w:val="20"/>
          <w:szCs w:val="20"/>
        </w:rPr>
        <w:t>The information required by Item 103 of Regulation S-K is included in “Part II—Item 8. Financial Statements and Sup</w:t>
      </w:r>
      <w:r>
        <w:rPr>
          <w:rFonts w:eastAsia="Times New Roman"/>
          <w:color w:val="000000"/>
          <w:sz w:val="20"/>
          <w:szCs w:val="20"/>
        </w:rPr>
        <w:t>plementary Data —Note 18—Commitments, Contingencies, Guarantees and Others.”</w:t>
      </w:r>
    </w:p>
    <w:p w:rsidR="00000000" w:rsidRDefault="0094004B">
      <w:pPr>
        <w:divId w:val="1018774920"/>
        <w:rPr>
          <w:rFonts w:eastAsia="Times New Roman"/>
        </w:rPr>
      </w:pPr>
      <w:r>
        <w:rPr>
          <w:rFonts w:eastAsia="Times New Roman"/>
          <w:b/>
          <w:bCs/>
          <w:color w:val="000000"/>
          <w:sz w:val="20"/>
          <w:szCs w:val="20"/>
        </w:rPr>
        <w:t xml:space="preserve">Item 4. Mine Safety Disclosures </w:t>
      </w:r>
    </w:p>
    <w:p w:rsidR="00000000" w:rsidRDefault="0094004B">
      <w:pPr>
        <w:divId w:val="9913673"/>
        <w:rPr>
          <w:rFonts w:eastAsia="Times New Roman"/>
        </w:rPr>
      </w:pPr>
      <w:r>
        <w:rPr>
          <w:rFonts w:eastAsia="Times New Roman"/>
          <w:color w:val="000000"/>
          <w:sz w:val="20"/>
          <w:szCs w:val="20"/>
        </w:rPr>
        <w:t>Not applicable.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570772033"/>
          <w:jc w:val="center"/>
        </w:trPr>
        <w:tc>
          <w:tcPr>
            <w:tcW w:w="50" w:type="pct"/>
            <w:vAlign w:val="center"/>
            <w:hideMark/>
          </w:tcPr>
          <w:p w:rsidR="00000000" w:rsidRDefault="0094004B">
            <w:pPr>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570772033"/>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570772033"/>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40</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065" style="width:0;height:1.5pt" o:hralign="center" o:hrstd="t" o:hr="t" fillcolor="#a0a0a0" stroked="f"/>
        </w:pict>
      </w:r>
    </w:p>
    <w:p w:rsidR="00000000" w:rsidRDefault="0094004B">
      <w:pPr>
        <w:ind w:hanging="360"/>
        <w:jc w:val="both"/>
        <w:divId w:val="40834930"/>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1158770449"/>
        <w:rPr>
          <w:rFonts w:eastAsia="Times New Roman"/>
        </w:rPr>
      </w:pPr>
      <w:r>
        <w:rPr>
          <w:rFonts w:eastAsia="Times New Roman"/>
          <w:b/>
          <w:bCs/>
          <w:color w:val="000000"/>
          <w:sz w:val="20"/>
          <w:szCs w:val="20"/>
        </w:rPr>
        <w:t>PART II</w:t>
      </w:r>
    </w:p>
    <w:p w:rsidR="00000000" w:rsidRDefault="0094004B">
      <w:pPr>
        <w:jc w:val="both"/>
        <w:divId w:val="427432026"/>
        <w:rPr>
          <w:rFonts w:eastAsia="Times New Roman"/>
        </w:rPr>
      </w:pPr>
      <w:r>
        <w:rPr>
          <w:rFonts w:eastAsia="Times New Roman"/>
          <w:b/>
          <w:bCs/>
          <w:color w:val="000000"/>
          <w:sz w:val="20"/>
          <w:szCs w:val="20"/>
        </w:rPr>
        <w:t xml:space="preserve">Item 5. Market for Registrant’s Common Equity, Related Stockholder Matters and Issuer Purchases of Equity Securities </w:t>
      </w:r>
    </w:p>
    <w:p w:rsidR="00000000" w:rsidRDefault="0094004B">
      <w:pPr>
        <w:divId w:val="830678628"/>
        <w:rPr>
          <w:rFonts w:eastAsia="Times New Roman"/>
        </w:rPr>
      </w:pPr>
      <w:r>
        <w:rPr>
          <w:rFonts w:eastAsia="Times New Roman"/>
          <w:b/>
          <w:bCs/>
          <w:color w:val="000000"/>
          <w:sz w:val="20"/>
          <w:szCs w:val="20"/>
        </w:rPr>
        <w:t>Market Informatio</w:t>
      </w:r>
      <w:r>
        <w:rPr>
          <w:rFonts w:eastAsia="Times New Roman"/>
          <w:b/>
          <w:bCs/>
          <w:color w:val="000000"/>
          <w:sz w:val="20"/>
          <w:szCs w:val="20"/>
        </w:rPr>
        <w:t>n</w:t>
      </w:r>
    </w:p>
    <w:p w:rsidR="00000000" w:rsidRDefault="0094004B">
      <w:pPr>
        <w:jc w:val="both"/>
        <w:divId w:val="1474369971"/>
        <w:rPr>
          <w:rFonts w:eastAsia="Times New Roman"/>
        </w:rPr>
      </w:pPr>
      <w:r>
        <w:rPr>
          <w:rFonts w:eastAsia="Times New Roman"/>
          <w:color w:val="000000"/>
          <w:sz w:val="20"/>
          <w:szCs w:val="20"/>
        </w:rPr>
        <w:t xml:space="preserve">Our common stock is listed on the NYSE and is traded under the symbol “COF.” As of January 31, 2023, there were 8,963 holders of record of our common stock. </w:t>
      </w:r>
    </w:p>
    <w:p w:rsidR="00000000" w:rsidRDefault="0094004B">
      <w:pPr>
        <w:divId w:val="1910845882"/>
        <w:rPr>
          <w:rFonts w:eastAsia="Times New Roman"/>
        </w:rPr>
      </w:pPr>
      <w:r>
        <w:rPr>
          <w:rFonts w:eastAsia="Times New Roman"/>
          <w:b/>
          <w:bCs/>
          <w:color w:val="000000"/>
          <w:sz w:val="20"/>
          <w:szCs w:val="20"/>
        </w:rPr>
        <w:t>Securities Authorized for Issuance Under Equity Compensation Plans</w:t>
      </w:r>
    </w:p>
    <w:p w:rsidR="00000000" w:rsidRDefault="0094004B">
      <w:pPr>
        <w:jc w:val="both"/>
        <w:divId w:val="1426801486"/>
        <w:rPr>
          <w:rFonts w:eastAsia="Times New Roman"/>
        </w:rPr>
      </w:pPr>
      <w:r>
        <w:rPr>
          <w:rFonts w:eastAsia="Times New Roman"/>
          <w:color w:val="000000"/>
          <w:sz w:val="20"/>
          <w:szCs w:val="20"/>
        </w:rPr>
        <w:t>Information relating to compe</w:t>
      </w:r>
      <w:r>
        <w:rPr>
          <w:rFonts w:eastAsia="Times New Roman"/>
          <w:color w:val="000000"/>
          <w:sz w:val="20"/>
          <w:szCs w:val="20"/>
        </w:rPr>
        <w:t>nsation plans under which our equity securities are authorized for issuance is presented in this Report under “Part III—Item 12. Security Ownership of Certain Beneficial Owners and Management and Related Stockholder Matters.”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61626507"/>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61626507"/>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61626507"/>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41</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066" style="width:0;height:1.5pt" o:hralign="center" o:hrstd="t" o:hr="t" fillcolor="#a0a0a0" stroked="f"/>
        </w:pict>
      </w:r>
    </w:p>
    <w:p w:rsidR="00000000" w:rsidRDefault="0094004B">
      <w:pPr>
        <w:ind w:hanging="360"/>
        <w:jc w:val="both"/>
        <w:divId w:val="1140804714"/>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divId w:val="164635622"/>
        <w:rPr>
          <w:rFonts w:eastAsia="Times New Roman"/>
        </w:rPr>
      </w:pPr>
      <w:r>
        <w:rPr>
          <w:rFonts w:eastAsia="Times New Roman"/>
          <w:b/>
          <w:bCs/>
          <w:color w:val="000000"/>
          <w:sz w:val="20"/>
          <w:szCs w:val="20"/>
        </w:rPr>
        <w:t>Common Stock Performance Graph</w:t>
      </w:r>
    </w:p>
    <w:p w:rsidR="00000000" w:rsidRDefault="0094004B">
      <w:pPr>
        <w:jc w:val="both"/>
        <w:divId w:val="1382241806"/>
        <w:rPr>
          <w:rFonts w:eastAsia="Times New Roman"/>
        </w:rPr>
      </w:pPr>
      <w:r>
        <w:rPr>
          <w:rFonts w:eastAsia="Times New Roman"/>
          <w:color w:val="000000"/>
          <w:sz w:val="20"/>
          <w:szCs w:val="20"/>
        </w:rPr>
        <w:t>The following graph shows the cumulative total stockholder return on our common stock compared to an overall sto</w:t>
      </w:r>
      <w:r>
        <w:rPr>
          <w:rFonts w:eastAsia="Times New Roman"/>
          <w:color w:val="000000"/>
          <w:sz w:val="20"/>
          <w:szCs w:val="20"/>
        </w:rPr>
        <w:t>ck market index, the S&amp;P Composite 500 Stock Index (“S&amp;P 500 Index”), and a published industry index, the S&amp;P Financial Composite Index (“S&amp;P Financial Index”), over the five-year period commencing December 31, 2017 and ended December 31, 2022. The stock p</w:t>
      </w:r>
      <w:r>
        <w:rPr>
          <w:rFonts w:eastAsia="Times New Roman"/>
          <w:color w:val="000000"/>
          <w:sz w:val="20"/>
          <w:szCs w:val="20"/>
        </w:rPr>
        <w:t>erformance graph assumes that $100 was invested in our common stock and each index and that all dividends were reinvested. The stock price performance on the graph below is not necessarily indicative of future performance.</w:t>
      </w:r>
    </w:p>
    <w:p w:rsidR="00000000" w:rsidRDefault="0094004B">
      <w:pPr>
        <w:spacing w:before="180" w:after="60"/>
        <w:jc w:val="both"/>
        <w:divId w:val="1904482388"/>
        <w:rPr>
          <w:rFonts w:eastAsia="Times New Roman"/>
        </w:rPr>
      </w:pPr>
      <w:r>
        <w:rPr>
          <w:rFonts w:eastAsia="Times New Roman"/>
          <w:noProof/>
        </w:rPr>
        <w:drawing>
          <wp:inline distT="0" distB="0" distL="0" distR="0">
            <wp:extent cx="304800" cy="30480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4970" w:type="pct"/>
        <w:jc w:val="center"/>
        <w:tblCellMar>
          <w:top w:w="15" w:type="dxa"/>
          <w:left w:w="15" w:type="dxa"/>
          <w:bottom w:w="15" w:type="dxa"/>
          <w:right w:w="15" w:type="dxa"/>
        </w:tblCellMar>
        <w:tblLook w:val="04A0" w:firstRow="1" w:lastRow="0" w:firstColumn="1" w:lastColumn="0" w:noHBand="0" w:noVBand="1"/>
      </w:tblPr>
      <w:tblGrid>
        <w:gridCol w:w="38"/>
        <w:gridCol w:w="3507"/>
        <w:gridCol w:w="37"/>
        <w:gridCol w:w="36"/>
        <w:gridCol w:w="36"/>
        <w:gridCol w:w="36"/>
        <w:gridCol w:w="110"/>
        <w:gridCol w:w="540"/>
        <w:gridCol w:w="36"/>
        <w:gridCol w:w="36"/>
        <w:gridCol w:w="36"/>
        <w:gridCol w:w="36"/>
        <w:gridCol w:w="110"/>
        <w:gridCol w:w="450"/>
        <w:gridCol w:w="36"/>
        <w:gridCol w:w="36"/>
        <w:gridCol w:w="36"/>
        <w:gridCol w:w="36"/>
        <w:gridCol w:w="110"/>
        <w:gridCol w:w="540"/>
        <w:gridCol w:w="36"/>
        <w:gridCol w:w="36"/>
        <w:gridCol w:w="36"/>
        <w:gridCol w:w="36"/>
        <w:gridCol w:w="110"/>
        <w:gridCol w:w="540"/>
        <w:gridCol w:w="36"/>
        <w:gridCol w:w="36"/>
        <w:gridCol w:w="36"/>
        <w:gridCol w:w="36"/>
        <w:gridCol w:w="110"/>
        <w:gridCol w:w="540"/>
        <w:gridCol w:w="36"/>
        <w:gridCol w:w="36"/>
        <w:gridCol w:w="36"/>
        <w:gridCol w:w="36"/>
        <w:gridCol w:w="110"/>
        <w:gridCol w:w="540"/>
        <w:gridCol w:w="36"/>
      </w:tblGrid>
      <w:tr w:rsidR="00000000">
        <w:trPr>
          <w:divId w:val="2058316882"/>
          <w:jc w:val="center"/>
        </w:trPr>
        <w:tc>
          <w:tcPr>
            <w:tcW w:w="50" w:type="pct"/>
            <w:vAlign w:val="center"/>
            <w:hideMark/>
          </w:tcPr>
          <w:p w:rsidR="00000000" w:rsidRDefault="0094004B">
            <w:pPr>
              <w:jc w:val="both"/>
              <w:rPr>
                <w:rFonts w:eastAsia="Times New Roman"/>
              </w:rPr>
            </w:pPr>
          </w:p>
        </w:tc>
        <w:tc>
          <w:tcPr>
            <w:tcW w:w="238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3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3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3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3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3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3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2058316882"/>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December 31,</w:t>
            </w:r>
          </w:p>
        </w:tc>
      </w:tr>
      <w:tr w:rsidR="00000000">
        <w:trPr>
          <w:divId w:val="2058316882"/>
          <w:jc w:val="center"/>
        </w:trPr>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2017</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2018</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2022</w:t>
            </w:r>
          </w:p>
        </w:tc>
      </w:tr>
      <w:tr w:rsidR="00000000">
        <w:trPr>
          <w:divId w:val="2058316882"/>
          <w:jc w:val="center"/>
        </w:trPr>
        <w:tc>
          <w:tcPr>
            <w:tcW w:w="0" w:type="auto"/>
            <w:gridSpan w:val="3"/>
            <w:shd w:val="clear" w:color="auto" w:fill="CCEEFF"/>
            <w:tcMar>
              <w:top w:w="30" w:type="dxa"/>
              <w:left w:w="20" w:type="dxa"/>
              <w:bottom w:w="30" w:type="dxa"/>
              <w:right w:w="20" w:type="dxa"/>
            </w:tcMar>
            <w:hideMark/>
          </w:tcPr>
          <w:p w:rsidR="00000000" w:rsidRDefault="0094004B">
            <w:pPr>
              <w:spacing w:after="100"/>
              <w:rPr>
                <w:rFonts w:eastAsia="Times New Roman"/>
              </w:rPr>
            </w:pPr>
            <w:r>
              <w:rPr>
                <w:rFonts w:eastAsia="Times New Roman"/>
                <w:color w:val="000000"/>
                <w:sz w:val="18"/>
                <w:szCs w:val="18"/>
              </w:rPr>
              <w:t>Capital One</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100.00 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77.22 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107.05 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104.19 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155.53 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101.65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2058316882"/>
          <w:jc w:val="center"/>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S&amp;P 500 Index</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100.00 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95.62 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125.72 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148.85 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191.58 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156.88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2058316882"/>
          <w:jc w:val="center"/>
        </w:trPr>
        <w:tc>
          <w:tcPr>
            <w:tcW w:w="0" w:type="auto"/>
            <w:gridSpan w:val="3"/>
            <w:shd w:val="clear" w:color="auto" w:fill="CCEEFF"/>
            <w:tcMar>
              <w:top w:w="30" w:type="dxa"/>
              <w:left w:w="20" w:type="dxa"/>
              <w:bottom w:w="30" w:type="dxa"/>
              <w:right w:w="20" w:type="dxa"/>
            </w:tcMar>
            <w:hideMark/>
          </w:tcPr>
          <w:p w:rsidR="00000000" w:rsidRDefault="0094004B">
            <w:pPr>
              <w:spacing w:after="100"/>
              <w:rPr>
                <w:rFonts w:eastAsia="Times New Roman"/>
              </w:rPr>
            </w:pPr>
            <w:r>
              <w:rPr>
                <w:rFonts w:eastAsia="Times New Roman"/>
                <w:color w:val="000000"/>
                <w:sz w:val="18"/>
                <w:szCs w:val="18"/>
              </w:rPr>
              <w:t>S&amp;P Financial Index</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100.00 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86.97 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114.91 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112.96 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152.54 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136.48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2058316882"/>
          <w:jc w:val="center"/>
        </w:trPr>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2058316882"/>
          <w:jc w:val="center"/>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2058316882"/>
          <w:jc w:val="center"/>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2058316882"/>
          <w:jc w:val="center"/>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2058316882"/>
          <w:jc w:val="center"/>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94004B">
            <w:pPr>
              <w:jc w:val="center"/>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42</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068" style="width:0;height:1.5pt" o:hralign="center" o:hrstd="t" o:hr="t" fillcolor="#a0a0a0" stroked="f"/>
        </w:pict>
      </w:r>
    </w:p>
    <w:p w:rsidR="00000000" w:rsidRDefault="0094004B">
      <w:pPr>
        <w:ind w:hanging="360"/>
        <w:jc w:val="both"/>
        <w:divId w:val="1241410550"/>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divId w:val="2025790151"/>
        <w:rPr>
          <w:rFonts w:eastAsia="Times New Roman"/>
        </w:rPr>
      </w:pPr>
      <w:r>
        <w:rPr>
          <w:rFonts w:eastAsia="Times New Roman"/>
          <w:b/>
          <w:bCs/>
          <w:color w:val="000000"/>
          <w:sz w:val="20"/>
          <w:szCs w:val="20"/>
        </w:rPr>
        <w:t>Recent Sales of Unregistered Securities</w:t>
      </w:r>
    </w:p>
    <w:p w:rsidR="00000000" w:rsidRDefault="0094004B">
      <w:pPr>
        <w:jc w:val="both"/>
        <w:divId w:val="1279802179"/>
        <w:rPr>
          <w:rFonts w:eastAsia="Times New Roman"/>
        </w:rPr>
      </w:pPr>
      <w:r>
        <w:rPr>
          <w:rFonts w:eastAsia="Times New Roman"/>
          <w:color w:val="000000"/>
          <w:sz w:val="20"/>
          <w:szCs w:val="20"/>
        </w:rPr>
        <w:t>We did not have any sales of unregistered equity securities in 2022.</w:t>
      </w:r>
    </w:p>
    <w:p w:rsidR="00000000" w:rsidRDefault="0094004B">
      <w:pPr>
        <w:divId w:val="411660355"/>
        <w:rPr>
          <w:rFonts w:eastAsia="Times New Roman"/>
        </w:rPr>
      </w:pPr>
      <w:r>
        <w:rPr>
          <w:rFonts w:eastAsia="Times New Roman"/>
          <w:b/>
          <w:bCs/>
          <w:color w:val="000000"/>
          <w:sz w:val="20"/>
          <w:szCs w:val="20"/>
        </w:rPr>
        <w:t>Issuer Purchases of Equity Securit</w:t>
      </w:r>
      <w:r>
        <w:rPr>
          <w:rFonts w:eastAsia="Times New Roman"/>
          <w:b/>
          <w:bCs/>
          <w:color w:val="000000"/>
          <w:sz w:val="20"/>
          <w:szCs w:val="20"/>
        </w:rPr>
        <w:t>ies</w:t>
      </w:r>
    </w:p>
    <w:p w:rsidR="00000000" w:rsidRDefault="0094004B">
      <w:pPr>
        <w:jc w:val="both"/>
        <w:divId w:val="1668828067"/>
        <w:rPr>
          <w:rFonts w:eastAsia="Times New Roman"/>
        </w:rPr>
      </w:pPr>
      <w:r>
        <w:rPr>
          <w:rFonts w:eastAsia="Times New Roman"/>
          <w:color w:val="000000"/>
          <w:sz w:val="20"/>
          <w:szCs w:val="20"/>
        </w:rPr>
        <w:t>The following table presents information related to repurchases of shares of our common stock for each calendar month in the fourth quarter of 2022. Commission costs are excluded from the amounts presented below.</w:t>
      </w:r>
    </w:p>
    <w:tbl>
      <w:tblPr>
        <w:tblW w:w="5000" w:type="pct"/>
        <w:tblCellMar>
          <w:top w:w="15" w:type="dxa"/>
          <w:left w:w="15" w:type="dxa"/>
          <w:bottom w:w="15" w:type="dxa"/>
          <w:right w:w="15" w:type="dxa"/>
        </w:tblCellMar>
        <w:tblLook w:val="04A0" w:firstRow="1" w:lastRow="0" w:firstColumn="1" w:lastColumn="0" w:noHBand="0" w:noVBand="1"/>
      </w:tblPr>
      <w:tblGrid>
        <w:gridCol w:w="38"/>
        <w:gridCol w:w="3271"/>
        <w:gridCol w:w="36"/>
        <w:gridCol w:w="36"/>
        <w:gridCol w:w="36"/>
        <w:gridCol w:w="36"/>
        <w:gridCol w:w="81"/>
        <w:gridCol w:w="788"/>
        <w:gridCol w:w="36"/>
        <w:gridCol w:w="36"/>
        <w:gridCol w:w="36"/>
        <w:gridCol w:w="36"/>
        <w:gridCol w:w="111"/>
        <w:gridCol w:w="641"/>
        <w:gridCol w:w="36"/>
        <w:gridCol w:w="36"/>
        <w:gridCol w:w="36"/>
        <w:gridCol w:w="36"/>
        <w:gridCol w:w="98"/>
        <w:gridCol w:w="1338"/>
        <w:gridCol w:w="36"/>
        <w:gridCol w:w="36"/>
        <w:gridCol w:w="36"/>
        <w:gridCol w:w="36"/>
        <w:gridCol w:w="111"/>
        <w:gridCol w:w="1217"/>
        <w:gridCol w:w="36"/>
      </w:tblGrid>
      <w:tr w:rsidR="00000000">
        <w:trPr>
          <w:divId w:val="805664048"/>
        </w:trPr>
        <w:tc>
          <w:tcPr>
            <w:tcW w:w="50" w:type="pct"/>
            <w:vAlign w:val="center"/>
            <w:hideMark/>
          </w:tcPr>
          <w:p w:rsidR="00000000" w:rsidRDefault="0094004B">
            <w:pPr>
              <w:jc w:val="both"/>
              <w:rPr>
                <w:rFonts w:eastAsia="Times New Roman"/>
              </w:rPr>
            </w:pPr>
          </w:p>
        </w:tc>
        <w:tc>
          <w:tcPr>
            <w:tcW w:w="226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1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9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9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68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64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805664048"/>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 xml:space="preserve">Total Number </w:t>
            </w:r>
          </w:p>
          <w:p w:rsidR="00000000" w:rsidRDefault="0094004B">
            <w:pPr>
              <w:spacing w:after="100"/>
              <w:jc w:val="center"/>
              <w:rPr>
                <w:rFonts w:eastAsia="Times New Roman"/>
              </w:rPr>
            </w:pPr>
            <w:r>
              <w:rPr>
                <w:rFonts w:eastAsia="Times New Roman"/>
                <w:b/>
                <w:bCs/>
                <w:color w:val="000000"/>
                <w:sz w:val="16"/>
                <w:szCs w:val="16"/>
              </w:rPr>
              <w:t>of Shares</w:t>
            </w:r>
          </w:p>
          <w:p w:rsidR="00000000" w:rsidRDefault="0094004B">
            <w:pPr>
              <w:spacing w:after="100"/>
              <w:jc w:val="center"/>
              <w:rPr>
                <w:rFonts w:eastAsia="Times New Roman"/>
              </w:rPr>
            </w:pPr>
            <w:r>
              <w:rPr>
                <w:rFonts w:eastAsia="Times New Roman"/>
                <w:b/>
                <w:bCs/>
                <w:color w:val="000000"/>
                <w:sz w:val="16"/>
                <w:szCs w:val="16"/>
              </w:rPr>
              <w:t>Purchase</w:t>
            </w:r>
            <w:r>
              <w:rPr>
                <w:rFonts w:eastAsia="Times New Roman"/>
                <w:b/>
                <w:bCs/>
                <w:color w:val="000000"/>
                <w:sz w:val="16"/>
                <w:szCs w:val="16"/>
              </w:rPr>
              <w:t>d</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Average</w:t>
            </w:r>
            <w:r>
              <w:rPr>
                <w:rFonts w:eastAsia="Times New Roman"/>
                <w:b/>
                <w:bCs/>
                <w:color w:val="000000"/>
                <w:sz w:val="16"/>
                <w:szCs w:val="16"/>
              </w:rPr>
              <w:br/>
              <w:t>Price</w:t>
            </w:r>
            <w:r>
              <w:rPr>
                <w:rFonts w:eastAsia="Times New Roman"/>
                <w:b/>
                <w:bCs/>
                <w:color w:val="000000"/>
                <w:sz w:val="16"/>
                <w:szCs w:val="16"/>
              </w:rPr>
              <w:br/>
              <w:t>per Share</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Total Number of</w:t>
            </w:r>
          </w:p>
          <w:p w:rsidR="00000000" w:rsidRDefault="0094004B">
            <w:pPr>
              <w:spacing w:after="100"/>
              <w:jc w:val="center"/>
              <w:rPr>
                <w:rFonts w:eastAsia="Times New Roman"/>
              </w:rPr>
            </w:pPr>
            <w:r>
              <w:rPr>
                <w:rFonts w:eastAsia="Times New Roman"/>
                <w:b/>
                <w:bCs/>
                <w:color w:val="000000"/>
                <w:sz w:val="16"/>
                <w:szCs w:val="16"/>
              </w:rPr>
              <w:t>Shares Purchased as</w:t>
            </w:r>
          </w:p>
          <w:p w:rsidR="00000000" w:rsidRDefault="0094004B">
            <w:pPr>
              <w:spacing w:after="100"/>
              <w:jc w:val="center"/>
              <w:rPr>
                <w:rFonts w:eastAsia="Times New Roman"/>
              </w:rPr>
            </w:pPr>
            <w:r>
              <w:rPr>
                <w:rFonts w:eastAsia="Times New Roman"/>
                <w:b/>
                <w:bCs/>
                <w:color w:val="000000"/>
                <w:sz w:val="16"/>
                <w:szCs w:val="16"/>
              </w:rPr>
              <w:t>Part of Publicly</w:t>
            </w:r>
          </w:p>
          <w:p w:rsidR="00000000" w:rsidRDefault="0094004B">
            <w:pPr>
              <w:spacing w:after="100"/>
              <w:jc w:val="center"/>
              <w:rPr>
                <w:rFonts w:eastAsia="Times New Roman"/>
              </w:rPr>
            </w:pPr>
            <w:r>
              <w:rPr>
                <w:rFonts w:eastAsia="Times New Roman"/>
                <w:b/>
                <w:bCs/>
                <w:color w:val="000000"/>
                <w:sz w:val="16"/>
                <w:szCs w:val="16"/>
              </w:rPr>
              <w:t>Announced Plan</w:t>
            </w:r>
            <w:r>
              <w:rPr>
                <w:rFonts w:eastAsia="Times New Roman"/>
                <w:b/>
                <w:bCs/>
                <w:color w:val="000000"/>
                <w:sz w:val="16"/>
                <w:szCs w:val="16"/>
              </w:rPr>
              <w:t>s</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Maximum</w:t>
            </w:r>
          </w:p>
          <w:p w:rsidR="00000000" w:rsidRDefault="0094004B">
            <w:pPr>
              <w:spacing w:after="100"/>
              <w:jc w:val="center"/>
              <w:rPr>
                <w:rFonts w:eastAsia="Times New Roman"/>
              </w:rPr>
            </w:pPr>
            <w:r>
              <w:rPr>
                <w:rFonts w:eastAsia="Times New Roman"/>
                <w:b/>
                <w:bCs/>
                <w:color w:val="000000"/>
                <w:sz w:val="16"/>
                <w:szCs w:val="16"/>
              </w:rPr>
              <w:t>Amount That May</w:t>
            </w:r>
          </w:p>
          <w:p w:rsidR="00000000" w:rsidRDefault="0094004B">
            <w:pPr>
              <w:spacing w:after="100"/>
              <w:jc w:val="center"/>
              <w:rPr>
                <w:rFonts w:eastAsia="Times New Roman"/>
              </w:rPr>
            </w:pPr>
            <w:r>
              <w:rPr>
                <w:rFonts w:eastAsia="Times New Roman"/>
                <w:b/>
                <w:bCs/>
                <w:color w:val="000000"/>
                <w:sz w:val="16"/>
                <w:szCs w:val="16"/>
              </w:rPr>
              <w:t>Yet be Purchased</w:t>
            </w:r>
          </w:p>
          <w:p w:rsidR="00000000" w:rsidRDefault="0094004B">
            <w:pPr>
              <w:spacing w:after="100"/>
              <w:jc w:val="center"/>
              <w:rPr>
                <w:rFonts w:eastAsia="Times New Roman"/>
              </w:rPr>
            </w:pPr>
            <w:r>
              <w:rPr>
                <w:rFonts w:eastAsia="Times New Roman"/>
                <w:b/>
                <w:bCs/>
                <w:color w:val="000000"/>
                <w:sz w:val="16"/>
                <w:szCs w:val="16"/>
              </w:rPr>
              <w:t>Under the Plan</w:t>
            </w:r>
          </w:p>
          <w:p w:rsidR="00000000" w:rsidRDefault="0094004B">
            <w:pPr>
              <w:spacing w:after="100"/>
              <w:jc w:val="center"/>
              <w:rPr>
                <w:rFonts w:eastAsia="Times New Roman"/>
              </w:rPr>
            </w:pPr>
            <w:r>
              <w:rPr>
                <w:rFonts w:eastAsia="Times New Roman"/>
                <w:b/>
                <w:bCs/>
                <w:color w:val="000000"/>
                <w:sz w:val="16"/>
                <w:szCs w:val="16"/>
              </w:rPr>
              <w:t>or Progra</w:t>
            </w:r>
            <w:r>
              <w:rPr>
                <w:rFonts w:eastAsia="Times New Roman"/>
                <w:b/>
                <w:bCs/>
                <w:color w:val="000000"/>
                <w:sz w:val="16"/>
                <w:szCs w:val="16"/>
              </w:rPr>
              <w:t>m</w:t>
            </w:r>
            <w:r>
              <w:rPr>
                <w:rFonts w:eastAsia="Times New Roman"/>
                <w:b/>
                <w:bCs/>
                <w:color w:val="000000"/>
                <w:sz w:val="10"/>
                <w:szCs w:val="10"/>
              </w:rPr>
              <w:t>(1</w:t>
            </w:r>
            <w:r>
              <w:rPr>
                <w:rFonts w:eastAsia="Times New Roman"/>
                <w:b/>
                <w:bCs/>
                <w:color w:val="000000"/>
                <w:sz w:val="10"/>
                <w:szCs w:val="10"/>
              </w:rPr>
              <w:t>)</w:t>
            </w:r>
          </w:p>
          <w:p w:rsidR="00000000" w:rsidRDefault="0094004B">
            <w:pPr>
              <w:spacing w:after="100"/>
              <w:jc w:val="center"/>
              <w:rPr>
                <w:rFonts w:eastAsia="Times New Roman"/>
              </w:rPr>
            </w:pPr>
            <w:r>
              <w:rPr>
                <w:rFonts w:eastAsia="Times New Roman"/>
                <w:i/>
                <w:iCs/>
                <w:color w:val="000000"/>
                <w:sz w:val="16"/>
                <w:szCs w:val="16"/>
              </w:rPr>
              <w:t>(in millions)</w:t>
            </w:r>
          </w:p>
        </w:tc>
      </w:tr>
      <w:tr w:rsidR="00000000">
        <w:trPr>
          <w:divId w:val="805664048"/>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94004B">
            <w:pPr>
              <w:spacing w:after="100"/>
              <w:rPr>
                <w:rFonts w:eastAsia="Times New Roman"/>
              </w:rPr>
            </w:pPr>
            <w:r>
              <w:rPr>
                <w:rFonts w:eastAsia="Times New Roman"/>
                <w:color w:val="000000"/>
                <w:sz w:val="18"/>
                <w:szCs w:val="18"/>
              </w:rPr>
              <w:t>October</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509,142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98.20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509,142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5,286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805664048"/>
        </w:trPr>
        <w:tc>
          <w:tcPr>
            <w:tcW w:w="0" w:type="auto"/>
            <w:gridSpan w:val="3"/>
            <w:shd w:val="clear" w:color="auto" w:fill="FFFFFF"/>
            <w:tcMar>
              <w:top w:w="30" w:type="dxa"/>
              <w:left w:w="20" w:type="dxa"/>
              <w:bottom w:w="30" w:type="dxa"/>
              <w:right w:w="20" w:type="dxa"/>
            </w:tcMar>
            <w:hideMark/>
          </w:tcPr>
          <w:p w:rsidR="00000000" w:rsidRDefault="0094004B">
            <w:pPr>
              <w:spacing w:after="100"/>
              <w:rPr>
                <w:rFonts w:eastAsia="Times New Roman"/>
              </w:rPr>
            </w:pPr>
            <w:r>
              <w:rPr>
                <w:rFonts w:eastAsia="Times New Roman"/>
                <w:color w:val="000000"/>
                <w:sz w:val="18"/>
                <w:szCs w:val="18"/>
              </w:rPr>
              <w:t>November</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502,840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105.07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442,263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5,240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805664048"/>
        </w:trPr>
        <w:tc>
          <w:tcPr>
            <w:tcW w:w="0" w:type="auto"/>
            <w:gridSpan w:val="3"/>
            <w:shd w:val="clear" w:color="auto" w:fill="CCEEFF"/>
            <w:tcMar>
              <w:top w:w="30" w:type="dxa"/>
              <w:left w:w="20" w:type="dxa"/>
              <w:bottom w:w="30" w:type="dxa"/>
              <w:right w:w="20" w:type="dxa"/>
            </w:tcMar>
            <w:hideMark/>
          </w:tcPr>
          <w:p w:rsidR="00000000" w:rsidRDefault="0094004B">
            <w:pPr>
              <w:spacing w:after="100"/>
              <w:rPr>
                <w:rFonts w:eastAsia="Times New Roman"/>
              </w:rPr>
            </w:pPr>
            <w:r>
              <w:rPr>
                <w:rFonts w:eastAsia="Times New Roman"/>
                <w:color w:val="000000"/>
                <w:sz w:val="18"/>
                <w:szCs w:val="18"/>
              </w:rPr>
              <w:t>December</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567,076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94.50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567,076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5,186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805664048"/>
        </w:trPr>
        <w:tc>
          <w:tcPr>
            <w:tcW w:w="0" w:type="auto"/>
            <w:gridSpan w:val="3"/>
            <w:shd w:val="clear" w:color="auto" w:fill="FFFFFF"/>
            <w:tcMar>
              <w:top w:w="30" w:type="dxa"/>
              <w:left w:w="20" w:type="dxa"/>
              <w:bottom w:w="30" w:type="dxa"/>
              <w:right w:w="20" w:type="dxa"/>
            </w:tcMar>
            <w:hideMark/>
          </w:tcPr>
          <w:p w:rsidR="00000000" w:rsidRDefault="0094004B">
            <w:pPr>
              <w:spacing w:after="100"/>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1,579,058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99.06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1,518,481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bl>
    <w:p w:rsidR="00000000" w:rsidRDefault="0094004B">
      <w:pPr>
        <w:divId w:val="805664048"/>
        <w:rPr>
          <w:rFonts w:eastAsia="Times New Roman"/>
        </w:rPr>
      </w:pPr>
      <w:r>
        <w:rPr>
          <w:rFonts w:eastAsia="Times New Roman"/>
          <w:color w:val="000000"/>
          <w:sz w:val="20"/>
          <w:szCs w:val="20"/>
        </w:rPr>
        <w:t>__________</w:t>
      </w:r>
    </w:p>
    <w:p w:rsidR="00000000" w:rsidRDefault="0094004B">
      <w:pPr>
        <w:ind w:hanging="360"/>
        <w:jc w:val="both"/>
        <w:divId w:val="1863544571"/>
        <w:rPr>
          <w:rFonts w:eastAsia="Times New Roman"/>
        </w:rPr>
      </w:pPr>
      <w:r>
        <w:rPr>
          <w:rFonts w:eastAsia="Times New Roman"/>
          <w:color w:val="000000"/>
          <w:sz w:val="10"/>
          <w:szCs w:val="10"/>
        </w:rPr>
        <w:t>(1)</w:t>
      </w:r>
      <w:r>
        <w:rPr>
          <w:rFonts w:eastAsia="Times New Roman"/>
          <w:color w:val="000000"/>
          <w:sz w:val="10"/>
          <w:szCs w:val="10"/>
        </w:rPr>
        <w:t xml:space="preserve"> </w:t>
      </w:r>
      <w:r>
        <w:rPr>
          <w:rFonts w:eastAsia="Times New Roman"/>
          <w:color w:val="000000"/>
          <w:sz w:val="16"/>
          <w:szCs w:val="16"/>
        </w:rPr>
        <w:t>In January 2022, our Board of Directors authorized the repurchase of up to $5.0 billion of shares of our common stock. In April 2022, our Board of Directors authorized the repurch</w:t>
      </w:r>
      <w:r>
        <w:rPr>
          <w:rFonts w:eastAsia="Times New Roman"/>
          <w:color w:val="000000"/>
          <w:sz w:val="16"/>
          <w:szCs w:val="16"/>
        </w:rPr>
        <w:t>ase of up to an additional $5.0 billion of shares of our common stock</w:t>
      </w:r>
      <w:r>
        <w:rPr>
          <w:rFonts w:eastAsia="Times New Roman"/>
          <w:color w:val="000000"/>
          <w:sz w:val="20"/>
          <w:szCs w:val="20"/>
          <w:shd w:val="clear" w:color="auto" w:fill="FFFFFF"/>
        </w:rPr>
        <w:t>.</w:t>
      </w:r>
      <w:r>
        <w:rPr>
          <w:rFonts w:eastAsia="Times New Roman"/>
          <w:color w:val="000000"/>
          <w:sz w:val="20"/>
          <w:szCs w:val="20"/>
        </w:rPr>
        <w:t xml:space="preserve"> </w:t>
      </w:r>
      <w:r>
        <w:rPr>
          <w:rFonts w:eastAsia="Times New Roman"/>
          <w:color w:val="000000"/>
          <w:sz w:val="16"/>
          <w:szCs w:val="16"/>
        </w:rPr>
        <w:t xml:space="preserve">There were 60,577 shares withheld in November to cover taxes on restricted stock awards whose restrictions have lapsed. See “Part II—Item 7. MD&amp;A—Capital Management—Dividend Policy and </w:t>
      </w:r>
      <w:r>
        <w:rPr>
          <w:rFonts w:eastAsia="Times New Roman"/>
          <w:color w:val="000000"/>
          <w:sz w:val="16"/>
          <w:szCs w:val="16"/>
        </w:rPr>
        <w:t>Stock Purchases” for more information.</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268582070"/>
          <w:jc w:val="center"/>
        </w:trPr>
        <w:tc>
          <w:tcPr>
            <w:tcW w:w="50" w:type="pct"/>
            <w:vAlign w:val="center"/>
            <w:hideMark/>
          </w:tcPr>
          <w:p w:rsidR="00000000" w:rsidRDefault="0094004B">
            <w:pPr>
              <w:ind w:hanging="360"/>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268582070"/>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268582070"/>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43</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069" style="width:0;height:1.5pt" o:hralign="center" o:hrstd="t" o:hr="t" fillcolor="#a0a0a0" stroked="f"/>
        </w:pict>
      </w:r>
    </w:p>
    <w:p w:rsidR="00000000" w:rsidRDefault="0094004B">
      <w:pPr>
        <w:ind w:hanging="360"/>
        <w:jc w:val="both"/>
        <w:divId w:val="1299458120"/>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divId w:val="1034039228"/>
        <w:rPr>
          <w:rFonts w:eastAsia="Times New Roman"/>
        </w:rPr>
      </w:pPr>
      <w:r>
        <w:rPr>
          <w:rFonts w:eastAsia="Times New Roman"/>
          <w:b/>
          <w:bCs/>
          <w:color w:val="000000"/>
          <w:sz w:val="20"/>
          <w:szCs w:val="20"/>
        </w:rPr>
        <w:t>Item 6. [Reserved]</w:t>
      </w:r>
    </w:p>
    <w:p w:rsidR="00000000" w:rsidRDefault="0094004B">
      <w:pPr>
        <w:divId w:val="1301568217"/>
        <w:rPr>
          <w:rFonts w:eastAsia="Times New Roman"/>
        </w:rPr>
      </w:pPr>
      <w:r>
        <w:rPr>
          <w:rFonts w:eastAsia="Times New Roman"/>
          <w:b/>
          <w:bCs/>
          <w:color w:val="000000"/>
          <w:sz w:val="20"/>
          <w:szCs w:val="20"/>
        </w:rPr>
        <w:t xml:space="preserve">Item 7. Management’s Discussion and Analysis of Financial Condition and Results of Operations (“MD&amp;A”)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1556"/>
        <w:gridCol w:w="36"/>
        <w:gridCol w:w="69"/>
        <w:gridCol w:w="1556"/>
        <w:gridCol w:w="36"/>
        <w:gridCol w:w="69"/>
        <w:gridCol w:w="1556"/>
        <w:gridCol w:w="36"/>
        <w:gridCol w:w="69"/>
        <w:gridCol w:w="1556"/>
        <w:gridCol w:w="36"/>
        <w:gridCol w:w="69"/>
        <w:gridCol w:w="1557"/>
        <w:gridCol w:w="36"/>
      </w:tblGrid>
      <w:tr w:rsidR="00000000">
        <w:trPr>
          <w:divId w:val="1962416861"/>
          <w:jc w:val="center"/>
        </w:trPr>
        <w:tc>
          <w:tcPr>
            <w:tcW w:w="50" w:type="pct"/>
            <w:vAlign w:val="center"/>
            <w:hideMark/>
          </w:tcPr>
          <w:p w:rsidR="00000000" w:rsidRDefault="0094004B">
            <w:pPr>
              <w:rPr>
                <w:rFonts w:eastAsia="Times New Roman"/>
              </w:rPr>
            </w:pPr>
          </w:p>
        </w:tc>
        <w:tc>
          <w:tcPr>
            <w:tcW w:w="94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94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94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94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94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962416861"/>
          <w:trHeight w:val="60"/>
          <w:jc w:val="center"/>
        </w:trPr>
        <w:tc>
          <w:tcPr>
            <w:tcW w:w="0" w:type="auto"/>
            <w:gridSpan w:val="15"/>
            <w:tcBorders>
              <w:top w:val="single" w:sz="1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r>
    </w:tbl>
    <w:p w:rsidR="00000000" w:rsidRDefault="0094004B">
      <w:pPr>
        <w:jc w:val="both"/>
        <w:divId w:val="683560054"/>
        <w:rPr>
          <w:rFonts w:eastAsia="Times New Roman"/>
        </w:rPr>
      </w:pPr>
      <w:r>
        <w:rPr>
          <w:rFonts w:eastAsia="Times New Roman"/>
          <w:i/>
          <w:iCs/>
          <w:color w:val="000000"/>
          <w:sz w:val="20"/>
          <w:szCs w:val="20"/>
        </w:rPr>
        <w:t>This discussion contains forward-looking statements that are based upon management’</w:t>
      </w:r>
      <w:r>
        <w:rPr>
          <w:rFonts w:eastAsia="Times New Roman"/>
          <w:i/>
          <w:iCs/>
          <w:color w:val="000000"/>
          <w:sz w:val="20"/>
          <w:szCs w:val="20"/>
        </w:rPr>
        <w:t>s current expectations and are subject to significant uncertainties and changes in circumstances. Please review “Part I—Item 1.Business—Forward-Looking Statements” for more information on the forward-looking statements in this Report. All statements that a</w:t>
      </w:r>
      <w:r>
        <w:rPr>
          <w:rFonts w:eastAsia="Times New Roman"/>
          <w:i/>
          <w:iCs/>
          <w:color w:val="000000"/>
          <w:sz w:val="20"/>
          <w:szCs w:val="20"/>
        </w:rPr>
        <w:t xml:space="preserve">ddress operating performance, events or developments that we expect or anticipate will occur in the future are forward-looking statements. Our actual results may differ materially from those included in these forward-looking statements due to a variety of </w:t>
      </w:r>
      <w:r>
        <w:rPr>
          <w:rFonts w:eastAsia="Times New Roman"/>
          <w:i/>
          <w:iCs/>
          <w:color w:val="000000"/>
          <w:sz w:val="20"/>
          <w:szCs w:val="20"/>
        </w:rPr>
        <w:t>factors including, but not limited to, those described in “Part I—Item 1A. Risk Factors” in this Report. Unless otherwise specified, references to notes to our consolidated financial statements refer to the notes to our consolidated financial statements as</w:t>
      </w:r>
      <w:r>
        <w:rPr>
          <w:rFonts w:eastAsia="Times New Roman"/>
          <w:i/>
          <w:iCs/>
          <w:color w:val="000000"/>
          <w:sz w:val="20"/>
          <w:szCs w:val="20"/>
        </w:rPr>
        <w:t xml:space="preserve"> of December 31, 2022 included in this Report.</w:t>
      </w:r>
    </w:p>
    <w:tbl>
      <w:tblPr>
        <w:tblW w:w="5000" w:type="pct"/>
        <w:tblCellMar>
          <w:top w:w="15" w:type="dxa"/>
          <w:left w:w="15" w:type="dxa"/>
          <w:bottom w:w="15" w:type="dxa"/>
          <w:right w:w="15" w:type="dxa"/>
        </w:tblCellMar>
        <w:tblLook w:val="04A0" w:firstRow="1" w:lastRow="0" w:firstColumn="1" w:lastColumn="0" w:noHBand="0" w:noVBand="1"/>
      </w:tblPr>
      <w:tblGrid>
        <w:gridCol w:w="69"/>
        <w:gridCol w:w="1556"/>
        <w:gridCol w:w="36"/>
        <w:gridCol w:w="69"/>
        <w:gridCol w:w="1556"/>
        <w:gridCol w:w="36"/>
        <w:gridCol w:w="69"/>
        <w:gridCol w:w="1556"/>
        <w:gridCol w:w="36"/>
        <w:gridCol w:w="69"/>
        <w:gridCol w:w="1556"/>
        <w:gridCol w:w="36"/>
        <w:gridCol w:w="69"/>
        <w:gridCol w:w="1557"/>
        <w:gridCol w:w="36"/>
      </w:tblGrid>
      <w:tr w:rsidR="00000000">
        <w:trPr>
          <w:divId w:val="1734691748"/>
        </w:trPr>
        <w:tc>
          <w:tcPr>
            <w:tcW w:w="50" w:type="pct"/>
            <w:vAlign w:val="center"/>
            <w:hideMark/>
          </w:tcPr>
          <w:p w:rsidR="00000000" w:rsidRDefault="0094004B">
            <w:pPr>
              <w:jc w:val="both"/>
              <w:rPr>
                <w:rFonts w:eastAsia="Times New Roman"/>
              </w:rPr>
            </w:pPr>
          </w:p>
        </w:tc>
        <w:tc>
          <w:tcPr>
            <w:tcW w:w="94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94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94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94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94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734691748"/>
          <w:trHeight w:val="60"/>
        </w:trPr>
        <w:tc>
          <w:tcPr>
            <w:tcW w:w="0" w:type="auto"/>
            <w:gridSpan w:val="15"/>
            <w:tcBorders>
              <w:top w:val="single" w:sz="1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r>
    </w:tbl>
    <w:p w:rsidR="00000000" w:rsidRDefault="0094004B">
      <w:pPr>
        <w:jc w:val="both"/>
        <w:divId w:val="1923829538"/>
        <w:rPr>
          <w:rFonts w:eastAsia="Times New Roman"/>
        </w:rPr>
      </w:pPr>
      <w:r>
        <w:rPr>
          <w:rFonts w:eastAsia="Times New Roman"/>
          <w:color w:val="000000"/>
          <w:sz w:val="20"/>
          <w:szCs w:val="20"/>
        </w:rPr>
        <w:t>Management monitors a variety of key indicators to evaluate our business results and financial condition. The following MD&amp;A is intended to provide the reader with an understanding of our results of operations and financial condition, including capital and</w:t>
      </w:r>
      <w:r>
        <w:rPr>
          <w:rFonts w:eastAsia="Times New Roman"/>
          <w:color w:val="000000"/>
          <w:sz w:val="20"/>
          <w:szCs w:val="20"/>
        </w:rPr>
        <w:t xml:space="preserve"> liquidity management, by focusing on changes from year to year in certain key measures used by management to evaluate performance, such as profitability, growth and credit quality metrics. MD&amp;A is provided as a supplement to, and should be read in conjunc</w:t>
      </w:r>
      <w:r>
        <w:rPr>
          <w:rFonts w:eastAsia="Times New Roman"/>
          <w:color w:val="000000"/>
          <w:sz w:val="20"/>
          <w:szCs w:val="20"/>
        </w:rPr>
        <w:t>tion with, our audited consolidated financial statements as of and for the year ended December 31, 2022 and accompanying notes. MD&amp;A is organized in the following sections:</w:t>
      </w:r>
    </w:p>
    <w:tbl>
      <w:tblPr>
        <w:tblW w:w="4970" w:type="pct"/>
        <w:tblCellMar>
          <w:top w:w="15" w:type="dxa"/>
          <w:left w:w="15" w:type="dxa"/>
          <w:bottom w:w="15" w:type="dxa"/>
          <w:right w:w="15" w:type="dxa"/>
        </w:tblCellMar>
        <w:tblLook w:val="04A0" w:firstRow="1" w:lastRow="0" w:firstColumn="1" w:lastColumn="0" w:noHBand="0" w:noVBand="1"/>
      </w:tblPr>
      <w:tblGrid>
        <w:gridCol w:w="60"/>
        <w:gridCol w:w="3978"/>
        <w:gridCol w:w="38"/>
        <w:gridCol w:w="36"/>
        <w:gridCol w:w="93"/>
        <w:gridCol w:w="36"/>
        <w:gridCol w:w="60"/>
        <w:gridCol w:w="3918"/>
        <w:gridCol w:w="37"/>
      </w:tblGrid>
      <w:tr w:rsidR="00000000">
        <w:trPr>
          <w:divId w:val="2113738964"/>
        </w:trPr>
        <w:tc>
          <w:tcPr>
            <w:tcW w:w="50" w:type="pct"/>
            <w:vAlign w:val="center"/>
            <w:hideMark/>
          </w:tcPr>
          <w:p w:rsidR="00000000" w:rsidRDefault="0094004B">
            <w:pPr>
              <w:jc w:val="both"/>
              <w:rPr>
                <w:rFonts w:eastAsia="Times New Roman"/>
              </w:rPr>
            </w:pPr>
          </w:p>
        </w:tc>
        <w:tc>
          <w:tcPr>
            <w:tcW w:w="242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70"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38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2113738964"/>
          <w:trHeight w:val="60"/>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2113738964"/>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 xml:space="preserve">•   Executive Summary </w:t>
            </w:r>
          </w:p>
        </w:tc>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   </w:t>
            </w:r>
            <w:r>
              <w:rPr>
                <w:rFonts w:eastAsia="Times New Roman"/>
                <w:color w:val="000000"/>
                <w:sz w:val="18"/>
                <w:szCs w:val="18"/>
              </w:rPr>
              <w:t>Capital Management</w:t>
            </w:r>
          </w:p>
        </w:tc>
      </w:tr>
      <w:tr w:rsidR="00000000">
        <w:trPr>
          <w:divId w:val="2113738964"/>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   Consolidated Results of Operations</w:t>
            </w:r>
          </w:p>
        </w:tc>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   Risk Management</w:t>
            </w:r>
          </w:p>
        </w:tc>
      </w:tr>
      <w:tr w:rsidR="00000000">
        <w:trPr>
          <w:divId w:val="2113738964"/>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   Consolidated Balance Sheets Analysis</w:t>
            </w:r>
          </w:p>
        </w:tc>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   Credit Risk Profile</w:t>
            </w:r>
          </w:p>
        </w:tc>
      </w:tr>
      <w:tr w:rsidR="00000000">
        <w:trPr>
          <w:divId w:val="2113738964"/>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   Off-Balance Sheet Arrangements</w:t>
            </w:r>
          </w:p>
        </w:tc>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   Liquidity Risk Profile</w:t>
            </w:r>
          </w:p>
        </w:tc>
      </w:tr>
      <w:tr w:rsidR="00000000">
        <w:trPr>
          <w:divId w:val="2113738964"/>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   </w:t>
            </w:r>
            <w:r>
              <w:rPr>
                <w:rFonts w:eastAsia="Times New Roman"/>
                <w:color w:val="000000"/>
                <w:sz w:val="18"/>
                <w:szCs w:val="18"/>
              </w:rPr>
              <w:t>Business Segment Financial Performance</w:t>
            </w:r>
          </w:p>
        </w:tc>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   Market Risk Profile</w:t>
            </w:r>
          </w:p>
        </w:tc>
      </w:tr>
      <w:tr w:rsidR="00000000">
        <w:trPr>
          <w:divId w:val="2113738964"/>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   Critical Accounting Policies and Estimates</w:t>
            </w:r>
          </w:p>
        </w:tc>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   Supplemental Tables</w:t>
            </w:r>
          </w:p>
        </w:tc>
      </w:tr>
      <w:tr w:rsidR="00000000">
        <w:trPr>
          <w:divId w:val="2113738964"/>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   Accounting Changes and Developments</w:t>
            </w:r>
          </w:p>
        </w:tc>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   Glossary and Acronyms</w:t>
            </w: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44</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070" style="width:0;height:1.5pt" o:hralign="center" o:hrstd="t" o:hr="t" fillcolor="#a0a0a0" stroked="f"/>
        </w:pict>
      </w:r>
    </w:p>
    <w:p w:rsidR="00000000" w:rsidRDefault="0094004B">
      <w:pPr>
        <w:ind w:hanging="360"/>
        <w:jc w:val="both"/>
        <w:divId w:val="1437946841"/>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divId w:val="1824354386"/>
        <w:rPr>
          <w:rFonts w:eastAsia="Times New Roman"/>
        </w:rPr>
      </w:pPr>
      <w:r>
        <w:rPr>
          <w:rFonts w:eastAsia="Times New Roman"/>
          <w:b/>
          <w:bCs/>
          <w:color w:val="000000"/>
          <w:sz w:val="20"/>
          <w:szCs w:val="20"/>
        </w:rPr>
        <w:t>Selected Financial Data</w:t>
      </w:r>
    </w:p>
    <w:p w:rsidR="00000000" w:rsidRDefault="0094004B">
      <w:pPr>
        <w:jc w:val="both"/>
        <w:divId w:val="332034161"/>
        <w:rPr>
          <w:rFonts w:eastAsia="Times New Roman"/>
        </w:rPr>
      </w:pPr>
      <w:r>
        <w:rPr>
          <w:rFonts w:eastAsia="Times New Roman"/>
          <w:color w:val="000000"/>
          <w:sz w:val="20"/>
          <w:szCs w:val="20"/>
        </w:rPr>
        <w:t>The following table presents selected consolidated financial data and performance metrics for the three-year period end</w:t>
      </w:r>
      <w:r>
        <w:rPr>
          <w:rFonts w:eastAsia="Times New Roman"/>
          <w:color w:val="000000"/>
          <w:sz w:val="20"/>
          <w:szCs w:val="20"/>
        </w:rPr>
        <w:t>ed December 31, 2022, 2021 and 2020. We also provide selected key metrics we use in evaluating our performance, including certain metrics that are computed using non-GAAP measures. We consider these metrics to be key financial measures that management uses</w:t>
      </w:r>
      <w:r>
        <w:rPr>
          <w:rFonts w:eastAsia="Times New Roman"/>
          <w:color w:val="000000"/>
          <w:sz w:val="20"/>
          <w:szCs w:val="20"/>
        </w:rPr>
        <w:t xml:space="preserve"> in assessing our operating performance, capital adequacy and the level of returns generated. We believe these non-GAAP metrics provide useful insight to investors and users of our financial information as they provide an alternate measurement of our perfo</w:t>
      </w:r>
      <w:r>
        <w:rPr>
          <w:rFonts w:eastAsia="Times New Roman"/>
          <w:color w:val="000000"/>
          <w:sz w:val="20"/>
          <w:szCs w:val="20"/>
        </w:rPr>
        <w:t>rmance and assist in assessing our capital adequacy and the level of return generated. These non-GAAP measures should not be viewed as a substitute for reported results determined in accordance with GAAP, nor are they necessarily comparable to non-GAAP mea</w:t>
      </w:r>
      <w:r>
        <w:rPr>
          <w:rFonts w:eastAsia="Times New Roman"/>
          <w:color w:val="000000"/>
          <w:sz w:val="20"/>
          <w:szCs w:val="20"/>
        </w:rPr>
        <w:t>sures that may be presented by other companies.</w:t>
      </w:r>
    </w:p>
    <w:p w:rsidR="00000000" w:rsidRDefault="0094004B">
      <w:pPr>
        <w:divId w:val="1013990211"/>
        <w:rPr>
          <w:rFonts w:eastAsia="Times New Roman"/>
        </w:rPr>
      </w:pPr>
      <w:r>
        <w:rPr>
          <w:rFonts w:eastAsia="Times New Roman"/>
          <w:b/>
          <w:bCs/>
          <w:color w:val="000000"/>
          <w:sz w:val="18"/>
          <w:szCs w:val="18"/>
        </w:rPr>
        <w:t xml:space="preserve">Three-Year Summary of Selected Financial Data </w:t>
      </w:r>
    </w:p>
    <w:tbl>
      <w:tblPr>
        <w:tblW w:w="5000" w:type="pct"/>
        <w:tblCellMar>
          <w:top w:w="15" w:type="dxa"/>
          <w:left w:w="15" w:type="dxa"/>
          <w:bottom w:w="15" w:type="dxa"/>
          <w:right w:w="15" w:type="dxa"/>
        </w:tblCellMar>
        <w:tblLook w:val="04A0" w:firstRow="1" w:lastRow="0" w:firstColumn="1" w:lastColumn="0" w:noHBand="0" w:noVBand="1"/>
      </w:tblPr>
      <w:tblGrid>
        <w:gridCol w:w="39"/>
        <w:gridCol w:w="3299"/>
        <w:gridCol w:w="38"/>
        <w:gridCol w:w="36"/>
        <w:gridCol w:w="36"/>
        <w:gridCol w:w="36"/>
        <w:gridCol w:w="36"/>
        <w:gridCol w:w="36"/>
        <w:gridCol w:w="36"/>
        <w:gridCol w:w="36"/>
        <w:gridCol w:w="36"/>
        <w:gridCol w:w="36"/>
        <w:gridCol w:w="111"/>
        <w:gridCol w:w="627"/>
        <w:gridCol w:w="36"/>
        <w:gridCol w:w="36"/>
        <w:gridCol w:w="36"/>
        <w:gridCol w:w="36"/>
        <w:gridCol w:w="111"/>
        <w:gridCol w:w="627"/>
        <w:gridCol w:w="36"/>
        <w:gridCol w:w="37"/>
        <w:gridCol w:w="119"/>
        <w:gridCol w:w="36"/>
        <w:gridCol w:w="110"/>
        <w:gridCol w:w="540"/>
        <w:gridCol w:w="170"/>
        <w:gridCol w:w="36"/>
        <w:gridCol w:w="36"/>
        <w:gridCol w:w="36"/>
        <w:gridCol w:w="36"/>
        <w:gridCol w:w="36"/>
        <w:gridCol w:w="36"/>
        <w:gridCol w:w="36"/>
        <w:gridCol w:w="36"/>
        <w:gridCol w:w="36"/>
        <w:gridCol w:w="36"/>
        <w:gridCol w:w="36"/>
        <w:gridCol w:w="36"/>
        <w:gridCol w:w="36"/>
        <w:gridCol w:w="36"/>
        <w:gridCol w:w="36"/>
        <w:gridCol w:w="70"/>
        <w:gridCol w:w="534"/>
        <w:gridCol w:w="39"/>
        <w:gridCol w:w="36"/>
        <w:gridCol w:w="36"/>
        <w:gridCol w:w="36"/>
        <w:gridCol w:w="71"/>
        <w:gridCol w:w="540"/>
        <w:gridCol w:w="36"/>
      </w:tblGrid>
      <w:tr w:rsidR="00000000">
        <w:trPr>
          <w:divId w:val="777212046"/>
        </w:trPr>
        <w:tc>
          <w:tcPr>
            <w:tcW w:w="50" w:type="pct"/>
            <w:vAlign w:val="center"/>
            <w:hideMark/>
          </w:tcPr>
          <w:p w:rsidR="00000000" w:rsidRDefault="0094004B">
            <w:pPr>
              <w:rPr>
                <w:rFonts w:eastAsia="Times New Roman"/>
              </w:rPr>
            </w:pPr>
          </w:p>
        </w:tc>
        <w:tc>
          <w:tcPr>
            <w:tcW w:w="256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8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8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8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8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8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777212046"/>
        </w:trPr>
        <w:tc>
          <w:tcPr>
            <w:tcW w:w="0" w:type="auto"/>
            <w:gridSpan w:val="3"/>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777212046"/>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(Dollars in millions, except per share data and as noted)</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2020</w:t>
            </w:r>
          </w:p>
        </w:tc>
        <w:tc>
          <w:tcPr>
            <w:tcW w:w="0" w:type="auto"/>
            <w:gridSpan w:val="3"/>
            <w:vAlign w:val="center"/>
            <w:hideMark/>
          </w:tcPr>
          <w:p w:rsidR="00000000" w:rsidRDefault="0094004B">
            <w:pPr>
              <w:spacing w:after="100"/>
              <w:jc w:val="center"/>
              <w:rPr>
                <w:rFonts w:eastAsia="Times New Roman"/>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2022 vs. 2021</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2"/>
            <w:tcBorders>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2021 vs. 2020</w:t>
            </w:r>
          </w:p>
        </w:tc>
        <w:tc>
          <w:tcPr>
            <w:tcW w:w="0" w:type="auto"/>
            <w:vAlign w:val="center"/>
            <w:hideMark/>
          </w:tcPr>
          <w:p w:rsidR="00000000" w:rsidRDefault="0094004B">
            <w:pPr>
              <w:spacing w:after="100"/>
              <w:rPr>
                <w:rFonts w:eastAsia="Times New Roman"/>
                <w:sz w:val="20"/>
                <w:szCs w:val="20"/>
              </w:rPr>
            </w:pPr>
          </w:p>
        </w:tc>
      </w:tr>
      <w:tr w:rsidR="00000000">
        <w:trPr>
          <w:divId w:val="777212046"/>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18"/>
                <w:szCs w:val="18"/>
              </w:rPr>
              <w:t>Income statement</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777212046"/>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Interest income</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2"/>
            <w:shd w:val="clear" w:color="auto" w:fill="FFFF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31,237</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25,769</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26,033 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21%</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(1)%</w:t>
            </w:r>
          </w:p>
        </w:tc>
        <w:tc>
          <w:tcPr>
            <w:tcW w:w="0" w:type="auto"/>
            <w:vAlign w:val="center"/>
            <w:hideMark/>
          </w:tcPr>
          <w:p w:rsidR="00000000" w:rsidRDefault="0094004B">
            <w:pPr>
              <w:spacing w:after="100"/>
              <w:rPr>
                <w:rFonts w:eastAsia="Times New Roman"/>
                <w:sz w:val="20"/>
                <w:szCs w:val="20"/>
              </w:rPr>
            </w:pPr>
          </w:p>
        </w:tc>
      </w:tr>
      <w:tr w:rsidR="00000000">
        <w:trPr>
          <w:divId w:val="777212046"/>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Interest expense</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4,123</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1,598</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3,120 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158</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18"/>
                <w:szCs w:val="18"/>
              </w:rPr>
              <w:t>(49)</w:t>
            </w:r>
          </w:p>
        </w:tc>
        <w:tc>
          <w:tcPr>
            <w:tcW w:w="0" w:type="auto"/>
            <w:vAlign w:val="center"/>
            <w:hideMark/>
          </w:tcPr>
          <w:p w:rsidR="00000000" w:rsidRDefault="0094004B">
            <w:pPr>
              <w:spacing w:after="100"/>
              <w:rPr>
                <w:rFonts w:eastAsia="Times New Roman"/>
                <w:sz w:val="20"/>
                <w:szCs w:val="20"/>
              </w:rPr>
            </w:pPr>
          </w:p>
        </w:tc>
      </w:tr>
      <w:tr w:rsidR="00000000">
        <w:trPr>
          <w:divId w:val="777212046"/>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Net interest income</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27,114</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24,171</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22,913</w:t>
            </w:r>
          </w:p>
        </w:tc>
        <w:tc>
          <w:tcPr>
            <w:tcW w:w="0" w:type="auto"/>
            <w:gridSpan w:val="3"/>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12</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18"/>
                <w:szCs w:val="18"/>
              </w:rPr>
              <w:t>5</w:t>
            </w:r>
          </w:p>
        </w:tc>
        <w:tc>
          <w:tcPr>
            <w:tcW w:w="0" w:type="auto"/>
            <w:vAlign w:val="center"/>
            <w:hideMark/>
          </w:tcPr>
          <w:p w:rsidR="00000000" w:rsidRDefault="0094004B">
            <w:pPr>
              <w:spacing w:after="100"/>
              <w:rPr>
                <w:rFonts w:eastAsia="Times New Roman"/>
                <w:sz w:val="20"/>
                <w:szCs w:val="20"/>
              </w:rPr>
            </w:pPr>
          </w:p>
        </w:tc>
      </w:tr>
      <w:tr w:rsidR="00000000">
        <w:trPr>
          <w:divId w:val="777212046"/>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Non-interest income</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7,136</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6,264</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5,610</w:t>
            </w:r>
          </w:p>
        </w:tc>
        <w:tc>
          <w:tcPr>
            <w:tcW w:w="0" w:type="auto"/>
            <w:gridSpan w:val="3"/>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14</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18"/>
                <w:szCs w:val="18"/>
              </w:rPr>
              <w:t>12</w:t>
            </w:r>
          </w:p>
        </w:tc>
        <w:tc>
          <w:tcPr>
            <w:tcW w:w="0" w:type="auto"/>
            <w:vAlign w:val="center"/>
            <w:hideMark/>
          </w:tcPr>
          <w:p w:rsidR="00000000" w:rsidRDefault="0094004B">
            <w:pPr>
              <w:spacing w:after="100"/>
              <w:rPr>
                <w:rFonts w:eastAsia="Times New Roman"/>
                <w:sz w:val="20"/>
                <w:szCs w:val="20"/>
              </w:rPr>
            </w:pPr>
          </w:p>
        </w:tc>
      </w:tr>
      <w:tr w:rsidR="00000000">
        <w:trPr>
          <w:divId w:val="777212046"/>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Total net revenue</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34,250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30,435</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28,523</w:t>
            </w:r>
          </w:p>
        </w:tc>
        <w:tc>
          <w:tcPr>
            <w:tcW w:w="0" w:type="auto"/>
            <w:gridSpan w:val="3"/>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13</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18"/>
                <w:szCs w:val="18"/>
              </w:rPr>
              <w:t>7</w:t>
            </w:r>
          </w:p>
        </w:tc>
        <w:tc>
          <w:tcPr>
            <w:tcW w:w="0" w:type="auto"/>
            <w:vAlign w:val="center"/>
            <w:hideMark/>
          </w:tcPr>
          <w:p w:rsidR="00000000" w:rsidRDefault="0094004B">
            <w:pPr>
              <w:spacing w:after="100"/>
              <w:rPr>
                <w:rFonts w:eastAsia="Times New Roman"/>
                <w:sz w:val="20"/>
                <w:szCs w:val="20"/>
              </w:rPr>
            </w:pPr>
          </w:p>
        </w:tc>
      </w:tr>
      <w:tr w:rsidR="00000000">
        <w:trPr>
          <w:divId w:val="777212046"/>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Provision (benefit) for credit losses</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5,847</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(1,944)</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10,264</w:t>
            </w:r>
          </w:p>
        </w:tc>
        <w:tc>
          <w:tcPr>
            <w:tcW w:w="0" w:type="auto"/>
            <w:gridSpan w:val="3"/>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w:t>
            </w:r>
          </w:p>
        </w:tc>
        <w:tc>
          <w:tcPr>
            <w:tcW w:w="0" w:type="auto"/>
            <w:vAlign w:val="center"/>
            <w:hideMark/>
          </w:tcPr>
          <w:p w:rsidR="00000000" w:rsidRDefault="0094004B">
            <w:pPr>
              <w:spacing w:after="100"/>
              <w:rPr>
                <w:rFonts w:eastAsia="Times New Roman"/>
                <w:sz w:val="20"/>
                <w:szCs w:val="20"/>
              </w:rPr>
            </w:pPr>
          </w:p>
        </w:tc>
      </w:tr>
      <w:tr w:rsidR="00000000">
        <w:trPr>
          <w:divId w:val="777212046"/>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Non-interest expense:</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14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140" w:type="dxa"/>
            </w:tcMar>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FFFFFF"/>
            <w:tcMar>
              <w:top w:w="0" w:type="dxa"/>
              <w:left w:w="20" w:type="dxa"/>
              <w:bottom w:w="0" w:type="dxa"/>
              <w:right w:w="380" w:type="dxa"/>
            </w:tcMar>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777212046"/>
        </w:trPr>
        <w:tc>
          <w:tcPr>
            <w:tcW w:w="0" w:type="auto"/>
            <w:gridSpan w:val="3"/>
            <w:shd w:val="clear" w:color="auto" w:fill="CCEEFF"/>
            <w:tcMar>
              <w:top w:w="30" w:type="dxa"/>
              <w:left w:w="245"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Marketing</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4,017</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2,871</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1,610</w:t>
            </w:r>
          </w:p>
        </w:tc>
        <w:tc>
          <w:tcPr>
            <w:tcW w:w="0" w:type="auto"/>
            <w:gridSpan w:val="3"/>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40</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18"/>
                <w:szCs w:val="18"/>
              </w:rPr>
              <w:t>78</w:t>
            </w:r>
          </w:p>
        </w:tc>
        <w:tc>
          <w:tcPr>
            <w:tcW w:w="0" w:type="auto"/>
            <w:vAlign w:val="center"/>
            <w:hideMark/>
          </w:tcPr>
          <w:p w:rsidR="00000000" w:rsidRDefault="0094004B">
            <w:pPr>
              <w:spacing w:after="100"/>
              <w:rPr>
                <w:rFonts w:eastAsia="Times New Roman"/>
                <w:sz w:val="20"/>
                <w:szCs w:val="20"/>
              </w:rPr>
            </w:pPr>
          </w:p>
        </w:tc>
      </w:tr>
      <w:tr w:rsidR="00000000">
        <w:trPr>
          <w:divId w:val="777212046"/>
        </w:trPr>
        <w:tc>
          <w:tcPr>
            <w:tcW w:w="0" w:type="auto"/>
            <w:gridSpan w:val="3"/>
            <w:shd w:val="clear" w:color="auto" w:fill="FFFFFF"/>
            <w:tcMar>
              <w:top w:w="30" w:type="dxa"/>
              <w:left w:w="245"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Operating expense</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15,146</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13,699</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13,446</w:t>
            </w:r>
          </w:p>
        </w:tc>
        <w:tc>
          <w:tcPr>
            <w:tcW w:w="0" w:type="auto"/>
            <w:gridSpan w:val="3"/>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11</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18"/>
                <w:szCs w:val="18"/>
              </w:rPr>
              <w:t>2</w:t>
            </w:r>
          </w:p>
        </w:tc>
        <w:tc>
          <w:tcPr>
            <w:tcW w:w="0" w:type="auto"/>
            <w:vAlign w:val="center"/>
            <w:hideMark/>
          </w:tcPr>
          <w:p w:rsidR="00000000" w:rsidRDefault="0094004B">
            <w:pPr>
              <w:spacing w:after="100"/>
              <w:rPr>
                <w:rFonts w:eastAsia="Times New Roman"/>
                <w:sz w:val="20"/>
                <w:szCs w:val="20"/>
              </w:rPr>
            </w:pPr>
          </w:p>
        </w:tc>
      </w:tr>
      <w:tr w:rsidR="00000000">
        <w:trPr>
          <w:divId w:val="777212046"/>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Total non-interest expense</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19,163</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16,570</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15,056</w:t>
            </w:r>
          </w:p>
        </w:tc>
        <w:tc>
          <w:tcPr>
            <w:tcW w:w="0" w:type="auto"/>
            <w:gridSpan w:val="3"/>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16</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18"/>
                <w:szCs w:val="18"/>
              </w:rPr>
              <w:t>10</w:t>
            </w:r>
          </w:p>
        </w:tc>
        <w:tc>
          <w:tcPr>
            <w:tcW w:w="0" w:type="auto"/>
            <w:vAlign w:val="center"/>
            <w:hideMark/>
          </w:tcPr>
          <w:p w:rsidR="00000000" w:rsidRDefault="0094004B">
            <w:pPr>
              <w:spacing w:after="100"/>
              <w:rPr>
                <w:rFonts w:eastAsia="Times New Roman"/>
                <w:sz w:val="20"/>
                <w:szCs w:val="20"/>
              </w:rPr>
            </w:pPr>
          </w:p>
        </w:tc>
      </w:tr>
      <w:tr w:rsidR="00000000">
        <w:trPr>
          <w:divId w:val="777212046"/>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Income from continuing operations before income taxes</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9,240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15,809</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3,203</w:t>
            </w:r>
          </w:p>
        </w:tc>
        <w:tc>
          <w:tcPr>
            <w:tcW w:w="0" w:type="auto"/>
            <w:gridSpan w:val="3"/>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(42)</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w:t>
            </w:r>
          </w:p>
        </w:tc>
        <w:tc>
          <w:tcPr>
            <w:tcW w:w="0" w:type="auto"/>
            <w:vAlign w:val="center"/>
            <w:hideMark/>
          </w:tcPr>
          <w:p w:rsidR="00000000" w:rsidRDefault="0094004B">
            <w:pPr>
              <w:spacing w:after="100"/>
              <w:rPr>
                <w:rFonts w:eastAsia="Times New Roman"/>
                <w:sz w:val="20"/>
                <w:szCs w:val="20"/>
              </w:rPr>
            </w:pPr>
          </w:p>
        </w:tc>
      </w:tr>
      <w:tr w:rsidR="00000000">
        <w:trPr>
          <w:divId w:val="777212046"/>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Income tax provision</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1,880</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3,415</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486</w:t>
            </w:r>
          </w:p>
        </w:tc>
        <w:tc>
          <w:tcPr>
            <w:tcW w:w="0" w:type="auto"/>
            <w:gridSpan w:val="3"/>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(45)</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w:t>
            </w:r>
          </w:p>
        </w:tc>
        <w:tc>
          <w:tcPr>
            <w:tcW w:w="0" w:type="auto"/>
            <w:vAlign w:val="center"/>
            <w:hideMark/>
          </w:tcPr>
          <w:p w:rsidR="00000000" w:rsidRDefault="0094004B">
            <w:pPr>
              <w:spacing w:after="100"/>
              <w:rPr>
                <w:rFonts w:eastAsia="Times New Roman"/>
                <w:sz w:val="20"/>
                <w:szCs w:val="20"/>
              </w:rPr>
            </w:pPr>
          </w:p>
        </w:tc>
      </w:tr>
      <w:tr w:rsidR="00000000">
        <w:trPr>
          <w:divId w:val="777212046"/>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Income from continuing operations, net of tax</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7,360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12,394</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2,717</w:t>
            </w:r>
          </w:p>
        </w:tc>
        <w:tc>
          <w:tcPr>
            <w:tcW w:w="0" w:type="auto"/>
            <w:gridSpan w:val="3"/>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(41)</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w:t>
            </w:r>
          </w:p>
        </w:tc>
        <w:tc>
          <w:tcPr>
            <w:tcW w:w="0" w:type="auto"/>
            <w:vAlign w:val="center"/>
            <w:hideMark/>
          </w:tcPr>
          <w:p w:rsidR="00000000" w:rsidRDefault="0094004B">
            <w:pPr>
              <w:spacing w:after="100"/>
              <w:rPr>
                <w:rFonts w:eastAsia="Times New Roman"/>
                <w:sz w:val="20"/>
                <w:szCs w:val="20"/>
              </w:rPr>
            </w:pPr>
          </w:p>
        </w:tc>
      </w:tr>
      <w:tr w:rsidR="00000000">
        <w:trPr>
          <w:divId w:val="777212046"/>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Income (loss) from discontinued operations, net of tax</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(4)</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(3)</w:t>
            </w:r>
          </w:p>
        </w:tc>
        <w:tc>
          <w:tcPr>
            <w:tcW w:w="0" w:type="auto"/>
            <w:gridSpan w:val="3"/>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33</w:t>
            </w:r>
          </w:p>
        </w:tc>
        <w:tc>
          <w:tcPr>
            <w:tcW w:w="0" w:type="auto"/>
            <w:vAlign w:val="center"/>
            <w:hideMark/>
          </w:tcPr>
          <w:p w:rsidR="00000000" w:rsidRDefault="0094004B">
            <w:pPr>
              <w:spacing w:after="100"/>
              <w:rPr>
                <w:rFonts w:eastAsia="Times New Roman"/>
                <w:sz w:val="20"/>
                <w:szCs w:val="20"/>
              </w:rPr>
            </w:pPr>
          </w:p>
        </w:tc>
      </w:tr>
      <w:tr w:rsidR="00000000">
        <w:trPr>
          <w:divId w:val="777212046"/>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18"/>
                <w:szCs w:val="18"/>
              </w:rPr>
              <w:t>Net income</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7,360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12,390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2,714</w:t>
            </w:r>
          </w:p>
        </w:tc>
        <w:tc>
          <w:tcPr>
            <w:tcW w:w="0" w:type="auto"/>
            <w:gridSpan w:val="3"/>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(41)</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w:t>
            </w:r>
          </w:p>
        </w:tc>
        <w:tc>
          <w:tcPr>
            <w:tcW w:w="0" w:type="auto"/>
            <w:vAlign w:val="center"/>
            <w:hideMark/>
          </w:tcPr>
          <w:p w:rsidR="00000000" w:rsidRDefault="0094004B">
            <w:pPr>
              <w:spacing w:after="100"/>
              <w:rPr>
                <w:rFonts w:eastAsia="Times New Roman"/>
                <w:sz w:val="20"/>
                <w:szCs w:val="20"/>
              </w:rPr>
            </w:pPr>
          </w:p>
        </w:tc>
      </w:tr>
      <w:tr w:rsidR="00000000">
        <w:trPr>
          <w:divId w:val="777212046"/>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Dividends and undistributed earnings allocated to participating securities</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(88)</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(105)</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(20)</w:t>
            </w:r>
          </w:p>
        </w:tc>
        <w:tc>
          <w:tcPr>
            <w:tcW w:w="0" w:type="auto"/>
            <w:gridSpan w:val="3"/>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(16)</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w:t>
            </w:r>
          </w:p>
        </w:tc>
        <w:tc>
          <w:tcPr>
            <w:tcW w:w="0" w:type="auto"/>
            <w:vAlign w:val="center"/>
            <w:hideMark/>
          </w:tcPr>
          <w:p w:rsidR="00000000" w:rsidRDefault="0094004B">
            <w:pPr>
              <w:spacing w:after="100"/>
              <w:rPr>
                <w:rFonts w:eastAsia="Times New Roman"/>
                <w:sz w:val="20"/>
                <w:szCs w:val="20"/>
              </w:rPr>
            </w:pPr>
          </w:p>
        </w:tc>
      </w:tr>
      <w:tr w:rsidR="00000000">
        <w:trPr>
          <w:divId w:val="777212046"/>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Preferred stock dividends</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(228)</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(274)</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(280)</w:t>
            </w:r>
          </w:p>
        </w:tc>
        <w:tc>
          <w:tcPr>
            <w:tcW w:w="0" w:type="auto"/>
            <w:gridSpan w:val="3"/>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(17)</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(2)</w:t>
            </w:r>
          </w:p>
        </w:tc>
        <w:tc>
          <w:tcPr>
            <w:tcW w:w="0" w:type="auto"/>
            <w:vAlign w:val="center"/>
            <w:hideMark/>
          </w:tcPr>
          <w:p w:rsidR="00000000" w:rsidRDefault="0094004B">
            <w:pPr>
              <w:spacing w:after="100"/>
              <w:rPr>
                <w:rFonts w:eastAsia="Times New Roman"/>
                <w:sz w:val="20"/>
                <w:szCs w:val="20"/>
              </w:rPr>
            </w:pPr>
          </w:p>
        </w:tc>
      </w:tr>
      <w:tr w:rsidR="00000000">
        <w:trPr>
          <w:divId w:val="777212046"/>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Issuance cost for redeemed preferred stock</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(46)</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(39)</w:t>
            </w:r>
          </w:p>
        </w:tc>
        <w:tc>
          <w:tcPr>
            <w:tcW w:w="0" w:type="auto"/>
            <w:gridSpan w:val="3"/>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18</w:t>
            </w:r>
          </w:p>
        </w:tc>
        <w:tc>
          <w:tcPr>
            <w:tcW w:w="0" w:type="auto"/>
            <w:vAlign w:val="center"/>
            <w:hideMark/>
          </w:tcPr>
          <w:p w:rsidR="00000000" w:rsidRDefault="0094004B">
            <w:pPr>
              <w:spacing w:after="100"/>
              <w:rPr>
                <w:rFonts w:eastAsia="Times New Roman"/>
                <w:sz w:val="20"/>
                <w:szCs w:val="20"/>
              </w:rPr>
            </w:pPr>
          </w:p>
        </w:tc>
      </w:tr>
      <w:tr w:rsidR="00000000">
        <w:trPr>
          <w:divId w:val="777212046"/>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18"/>
                <w:szCs w:val="18"/>
              </w:rPr>
              <w:t>Net income available to common stockholders</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7,044</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11,965</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2,375 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(41)</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w:t>
            </w:r>
          </w:p>
        </w:tc>
        <w:tc>
          <w:tcPr>
            <w:tcW w:w="0" w:type="auto"/>
            <w:vAlign w:val="center"/>
            <w:hideMark/>
          </w:tcPr>
          <w:p w:rsidR="00000000" w:rsidRDefault="0094004B">
            <w:pPr>
              <w:spacing w:after="100"/>
              <w:rPr>
                <w:rFonts w:eastAsia="Times New Roman"/>
                <w:sz w:val="20"/>
                <w:szCs w:val="20"/>
              </w:rPr>
            </w:pPr>
          </w:p>
        </w:tc>
      </w:tr>
      <w:tr w:rsidR="00000000">
        <w:trPr>
          <w:divId w:val="777212046"/>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18"/>
                <w:szCs w:val="18"/>
              </w:rPr>
              <w:t>Common share statistics</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140" w:type="dxa"/>
            </w:tcMar>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777212046"/>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18"/>
                <w:szCs w:val="18"/>
              </w:rPr>
              <w:t>Basic earnings per common share:</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777212046"/>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Net income from continuing operations</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2"/>
            <w:shd w:val="clear" w:color="auto" w:fill="CCEE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17.98</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2"/>
            <w:shd w:val="clear" w:color="auto" w:fill="CCEE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27.05</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5.20 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(34)%</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w:t>
            </w:r>
          </w:p>
        </w:tc>
        <w:tc>
          <w:tcPr>
            <w:tcW w:w="0" w:type="auto"/>
            <w:vAlign w:val="center"/>
            <w:hideMark/>
          </w:tcPr>
          <w:p w:rsidR="00000000" w:rsidRDefault="0094004B">
            <w:pPr>
              <w:spacing w:after="100"/>
              <w:rPr>
                <w:rFonts w:eastAsia="Times New Roman"/>
                <w:sz w:val="20"/>
                <w:szCs w:val="20"/>
              </w:rPr>
            </w:pPr>
          </w:p>
        </w:tc>
      </w:tr>
      <w:tr w:rsidR="00000000">
        <w:trPr>
          <w:divId w:val="777212046"/>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Income (loss) from discontinued operations</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(0.01)</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(0.01)</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18"/>
                <w:szCs w:val="18"/>
              </w:rPr>
              <w:t>—</w:t>
            </w:r>
          </w:p>
        </w:tc>
        <w:tc>
          <w:tcPr>
            <w:tcW w:w="0" w:type="auto"/>
            <w:vAlign w:val="center"/>
            <w:hideMark/>
          </w:tcPr>
          <w:p w:rsidR="00000000" w:rsidRDefault="0094004B">
            <w:pPr>
              <w:spacing w:after="100"/>
              <w:rPr>
                <w:rFonts w:eastAsia="Times New Roman"/>
                <w:sz w:val="20"/>
                <w:szCs w:val="20"/>
              </w:rPr>
            </w:pPr>
          </w:p>
        </w:tc>
      </w:tr>
      <w:tr w:rsidR="00000000">
        <w:trPr>
          <w:divId w:val="777212046"/>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Net income per basic common share</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17.98</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27.04</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5.19 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(34)</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w:t>
            </w:r>
          </w:p>
        </w:tc>
        <w:tc>
          <w:tcPr>
            <w:tcW w:w="0" w:type="auto"/>
            <w:vAlign w:val="center"/>
            <w:hideMark/>
          </w:tcPr>
          <w:p w:rsidR="00000000" w:rsidRDefault="0094004B">
            <w:pPr>
              <w:spacing w:after="100"/>
              <w:rPr>
                <w:rFonts w:eastAsia="Times New Roman"/>
                <w:sz w:val="20"/>
                <w:szCs w:val="20"/>
              </w:rPr>
            </w:pPr>
          </w:p>
        </w:tc>
      </w:tr>
      <w:tr w:rsidR="00000000">
        <w:trPr>
          <w:divId w:val="777212046"/>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18"/>
                <w:szCs w:val="18"/>
              </w:rPr>
              <w:t>Diluted earnings per common share:</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14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FFFFFF"/>
            <w:tcMar>
              <w:top w:w="0" w:type="dxa"/>
              <w:left w:w="20" w:type="dxa"/>
              <w:bottom w:w="0" w:type="dxa"/>
              <w:right w:w="260" w:type="dxa"/>
            </w:tcMar>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777212046"/>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Net income from continuing operations</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2"/>
            <w:shd w:val="clear" w:color="auto" w:fill="CCEE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17.91</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2"/>
            <w:shd w:val="clear" w:color="auto" w:fill="CCEE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26.95</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5.19 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(34)%</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w:t>
            </w:r>
          </w:p>
        </w:tc>
        <w:tc>
          <w:tcPr>
            <w:tcW w:w="0" w:type="auto"/>
            <w:vAlign w:val="center"/>
            <w:hideMark/>
          </w:tcPr>
          <w:p w:rsidR="00000000" w:rsidRDefault="0094004B">
            <w:pPr>
              <w:spacing w:after="100"/>
              <w:rPr>
                <w:rFonts w:eastAsia="Times New Roman"/>
                <w:sz w:val="20"/>
                <w:szCs w:val="20"/>
              </w:rPr>
            </w:pPr>
          </w:p>
        </w:tc>
      </w:tr>
      <w:tr w:rsidR="00000000">
        <w:trPr>
          <w:divId w:val="777212046"/>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Income (loss) from discontinued operations</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(0.01)</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(0.01)</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18"/>
                <w:szCs w:val="18"/>
              </w:rPr>
              <w:t>—</w:t>
            </w:r>
          </w:p>
        </w:tc>
        <w:tc>
          <w:tcPr>
            <w:tcW w:w="0" w:type="auto"/>
            <w:vAlign w:val="center"/>
            <w:hideMark/>
          </w:tcPr>
          <w:p w:rsidR="00000000" w:rsidRDefault="0094004B">
            <w:pPr>
              <w:spacing w:after="100"/>
              <w:rPr>
                <w:rFonts w:eastAsia="Times New Roman"/>
                <w:sz w:val="20"/>
                <w:szCs w:val="20"/>
              </w:rPr>
            </w:pPr>
          </w:p>
        </w:tc>
      </w:tr>
      <w:tr w:rsidR="00000000">
        <w:trPr>
          <w:divId w:val="777212046"/>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Net income per diluted common share</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17.91</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26.94</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5.18 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(34)</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w:t>
            </w:r>
          </w:p>
        </w:tc>
        <w:tc>
          <w:tcPr>
            <w:tcW w:w="0" w:type="auto"/>
            <w:vAlign w:val="center"/>
            <w:hideMark/>
          </w:tcPr>
          <w:p w:rsidR="00000000" w:rsidRDefault="0094004B">
            <w:pPr>
              <w:spacing w:after="100"/>
              <w:rPr>
                <w:rFonts w:eastAsia="Times New Roman"/>
                <w:sz w:val="20"/>
                <w:szCs w:val="20"/>
              </w:rPr>
            </w:pPr>
          </w:p>
        </w:tc>
      </w:tr>
      <w:tr w:rsidR="00000000">
        <w:trPr>
          <w:divId w:val="777212046"/>
        </w:trPr>
        <w:tc>
          <w:tcPr>
            <w:tcW w:w="0" w:type="auto"/>
            <w:gridSpan w:val="3"/>
            <w:vAlign w:val="center"/>
            <w:hideMark/>
          </w:tcPr>
          <w:p w:rsidR="00000000" w:rsidRDefault="0094004B">
            <w:pPr>
              <w:spacing w:after="100"/>
              <w:jc w:val="right"/>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2"/>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777212046"/>
        </w:trPr>
        <w:tc>
          <w:tcPr>
            <w:tcW w:w="0" w:type="auto"/>
            <w:gridSpan w:val="3"/>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2"/>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777212046"/>
        </w:trPr>
        <w:tc>
          <w:tcPr>
            <w:tcW w:w="0" w:type="auto"/>
            <w:gridSpan w:val="3"/>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2"/>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777212046"/>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Common shares outstanding (period-end, in millions)</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381.3</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413.9</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459.0 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(8)</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(10)%</w:t>
            </w:r>
          </w:p>
        </w:tc>
        <w:tc>
          <w:tcPr>
            <w:tcW w:w="0" w:type="auto"/>
            <w:vAlign w:val="center"/>
            <w:hideMark/>
          </w:tcPr>
          <w:p w:rsidR="00000000" w:rsidRDefault="0094004B">
            <w:pPr>
              <w:spacing w:after="100"/>
              <w:rPr>
                <w:rFonts w:eastAsia="Times New Roman"/>
                <w:sz w:val="20"/>
                <w:szCs w:val="20"/>
              </w:rPr>
            </w:pPr>
          </w:p>
        </w:tc>
      </w:tr>
      <w:tr w:rsidR="00000000">
        <w:trPr>
          <w:divId w:val="777212046"/>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Dividends declared and paid per common share</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2"/>
            <w:shd w:val="clear" w:color="auto" w:fill="CCEE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2.40</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2"/>
            <w:shd w:val="clear" w:color="auto" w:fill="CCEE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2.60</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1.00 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(8)</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160</w:t>
            </w:r>
          </w:p>
        </w:tc>
        <w:tc>
          <w:tcPr>
            <w:tcW w:w="0" w:type="auto"/>
            <w:vAlign w:val="center"/>
            <w:hideMark/>
          </w:tcPr>
          <w:p w:rsidR="00000000" w:rsidRDefault="0094004B">
            <w:pPr>
              <w:spacing w:after="100"/>
              <w:rPr>
                <w:rFonts w:eastAsia="Times New Roman"/>
                <w:sz w:val="20"/>
                <w:szCs w:val="20"/>
              </w:rPr>
            </w:pPr>
          </w:p>
        </w:tc>
      </w:tr>
      <w:tr w:rsidR="00000000">
        <w:trPr>
          <w:divId w:val="777212046"/>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Book value per common share (period-end)</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137.90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147.46</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131.16 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(6)</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18"/>
                <w:szCs w:val="18"/>
              </w:rPr>
              <w:t>12</w:t>
            </w:r>
          </w:p>
        </w:tc>
        <w:tc>
          <w:tcPr>
            <w:tcW w:w="0" w:type="auto"/>
            <w:vAlign w:val="center"/>
            <w:hideMark/>
          </w:tcPr>
          <w:p w:rsidR="00000000" w:rsidRDefault="0094004B">
            <w:pPr>
              <w:spacing w:after="100"/>
              <w:rPr>
                <w:rFonts w:eastAsia="Times New Roman"/>
                <w:sz w:val="20"/>
                <w:szCs w:val="20"/>
              </w:rPr>
            </w:pPr>
          </w:p>
        </w:tc>
      </w:tr>
      <w:tr w:rsidR="00000000">
        <w:trPr>
          <w:divId w:val="777212046"/>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divId w:val="1903370356"/>
              <w:rPr>
                <w:rFonts w:eastAsia="Times New Roman"/>
              </w:rPr>
            </w:pPr>
            <w:r>
              <w:rPr>
                <w:rFonts w:eastAsia="Times New Roman"/>
                <w:color w:val="000000"/>
                <w:sz w:val="18"/>
                <w:szCs w:val="18"/>
              </w:rPr>
              <w:t>Tangible book value per common share (period-end</w:t>
            </w:r>
            <w:r>
              <w:rPr>
                <w:rFonts w:eastAsia="Times New Roman"/>
                <w:color w:val="000000"/>
                <w:sz w:val="18"/>
                <w:szCs w:val="18"/>
              </w:rPr>
              <w:t>)</w:t>
            </w:r>
            <w:r>
              <w:rPr>
                <w:rFonts w:eastAsia="Times New Roman"/>
                <w:color w:val="000000"/>
                <w:sz w:val="12"/>
                <w:szCs w:val="12"/>
              </w:rPr>
              <w:t>(1</w:t>
            </w:r>
            <w:r>
              <w:rPr>
                <w:rFonts w:eastAsia="Times New Roman"/>
                <w:color w:val="000000"/>
                <w:sz w:val="12"/>
                <w:szCs w:val="12"/>
              </w:rPr>
              <w:t>)</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86.11</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99.74</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88.34 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(14)</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13</w:t>
            </w:r>
          </w:p>
        </w:tc>
        <w:tc>
          <w:tcPr>
            <w:tcW w:w="0" w:type="auto"/>
            <w:vAlign w:val="center"/>
            <w:hideMark/>
          </w:tcPr>
          <w:p w:rsidR="00000000" w:rsidRDefault="0094004B">
            <w:pPr>
              <w:spacing w:after="100"/>
              <w:rPr>
                <w:rFonts w:eastAsia="Times New Roman"/>
                <w:sz w:val="20"/>
                <w:szCs w:val="20"/>
              </w:rPr>
            </w:pPr>
          </w:p>
        </w:tc>
      </w:tr>
      <w:tr w:rsidR="00000000">
        <w:trPr>
          <w:divId w:val="777212046"/>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divId w:val="504635883"/>
              <w:rPr>
                <w:rFonts w:eastAsia="Times New Roman"/>
              </w:rPr>
            </w:pPr>
            <w:r>
              <w:rPr>
                <w:rFonts w:eastAsia="Times New Roman"/>
                <w:color w:val="000000"/>
                <w:sz w:val="18"/>
                <w:szCs w:val="18"/>
              </w:rPr>
              <w:t>Common dividend payout rati</w:t>
            </w:r>
            <w:r>
              <w:rPr>
                <w:rFonts w:eastAsia="Times New Roman"/>
                <w:color w:val="000000"/>
                <w:sz w:val="18"/>
                <w:szCs w:val="18"/>
              </w:rPr>
              <w:t>o</w:t>
            </w:r>
            <w:r>
              <w:rPr>
                <w:rFonts w:eastAsia="Times New Roman"/>
                <w:color w:val="000000"/>
                <w:sz w:val="12"/>
                <w:szCs w:val="12"/>
              </w:rPr>
              <w:t>(2</w:t>
            </w:r>
            <w:r>
              <w:rPr>
                <w:rFonts w:eastAsia="Times New Roman"/>
                <w:color w:val="000000"/>
                <w:sz w:val="12"/>
                <w:szCs w:val="12"/>
              </w:rPr>
              <w:t>)</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13.35%</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9.62%</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19.27 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30" w:type="dxa"/>
              <w:left w:w="20" w:type="dxa"/>
              <w:bottom w:w="30" w:type="dxa"/>
              <w:right w:w="380" w:type="dxa"/>
            </w:tcMar>
            <w:vAlign w:val="bottom"/>
            <w:hideMark/>
          </w:tcPr>
          <w:p w:rsidR="00000000" w:rsidRDefault="0094004B">
            <w:pPr>
              <w:spacing w:after="100"/>
              <w:jc w:val="right"/>
              <w:rPr>
                <w:rFonts w:eastAsia="Times New Roman"/>
              </w:rPr>
            </w:pPr>
            <w:r>
              <w:rPr>
                <w:rFonts w:eastAsia="Times New Roman"/>
                <w:color w:val="000000"/>
                <w:sz w:val="18"/>
                <w:szCs w:val="18"/>
              </w:rPr>
              <w:t>4</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18"/>
                <w:szCs w:val="18"/>
              </w:rPr>
              <w:t>(10)</w:t>
            </w:r>
          </w:p>
        </w:tc>
        <w:tc>
          <w:tcPr>
            <w:tcW w:w="0" w:type="auto"/>
            <w:vAlign w:val="center"/>
            <w:hideMark/>
          </w:tcPr>
          <w:p w:rsidR="00000000" w:rsidRDefault="0094004B">
            <w:pPr>
              <w:spacing w:after="100"/>
              <w:rPr>
                <w:rFonts w:eastAsia="Times New Roman"/>
                <w:sz w:val="20"/>
                <w:szCs w:val="20"/>
              </w:rPr>
            </w:pPr>
          </w:p>
        </w:tc>
      </w:tr>
      <w:tr w:rsidR="00000000">
        <w:trPr>
          <w:divId w:val="777212046"/>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Stock price per common share (period-end)</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2"/>
            <w:shd w:val="clear" w:color="auto" w:fill="CCEE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92.96</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2"/>
            <w:shd w:val="clear" w:color="auto" w:fill="CCEE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145.09</w:t>
            </w:r>
          </w:p>
        </w:tc>
        <w:tc>
          <w:tcPr>
            <w:tcW w:w="0" w:type="auto"/>
            <w:gridSpan w:val="3"/>
            <w:shd w:val="clear" w:color="auto" w:fill="CCEEFF"/>
            <w:tcMar>
              <w:top w:w="0" w:type="dxa"/>
              <w:left w:w="20" w:type="dxa"/>
              <w:bottom w:w="0" w:type="dxa"/>
              <w:right w:w="140" w:type="dxa"/>
            </w:tcMar>
            <w:vAlign w:val="center"/>
            <w:hideMark/>
          </w:tcPr>
          <w:p w:rsidR="00000000" w:rsidRDefault="0094004B">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98.85 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(36)</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18"/>
                <w:szCs w:val="18"/>
              </w:rPr>
              <w:t>47</w:t>
            </w:r>
          </w:p>
        </w:tc>
        <w:tc>
          <w:tcPr>
            <w:tcW w:w="0" w:type="auto"/>
            <w:vAlign w:val="center"/>
            <w:hideMark/>
          </w:tcPr>
          <w:p w:rsidR="00000000" w:rsidRDefault="0094004B">
            <w:pPr>
              <w:spacing w:after="100"/>
              <w:rPr>
                <w:rFonts w:eastAsia="Times New Roman"/>
                <w:sz w:val="20"/>
                <w:szCs w:val="20"/>
              </w:rPr>
            </w:pPr>
          </w:p>
        </w:tc>
      </w:tr>
      <w:tr w:rsidR="00000000">
        <w:trPr>
          <w:divId w:val="777212046"/>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Total market capitalization (period-end)</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35,447</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60,047</w:t>
            </w:r>
          </w:p>
        </w:tc>
        <w:tc>
          <w:tcPr>
            <w:tcW w:w="0" w:type="auto"/>
            <w:gridSpan w:val="3"/>
            <w:shd w:val="clear" w:color="auto" w:fill="FFFFFF"/>
            <w:tcMar>
              <w:top w:w="0" w:type="dxa"/>
              <w:left w:w="20" w:type="dxa"/>
              <w:bottom w:w="0" w:type="dxa"/>
              <w:right w:w="14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45,372 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(41)</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18"/>
                <w:szCs w:val="18"/>
              </w:rPr>
              <w:t>32</w:t>
            </w:r>
          </w:p>
        </w:tc>
        <w:tc>
          <w:tcPr>
            <w:tcW w:w="0" w:type="auto"/>
            <w:vAlign w:val="center"/>
            <w:hideMark/>
          </w:tcPr>
          <w:p w:rsidR="00000000" w:rsidRDefault="0094004B">
            <w:pPr>
              <w:spacing w:after="100"/>
              <w:rPr>
                <w:rFonts w:eastAsia="Times New Roman"/>
                <w:sz w:val="20"/>
                <w:szCs w:val="20"/>
              </w:rPr>
            </w:pPr>
          </w:p>
        </w:tc>
      </w:tr>
      <w:tr w:rsidR="00000000">
        <w:trPr>
          <w:divId w:val="777212046"/>
        </w:trPr>
        <w:tc>
          <w:tcPr>
            <w:tcW w:w="0" w:type="auto"/>
            <w:gridSpan w:val="3"/>
            <w:vAlign w:val="center"/>
            <w:hideMark/>
          </w:tcPr>
          <w:p w:rsidR="00000000" w:rsidRDefault="0094004B">
            <w:pPr>
              <w:spacing w:after="100"/>
              <w:jc w:val="right"/>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2"/>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94004B">
            <w:pPr>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45</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071" style="width:0;height:1.5pt" o:hralign="center" o:hrstd="t" o:hr="t" fillcolor="#a0a0a0" stroked="f"/>
        </w:pict>
      </w:r>
    </w:p>
    <w:p w:rsidR="00000000" w:rsidRDefault="0094004B">
      <w:pPr>
        <w:ind w:hanging="360"/>
        <w:jc w:val="both"/>
        <w:divId w:val="181357666"/>
        <w:rPr>
          <w:rFonts w:eastAsia="Times New Roman"/>
        </w:rPr>
      </w:pPr>
      <w:hyperlink w:anchor="ia820611622d9441b977884dac00e0ebd_16"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40"/>
        <w:gridCol w:w="2484"/>
        <w:gridCol w:w="39"/>
        <w:gridCol w:w="36"/>
        <w:gridCol w:w="36"/>
        <w:gridCol w:w="36"/>
        <w:gridCol w:w="36"/>
        <w:gridCol w:w="36"/>
        <w:gridCol w:w="36"/>
        <w:gridCol w:w="36"/>
        <w:gridCol w:w="36"/>
        <w:gridCol w:w="36"/>
        <w:gridCol w:w="110"/>
        <w:gridCol w:w="716"/>
        <w:gridCol w:w="200"/>
        <w:gridCol w:w="36"/>
        <w:gridCol w:w="36"/>
        <w:gridCol w:w="36"/>
        <w:gridCol w:w="111"/>
        <w:gridCol w:w="716"/>
        <w:gridCol w:w="36"/>
        <w:gridCol w:w="36"/>
        <w:gridCol w:w="36"/>
        <w:gridCol w:w="36"/>
        <w:gridCol w:w="110"/>
        <w:gridCol w:w="716"/>
        <w:gridCol w:w="36"/>
        <w:gridCol w:w="36"/>
        <w:gridCol w:w="36"/>
        <w:gridCol w:w="36"/>
        <w:gridCol w:w="36"/>
        <w:gridCol w:w="36"/>
        <w:gridCol w:w="36"/>
        <w:gridCol w:w="36"/>
        <w:gridCol w:w="36"/>
        <w:gridCol w:w="36"/>
        <w:gridCol w:w="36"/>
        <w:gridCol w:w="36"/>
        <w:gridCol w:w="36"/>
        <w:gridCol w:w="36"/>
        <w:gridCol w:w="36"/>
        <w:gridCol w:w="36"/>
        <w:gridCol w:w="92"/>
        <w:gridCol w:w="700"/>
        <w:gridCol w:w="40"/>
        <w:gridCol w:w="36"/>
        <w:gridCol w:w="36"/>
        <w:gridCol w:w="36"/>
        <w:gridCol w:w="81"/>
        <w:gridCol w:w="620"/>
        <w:gridCol w:w="271"/>
      </w:tblGrid>
      <w:tr w:rsidR="00000000">
        <w:trPr>
          <w:divId w:val="1499348605"/>
        </w:trPr>
        <w:tc>
          <w:tcPr>
            <w:tcW w:w="50" w:type="pct"/>
            <w:vAlign w:val="center"/>
            <w:hideMark/>
          </w:tcPr>
          <w:p w:rsidR="00000000" w:rsidRDefault="0094004B">
            <w:pPr>
              <w:ind w:hanging="360"/>
              <w:jc w:val="both"/>
              <w:rPr>
                <w:rFonts w:eastAsia="Times New Roman"/>
              </w:rPr>
            </w:pPr>
          </w:p>
        </w:tc>
        <w:tc>
          <w:tcPr>
            <w:tcW w:w="256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8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8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8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8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8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499348605"/>
        </w:trPr>
        <w:tc>
          <w:tcPr>
            <w:tcW w:w="0" w:type="auto"/>
            <w:gridSpan w:val="3"/>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1499348605"/>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(Dollars in millions, except per share data and as noted)</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2020</w:t>
            </w:r>
          </w:p>
        </w:tc>
        <w:tc>
          <w:tcPr>
            <w:tcW w:w="0" w:type="auto"/>
            <w:gridSpan w:val="3"/>
            <w:vAlign w:val="center"/>
            <w:hideMark/>
          </w:tcPr>
          <w:p w:rsidR="00000000" w:rsidRDefault="0094004B">
            <w:pPr>
              <w:spacing w:after="100"/>
              <w:jc w:val="center"/>
              <w:rPr>
                <w:rFonts w:eastAsia="Times New Roman"/>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2022 vs. 2021</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2"/>
            <w:tcBorders>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2021 vs. 2020</w:t>
            </w:r>
          </w:p>
        </w:tc>
        <w:tc>
          <w:tcPr>
            <w:tcW w:w="0" w:type="auto"/>
            <w:vAlign w:val="center"/>
            <w:hideMark/>
          </w:tcPr>
          <w:p w:rsidR="00000000" w:rsidRDefault="0094004B">
            <w:pPr>
              <w:spacing w:after="100"/>
              <w:rPr>
                <w:rFonts w:eastAsia="Times New Roman"/>
                <w:sz w:val="20"/>
                <w:szCs w:val="20"/>
              </w:rPr>
            </w:pPr>
          </w:p>
        </w:tc>
      </w:tr>
      <w:tr w:rsidR="00000000">
        <w:trPr>
          <w:divId w:val="1499348605"/>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18"/>
                <w:szCs w:val="18"/>
              </w:rPr>
              <w:t>Balance sheet (average balances)</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14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1499348605"/>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Loans held for investment</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2"/>
            <w:shd w:val="clear" w:color="auto" w:fill="FFFF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292,238</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252,730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253,335</w:t>
            </w:r>
          </w:p>
        </w:tc>
        <w:tc>
          <w:tcPr>
            <w:tcW w:w="0" w:type="auto"/>
            <w:gridSpan w:val="3"/>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16%</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499348605"/>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Interest-earning assets</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406,646</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389,336</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378,362</w:t>
            </w:r>
          </w:p>
        </w:tc>
        <w:tc>
          <w:tcPr>
            <w:tcW w:w="0" w:type="auto"/>
            <w:gridSpan w:val="3"/>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4</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3%</w:t>
            </w:r>
          </w:p>
        </w:tc>
        <w:tc>
          <w:tcPr>
            <w:tcW w:w="0" w:type="auto"/>
            <w:vAlign w:val="center"/>
            <w:hideMark/>
          </w:tcPr>
          <w:p w:rsidR="00000000" w:rsidRDefault="0094004B">
            <w:pPr>
              <w:spacing w:after="100"/>
              <w:rPr>
                <w:rFonts w:eastAsia="Times New Roman"/>
                <w:sz w:val="20"/>
                <w:szCs w:val="20"/>
              </w:rPr>
            </w:pPr>
          </w:p>
        </w:tc>
      </w:tr>
      <w:tr w:rsidR="00000000">
        <w:trPr>
          <w:divId w:val="1499348605"/>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Total assets</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440,538</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424,521</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411,187</w:t>
            </w:r>
          </w:p>
        </w:tc>
        <w:tc>
          <w:tcPr>
            <w:tcW w:w="0" w:type="auto"/>
            <w:gridSpan w:val="3"/>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4</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380" w:type="dxa"/>
            </w:tcMar>
            <w:vAlign w:val="center"/>
            <w:hideMark/>
          </w:tcPr>
          <w:p w:rsidR="00000000" w:rsidRDefault="0094004B">
            <w:pPr>
              <w:spacing w:after="100"/>
              <w:jc w:val="right"/>
              <w:rPr>
                <w:rFonts w:eastAsia="Times New Roman"/>
              </w:rPr>
            </w:pPr>
            <w:r>
              <w:rPr>
                <w:rFonts w:eastAsia="Times New Roman"/>
                <w:color w:val="000000"/>
                <w:sz w:val="18"/>
                <w:szCs w:val="18"/>
              </w:rPr>
              <w:t>3</w:t>
            </w:r>
          </w:p>
        </w:tc>
        <w:tc>
          <w:tcPr>
            <w:tcW w:w="0" w:type="auto"/>
            <w:vAlign w:val="center"/>
            <w:hideMark/>
          </w:tcPr>
          <w:p w:rsidR="00000000" w:rsidRDefault="0094004B">
            <w:pPr>
              <w:spacing w:after="100"/>
              <w:rPr>
                <w:rFonts w:eastAsia="Times New Roman"/>
                <w:sz w:val="20"/>
                <w:szCs w:val="20"/>
              </w:rPr>
            </w:pPr>
          </w:p>
        </w:tc>
      </w:tr>
      <w:tr w:rsidR="00000000">
        <w:trPr>
          <w:divId w:val="1499348605"/>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Interest-bearing deposits</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277,208</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271,500</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263,279</w:t>
            </w:r>
          </w:p>
        </w:tc>
        <w:tc>
          <w:tcPr>
            <w:tcW w:w="0" w:type="auto"/>
            <w:gridSpan w:val="3"/>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2</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380" w:type="dxa"/>
            </w:tcMar>
            <w:vAlign w:val="center"/>
            <w:hideMark/>
          </w:tcPr>
          <w:p w:rsidR="00000000" w:rsidRDefault="0094004B">
            <w:pPr>
              <w:spacing w:after="100"/>
              <w:jc w:val="right"/>
              <w:rPr>
                <w:rFonts w:eastAsia="Times New Roman"/>
              </w:rPr>
            </w:pPr>
            <w:r>
              <w:rPr>
                <w:rFonts w:eastAsia="Times New Roman"/>
                <w:color w:val="000000"/>
                <w:sz w:val="18"/>
                <w:szCs w:val="18"/>
              </w:rPr>
              <w:t>3</w:t>
            </w:r>
          </w:p>
        </w:tc>
        <w:tc>
          <w:tcPr>
            <w:tcW w:w="0" w:type="auto"/>
            <w:vAlign w:val="center"/>
            <w:hideMark/>
          </w:tcPr>
          <w:p w:rsidR="00000000" w:rsidRDefault="0094004B">
            <w:pPr>
              <w:spacing w:after="100"/>
              <w:rPr>
                <w:rFonts w:eastAsia="Times New Roman"/>
                <w:sz w:val="20"/>
                <w:szCs w:val="20"/>
              </w:rPr>
            </w:pPr>
          </w:p>
        </w:tc>
      </w:tr>
      <w:tr w:rsidR="00000000">
        <w:trPr>
          <w:divId w:val="1499348605"/>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Total deposits</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313,551</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306,397</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290,835</w:t>
            </w:r>
          </w:p>
        </w:tc>
        <w:tc>
          <w:tcPr>
            <w:tcW w:w="0" w:type="auto"/>
            <w:gridSpan w:val="3"/>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2</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380" w:type="dxa"/>
            </w:tcMar>
            <w:vAlign w:val="center"/>
            <w:hideMark/>
          </w:tcPr>
          <w:p w:rsidR="00000000" w:rsidRDefault="0094004B">
            <w:pPr>
              <w:spacing w:after="100"/>
              <w:jc w:val="right"/>
              <w:rPr>
                <w:rFonts w:eastAsia="Times New Roman"/>
              </w:rPr>
            </w:pPr>
            <w:r>
              <w:rPr>
                <w:rFonts w:eastAsia="Times New Roman"/>
                <w:color w:val="000000"/>
                <w:sz w:val="18"/>
                <w:szCs w:val="18"/>
              </w:rPr>
              <w:t>5</w:t>
            </w:r>
          </w:p>
        </w:tc>
        <w:tc>
          <w:tcPr>
            <w:tcW w:w="0" w:type="auto"/>
            <w:vAlign w:val="center"/>
            <w:hideMark/>
          </w:tcPr>
          <w:p w:rsidR="00000000" w:rsidRDefault="0094004B">
            <w:pPr>
              <w:spacing w:after="100"/>
              <w:rPr>
                <w:rFonts w:eastAsia="Times New Roman"/>
                <w:sz w:val="20"/>
                <w:szCs w:val="20"/>
              </w:rPr>
            </w:pPr>
          </w:p>
        </w:tc>
      </w:tr>
      <w:tr w:rsidR="00000000">
        <w:trPr>
          <w:divId w:val="1499348605"/>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Borrowings</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51,006</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38,590</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46,588</w:t>
            </w:r>
          </w:p>
        </w:tc>
        <w:tc>
          <w:tcPr>
            <w:tcW w:w="0" w:type="auto"/>
            <w:gridSpan w:val="3"/>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32</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380" w:type="dxa"/>
            </w:tcMar>
            <w:vAlign w:val="center"/>
            <w:hideMark/>
          </w:tcPr>
          <w:p w:rsidR="00000000" w:rsidRDefault="0094004B">
            <w:pPr>
              <w:spacing w:after="100"/>
              <w:jc w:val="right"/>
              <w:rPr>
                <w:rFonts w:eastAsia="Times New Roman"/>
              </w:rPr>
            </w:pPr>
            <w:r>
              <w:rPr>
                <w:rFonts w:eastAsia="Times New Roman"/>
                <w:color w:val="000000"/>
                <w:sz w:val="18"/>
                <w:szCs w:val="18"/>
              </w:rPr>
              <w:t>(17)</w:t>
            </w:r>
          </w:p>
        </w:tc>
        <w:tc>
          <w:tcPr>
            <w:tcW w:w="0" w:type="auto"/>
            <w:vAlign w:val="center"/>
            <w:hideMark/>
          </w:tcPr>
          <w:p w:rsidR="00000000" w:rsidRDefault="0094004B">
            <w:pPr>
              <w:spacing w:after="100"/>
              <w:rPr>
                <w:rFonts w:eastAsia="Times New Roman"/>
                <w:sz w:val="20"/>
                <w:szCs w:val="20"/>
              </w:rPr>
            </w:pPr>
          </w:p>
        </w:tc>
      </w:tr>
      <w:tr w:rsidR="00000000">
        <w:trPr>
          <w:divId w:val="1499348605"/>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Common equity</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50,279</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56,966</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52,954</w:t>
            </w:r>
          </w:p>
        </w:tc>
        <w:tc>
          <w:tcPr>
            <w:tcW w:w="0" w:type="auto"/>
            <w:gridSpan w:val="3"/>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(12)</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380" w:type="dxa"/>
            </w:tcMar>
            <w:vAlign w:val="center"/>
            <w:hideMark/>
          </w:tcPr>
          <w:p w:rsidR="00000000" w:rsidRDefault="0094004B">
            <w:pPr>
              <w:spacing w:after="100"/>
              <w:jc w:val="right"/>
              <w:rPr>
                <w:rFonts w:eastAsia="Times New Roman"/>
              </w:rPr>
            </w:pPr>
            <w:r>
              <w:rPr>
                <w:rFonts w:eastAsia="Times New Roman"/>
                <w:color w:val="000000"/>
                <w:sz w:val="18"/>
                <w:szCs w:val="18"/>
              </w:rPr>
              <w:t>8</w:t>
            </w:r>
          </w:p>
        </w:tc>
        <w:tc>
          <w:tcPr>
            <w:tcW w:w="0" w:type="auto"/>
            <w:vAlign w:val="center"/>
            <w:hideMark/>
          </w:tcPr>
          <w:p w:rsidR="00000000" w:rsidRDefault="0094004B">
            <w:pPr>
              <w:spacing w:after="100"/>
              <w:rPr>
                <w:rFonts w:eastAsia="Times New Roman"/>
                <w:sz w:val="20"/>
                <w:szCs w:val="20"/>
              </w:rPr>
            </w:pPr>
          </w:p>
        </w:tc>
      </w:tr>
      <w:tr w:rsidR="00000000">
        <w:trPr>
          <w:divId w:val="1499348605"/>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Total stockholders’ equity</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55,125</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62,556</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58,201</w:t>
            </w:r>
          </w:p>
        </w:tc>
        <w:tc>
          <w:tcPr>
            <w:tcW w:w="0" w:type="auto"/>
            <w:gridSpan w:val="3"/>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(12)</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380" w:type="dxa"/>
            </w:tcMar>
            <w:vAlign w:val="center"/>
            <w:hideMark/>
          </w:tcPr>
          <w:p w:rsidR="00000000" w:rsidRDefault="0094004B">
            <w:pPr>
              <w:spacing w:after="100"/>
              <w:jc w:val="right"/>
              <w:rPr>
                <w:rFonts w:eastAsia="Times New Roman"/>
              </w:rPr>
            </w:pPr>
            <w:r>
              <w:rPr>
                <w:rFonts w:eastAsia="Times New Roman"/>
                <w:color w:val="000000"/>
                <w:sz w:val="18"/>
                <w:szCs w:val="18"/>
              </w:rPr>
              <w:t>7</w:t>
            </w:r>
          </w:p>
        </w:tc>
        <w:tc>
          <w:tcPr>
            <w:tcW w:w="0" w:type="auto"/>
            <w:vAlign w:val="center"/>
            <w:hideMark/>
          </w:tcPr>
          <w:p w:rsidR="00000000" w:rsidRDefault="0094004B">
            <w:pPr>
              <w:spacing w:after="100"/>
              <w:rPr>
                <w:rFonts w:eastAsia="Times New Roman"/>
                <w:sz w:val="20"/>
                <w:szCs w:val="20"/>
              </w:rPr>
            </w:pPr>
          </w:p>
        </w:tc>
      </w:tr>
      <w:tr w:rsidR="00000000">
        <w:trPr>
          <w:divId w:val="1499348605"/>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18"/>
                <w:szCs w:val="18"/>
              </w:rPr>
              <w:t>Selected performance metrics</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14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1499348605"/>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Purchase volume</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2"/>
            <w:shd w:val="clear" w:color="auto" w:fill="CCEE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587,283</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2"/>
            <w:shd w:val="clear" w:color="auto" w:fill="CCEE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527,605</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2"/>
            <w:shd w:val="clear" w:color="auto" w:fill="CCEE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414,312</w:t>
            </w:r>
          </w:p>
        </w:tc>
        <w:tc>
          <w:tcPr>
            <w:tcW w:w="0" w:type="auto"/>
            <w:gridSpan w:val="3"/>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11%</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27%</w:t>
            </w:r>
          </w:p>
        </w:tc>
        <w:tc>
          <w:tcPr>
            <w:tcW w:w="0" w:type="auto"/>
            <w:vAlign w:val="center"/>
            <w:hideMark/>
          </w:tcPr>
          <w:p w:rsidR="00000000" w:rsidRDefault="0094004B">
            <w:pPr>
              <w:spacing w:after="100"/>
              <w:rPr>
                <w:rFonts w:eastAsia="Times New Roman"/>
                <w:sz w:val="20"/>
                <w:szCs w:val="20"/>
              </w:rPr>
            </w:pPr>
          </w:p>
        </w:tc>
      </w:tr>
      <w:tr w:rsidR="00000000">
        <w:trPr>
          <w:divId w:val="1499348605"/>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divId w:val="1351646118"/>
              <w:rPr>
                <w:rFonts w:eastAsia="Times New Roman"/>
              </w:rPr>
            </w:pPr>
            <w:r>
              <w:rPr>
                <w:rFonts w:eastAsia="Times New Roman"/>
                <w:color w:val="000000"/>
                <w:sz w:val="18"/>
                <w:szCs w:val="18"/>
              </w:rPr>
              <w:t>Total net revenue margi</w:t>
            </w:r>
            <w:r>
              <w:rPr>
                <w:rFonts w:eastAsia="Times New Roman"/>
                <w:color w:val="000000"/>
                <w:sz w:val="18"/>
                <w:szCs w:val="18"/>
              </w:rPr>
              <w:t>n</w:t>
            </w:r>
            <w:r>
              <w:rPr>
                <w:rFonts w:eastAsia="Times New Roman"/>
                <w:color w:val="000000"/>
                <w:sz w:val="12"/>
                <w:szCs w:val="12"/>
              </w:rPr>
              <w:t>(3</w:t>
            </w:r>
            <w:r>
              <w:rPr>
                <w:rFonts w:eastAsia="Times New Roman"/>
                <w:color w:val="000000"/>
                <w:sz w:val="12"/>
                <w:szCs w:val="12"/>
              </w:rPr>
              <w:t>)</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8.42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7.82%</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7.54%</w:t>
            </w:r>
          </w:p>
        </w:tc>
        <w:tc>
          <w:tcPr>
            <w:tcW w:w="0" w:type="auto"/>
            <w:gridSpan w:val="3"/>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60bps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28bps</w:t>
            </w:r>
          </w:p>
        </w:tc>
        <w:tc>
          <w:tcPr>
            <w:tcW w:w="0" w:type="auto"/>
            <w:vAlign w:val="center"/>
            <w:hideMark/>
          </w:tcPr>
          <w:p w:rsidR="00000000" w:rsidRDefault="0094004B">
            <w:pPr>
              <w:spacing w:after="100"/>
              <w:rPr>
                <w:rFonts w:eastAsia="Times New Roman"/>
                <w:sz w:val="20"/>
                <w:szCs w:val="20"/>
              </w:rPr>
            </w:pPr>
          </w:p>
        </w:tc>
      </w:tr>
      <w:tr w:rsidR="00000000">
        <w:trPr>
          <w:divId w:val="1499348605"/>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Net interest margin</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6.67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6.21</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6.06 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30" w:type="dxa"/>
              <w:left w:w="20" w:type="dxa"/>
              <w:bottom w:w="30" w:type="dxa"/>
              <w:right w:w="380" w:type="dxa"/>
            </w:tcMar>
            <w:vAlign w:val="bottom"/>
            <w:hideMark/>
          </w:tcPr>
          <w:p w:rsidR="00000000" w:rsidRDefault="0094004B">
            <w:pPr>
              <w:spacing w:after="100"/>
              <w:jc w:val="right"/>
              <w:rPr>
                <w:rFonts w:eastAsia="Times New Roman"/>
              </w:rPr>
            </w:pPr>
            <w:r>
              <w:rPr>
                <w:rFonts w:eastAsia="Times New Roman"/>
                <w:color w:val="000000"/>
                <w:sz w:val="18"/>
                <w:szCs w:val="18"/>
              </w:rPr>
              <w:t>46</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15 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499348605"/>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divId w:val="1274510603"/>
              <w:rPr>
                <w:rFonts w:eastAsia="Times New Roman"/>
              </w:rPr>
            </w:pPr>
            <w:r>
              <w:rPr>
                <w:rFonts w:eastAsia="Times New Roman"/>
                <w:color w:val="000000"/>
                <w:sz w:val="18"/>
                <w:szCs w:val="18"/>
              </w:rPr>
              <w:t>Return on average asset</w:t>
            </w:r>
            <w:r>
              <w:rPr>
                <w:rFonts w:eastAsia="Times New Roman"/>
                <w:color w:val="000000"/>
                <w:sz w:val="18"/>
                <w:szCs w:val="18"/>
              </w:rPr>
              <w:t>s</w:t>
            </w:r>
            <w:r>
              <w:rPr>
                <w:rFonts w:eastAsia="Times New Roman"/>
                <w:color w:val="000000"/>
                <w:sz w:val="12"/>
                <w:szCs w:val="12"/>
              </w:rPr>
              <w:t>(4</w:t>
            </w:r>
            <w:r>
              <w:rPr>
                <w:rFonts w:eastAsia="Times New Roman"/>
                <w:color w:val="000000"/>
                <w:sz w:val="12"/>
                <w:szCs w:val="12"/>
              </w:rPr>
              <w:t>)</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1.67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2.92</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0.66 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(125)</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226 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499348605"/>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divId w:val="942348277"/>
              <w:rPr>
                <w:rFonts w:eastAsia="Times New Roman"/>
              </w:rPr>
            </w:pPr>
            <w:r>
              <w:rPr>
                <w:rFonts w:eastAsia="Times New Roman"/>
                <w:color w:val="000000"/>
                <w:sz w:val="18"/>
                <w:szCs w:val="18"/>
              </w:rPr>
              <w:t>Return on average tangible asset</w:t>
            </w:r>
            <w:r>
              <w:rPr>
                <w:rFonts w:eastAsia="Times New Roman"/>
                <w:color w:val="000000"/>
                <w:sz w:val="18"/>
                <w:szCs w:val="18"/>
              </w:rPr>
              <w:t>s</w:t>
            </w:r>
            <w:r>
              <w:rPr>
                <w:rFonts w:eastAsia="Times New Roman"/>
                <w:color w:val="000000"/>
                <w:sz w:val="12"/>
                <w:szCs w:val="12"/>
              </w:rPr>
              <w:t>(5</w:t>
            </w:r>
            <w:r>
              <w:rPr>
                <w:rFonts w:eastAsia="Times New Roman"/>
                <w:color w:val="000000"/>
                <w:sz w:val="12"/>
                <w:szCs w:val="12"/>
              </w:rPr>
              <w:t>)</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1.73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3.03</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0.69 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(130)</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234 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499348605"/>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divId w:val="728847110"/>
              <w:rPr>
                <w:rFonts w:eastAsia="Times New Roman"/>
              </w:rPr>
            </w:pPr>
            <w:r>
              <w:rPr>
                <w:rFonts w:eastAsia="Times New Roman"/>
                <w:color w:val="000000"/>
                <w:sz w:val="18"/>
                <w:szCs w:val="18"/>
              </w:rPr>
              <w:t>Return on average common equit</w:t>
            </w:r>
            <w:r>
              <w:rPr>
                <w:rFonts w:eastAsia="Times New Roman"/>
                <w:color w:val="000000"/>
                <w:sz w:val="18"/>
                <w:szCs w:val="18"/>
              </w:rPr>
              <w:t>y</w:t>
            </w:r>
            <w:r>
              <w:rPr>
                <w:rFonts w:eastAsia="Times New Roman"/>
                <w:color w:val="000000"/>
                <w:sz w:val="12"/>
                <w:szCs w:val="12"/>
              </w:rPr>
              <w:t>(6</w:t>
            </w:r>
            <w:r>
              <w:rPr>
                <w:rFonts w:eastAsia="Times New Roman"/>
                <w:color w:val="000000"/>
                <w:sz w:val="12"/>
                <w:szCs w:val="12"/>
              </w:rPr>
              <w:t>)</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14.01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21.01</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4.49 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(7)%</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17%</w:t>
            </w:r>
          </w:p>
        </w:tc>
        <w:tc>
          <w:tcPr>
            <w:tcW w:w="0" w:type="auto"/>
            <w:vAlign w:val="center"/>
            <w:hideMark/>
          </w:tcPr>
          <w:p w:rsidR="00000000" w:rsidRDefault="0094004B">
            <w:pPr>
              <w:spacing w:after="100"/>
              <w:rPr>
                <w:rFonts w:eastAsia="Times New Roman"/>
                <w:sz w:val="20"/>
                <w:szCs w:val="20"/>
              </w:rPr>
            </w:pPr>
          </w:p>
        </w:tc>
      </w:tr>
      <w:tr w:rsidR="00000000">
        <w:trPr>
          <w:divId w:val="1499348605"/>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divId w:val="795830676"/>
              <w:rPr>
                <w:rFonts w:eastAsia="Times New Roman"/>
              </w:rPr>
            </w:pPr>
            <w:r>
              <w:rPr>
                <w:rFonts w:eastAsia="Times New Roman"/>
                <w:color w:val="000000"/>
                <w:sz w:val="18"/>
                <w:szCs w:val="18"/>
              </w:rPr>
              <w:t>Return on average tangible common equit</w:t>
            </w:r>
            <w:r>
              <w:rPr>
                <w:rFonts w:eastAsia="Times New Roman"/>
                <w:color w:val="000000"/>
                <w:sz w:val="18"/>
                <w:szCs w:val="18"/>
              </w:rPr>
              <w:t>y</w:t>
            </w:r>
            <w:r>
              <w:rPr>
                <w:rFonts w:eastAsia="Times New Roman"/>
                <w:color w:val="000000"/>
                <w:sz w:val="12"/>
                <w:szCs w:val="12"/>
              </w:rPr>
              <w:t>(7</w:t>
            </w:r>
            <w:r>
              <w:rPr>
                <w:rFonts w:eastAsia="Times New Roman"/>
                <w:color w:val="000000"/>
                <w:sz w:val="12"/>
                <w:szCs w:val="12"/>
              </w:rPr>
              <w:t>)</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19.91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28.39</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6.24 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30" w:type="dxa"/>
              <w:left w:w="20" w:type="dxa"/>
              <w:bottom w:w="30" w:type="dxa"/>
              <w:right w:w="380" w:type="dxa"/>
            </w:tcMar>
            <w:vAlign w:val="center"/>
            <w:hideMark/>
          </w:tcPr>
          <w:p w:rsidR="00000000" w:rsidRDefault="0094004B">
            <w:pPr>
              <w:spacing w:after="100"/>
              <w:jc w:val="right"/>
              <w:rPr>
                <w:rFonts w:eastAsia="Times New Roman"/>
              </w:rPr>
            </w:pPr>
            <w:r>
              <w:rPr>
                <w:rFonts w:eastAsia="Times New Roman"/>
                <w:color w:val="000000"/>
                <w:sz w:val="18"/>
                <w:szCs w:val="18"/>
              </w:rPr>
              <w:t>(8)</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22 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499348605"/>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divId w:val="1918636802"/>
              <w:rPr>
                <w:rFonts w:eastAsia="Times New Roman"/>
              </w:rPr>
            </w:pPr>
            <w:r>
              <w:rPr>
                <w:rFonts w:eastAsia="Times New Roman"/>
                <w:color w:val="000000"/>
                <w:sz w:val="18"/>
                <w:szCs w:val="18"/>
              </w:rPr>
              <w:t>Equity-to-assets rati</w:t>
            </w:r>
            <w:r>
              <w:rPr>
                <w:rFonts w:eastAsia="Times New Roman"/>
                <w:color w:val="000000"/>
                <w:sz w:val="18"/>
                <w:szCs w:val="18"/>
              </w:rPr>
              <w:t>o</w:t>
            </w:r>
            <w:r>
              <w:rPr>
                <w:rFonts w:eastAsia="Times New Roman"/>
                <w:color w:val="000000"/>
                <w:sz w:val="12"/>
                <w:szCs w:val="12"/>
              </w:rPr>
              <w:t>(8</w:t>
            </w:r>
            <w:r>
              <w:rPr>
                <w:rFonts w:eastAsia="Times New Roman"/>
                <w:color w:val="000000"/>
                <w:sz w:val="12"/>
                <w:szCs w:val="12"/>
              </w:rPr>
              <w:t>)</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12.51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14.74</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14.15 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(223)bps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59bps</w:t>
            </w:r>
          </w:p>
        </w:tc>
        <w:tc>
          <w:tcPr>
            <w:tcW w:w="0" w:type="auto"/>
            <w:vAlign w:val="center"/>
            <w:hideMark/>
          </w:tcPr>
          <w:p w:rsidR="00000000" w:rsidRDefault="0094004B">
            <w:pPr>
              <w:spacing w:after="100"/>
              <w:rPr>
                <w:rFonts w:eastAsia="Times New Roman"/>
                <w:sz w:val="20"/>
                <w:szCs w:val="20"/>
              </w:rPr>
            </w:pPr>
          </w:p>
        </w:tc>
      </w:tr>
      <w:tr w:rsidR="00000000">
        <w:trPr>
          <w:divId w:val="1499348605"/>
        </w:trPr>
        <w:tc>
          <w:tcPr>
            <w:tcW w:w="0" w:type="auto"/>
            <w:gridSpan w:val="3"/>
            <w:vAlign w:val="center"/>
            <w:hideMark/>
          </w:tcPr>
          <w:p w:rsidR="00000000" w:rsidRDefault="0094004B">
            <w:pPr>
              <w:spacing w:after="100"/>
              <w:jc w:val="right"/>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2"/>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1499348605"/>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divId w:val="885288793"/>
              <w:rPr>
                <w:rFonts w:eastAsia="Times New Roman"/>
              </w:rPr>
            </w:pPr>
            <w:r>
              <w:rPr>
                <w:rFonts w:eastAsia="Times New Roman"/>
                <w:color w:val="000000"/>
                <w:sz w:val="18"/>
                <w:szCs w:val="18"/>
              </w:rPr>
              <w:t>Efficiency rati</w:t>
            </w:r>
            <w:r>
              <w:rPr>
                <w:rFonts w:eastAsia="Times New Roman"/>
                <w:color w:val="000000"/>
                <w:sz w:val="18"/>
                <w:szCs w:val="18"/>
              </w:rPr>
              <w:t>o</w:t>
            </w:r>
            <w:r>
              <w:rPr>
                <w:rFonts w:eastAsia="Times New Roman"/>
                <w:color w:val="000000"/>
                <w:sz w:val="12"/>
                <w:szCs w:val="12"/>
              </w:rPr>
              <w:t>(9</w:t>
            </w:r>
            <w:r>
              <w:rPr>
                <w:rFonts w:eastAsia="Times New Roman"/>
                <w:color w:val="000000"/>
                <w:sz w:val="12"/>
                <w:szCs w:val="12"/>
              </w:rPr>
              <w:t>)</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55.95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54.44</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52.79 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151</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165 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1499348605"/>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divId w:val="1145048609"/>
              <w:rPr>
                <w:rFonts w:eastAsia="Times New Roman"/>
              </w:rPr>
            </w:pPr>
            <w:r>
              <w:rPr>
                <w:rFonts w:eastAsia="Times New Roman"/>
                <w:color w:val="000000"/>
                <w:sz w:val="18"/>
                <w:szCs w:val="18"/>
              </w:rPr>
              <w:t>Operating efficiency rati</w:t>
            </w:r>
            <w:r>
              <w:rPr>
                <w:rFonts w:eastAsia="Times New Roman"/>
                <w:color w:val="000000"/>
                <w:sz w:val="18"/>
                <w:szCs w:val="18"/>
              </w:rPr>
              <w:t>o</w:t>
            </w:r>
            <w:r>
              <w:rPr>
                <w:rFonts w:eastAsia="Times New Roman"/>
                <w:color w:val="000000"/>
                <w:sz w:val="12"/>
                <w:szCs w:val="12"/>
              </w:rPr>
              <w:t>(10</w:t>
            </w:r>
            <w:r>
              <w:rPr>
                <w:rFonts w:eastAsia="Times New Roman"/>
                <w:color w:val="000000"/>
                <w:sz w:val="12"/>
                <w:szCs w:val="12"/>
              </w:rPr>
              <w:t>)</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44.22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45.01</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47.14 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(79)</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(213)</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499348605"/>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divId w:val="591158655"/>
              <w:rPr>
                <w:rFonts w:eastAsia="Times New Roman"/>
              </w:rPr>
            </w:pPr>
            <w:r>
              <w:rPr>
                <w:rFonts w:eastAsia="Times New Roman"/>
                <w:color w:val="000000"/>
                <w:sz w:val="18"/>
                <w:szCs w:val="18"/>
              </w:rPr>
              <w:t>Adjusted operating efficiency rati</w:t>
            </w:r>
            <w:r>
              <w:rPr>
                <w:rFonts w:eastAsia="Times New Roman"/>
                <w:color w:val="000000"/>
                <w:sz w:val="18"/>
                <w:szCs w:val="18"/>
              </w:rPr>
              <w:t>o</w:t>
            </w:r>
            <w:r>
              <w:rPr>
                <w:rFonts w:eastAsia="Times New Roman"/>
                <w:color w:val="000000"/>
                <w:sz w:val="12"/>
                <w:szCs w:val="12"/>
              </w:rPr>
              <w:t>(11</w:t>
            </w:r>
            <w:r>
              <w:rPr>
                <w:rFonts w:eastAsia="Times New Roman"/>
                <w:color w:val="000000"/>
                <w:sz w:val="12"/>
                <w:szCs w:val="12"/>
              </w:rPr>
              <w:t>)</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44.53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44.68</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46.01 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(15)</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(133)</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499348605"/>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Effective income tax rate from continuing operations</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20.3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21.6</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15.2 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(130)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6%</w:t>
            </w:r>
          </w:p>
        </w:tc>
        <w:tc>
          <w:tcPr>
            <w:tcW w:w="0" w:type="auto"/>
            <w:vAlign w:val="center"/>
            <w:hideMark/>
          </w:tcPr>
          <w:p w:rsidR="00000000" w:rsidRDefault="0094004B">
            <w:pPr>
              <w:spacing w:after="100"/>
              <w:rPr>
                <w:rFonts w:eastAsia="Times New Roman"/>
                <w:sz w:val="20"/>
                <w:szCs w:val="20"/>
              </w:rPr>
            </w:pPr>
          </w:p>
        </w:tc>
      </w:tr>
      <w:tr w:rsidR="00000000">
        <w:trPr>
          <w:divId w:val="1499348605"/>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Net charge-offs</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3,973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2"/>
            <w:shd w:val="clear" w:color="auto" w:fill="CCEEFF"/>
            <w:tcMar>
              <w:top w:w="30" w:type="dxa"/>
              <w:left w:w="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2,234</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5,225 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78%</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(57)</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499348605"/>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Net charge-off rate</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1.36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0.88%</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2.06%</w:t>
            </w:r>
          </w:p>
        </w:tc>
        <w:tc>
          <w:tcPr>
            <w:tcW w:w="0" w:type="auto"/>
            <w:gridSpan w:val="3"/>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48bps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(118)</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8"/>
                <w:szCs w:val="18"/>
              </w:rPr>
              <w:t>bps</w:t>
            </w:r>
          </w:p>
        </w:tc>
      </w:tr>
    </w:tbl>
    <w:p w:rsidR="00000000" w:rsidRDefault="0094004B">
      <w:pPr>
        <w:divId w:val="1499348605"/>
        <w:rPr>
          <w:rFonts w:eastAsia="Times New Roman"/>
        </w:rPr>
      </w:pPr>
      <w:r>
        <w:rPr>
          <w:rFonts w:eastAsia="Times New Roman"/>
          <w:color w:val="000000"/>
          <w:sz w:val="20"/>
          <w:szCs w:val="20"/>
        </w:rPr>
        <w:t>    </w:t>
      </w:r>
    </w:p>
    <w:tbl>
      <w:tblPr>
        <w:tblW w:w="5000" w:type="pct"/>
        <w:tblCellMar>
          <w:top w:w="15" w:type="dxa"/>
          <w:left w:w="15" w:type="dxa"/>
          <w:bottom w:w="15" w:type="dxa"/>
          <w:right w:w="15" w:type="dxa"/>
        </w:tblCellMar>
        <w:tblLook w:val="04A0" w:firstRow="1" w:lastRow="0" w:firstColumn="1" w:lastColumn="0" w:noHBand="0" w:noVBand="1"/>
      </w:tblPr>
      <w:tblGrid>
        <w:gridCol w:w="41"/>
        <w:gridCol w:w="2899"/>
        <w:gridCol w:w="40"/>
        <w:gridCol w:w="36"/>
        <w:gridCol w:w="36"/>
        <w:gridCol w:w="36"/>
        <w:gridCol w:w="36"/>
        <w:gridCol w:w="36"/>
        <w:gridCol w:w="36"/>
        <w:gridCol w:w="36"/>
        <w:gridCol w:w="36"/>
        <w:gridCol w:w="36"/>
        <w:gridCol w:w="111"/>
        <w:gridCol w:w="717"/>
        <w:gridCol w:w="200"/>
        <w:gridCol w:w="36"/>
        <w:gridCol w:w="36"/>
        <w:gridCol w:w="36"/>
        <w:gridCol w:w="111"/>
        <w:gridCol w:w="717"/>
        <w:gridCol w:w="36"/>
        <w:gridCol w:w="36"/>
        <w:gridCol w:w="36"/>
        <w:gridCol w:w="36"/>
        <w:gridCol w:w="110"/>
        <w:gridCol w:w="630"/>
        <w:gridCol w:w="36"/>
        <w:gridCol w:w="36"/>
        <w:gridCol w:w="36"/>
        <w:gridCol w:w="36"/>
        <w:gridCol w:w="36"/>
        <w:gridCol w:w="36"/>
        <w:gridCol w:w="36"/>
        <w:gridCol w:w="36"/>
        <w:gridCol w:w="74"/>
        <w:gridCol w:w="527"/>
        <w:gridCol w:w="274"/>
        <w:gridCol w:w="37"/>
        <w:gridCol w:w="36"/>
        <w:gridCol w:w="36"/>
        <w:gridCol w:w="83"/>
        <w:gridCol w:w="528"/>
        <w:gridCol w:w="271"/>
      </w:tblGrid>
      <w:tr w:rsidR="00000000">
        <w:trPr>
          <w:divId w:val="1499348605"/>
        </w:trPr>
        <w:tc>
          <w:tcPr>
            <w:tcW w:w="50" w:type="pct"/>
            <w:vAlign w:val="center"/>
            <w:hideMark/>
          </w:tcPr>
          <w:p w:rsidR="00000000" w:rsidRDefault="0094004B">
            <w:pPr>
              <w:rPr>
                <w:rFonts w:eastAsia="Times New Roman"/>
              </w:rPr>
            </w:pPr>
          </w:p>
        </w:tc>
        <w:tc>
          <w:tcPr>
            <w:tcW w:w="255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20"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20"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20"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5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18"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499348605"/>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December 31,</w:t>
            </w:r>
          </w:p>
        </w:tc>
        <w:tc>
          <w:tcPr>
            <w:tcW w:w="0" w:type="auto"/>
            <w:vAlign w:val="center"/>
            <w:hideMark/>
          </w:tcPr>
          <w:p w:rsidR="00000000" w:rsidRDefault="0094004B">
            <w:pPr>
              <w:spacing w:after="100"/>
              <w:jc w:val="center"/>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8"/>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Change</w:t>
            </w:r>
          </w:p>
        </w:tc>
        <w:tc>
          <w:tcPr>
            <w:tcW w:w="0" w:type="auto"/>
            <w:vAlign w:val="center"/>
            <w:hideMark/>
          </w:tcPr>
          <w:p w:rsidR="00000000" w:rsidRDefault="0094004B">
            <w:pPr>
              <w:spacing w:after="100"/>
              <w:rPr>
                <w:rFonts w:eastAsia="Times New Roman"/>
                <w:sz w:val="20"/>
                <w:szCs w:val="20"/>
              </w:rPr>
            </w:pPr>
          </w:p>
        </w:tc>
      </w:tr>
      <w:tr w:rsidR="00000000">
        <w:trPr>
          <w:divId w:val="1499348605"/>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(Dollars in millions, except as noted)</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2020</w:t>
            </w:r>
          </w:p>
        </w:tc>
        <w:tc>
          <w:tcPr>
            <w:tcW w:w="0" w:type="auto"/>
            <w:vAlign w:val="center"/>
            <w:hideMark/>
          </w:tcPr>
          <w:p w:rsidR="00000000" w:rsidRDefault="0094004B">
            <w:pPr>
              <w:spacing w:after="100"/>
              <w:jc w:val="center"/>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2022 vs.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2"/>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2021 vs. 2020</w:t>
            </w:r>
          </w:p>
        </w:tc>
        <w:tc>
          <w:tcPr>
            <w:tcW w:w="0" w:type="auto"/>
            <w:vAlign w:val="center"/>
            <w:hideMark/>
          </w:tcPr>
          <w:p w:rsidR="00000000" w:rsidRDefault="0094004B">
            <w:pPr>
              <w:spacing w:after="100"/>
              <w:rPr>
                <w:rFonts w:eastAsia="Times New Roman"/>
                <w:sz w:val="20"/>
                <w:szCs w:val="20"/>
              </w:rPr>
            </w:pPr>
          </w:p>
        </w:tc>
      </w:tr>
      <w:tr w:rsidR="00000000">
        <w:trPr>
          <w:divId w:val="1499348605"/>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18"/>
                <w:szCs w:val="18"/>
              </w:rPr>
              <w:t>Balance sheet (period-end)</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 </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1499348605"/>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Loans held for investment</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2"/>
            <w:shd w:val="clear" w:color="auto" w:fill="FFFF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312,331</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277,340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251,624 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vAlign w:val="center"/>
            <w:hideMark/>
          </w:tcPr>
          <w:p w:rsidR="00000000" w:rsidRDefault="0094004B">
            <w:pPr>
              <w:spacing w:after="100"/>
              <w:jc w:val="right"/>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13%</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10%</w:t>
            </w:r>
          </w:p>
        </w:tc>
        <w:tc>
          <w:tcPr>
            <w:tcW w:w="0" w:type="auto"/>
            <w:vAlign w:val="center"/>
            <w:hideMark/>
          </w:tcPr>
          <w:p w:rsidR="00000000" w:rsidRDefault="0094004B">
            <w:pPr>
              <w:spacing w:after="100"/>
              <w:rPr>
                <w:rFonts w:eastAsia="Times New Roman"/>
                <w:sz w:val="20"/>
                <w:szCs w:val="20"/>
              </w:rPr>
            </w:pPr>
          </w:p>
        </w:tc>
      </w:tr>
      <w:tr w:rsidR="00000000">
        <w:trPr>
          <w:divId w:val="1499348605"/>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Interest-earning assets</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427,248</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397,341</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388,917 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vAlign w:val="center"/>
            <w:hideMark/>
          </w:tcPr>
          <w:p w:rsidR="00000000" w:rsidRDefault="0094004B">
            <w:pPr>
              <w:spacing w:after="100"/>
              <w:jc w:val="right"/>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8 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499348605"/>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Total assets</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455,249</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432,381</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421,602 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vAlign w:val="center"/>
            <w:hideMark/>
          </w:tcPr>
          <w:p w:rsidR="00000000" w:rsidRDefault="0094004B">
            <w:pPr>
              <w:spacing w:after="100"/>
              <w:jc w:val="right"/>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5 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499348605"/>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Interest-bearing deposits</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300,789</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272,937</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274,300 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vAlign w:val="center"/>
            <w:hideMark/>
          </w:tcPr>
          <w:p w:rsidR="00000000" w:rsidRDefault="0094004B">
            <w:pPr>
              <w:spacing w:after="100"/>
              <w:jc w:val="right"/>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499348605"/>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Total deposits</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332,992</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310,980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305,442 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vAlign w:val="center"/>
            <w:hideMark/>
          </w:tcPr>
          <w:p w:rsidR="00000000" w:rsidRDefault="0094004B">
            <w:pPr>
              <w:spacing w:after="100"/>
              <w:jc w:val="right"/>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7 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499348605"/>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Borrowings</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48,715</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43,086</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40,539 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vAlign w:val="center"/>
            <w:hideMark/>
          </w:tcPr>
          <w:p w:rsidR="00000000" w:rsidRDefault="0094004B">
            <w:pPr>
              <w:spacing w:after="100"/>
              <w:jc w:val="right"/>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13 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6 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499348605"/>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Common equity</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47,737</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56,184</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55,356 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vAlign w:val="center"/>
            <w:hideMark/>
          </w:tcPr>
          <w:p w:rsidR="00000000" w:rsidRDefault="0094004B">
            <w:pPr>
              <w:spacing w:after="100"/>
              <w:jc w:val="right"/>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(15)</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499348605"/>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Total stockholders’ equity</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52,582</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61,029</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60,204 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vAlign w:val="center"/>
            <w:hideMark/>
          </w:tcPr>
          <w:p w:rsidR="00000000" w:rsidRDefault="0094004B">
            <w:pPr>
              <w:spacing w:after="100"/>
              <w:jc w:val="right"/>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(14)</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499348605"/>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18"/>
                <w:szCs w:val="18"/>
              </w:rPr>
              <w:t>Credit quality metrics</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1499348605"/>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Allowance for credit losses</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2"/>
            <w:shd w:val="clear" w:color="auto" w:fill="CCEE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13,240</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2"/>
            <w:shd w:val="clear" w:color="auto" w:fill="CCEE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11,430</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2"/>
            <w:shd w:val="clear" w:color="auto" w:fill="CCEE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15,564</w:t>
            </w:r>
          </w:p>
        </w:tc>
        <w:tc>
          <w:tcPr>
            <w:tcW w:w="0" w:type="auto"/>
            <w:vAlign w:val="center"/>
            <w:hideMark/>
          </w:tcPr>
          <w:p w:rsidR="00000000" w:rsidRDefault="0094004B">
            <w:pPr>
              <w:spacing w:after="100"/>
              <w:jc w:val="right"/>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16%</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(27)%</w:t>
            </w:r>
          </w:p>
        </w:tc>
        <w:tc>
          <w:tcPr>
            <w:tcW w:w="0" w:type="auto"/>
            <w:vAlign w:val="center"/>
            <w:hideMark/>
          </w:tcPr>
          <w:p w:rsidR="00000000" w:rsidRDefault="0094004B">
            <w:pPr>
              <w:spacing w:after="100"/>
              <w:rPr>
                <w:rFonts w:eastAsia="Times New Roman"/>
                <w:sz w:val="20"/>
                <w:szCs w:val="20"/>
              </w:rPr>
            </w:pPr>
          </w:p>
        </w:tc>
      </w:tr>
      <w:tr w:rsidR="00000000">
        <w:trPr>
          <w:divId w:val="1499348605"/>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Allowance as a percentage of loans held for investment (“allowance coverage ratio”)</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4.24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4.12%</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6.19%</w:t>
            </w:r>
          </w:p>
        </w:tc>
        <w:tc>
          <w:tcPr>
            <w:tcW w:w="0" w:type="auto"/>
            <w:vAlign w:val="center"/>
            <w:hideMark/>
          </w:tcPr>
          <w:p w:rsidR="00000000" w:rsidRDefault="0094004B">
            <w:pPr>
              <w:spacing w:after="100"/>
              <w:jc w:val="right"/>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12 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8"/>
                <w:szCs w:val="18"/>
              </w:rPr>
              <w:t>bps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(207)</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8"/>
                <w:szCs w:val="18"/>
              </w:rPr>
              <w:t>bps</w:t>
            </w:r>
          </w:p>
        </w:tc>
      </w:tr>
      <w:tr w:rsidR="00000000">
        <w:trPr>
          <w:divId w:val="1499348605"/>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30+ day performing delinquency rate</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2.96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2.25</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2.41</w:t>
            </w:r>
          </w:p>
        </w:tc>
        <w:tc>
          <w:tcPr>
            <w:tcW w:w="0" w:type="auto"/>
            <w:vAlign w:val="center"/>
            <w:hideMark/>
          </w:tcPr>
          <w:p w:rsidR="00000000" w:rsidRDefault="0094004B">
            <w:pPr>
              <w:spacing w:after="100"/>
              <w:jc w:val="right"/>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71 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(16)</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499348605"/>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30+ day delinquency rate</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3.21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2.41</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2.61</w:t>
            </w:r>
          </w:p>
        </w:tc>
        <w:tc>
          <w:tcPr>
            <w:tcW w:w="0" w:type="auto"/>
            <w:vAlign w:val="center"/>
            <w:hideMark/>
          </w:tcPr>
          <w:p w:rsidR="00000000" w:rsidRDefault="0094004B">
            <w:pPr>
              <w:spacing w:after="100"/>
              <w:jc w:val="right"/>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80 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(20)</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499348605"/>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18"/>
                <w:szCs w:val="18"/>
              </w:rPr>
              <w:t>Capital ratios</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b/>
                <w:bCs/>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14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1499348605"/>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divId w:val="507790413"/>
              <w:rPr>
                <w:rFonts w:eastAsia="Times New Roman"/>
              </w:rPr>
            </w:pPr>
            <w:r>
              <w:rPr>
                <w:rFonts w:eastAsia="Times New Roman"/>
                <w:color w:val="000000"/>
                <w:sz w:val="18"/>
                <w:szCs w:val="18"/>
              </w:rPr>
              <w:t>Common equity Tier 1 capita</w:t>
            </w:r>
            <w:r>
              <w:rPr>
                <w:rFonts w:eastAsia="Times New Roman"/>
                <w:color w:val="000000"/>
                <w:sz w:val="18"/>
                <w:szCs w:val="18"/>
              </w:rPr>
              <w:t>l</w:t>
            </w:r>
            <w:r>
              <w:rPr>
                <w:rFonts w:eastAsia="Times New Roman"/>
                <w:color w:val="000000"/>
                <w:sz w:val="12"/>
                <w:szCs w:val="12"/>
              </w:rPr>
              <w:t>(12</w:t>
            </w:r>
            <w:r>
              <w:rPr>
                <w:rFonts w:eastAsia="Times New Roman"/>
                <w:color w:val="000000"/>
                <w:sz w:val="12"/>
                <w:szCs w:val="12"/>
              </w:rPr>
              <w:t>)</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12.5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13.1%</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13.7%</w:t>
            </w:r>
          </w:p>
        </w:tc>
        <w:tc>
          <w:tcPr>
            <w:tcW w:w="0" w:type="auto"/>
            <w:vAlign w:val="center"/>
            <w:hideMark/>
          </w:tcPr>
          <w:p w:rsidR="00000000" w:rsidRDefault="0094004B">
            <w:pPr>
              <w:spacing w:after="100"/>
              <w:jc w:val="right"/>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(60)</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8"/>
                <w:szCs w:val="18"/>
              </w:rPr>
              <w:t>bps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(60)</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8"/>
                <w:szCs w:val="18"/>
              </w:rPr>
              <w:t>bps</w:t>
            </w:r>
          </w:p>
        </w:tc>
      </w:tr>
      <w:tr w:rsidR="00000000">
        <w:trPr>
          <w:divId w:val="1499348605"/>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divId w:val="1251501390"/>
              <w:rPr>
                <w:rFonts w:eastAsia="Times New Roman"/>
              </w:rPr>
            </w:pPr>
            <w:r>
              <w:rPr>
                <w:rFonts w:eastAsia="Times New Roman"/>
                <w:color w:val="000000"/>
                <w:sz w:val="18"/>
                <w:szCs w:val="18"/>
              </w:rPr>
              <w:t>Tier 1 capita</w:t>
            </w:r>
            <w:r>
              <w:rPr>
                <w:rFonts w:eastAsia="Times New Roman"/>
                <w:color w:val="000000"/>
                <w:sz w:val="18"/>
                <w:szCs w:val="18"/>
              </w:rPr>
              <w:t>l</w:t>
            </w:r>
            <w:r>
              <w:rPr>
                <w:rFonts w:eastAsia="Times New Roman"/>
                <w:color w:val="000000"/>
                <w:sz w:val="12"/>
                <w:szCs w:val="12"/>
              </w:rPr>
              <w:t>(12</w:t>
            </w:r>
            <w:r>
              <w:rPr>
                <w:rFonts w:eastAsia="Times New Roman"/>
                <w:color w:val="000000"/>
                <w:sz w:val="12"/>
                <w:szCs w:val="12"/>
              </w:rPr>
              <w:t>)</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13.9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14.5</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15.3</w:t>
            </w:r>
          </w:p>
        </w:tc>
        <w:tc>
          <w:tcPr>
            <w:tcW w:w="0" w:type="auto"/>
            <w:vAlign w:val="center"/>
            <w:hideMark/>
          </w:tcPr>
          <w:p w:rsidR="00000000" w:rsidRDefault="0094004B">
            <w:pPr>
              <w:spacing w:after="100"/>
              <w:jc w:val="right"/>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(60)</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(80)</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499348605"/>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divId w:val="391931662"/>
              <w:rPr>
                <w:rFonts w:eastAsia="Times New Roman"/>
              </w:rPr>
            </w:pPr>
            <w:r>
              <w:rPr>
                <w:rFonts w:eastAsia="Times New Roman"/>
                <w:color w:val="000000"/>
                <w:sz w:val="18"/>
                <w:szCs w:val="18"/>
              </w:rPr>
              <w:t>Total capita</w:t>
            </w:r>
            <w:r>
              <w:rPr>
                <w:rFonts w:eastAsia="Times New Roman"/>
                <w:color w:val="000000"/>
                <w:sz w:val="18"/>
                <w:szCs w:val="18"/>
              </w:rPr>
              <w:t>l</w:t>
            </w:r>
            <w:r>
              <w:rPr>
                <w:rFonts w:eastAsia="Times New Roman"/>
                <w:color w:val="000000"/>
                <w:sz w:val="12"/>
                <w:szCs w:val="12"/>
              </w:rPr>
              <w:t>(12</w:t>
            </w:r>
            <w:r>
              <w:rPr>
                <w:rFonts w:eastAsia="Times New Roman"/>
                <w:color w:val="000000"/>
                <w:sz w:val="12"/>
                <w:szCs w:val="12"/>
              </w:rPr>
              <w:t>)</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15.8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16.9</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17.7</w:t>
            </w:r>
          </w:p>
        </w:tc>
        <w:tc>
          <w:tcPr>
            <w:tcW w:w="0" w:type="auto"/>
            <w:vAlign w:val="center"/>
            <w:hideMark/>
          </w:tcPr>
          <w:p w:rsidR="00000000" w:rsidRDefault="0094004B">
            <w:pPr>
              <w:spacing w:after="100"/>
              <w:jc w:val="right"/>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(110)</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(80)</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499348605"/>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divId w:val="737554525"/>
              <w:rPr>
                <w:rFonts w:eastAsia="Times New Roman"/>
              </w:rPr>
            </w:pPr>
            <w:r>
              <w:rPr>
                <w:rFonts w:eastAsia="Times New Roman"/>
                <w:color w:val="000000"/>
                <w:sz w:val="18"/>
                <w:szCs w:val="18"/>
              </w:rPr>
              <w:t>Tier 1 leverag</w:t>
            </w:r>
            <w:r>
              <w:rPr>
                <w:rFonts w:eastAsia="Times New Roman"/>
                <w:color w:val="000000"/>
                <w:sz w:val="18"/>
                <w:szCs w:val="18"/>
              </w:rPr>
              <w:t>e</w:t>
            </w:r>
            <w:r>
              <w:rPr>
                <w:rFonts w:eastAsia="Times New Roman"/>
                <w:color w:val="000000"/>
                <w:sz w:val="12"/>
                <w:szCs w:val="12"/>
              </w:rPr>
              <w:t>(12</w:t>
            </w:r>
            <w:r>
              <w:rPr>
                <w:rFonts w:eastAsia="Times New Roman"/>
                <w:color w:val="000000"/>
                <w:sz w:val="12"/>
                <w:szCs w:val="12"/>
              </w:rPr>
              <w:t>)</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11.1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11.6</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11.2</w:t>
            </w:r>
          </w:p>
        </w:tc>
        <w:tc>
          <w:tcPr>
            <w:tcW w:w="0" w:type="auto"/>
            <w:vAlign w:val="center"/>
            <w:hideMark/>
          </w:tcPr>
          <w:p w:rsidR="00000000" w:rsidRDefault="0094004B">
            <w:pPr>
              <w:spacing w:after="100"/>
              <w:jc w:val="right"/>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(50)</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499348605"/>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divId w:val="105083094"/>
              <w:rPr>
                <w:rFonts w:eastAsia="Times New Roman"/>
              </w:rPr>
            </w:pPr>
            <w:r>
              <w:rPr>
                <w:rFonts w:eastAsia="Times New Roman"/>
                <w:color w:val="000000"/>
                <w:sz w:val="18"/>
                <w:szCs w:val="18"/>
              </w:rPr>
              <w:t>Tangible common equit</w:t>
            </w:r>
            <w:r>
              <w:rPr>
                <w:rFonts w:eastAsia="Times New Roman"/>
                <w:color w:val="000000"/>
                <w:sz w:val="18"/>
                <w:szCs w:val="18"/>
              </w:rPr>
              <w:t>y</w:t>
            </w:r>
            <w:r>
              <w:rPr>
                <w:rFonts w:eastAsia="Times New Roman"/>
                <w:color w:val="000000"/>
                <w:sz w:val="12"/>
                <w:szCs w:val="12"/>
              </w:rPr>
              <w:t>(13</w:t>
            </w:r>
            <w:r>
              <w:rPr>
                <w:rFonts w:eastAsia="Times New Roman"/>
                <w:color w:val="000000"/>
                <w:sz w:val="12"/>
                <w:szCs w:val="12"/>
              </w:rPr>
              <w:t>)</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7.5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9.9</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10.0</w:t>
            </w:r>
          </w:p>
        </w:tc>
        <w:tc>
          <w:tcPr>
            <w:tcW w:w="0" w:type="auto"/>
            <w:vAlign w:val="center"/>
            <w:hideMark/>
          </w:tcPr>
          <w:p w:rsidR="00000000" w:rsidRDefault="0094004B">
            <w:pPr>
              <w:spacing w:after="100"/>
              <w:jc w:val="right"/>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(240)</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(10)</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499348605"/>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divId w:val="2040545130"/>
              <w:rPr>
                <w:rFonts w:eastAsia="Times New Roman"/>
              </w:rPr>
            </w:pPr>
            <w:r>
              <w:rPr>
                <w:rFonts w:eastAsia="Times New Roman"/>
                <w:color w:val="000000"/>
                <w:sz w:val="18"/>
                <w:szCs w:val="18"/>
              </w:rPr>
              <w:t>Supplementary leverag</w:t>
            </w:r>
            <w:r>
              <w:rPr>
                <w:rFonts w:eastAsia="Times New Roman"/>
                <w:color w:val="000000"/>
                <w:sz w:val="18"/>
                <w:szCs w:val="18"/>
              </w:rPr>
              <w:t>e</w:t>
            </w:r>
            <w:r>
              <w:rPr>
                <w:rFonts w:eastAsia="Times New Roman"/>
                <w:color w:val="000000"/>
                <w:sz w:val="12"/>
                <w:szCs w:val="12"/>
              </w:rPr>
              <w:t>(12)(14</w:t>
            </w:r>
            <w:r>
              <w:rPr>
                <w:rFonts w:eastAsia="Times New Roman"/>
                <w:color w:val="000000"/>
                <w:sz w:val="12"/>
                <w:szCs w:val="12"/>
              </w:rPr>
              <w:t>)</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9.5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9.9</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10.7</w:t>
            </w:r>
          </w:p>
        </w:tc>
        <w:tc>
          <w:tcPr>
            <w:tcW w:w="0" w:type="auto"/>
            <w:vAlign w:val="center"/>
            <w:hideMark/>
          </w:tcPr>
          <w:p w:rsidR="00000000" w:rsidRDefault="0094004B">
            <w:pPr>
              <w:spacing w:after="100"/>
              <w:jc w:val="right"/>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(40)</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(80)</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499348605"/>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18"/>
                <w:szCs w:val="18"/>
              </w:rPr>
              <w:t>Other</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6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60" w:type="dxa"/>
            </w:tcMar>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94004B">
            <w:pPr>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46</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072" style="width:0;height:1.5pt" o:hralign="center" o:hrstd="t" o:hr="t" fillcolor="#a0a0a0" stroked="f"/>
        </w:pict>
      </w:r>
    </w:p>
    <w:p w:rsidR="00000000" w:rsidRDefault="0094004B">
      <w:pPr>
        <w:ind w:hanging="360"/>
        <w:jc w:val="both"/>
        <w:divId w:val="1500998024"/>
        <w:rPr>
          <w:rFonts w:eastAsia="Times New Roman"/>
        </w:rPr>
      </w:pPr>
      <w:hyperlink w:anchor="ia820611622d9441b977884dac00e0ebd_16"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8"/>
        <w:gridCol w:w="4000"/>
        <w:gridCol w:w="37"/>
        <w:gridCol w:w="36"/>
        <w:gridCol w:w="36"/>
        <w:gridCol w:w="36"/>
        <w:gridCol w:w="36"/>
        <w:gridCol w:w="36"/>
        <w:gridCol w:w="36"/>
        <w:gridCol w:w="36"/>
        <w:gridCol w:w="36"/>
        <w:gridCol w:w="36"/>
        <w:gridCol w:w="41"/>
        <w:gridCol w:w="591"/>
        <w:gridCol w:w="37"/>
        <w:gridCol w:w="37"/>
        <w:gridCol w:w="37"/>
        <w:gridCol w:w="37"/>
        <w:gridCol w:w="63"/>
        <w:gridCol w:w="569"/>
        <w:gridCol w:w="36"/>
        <w:gridCol w:w="36"/>
        <w:gridCol w:w="36"/>
        <w:gridCol w:w="36"/>
        <w:gridCol w:w="63"/>
        <w:gridCol w:w="573"/>
        <w:gridCol w:w="36"/>
        <w:gridCol w:w="36"/>
        <w:gridCol w:w="36"/>
        <w:gridCol w:w="36"/>
        <w:gridCol w:w="36"/>
        <w:gridCol w:w="36"/>
        <w:gridCol w:w="36"/>
        <w:gridCol w:w="36"/>
        <w:gridCol w:w="75"/>
        <w:gridCol w:w="528"/>
        <w:gridCol w:w="38"/>
        <w:gridCol w:w="37"/>
        <w:gridCol w:w="36"/>
        <w:gridCol w:w="36"/>
        <w:gridCol w:w="87"/>
        <w:gridCol w:w="554"/>
        <w:gridCol w:w="36"/>
      </w:tblGrid>
      <w:tr w:rsidR="00000000">
        <w:trPr>
          <w:divId w:val="171068612"/>
        </w:trPr>
        <w:tc>
          <w:tcPr>
            <w:tcW w:w="50" w:type="pct"/>
            <w:vAlign w:val="center"/>
            <w:hideMark/>
          </w:tcPr>
          <w:p w:rsidR="00000000" w:rsidRDefault="0094004B">
            <w:pPr>
              <w:ind w:hanging="360"/>
              <w:jc w:val="both"/>
              <w:rPr>
                <w:rFonts w:eastAsia="Times New Roman"/>
              </w:rPr>
            </w:pPr>
          </w:p>
        </w:tc>
        <w:tc>
          <w:tcPr>
            <w:tcW w:w="255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20"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20"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20"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5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18"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71068612"/>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December 31,</w:t>
            </w:r>
          </w:p>
        </w:tc>
        <w:tc>
          <w:tcPr>
            <w:tcW w:w="0" w:type="auto"/>
            <w:vAlign w:val="center"/>
            <w:hideMark/>
          </w:tcPr>
          <w:p w:rsidR="00000000" w:rsidRDefault="0094004B">
            <w:pPr>
              <w:spacing w:after="100"/>
              <w:jc w:val="center"/>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8"/>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Change</w:t>
            </w:r>
          </w:p>
        </w:tc>
        <w:tc>
          <w:tcPr>
            <w:tcW w:w="0" w:type="auto"/>
            <w:vAlign w:val="center"/>
            <w:hideMark/>
          </w:tcPr>
          <w:p w:rsidR="00000000" w:rsidRDefault="0094004B">
            <w:pPr>
              <w:spacing w:after="100"/>
              <w:rPr>
                <w:rFonts w:eastAsia="Times New Roman"/>
                <w:sz w:val="20"/>
                <w:szCs w:val="20"/>
              </w:rPr>
            </w:pPr>
          </w:p>
        </w:tc>
      </w:tr>
      <w:tr w:rsidR="00000000">
        <w:trPr>
          <w:divId w:val="171068612"/>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(Dollars in millions, except as noted)</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2020</w:t>
            </w:r>
          </w:p>
        </w:tc>
        <w:tc>
          <w:tcPr>
            <w:tcW w:w="0" w:type="auto"/>
            <w:vAlign w:val="center"/>
            <w:hideMark/>
          </w:tcPr>
          <w:p w:rsidR="00000000" w:rsidRDefault="0094004B">
            <w:pPr>
              <w:spacing w:after="100"/>
              <w:jc w:val="center"/>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2022 vs.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2"/>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2021 vs. 2020</w:t>
            </w:r>
          </w:p>
        </w:tc>
        <w:tc>
          <w:tcPr>
            <w:tcW w:w="0" w:type="auto"/>
            <w:vAlign w:val="center"/>
            <w:hideMark/>
          </w:tcPr>
          <w:p w:rsidR="00000000" w:rsidRDefault="0094004B">
            <w:pPr>
              <w:spacing w:after="100"/>
              <w:rPr>
                <w:rFonts w:eastAsia="Times New Roman"/>
                <w:sz w:val="20"/>
                <w:szCs w:val="20"/>
              </w:rPr>
            </w:pPr>
          </w:p>
        </w:tc>
      </w:tr>
      <w:tr w:rsidR="00000000">
        <w:trPr>
          <w:divId w:val="171068612"/>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Employees (period end, in thousands)</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56.0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50.8</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52.0</w:t>
            </w:r>
          </w:p>
        </w:tc>
        <w:tc>
          <w:tcPr>
            <w:tcW w:w="0" w:type="auto"/>
            <w:vAlign w:val="center"/>
            <w:hideMark/>
          </w:tcPr>
          <w:p w:rsidR="00000000" w:rsidRDefault="0094004B">
            <w:pPr>
              <w:spacing w:after="100"/>
              <w:jc w:val="right"/>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10%</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(2)%</w:t>
            </w:r>
          </w:p>
        </w:tc>
        <w:tc>
          <w:tcPr>
            <w:tcW w:w="0" w:type="auto"/>
            <w:vAlign w:val="center"/>
            <w:hideMark/>
          </w:tcPr>
          <w:p w:rsidR="00000000" w:rsidRDefault="0094004B">
            <w:pPr>
              <w:spacing w:after="100"/>
              <w:rPr>
                <w:rFonts w:eastAsia="Times New Roman"/>
                <w:sz w:val="20"/>
                <w:szCs w:val="20"/>
              </w:rPr>
            </w:pPr>
          </w:p>
        </w:tc>
      </w:tr>
    </w:tbl>
    <w:p w:rsidR="00000000" w:rsidRDefault="0094004B">
      <w:pPr>
        <w:divId w:val="171068612"/>
        <w:rPr>
          <w:rFonts w:eastAsia="Times New Roman"/>
        </w:rPr>
      </w:pPr>
      <w:r>
        <w:rPr>
          <w:rFonts w:eastAsia="Times New Roman"/>
          <w:color w:val="000000"/>
          <w:sz w:val="20"/>
          <w:szCs w:val="20"/>
        </w:rPr>
        <w:t>__________</w:t>
      </w:r>
    </w:p>
    <w:p w:rsidR="00000000" w:rsidRDefault="0094004B">
      <w:pPr>
        <w:ind w:hanging="360"/>
        <w:jc w:val="both"/>
        <w:divId w:val="263733975"/>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Tangible book value per common share is a non-GAAP measure calculated based on tangible common equi</w:t>
      </w:r>
      <w:r>
        <w:rPr>
          <w:rFonts w:eastAsia="Times New Roman"/>
          <w:color w:val="000000"/>
          <w:sz w:val="16"/>
          <w:szCs w:val="16"/>
        </w:rPr>
        <w:t>ty (“TCE”) divided by common shares outstanding. See “Supplemental Tables—Table B—Reconciliation of Non-GAAP Measures” for additional information on non-GAAP measures.</w:t>
      </w:r>
    </w:p>
    <w:p w:rsidR="00000000" w:rsidRDefault="0094004B">
      <w:pPr>
        <w:ind w:hanging="360"/>
        <w:jc w:val="both"/>
        <w:divId w:val="1085804633"/>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Common dividend payout ratio is calculated based on dividends per common share for th</w:t>
      </w:r>
      <w:r>
        <w:rPr>
          <w:rFonts w:eastAsia="Times New Roman"/>
          <w:color w:val="000000"/>
          <w:sz w:val="16"/>
          <w:szCs w:val="16"/>
        </w:rPr>
        <w:t>e period divided by basic earnings per common share for the period.</w:t>
      </w:r>
    </w:p>
    <w:p w:rsidR="00000000" w:rsidRDefault="0094004B">
      <w:pPr>
        <w:ind w:hanging="360"/>
        <w:jc w:val="both"/>
        <w:divId w:val="699163724"/>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Total net revenue margin is calculated based on total net revenue for the period divided by average interest-earning assets for the period.</w:t>
      </w:r>
    </w:p>
    <w:p w:rsidR="00000000" w:rsidRDefault="0094004B">
      <w:pPr>
        <w:ind w:hanging="360"/>
        <w:jc w:val="both"/>
        <w:divId w:val="1750616287"/>
        <w:rPr>
          <w:rFonts w:eastAsia="Times New Roman"/>
        </w:rPr>
      </w:pPr>
      <w:r>
        <w:rPr>
          <w:rFonts w:eastAsia="Times New Roman"/>
          <w:color w:val="000000"/>
          <w:sz w:val="10"/>
          <w:szCs w:val="10"/>
        </w:rPr>
        <w:t>(4</w:t>
      </w:r>
      <w:r>
        <w:rPr>
          <w:rFonts w:eastAsia="Times New Roman"/>
          <w:color w:val="000000"/>
          <w:sz w:val="10"/>
          <w:szCs w:val="10"/>
        </w:rPr>
        <w:t>)</w:t>
      </w:r>
      <w:r>
        <w:rPr>
          <w:rFonts w:eastAsia="Times New Roman"/>
          <w:color w:val="000000"/>
          <w:sz w:val="16"/>
          <w:szCs w:val="16"/>
        </w:rPr>
        <w:t>Return on average assets is calculated bas</w:t>
      </w:r>
      <w:r>
        <w:rPr>
          <w:rFonts w:eastAsia="Times New Roman"/>
          <w:color w:val="000000"/>
          <w:sz w:val="16"/>
          <w:szCs w:val="16"/>
        </w:rPr>
        <w:t>ed on income from continuing operations, net of tax, for the period divided by average total assets for the period.</w:t>
      </w:r>
    </w:p>
    <w:p w:rsidR="00000000" w:rsidRDefault="0094004B">
      <w:pPr>
        <w:ind w:hanging="360"/>
        <w:jc w:val="both"/>
        <w:divId w:val="1055933600"/>
        <w:rPr>
          <w:rFonts w:eastAsia="Times New Roman"/>
        </w:rPr>
      </w:pPr>
      <w:r>
        <w:rPr>
          <w:rFonts w:eastAsia="Times New Roman"/>
          <w:color w:val="000000"/>
          <w:sz w:val="10"/>
          <w:szCs w:val="10"/>
        </w:rPr>
        <w:t>(5</w:t>
      </w:r>
      <w:r>
        <w:rPr>
          <w:rFonts w:eastAsia="Times New Roman"/>
          <w:color w:val="000000"/>
          <w:sz w:val="10"/>
          <w:szCs w:val="10"/>
        </w:rPr>
        <w:t>)</w:t>
      </w:r>
      <w:r>
        <w:rPr>
          <w:rFonts w:eastAsia="Times New Roman"/>
          <w:color w:val="000000"/>
          <w:sz w:val="16"/>
          <w:szCs w:val="16"/>
        </w:rPr>
        <w:t>Return on average tangible assets is a non-GAAP measure calculated based on income from continuing operations, net of tax, for the period</w:t>
      </w:r>
      <w:r>
        <w:rPr>
          <w:rFonts w:eastAsia="Times New Roman"/>
          <w:color w:val="000000"/>
          <w:sz w:val="16"/>
          <w:szCs w:val="16"/>
        </w:rPr>
        <w:t xml:space="preserve"> divided by average tangible assets for the period. See “Supplemental Tables—Table B—Reconciliation of Non-GAAP Measures” for additional information on non-GAAP measures.</w:t>
      </w:r>
    </w:p>
    <w:p w:rsidR="00000000" w:rsidRDefault="0094004B">
      <w:pPr>
        <w:ind w:hanging="360"/>
        <w:jc w:val="both"/>
        <w:divId w:val="1431047677"/>
        <w:rPr>
          <w:rFonts w:eastAsia="Times New Roman"/>
        </w:rPr>
      </w:pPr>
      <w:r>
        <w:rPr>
          <w:rFonts w:eastAsia="Times New Roman"/>
          <w:color w:val="000000"/>
          <w:sz w:val="10"/>
          <w:szCs w:val="10"/>
        </w:rPr>
        <w:t>(6</w:t>
      </w:r>
      <w:r>
        <w:rPr>
          <w:rFonts w:eastAsia="Times New Roman"/>
          <w:color w:val="000000"/>
          <w:sz w:val="10"/>
          <w:szCs w:val="10"/>
        </w:rPr>
        <w:t>)</w:t>
      </w:r>
      <w:r>
        <w:rPr>
          <w:rFonts w:eastAsia="Times New Roman"/>
          <w:color w:val="000000"/>
          <w:sz w:val="16"/>
          <w:szCs w:val="16"/>
        </w:rPr>
        <w:t>Return on average common equity is calculated based on net income (loss) available</w:t>
      </w:r>
      <w:r>
        <w:rPr>
          <w:rFonts w:eastAsia="Times New Roman"/>
          <w:color w:val="000000"/>
          <w:sz w:val="16"/>
          <w:szCs w:val="16"/>
        </w:rPr>
        <w:t xml:space="preserve"> to common stockholders less income (loss) from discontinued operations, net of tax, for the period, divided by average common equity. Our calculation of return on average common equity may not be comparable to similarly-titled measures reported by other c</w:t>
      </w:r>
      <w:r>
        <w:rPr>
          <w:rFonts w:eastAsia="Times New Roman"/>
          <w:color w:val="000000"/>
          <w:sz w:val="16"/>
          <w:szCs w:val="16"/>
        </w:rPr>
        <w:t>ompanies.</w:t>
      </w:r>
    </w:p>
    <w:p w:rsidR="00000000" w:rsidRDefault="0094004B">
      <w:pPr>
        <w:ind w:hanging="360"/>
        <w:jc w:val="both"/>
        <w:divId w:val="727455599"/>
        <w:rPr>
          <w:rFonts w:eastAsia="Times New Roman"/>
        </w:rPr>
      </w:pPr>
      <w:r>
        <w:rPr>
          <w:rFonts w:eastAsia="Times New Roman"/>
          <w:color w:val="000000"/>
          <w:sz w:val="10"/>
          <w:szCs w:val="10"/>
        </w:rPr>
        <w:t>(7</w:t>
      </w:r>
      <w:r>
        <w:rPr>
          <w:rFonts w:eastAsia="Times New Roman"/>
          <w:color w:val="000000"/>
          <w:sz w:val="10"/>
          <w:szCs w:val="10"/>
        </w:rPr>
        <w:t>)</w:t>
      </w:r>
      <w:r>
        <w:rPr>
          <w:rFonts w:eastAsia="Times New Roman"/>
          <w:color w:val="000000"/>
          <w:sz w:val="16"/>
          <w:szCs w:val="16"/>
        </w:rPr>
        <w:t>Return on average tangible common equity is a non-GAAP measure calculated based on net income (loss) available to common stockholders less income (loss) from discontinued operations, net of tax, for the period, divided by average TCE. Our calc</w:t>
      </w:r>
      <w:r>
        <w:rPr>
          <w:rFonts w:eastAsia="Times New Roman"/>
          <w:color w:val="000000"/>
          <w:sz w:val="16"/>
          <w:szCs w:val="16"/>
        </w:rPr>
        <w:t>ulation of return on average TCE may not be comparable to similarly-titled measures reported by other companies. See “Supplemental Tables—Table B—Reconciliation of Non-GAAP Measures” for additional information on non-GAAP measures.</w:t>
      </w:r>
    </w:p>
    <w:p w:rsidR="00000000" w:rsidRDefault="0094004B">
      <w:pPr>
        <w:ind w:hanging="360"/>
        <w:jc w:val="both"/>
        <w:divId w:val="25722140"/>
        <w:rPr>
          <w:rFonts w:eastAsia="Times New Roman"/>
        </w:rPr>
      </w:pPr>
      <w:r>
        <w:rPr>
          <w:rFonts w:eastAsia="Times New Roman"/>
          <w:color w:val="000000"/>
          <w:sz w:val="10"/>
          <w:szCs w:val="10"/>
        </w:rPr>
        <w:t>(8</w:t>
      </w:r>
      <w:r>
        <w:rPr>
          <w:rFonts w:eastAsia="Times New Roman"/>
          <w:color w:val="000000"/>
          <w:sz w:val="10"/>
          <w:szCs w:val="10"/>
        </w:rPr>
        <w:t>)</w:t>
      </w:r>
      <w:r>
        <w:rPr>
          <w:rFonts w:eastAsia="Times New Roman"/>
          <w:color w:val="000000"/>
          <w:sz w:val="16"/>
          <w:szCs w:val="16"/>
        </w:rPr>
        <w:t>Equity-to-assets rati</w:t>
      </w:r>
      <w:r>
        <w:rPr>
          <w:rFonts w:eastAsia="Times New Roman"/>
          <w:color w:val="000000"/>
          <w:sz w:val="16"/>
          <w:szCs w:val="16"/>
        </w:rPr>
        <w:t>o is calculated based on average stockholders’ equity for the period divided by average total assets for the period.</w:t>
      </w:r>
    </w:p>
    <w:p w:rsidR="00000000" w:rsidRDefault="0094004B">
      <w:pPr>
        <w:ind w:hanging="360"/>
        <w:jc w:val="both"/>
        <w:divId w:val="1475634637"/>
        <w:rPr>
          <w:rFonts w:eastAsia="Times New Roman"/>
        </w:rPr>
      </w:pPr>
      <w:r>
        <w:rPr>
          <w:rFonts w:eastAsia="Times New Roman"/>
          <w:color w:val="000000"/>
          <w:sz w:val="10"/>
          <w:szCs w:val="10"/>
        </w:rPr>
        <w:t>(9</w:t>
      </w:r>
      <w:r>
        <w:rPr>
          <w:rFonts w:eastAsia="Times New Roman"/>
          <w:color w:val="000000"/>
          <w:sz w:val="10"/>
          <w:szCs w:val="10"/>
        </w:rPr>
        <w:t>)</w:t>
      </w:r>
      <w:r>
        <w:rPr>
          <w:rFonts w:eastAsia="Times New Roman"/>
          <w:color w:val="000000"/>
          <w:sz w:val="16"/>
          <w:szCs w:val="16"/>
        </w:rPr>
        <w:t>Efficiency ratio is calculated based on total non-interest expense for the period divided by total net revenue for the period.</w:t>
      </w:r>
    </w:p>
    <w:p w:rsidR="00000000" w:rsidRDefault="0094004B">
      <w:pPr>
        <w:ind w:hanging="360"/>
        <w:jc w:val="both"/>
        <w:divId w:val="261882711"/>
        <w:rPr>
          <w:rFonts w:eastAsia="Times New Roman"/>
        </w:rPr>
      </w:pPr>
      <w:r>
        <w:rPr>
          <w:rFonts w:eastAsia="Times New Roman"/>
          <w:color w:val="000000"/>
          <w:sz w:val="10"/>
          <w:szCs w:val="10"/>
        </w:rPr>
        <w:t>(10</w:t>
      </w:r>
      <w:r>
        <w:rPr>
          <w:rFonts w:eastAsia="Times New Roman"/>
          <w:color w:val="000000"/>
          <w:sz w:val="10"/>
          <w:szCs w:val="10"/>
        </w:rPr>
        <w:t>)</w:t>
      </w:r>
      <w:r>
        <w:rPr>
          <w:rFonts w:eastAsia="Times New Roman"/>
          <w:color w:val="000000"/>
          <w:sz w:val="16"/>
          <w:szCs w:val="16"/>
        </w:rPr>
        <w:t>Operating efficiency ratio is calculated based on operating expense for the period divided by total net revenue for the period.</w:t>
      </w:r>
    </w:p>
    <w:p w:rsidR="00000000" w:rsidRDefault="0094004B">
      <w:pPr>
        <w:ind w:hanging="360"/>
        <w:jc w:val="both"/>
        <w:divId w:val="476731435"/>
        <w:rPr>
          <w:rFonts w:eastAsia="Times New Roman"/>
        </w:rPr>
      </w:pPr>
      <w:r>
        <w:rPr>
          <w:rFonts w:eastAsia="Times New Roman"/>
          <w:color w:val="000000"/>
          <w:sz w:val="10"/>
          <w:szCs w:val="10"/>
        </w:rPr>
        <w:t>(11</w:t>
      </w:r>
      <w:r>
        <w:rPr>
          <w:rFonts w:eastAsia="Times New Roman"/>
          <w:color w:val="000000"/>
          <w:sz w:val="10"/>
          <w:szCs w:val="10"/>
        </w:rPr>
        <w:t>)</w:t>
      </w:r>
      <w:r>
        <w:rPr>
          <w:rFonts w:eastAsia="Times New Roman"/>
          <w:color w:val="000000"/>
          <w:sz w:val="16"/>
          <w:szCs w:val="16"/>
        </w:rPr>
        <w:t>Adjusted operating efficiency ratio is a non-GAAP measure. See “Supplemental Tables—Table B—Reconciliation of Non-GAAP Measu</w:t>
      </w:r>
      <w:r>
        <w:rPr>
          <w:rFonts w:eastAsia="Times New Roman"/>
          <w:color w:val="000000"/>
          <w:sz w:val="16"/>
          <w:szCs w:val="16"/>
        </w:rPr>
        <w:t>res” for a reconciliation of our adjusted operating efficiency ratio (non-GAAP) to our operating efficiency ratio (GAAP).</w:t>
      </w:r>
    </w:p>
    <w:p w:rsidR="00000000" w:rsidRDefault="0094004B">
      <w:pPr>
        <w:ind w:hanging="360"/>
        <w:jc w:val="both"/>
        <w:divId w:val="497576576"/>
        <w:rPr>
          <w:rFonts w:eastAsia="Times New Roman"/>
        </w:rPr>
      </w:pPr>
      <w:r>
        <w:rPr>
          <w:rFonts w:eastAsia="Times New Roman"/>
          <w:color w:val="000000"/>
          <w:sz w:val="10"/>
          <w:szCs w:val="10"/>
        </w:rPr>
        <w:t>(12</w:t>
      </w:r>
      <w:r>
        <w:rPr>
          <w:rFonts w:eastAsia="Times New Roman"/>
          <w:color w:val="000000"/>
          <w:sz w:val="10"/>
          <w:szCs w:val="10"/>
        </w:rPr>
        <w:t>)</w:t>
      </w:r>
      <w:r>
        <w:rPr>
          <w:rFonts w:eastAsia="Times New Roman"/>
          <w:color w:val="000000"/>
          <w:sz w:val="16"/>
          <w:szCs w:val="16"/>
        </w:rPr>
        <w:t>Capital ratios are calculated based on the Basel III standardized approach framework, see “Capital Management” for additional info</w:t>
      </w:r>
      <w:r>
        <w:rPr>
          <w:rFonts w:eastAsia="Times New Roman"/>
          <w:color w:val="000000"/>
          <w:sz w:val="16"/>
          <w:szCs w:val="16"/>
        </w:rPr>
        <w:t>rmation.</w:t>
      </w:r>
    </w:p>
    <w:p w:rsidR="00000000" w:rsidRDefault="0094004B">
      <w:pPr>
        <w:ind w:hanging="360"/>
        <w:jc w:val="both"/>
        <w:divId w:val="1510874157"/>
        <w:rPr>
          <w:rFonts w:eastAsia="Times New Roman"/>
        </w:rPr>
      </w:pPr>
      <w:r>
        <w:rPr>
          <w:rFonts w:eastAsia="Times New Roman"/>
          <w:color w:val="000000"/>
          <w:sz w:val="10"/>
          <w:szCs w:val="10"/>
        </w:rPr>
        <w:t>(13</w:t>
      </w:r>
      <w:r>
        <w:rPr>
          <w:rFonts w:eastAsia="Times New Roman"/>
          <w:color w:val="000000"/>
          <w:sz w:val="10"/>
          <w:szCs w:val="10"/>
        </w:rPr>
        <w:t>)</w:t>
      </w:r>
      <w:r>
        <w:rPr>
          <w:rFonts w:eastAsia="Times New Roman"/>
          <w:color w:val="000000"/>
          <w:sz w:val="16"/>
          <w:szCs w:val="16"/>
        </w:rPr>
        <w:t>Tangible common equity ratio is a non-GAAP measure calculated based on TCE divided by tangible assets. See “Supplemental Tables—Table B—Reconciliation of Non-GAAP Measures” for the calculation of this measure and reconciliation to the comparat</w:t>
      </w:r>
      <w:r>
        <w:rPr>
          <w:rFonts w:eastAsia="Times New Roman"/>
          <w:color w:val="000000"/>
          <w:sz w:val="16"/>
          <w:szCs w:val="16"/>
        </w:rPr>
        <w:t>ive U.S. GAAP measure.</w:t>
      </w:r>
    </w:p>
    <w:p w:rsidR="00000000" w:rsidRDefault="0094004B">
      <w:pPr>
        <w:ind w:hanging="360"/>
        <w:jc w:val="both"/>
        <w:divId w:val="2035954318"/>
        <w:rPr>
          <w:rFonts w:eastAsia="Times New Roman"/>
        </w:rPr>
      </w:pPr>
      <w:r>
        <w:rPr>
          <w:rFonts w:eastAsia="Times New Roman"/>
          <w:color w:val="000000"/>
          <w:sz w:val="10"/>
          <w:szCs w:val="10"/>
        </w:rPr>
        <w:t>(14</w:t>
      </w:r>
      <w:r>
        <w:rPr>
          <w:rFonts w:eastAsia="Times New Roman"/>
          <w:color w:val="000000"/>
          <w:sz w:val="10"/>
          <w:szCs w:val="10"/>
        </w:rPr>
        <w:t>)</w:t>
      </w:r>
      <w:r>
        <w:rPr>
          <w:rFonts w:eastAsia="Times New Roman"/>
          <w:color w:val="000000"/>
          <w:sz w:val="16"/>
          <w:szCs w:val="16"/>
        </w:rPr>
        <w:t>The Company’s supplementary leverage ratio as of December 31, 2020 reflected the temporary exclusions of U.S Treasury securities and deposits with the Federal Reserve Banks from the denominator of the supplementary leverage ratio</w:t>
      </w:r>
      <w:r>
        <w:rPr>
          <w:rFonts w:eastAsia="Times New Roman"/>
          <w:color w:val="000000"/>
          <w:sz w:val="16"/>
          <w:szCs w:val="16"/>
        </w:rPr>
        <w:t>, pursuant to an interim final rule issued by the Federal Reserve in April 2020. These temporary exclusions remained in effect through March 31, 2021 and expired as scheduled thereafter. For the description of the regulatory capital rules to which we are s</w:t>
      </w:r>
      <w:r>
        <w:rPr>
          <w:rFonts w:eastAsia="Times New Roman"/>
          <w:color w:val="000000"/>
          <w:sz w:val="16"/>
          <w:szCs w:val="16"/>
        </w:rPr>
        <w:t>ubject, see “Capital Management—Capital Standards and Prompt Corrective Action.”</w:t>
      </w:r>
    </w:p>
    <w:p w:rsidR="00000000" w:rsidRDefault="0094004B">
      <w:pPr>
        <w:ind w:hanging="360"/>
        <w:jc w:val="both"/>
        <w:divId w:val="55276566"/>
        <w:rPr>
          <w:rFonts w:eastAsia="Times New Roman"/>
        </w:rPr>
      </w:pPr>
      <w:r>
        <w:rPr>
          <w:rFonts w:eastAsia="Times New Roman"/>
          <w:color w:val="000000"/>
          <w:sz w:val="16"/>
          <w:szCs w:val="16"/>
        </w:rPr>
        <w:t>**    Not meaningful.</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99305076"/>
          <w:jc w:val="center"/>
        </w:trPr>
        <w:tc>
          <w:tcPr>
            <w:tcW w:w="50" w:type="pct"/>
            <w:vAlign w:val="center"/>
            <w:hideMark/>
          </w:tcPr>
          <w:p w:rsidR="00000000" w:rsidRDefault="0094004B">
            <w:pPr>
              <w:ind w:hanging="360"/>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99305076"/>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99305076"/>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47</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073" style="width:0;height:1.5pt" o:hralign="center" o:hrstd="t" o:hr="t" fillcolor="#a0a0a0" stroked="f"/>
        </w:pict>
      </w:r>
    </w:p>
    <w:p w:rsidR="00000000" w:rsidRDefault="0094004B">
      <w:pPr>
        <w:ind w:hanging="360"/>
        <w:jc w:val="both"/>
        <w:divId w:val="995455207"/>
        <w:rPr>
          <w:rFonts w:eastAsia="Times New Roman"/>
        </w:rPr>
      </w:pPr>
      <w:hyperlink w:anchor="ia820611622d9441b977884dac00e0ebd_16"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344022625"/>
        </w:trPr>
        <w:tc>
          <w:tcPr>
            <w:tcW w:w="50" w:type="pct"/>
            <w:vAlign w:val="center"/>
            <w:hideMark/>
          </w:tcPr>
          <w:p w:rsidR="00000000" w:rsidRDefault="0094004B">
            <w:pPr>
              <w:ind w:hanging="360"/>
              <w:jc w:val="both"/>
              <w:rPr>
                <w:rFonts w:eastAsia="Times New Roman"/>
              </w:rPr>
            </w:pPr>
          </w:p>
        </w:tc>
        <w:tc>
          <w:tcPr>
            <w:tcW w:w="494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344022625"/>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20"/>
                <w:szCs w:val="20"/>
              </w:rPr>
              <w:t>EXECUTIVE SUMMARY</w:t>
            </w:r>
          </w:p>
        </w:tc>
      </w:tr>
    </w:tbl>
    <w:p w:rsidR="00000000" w:rsidRDefault="0094004B">
      <w:pPr>
        <w:divId w:val="1115443748"/>
        <w:rPr>
          <w:rFonts w:eastAsia="Times New Roman"/>
        </w:rPr>
      </w:pPr>
      <w:r>
        <w:rPr>
          <w:rFonts w:eastAsia="Times New Roman"/>
          <w:b/>
          <w:bCs/>
          <w:color w:val="000000"/>
          <w:sz w:val="20"/>
          <w:szCs w:val="20"/>
        </w:rPr>
        <w:t>Financial Highlights</w:t>
      </w:r>
    </w:p>
    <w:p w:rsidR="00000000" w:rsidRDefault="0094004B">
      <w:pPr>
        <w:jc w:val="both"/>
        <w:divId w:val="1147087610"/>
        <w:rPr>
          <w:rFonts w:eastAsia="Times New Roman"/>
        </w:rPr>
      </w:pPr>
      <w:r>
        <w:rPr>
          <w:rFonts w:eastAsia="Times New Roman"/>
          <w:color w:val="000000"/>
          <w:sz w:val="20"/>
          <w:szCs w:val="20"/>
        </w:rPr>
        <w:t>We reported net income of $7.4 </w:t>
      </w:r>
      <w:r>
        <w:rPr>
          <w:rFonts w:eastAsia="Times New Roman"/>
          <w:color w:val="000000"/>
          <w:sz w:val="20"/>
          <w:szCs w:val="20"/>
        </w:rPr>
        <w:t>billion ($17.91 per diluted common share) on total net revenue of $34.3 billion for 2022. In comparison, we reported net income of $12.4 billion ($26.94 per diluted common share) on total net revenue of $30.4 billion for 2021 and net income of $2.7 billion</w:t>
      </w:r>
      <w:r>
        <w:rPr>
          <w:rFonts w:eastAsia="Times New Roman"/>
          <w:color w:val="000000"/>
          <w:sz w:val="20"/>
          <w:szCs w:val="20"/>
        </w:rPr>
        <w:t xml:space="preserve"> ($5.18 per diluted common share) on total net revenue of $28.5 billion for 2020.</w:t>
      </w:r>
    </w:p>
    <w:p w:rsidR="00000000" w:rsidRDefault="0094004B">
      <w:pPr>
        <w:jc w:val="both"/>
        <w:divId w:val="1128202475"/>
        <w:rPr>
          <w:rFonts w:eastAsia="Times New Roman"/>
        </w:rPr>
      </w:pPr>
      <w:r>
        <w:rPr>
          <w:rFonts w:eastAsia="Times New Roman"/>
          <w:color w:val="000000"/>
          <w:sz w:val="20"/>
          <w:szCs w:val="20"/>
        </w:rPr>
        <w:t>Our common equity Tier 1 capital ratio as calculated under the Basel III standardized approach was 12.5% and 13.1% as of December 31, 2022 and 2021, respectively. See “Capita</w:t>
      </w:r>
      <w:r>
        <w:rPr>
          <w:rFonts w:eastAsia="Times New Roman"/>
          <w:color w:val="000000"/>
          <w:sz w:val="20"/>
          <w:szCs w:val="20"/>
        </w:rPr>
        <w:t>l Management” for additional information.</w:t>
      </w:r>
    </w:p>
    <w:p w:rsidR="00000000" w:rsidRDefault="0094004B">
      <w:pPr>
        <w:jc w:val="both"/>
        <w:divId w:val="803695044"/>
        <w:rPr>
          <w:rFonts w:eastAsia="Times New Roman"/>
        </w:rPr>
      </w:pPr>
      <w:r>
        <w:rPr>
          <w:rFonts w:eastAsia="Times New Roman"/>
          <w:color w:val="000000"/>
          <w:sz w:val="20"/>
          <w:szCs w:val="20"/>
        </w:rPr>
        <w:t>In January 2022, our Board of Directors authorized the repurchase of up to $5.0 billion of shares of our common stock. In Apr</w:t>
      </w:r>
      <w:r>
        <w:rPr>
          <w:rFonts w:eastAsia="Times New Roman"/>
          <w:color w:val="000000"/>
          <w:sz w:val="20"/>
          <w:szCs w:val="20"/>
          <w:shd w:val="clear" w:color="auto" w:fill="FFFFFF"/>
        </w:rPr>
        <w:t>il 2022, our Board of Directors authorized the repurchase of up to an additional $5.0 bil</w:t>
      </w:r>
      <w:r>
        <w:rPr>
          <w:rFonts w:eastAsia="Times New Roman"/>
          <w:color w:val="000000"/>
          <w:sz w:val="20"/>
          <w:szCs w:val="20"/>
          <w:shd w:val="clear" w:color="auto" w:fill="FFFFFF"/>
        </w:rPr>
        <w:t>lion of shares of our common stock. For the year ended December 31, 2022, we repurchased $4.8 billion of shares of our common stock.</w:t>
      </w:r>
      <w:r>
        <w:rPr>
          <w:rFonts w:eastAsia="Times New Roman"/>
          <w:color w:val="000000"/>
          <w:sz w:val="20"/>
          <w:szCs w:val="20"/>
        </w:rPr>
        <w:t xml:space="preserve"> See “MD&amp;A—Capital Management—Dividend Policy and Stock Purchases” for additional information.</w:t>
      </w:r>
    </w:p>
    <w:p w:rsidR="00000000" w:rsidRDefault="0094004B">
      <w:pPr>
        <w:jc w:val="both"/>
        <w:divId w:val="938027072"/>
        <w:rPr>
          <w:rFonts w:eastAsia="Times New Roman"/>
        </w:rPr>
      </w:pPr>
      <w:r>
        <w:rPr>
          <w:rFonts w:eastAsia="Times New Roman"/>
          <w:color w:val="000000"/>
          <w:sz w:val="20"/>
          <w:szCs w:val="20"/>
        </w:rPr>
        <w:t>Below are additional highligh</w:t>
      </w:r>
      <w:r>
        <w:rPr>
          <w:rFonts w:eastAsia="Times New Roman"/>
          <w:color w:val="000000"/>
          <w:sz w:val="20"/>
          <w:szCs w:val="20"/>
        </w:rPr>
        <w:t>ts of our performance in 2022. These highlights are based on a comparison between the results of 2022 and 2021, except as otherwise noted. The changes in our financial condition and credit performance are generally based on our financial condition and cred</w:t>
      </w:r>
      <w:r>
        <w:rPr>
          <w:rFonts w:eastAsia="Times New Roman"/>
          <w:color w:val="000000"/>
          <w:sz w:val="20"/>
          <w:szCs w:val="20"/>
        </w:rPr>
        <w:t>it performance as of December 31, 2022 compared to December 31, 2021. We provide a more detailed discussion of our financial performance in the sections following this “Executive Summary.”</w:t>
      </w:r>
    </w:p>
    <w:p w:rsidR="00000000" w:rsidRDefault="0094004B">
      <w:pPr>
        <w:jc w:val="both"/>
        <w:divId w:val="1083330640"/>
        <w:rPr>
          <w:rFonts w:eastAsia="Times New Roman"/>
        </w:rPr>
      </w:pPr>
      <w:r>
        <w:rPr>
          <w:rFonts w:eastAsia="Times New Roman"/>
          <w:color w:val="000000"/>
          <w:sz w:val="20"/>
          <w:szCs w:val="20"/>
        </w:rPr>
        <w:t>Discussions of our performance for 2021 compared to 2020 can be fou</w:t>
      </w:r>
      <w:r>
        <w:rPr>
          <w:rFonts w:eastAsia="Times New Roman"/>
          <w:color w:val="000000"/>
          <w:sz w:val="20"/>
          <w:szCs w:val="20"/>
        </w:rPr>
        <w:t>nd in “Part II—Item 7. MD&amp;A” of our Annual Report on Form 10-K for the fiscal year ended December 31, 2021.</w:t>
      </w:r>
    </w:p>
    <w:p w:rsidR="00000000" w:rsidRDefault="0094004B">
      <w:pPr>
        <w:divId w:val="821315164"/>
        <w:rPr>
          <w:rFonts w:eastAsia="Times New Roman"/>
        </w:rPr>
      </w:pPr>
      <w:r>
        <w:rPr>
          <w:rFonts w:eastAsia="Times New Roman"/>
          <w:b/>
          <w:bCs/>
          <w:i/>
          <w:iCs/>
          <w:color w:val="000000"/>
          <w:sz w:val="20"/>
          <w:szCs w:val="20"/>
        </w:rPr>
        <w:t>Total Company Performance</w:t>
      </w:r>
    </w:p>
    <w:p w:rsidR="00000000" w:rsidRDefault="0094004B">
      <w:pPr>
        <w:ind w:hanging="360"/>
        <w:jc w:val="both"/>
        <w:divId w:val="1554657302"/>
        <w:rPr>
          <w:rFonts w:eastAsia="Times New Roman"/>
        </w:rPr>
      </w:pPr>
      <w:r>
        <w:rPr>
          <w:rFonts w:eastAsia="Times New Roman"/>
          <w:i/>
          <w:iCs/>
          <w:color w:val="000000"/>
          <w:sz w:val="20"/>
          <w:szCs w:val="20"/>
        </w:rPr>
        <w:t xml:space="preserve">•Earnings: </w:t>
      </w:r>
    </w:p>
    <w:p w:rsidR="00000000" w:rsidRDefault="0094004B">
      <w:pPr>
        <w:jc w:val="both"/>
        <w:divId w:val="1211922382"/>
        <w:rPr>
          <w:rFonts w:eastAsia="Times New Roman"/>
        </w:rPr>
      </w:pPr>
      <w:r>
        <w:rPr>
          <w:rFonts w:eastAsia="Times New Roman"/>
          <w:color w:val="000000"/>
          <w:sz w:val="20"/>
          <w:szCs w:val="20"/>
        </w:rPr>
        <w:t>Our net income decreased by $5.0 billion to $7.4 billion in 2022 compared to 2021 primarily driven by:</w:t>
      </w:r>
    </w:p>
    <w:p w:rsidR="00000000" w:rsidRDefault="0094004B">
      <w:pPr>
        <w:spacing w:before="180" w:after="180"/>
        <w:ind w:hanging="360"/>
        <w:jc w:val="both"/>
        <w:divId w:val="1137331231"/>
        <w:rPr>
          <w:rFonts w:eastAsia="Times New Roman"/>
        </w:rPr>
      </w:pPr>
      <w:r>
        <w:rPr>
          <w:rFonts w:eastAsia="Times New Roman"/>
          <w:b/>
          <w:bCs/>
          <w:i/>
          <w:iCs/>
          <w:color w:val="000000"/>
          <w:sz w:val="12"/>
          <w:szCs w:val="12"/>
        </w:rPr>
        <w:t>◦</w:t>
      </w:r>
      <w:r>
        <w:rPr>
          <w:rFonts w:eastAsia="Times New Roman"/>
          <w:color w:val="000000"/>
          <w:sz w:val="20"/>
          <w:szCs w:val="20"/>
        </w:rPr>
        <w:t>Higher</w:t>
      </w:r>
      <w:r>
        <w:rPr>
          <w:rFonts w:eastAsia="Times New Roman"/>
          <w:color w:val="000000"/>
          <w:sz w:val="20"/>
          <w:szCs w:val="20"/>
        </w:rPr>
        <w:t xml:space="preserve"> provision for credit losses primarily driven by a net allowance build across all of our segments due to credit normalization, a modestly worse economic outlook and loan growth, compared to a net allowance release across all of our segments in 2021. </w:t>
      </w:r>
    </w:p>
    <w:p w:rsidR="00000000" w:rsidRDefault="0094004B">
      <w:pPr>
        <w:spacing w:before="180" w:after="180"/>
        <w:ind w:hanging="360"/>
        <w:jc w:val="both"/>
        <w:divId w:val="1394430080"/>
        <w:rPr>
          <w:rFonts w:eastAsia="Times New Roman"/>
        </w:rPr>
      </w:pPr>
      <w:r>
        <w:rPr>
          <w:rFonts w:eastAsia="Times New Roman"/>
          <w:color w:val="000000"/>
          <w:sz w:val="20"/>
          <w:szCs w:val="20"/>
        </w:rPr>
        <w:t>◦</w:t>
      </w:r>
      <w:r>
        <w:rPr>
          <w:rFonts w:eastAsia="Times New Roman"/>
          <w:color w:val="000000"/>
          <w:sz w:val="20"/>
          <w:szCs w:val="20"/>
        </w:rPr>
        <w:t>High</w:t>
      </w:r>
      <w:r>
        <w:rPr>
          <w:rFonts w:eastAsia="Times New Roman"/>
          <w:color w:val="000000"/>
          <w:sz w:val="20"/>
          <w:szCs w:val="20"/>
        </w:rPr>
        <w:t>er non-interest expense primarily driven by increased marketing spend, as well as continued investment in technology.</w:t>
      </w:r>
    </w:p>
    <w:p w:rsidR="00000000" w:rsidRDefault="0094004B">
      <w:pPr>
        <w:jc w:val="both"/>
        <w:divId w:val="1361585508"/>
        <w:rPr>
          <w:rFonts w:eastAsia="Times New Roman"/>
        </w:rPr>
      </w:pPr>
      <w:r>
        <w:rPr>
          <w:rFonts w:eastAsia="Times New Roman"/>
          <w:color w:val="000000"/>
          <w:sz w:val="20"/>
          <w:szCs w:val="20"/>
        </w:rPr>
        <w:t xml:space="preserve">These drivers were partially offset by: </w:t>
      </w:r>
    </w:p>
    <w:p w:rsidR="00000000" w:rsidRDefault="0094004B">
      <w:pPr>
        <w:spacing w:before="180" w:after="180"/>
        <w:ind w:hanging="360"/>
        <w:jc w:val="both"/>
        <w:divId w:val="150679550"/>
        <w:rPr>
          <w:rFonts w:eastAsia="Times New Roman"/>
        </w:rPr>
      </w:pPr>
      <w:r>
        <w:rPr>
          <w:rFonts w:eastAsia="Times New Roman"/>
          <w:b/>
          <w:bCs/>
          <w:color w:val="000000"/>
          <w:sz w:val="19"/>
          <w:szCs w:val="19"/>
        </w:rPr>
        <w:t>◦</w:t>
      </w:r>
      <w:r>
        <w:rPr>
          <w:rFonts w:eastAsia="Times New Roman"/>
          <w:color w:val="000000"/>
          <w:sz w:val="20"/>
          <w:szCs w:val="20"/>
        </w:rPr>
        <w:t xml:space="preserve">Higher net interest income and net interest margin primarily driven by higher average loan balances in our credit card loan portfolio relative to the movement of other interest-earning assets. </w:t>
      </w:r>
    </w:p>
    <w:p w:rsidR="00000000" w:rsidRDefault="0094004B">
      <w:pPr>
        <w:spacing w:before="180" w:after="180"/>
        <w:ind w:hanging="360"/>
        <w:jc w:val="both"/>
        <w:divId w:val="708182579"/>
        <w:rPr>
          <w:rFonts w:eastAsia="Times New Roman"/>
        </w:rPr>
      </w:pPr>
      <w:r>
        <w:rPr>
          <w:rFonts w:eastAsia="Times New Roman"/>
          <w:b/>
          <w:bCs/>
          <w:color w:val="000000"/>
          <w:sz w:val="18"/>
          <w:szCs w:val="18"/>
        </w:rPr>
        <w:t>◦</w:t>
      </w:r>
      <w:r>
        <w:rPr>
          <w:rFonts w:eastAsia="Times New Roman"/>
          <w:color w:val="000000"/>
          <w:sz w:val="20"/>
          <w:szCs w:val="20"/>
        </w:rPr>
        <w:t>Higher non-interest income primarily driven by higher net int</w:t>
      </w:r>
      <w:r>
        <w:rPr>
          <w:rFonts w:eastAsia="Times New Roman"/>
          <w:color w:val="000000"/>
          <w:sz w:val="20"/>
          <w:szCs w:val="20"/>
        </w:rPr>
        <w:t>erchange fees due to an increase in purchase volume.</w:t>
      </w:r>
    </w:p>
    <w:p w:rsidR="00000000" w:rsidRDefault="0094004B">
      <w:pPr>
        <w:ind w:hanging="360"/>
        <w:jc w:val="both"/>
        <w:divId w:val="1575701436"/>
        <w:rPr>
          <w:rFonts w:eastAsia="Times New Roman"/>
        </w:rPr>
      </w:pPr>
      <w:r>
        <w:rPr>
          <w:rFonts w:eastAsia="Times New Roman"/>
          <w:i/>
          <w:iCs/>
          <w:color w:val="000000"/>
          <w:sz w:val="20"/>
          <w:szCs w:val="20"/>
        </w:rPr>
        <w:t>•Loans Held for Investment:</w:t>
      </w:r>
    </w:p>
    <w:p w:rsidR="00000000" w:rsidRDefault="0094004B">
      <w:pPr>
        <w:spacing w:before="180" w:after="180"/>
        <w:ind w:hanging="360"/>
        <w:jc w:val="both"/>
        <w:divId w:val="162550005"/>
        <w:rPr>
          <w:rFonts w:eastAsia="Times New Roman"/>
        </w:rPr>
      </w:pPr>
      <w:r>
        <w:rPr>
          <w:rFonts w:eastAsia="Times New Roman"/>
          <w:color w:val="000000"/>
          <w:sz w:val="20"/>
          <w:szCs w:val="20"/>
        </w:rPr>
        <w:t>◦</w:t>
      </w:r>
      <w:r>
        <w:rPr>
          <w:rFonts w:eastAsia="Times New Roman"/>
          <w:color w:val="000000"/>
          <w:sz w:val="20"/>
          <w:szCs w:val="20"/>
        </w:rPr>
        <w:t xml:space="preserve">Period-end loans held for investment increased by $35.0 billion to $312.3 billion as of December 31, 2022 from December 31, 2021 primarily driven by growth across all of our </w:t>
      </w:r>
      <w:r>
        <w:rPr>
          <w:rFonts w:eastAsia="Times New Roman"/>
          <w:color w:val="000000"/>
          <w:sz w:val="20"/>
          <w:szCs w:val="20"/>
        </w:rPr>
        <w:t xml:space="preserve">segments, including $23.0 billion in Credit Card. </w:t>
      </w:r>
    </w:p>
    <w:p w:rsidR="00000000" w:rsidRDefault="0094004B">
      <w:pPr>
        <w:spacing w:before="180" w:after="180"/>
        <w:ind w:hanging="360"/>
        <w:jc w:val="both"/>
        <w:divId w:val="1885362402"/>
        <w:rPr>
          <w:rFonts w:eastAsia="Times New Roman"/>
        </w:rPr>
      </w:pPr>
      <w:r>
        <w:rPr>
          <w:rFonts w:eastAsia="Times New Roman"/>
          <w:i/>
          <w:iCs/>
          <w:color w:val="000000"/>
          <w:sz w:val="20"/>
          <w:szCs w:val="20"/>
        </w:rPr>
        <w:t>◦</w:t>
      </w:r>
      <w:r>
        <w:rPr>
          <w:rFonts w:eastAsia="Times New Roman"/>
          <w:color w:val="000000"/>
          <w:sz w:val="20"/>
          <w:szCs w:val="20"/>
        </w:rPr>
        <w:t xml:space="preserve">Average loans held for investment increased by $39.5 billion to $292.2 billion in 2022 compared to 2021 primarily driven by growth across all of our segments, including $17.7 billion in Credit Card. </w:t>
      </w:r>
    </w:p>
    <w:p w:rsidR="00000000" w:rsidRDefault="0094004B">
      <w:pPr>
        <w:ind w:hanging="360"/>
        <w:jc w:val="both"/>
        <w:divId w:val="2015062827"/>
        <w:rPr>
          <w:rFonts w:eastAsia="Times New Roman"/>
        </w:rPr>
      </w:pPr>
      <w:r>
        <w:rPr>
          <w:rFonts w:eastAsia="Times New Roman"/>
          <w:i/>
          <w:iCs/>
          <w:color w:val="000000"/>
          <w:sz w:val="20"/>
          <w:szCs w:val="20"/>
        </w:rPr>
        <w:t>•Net</w:t>
      </w:r>
      <w:r>
        <w:rPr>
          <w:rFonts w:eastAsia="Times New Roman"/>
          <w:i/>
          <w:iCs/>
          <w:color w:val="000000"/>
          <w:sz w:val="20"/>
          <w:szCs w:val="20"/>
        </w:rPr>
        <w:t xml:space="preserve"> Charge-Off and Delinquency Metrics:</w:t>
      </w:r>
      <w:r>
        <w:rPr>
          <w:rFonts w:eastAsia="Times New Roman"/>
          <w:color w:val="000000"/>
          <w:sz w:val="20"/>
          <w:szCs w:val="20"/>
        </w:rPr>
        <w:t xml:space="preserve"> </w:t>
      </w:r>
    </w:p>
    <w:p w:rsidR="00000000" w:rsidRDefault="0094004B">
      <w:pPr>
        <w:spacing w:before="180" w:after="180"/>
        <w:ind w:hanging="360"/>
        <w:jc w:val="both"/>
        <w:divId w:val="1708406995"/>
        <w:rPr>
          <w:rFonts w:eastAsia="Times New Roman"/>
        </w:rPr>
      </w:pPr>
      <w:r>
        <w:rPr>
          <w:rFonts w:eastAsia="Times New Roman"/>
          <w:color w:val="000000"/>
          <w:sz w:val="20"/>
          <w:szCs w:val="20"/>
        </w:rPr>
        <w:t>◦</w:t>
      </w:r>
      <w:r>
        <w:rPr>
          <w:rFonts w:eastAsia="Times New Roman"/>
          <w:color w:val="000000"/>
          <w:sz w:val="20"/>
          <w:szCs w:val="20"/>
        </w:rPr>
        <w:t xml:space="preserve">Our net charge-off rate increased by 48 basis points (“bps”) to 1.36% in 2022 compared to 2021 primarily driven by continued credit normalization in our consumer businesses. </w:t>
      </w:r>
    </w:p>
    <w:p w:rsidR="00000000" w:rsidRDefault="0094004B">
      <w:pPr>
        <w:spacing w:before="180" w:after="180"/>
        <w:ind w:hanging="360"/>
        <w:jc w:val="both"/>
        <w:divId w:val="241263563"/>
        <w:rPr>
          <w:rFonts w:eastAsia="Times New Roman"/>
        </w:rPr>
      </w:pPr>
      <w:r>
        <w:rPr>
          <w:rFonts w:eastAsia="Times New Roman"/>
          <w:color w:val="000000"/>
          <w:sz w:val="20"/>
          <w:szCs w:val="20"/>
        </w:rPr>
        <w:t>◦</w:t>
      </w:r>
      <w:r>
        <w:rPr>
          <w:rFonts w:eastAsia="Times New Roman"/>
          <w:color w:val="000000"/>
          <w:sz w:val="20"/>
          <w:szCs w:val="20"/>
        </w:rPr>
        <w:t>Our 30+ day delinquency rate increased by</w:t>
      </w:r>
      <w:r>
        <w:rPr>
          <w:rFonts w:eastAsia="Times New Roman"/>
          <w:color w:val="000000"/>
          <w:sz w:val="20"/>
          <w:szCs w:val="20"/>
        </w:rPr>
        <w:t xml:space="preserve"> 80 bps to 3.21% as of December 31, 2022 from December 31, 2021 primarily driven by continued credit normalization.</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681933160"/>
          <w:jc w:val="center"/>
        </w:trPr>
        <w:tc>
          <w:tcPr>
            <w:tcW w:w="50" w:type="pct"/>
            <w:vAlign w:val="center"/>
            <w:hideMark/>
          </w:tcPr>
          <w:p w:rsidR="00000000" w:rsidRDefault="0094004B">
            <w:pPr>
              <w:ind w:hanging="360"/>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681933160"/>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681933160"/>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48</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074" style="width:0;height:1.5pt" o:hralign="center" o:hrstd="t" o:hr="t" fillcolor="#a0a0a0" stroked="f"/>
        </w:pict>
      </w:r>
    </w:p>
    <w:p w:rsidR="00000000" w:rsidRDefault="0094004B">
      <w:pPr>
        <w:ind w:hanging="360"/>
        <w:jc w:val="both"/>
        <w:divId w:val="269624307"/>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ind w:hanging="360"/>
        <w:jc w:val="both"/>
        <w:divId w:val="1389917557"/>
        <w:rPr>
          <w:rFonts w:eastAsia="Times New Roman"/>
        </w:rPr>
      </w:pPr>
      <w:r>
        <w:rPr>
          <w:rFonts w:eastAsia="Times New Roman"/>
          <w:color w:val="000000"/>
          <w:sz w:val="20"/>
          <w:szCs w:val="20"/>
        </w:rPr>
        <w:t>•</w:t>
      </w:r>
      <w:r>
        <w:rPr>
          <w:rFonts w:eastAsia="Times New Roman"/>
          <w:i/>
          <w:iCs/>
          <w:color w:val="000000"/>
          <w:sz w:val="20"/>
          <w:szCs w:val="20"/>
        </w:rPr>
        <w:t>Allowance for Credit Losses:</w:t>
      </w:r>
      <w:r>
        <w:rPr>
          <w:rFonts w:eastAsia="Times New Roman"/>
          <w:color w:val="000000"/>
          <w:sz w:val="20"/>
          <w:szCs w:val="20"/>
        </w:rPr>
        <w:t xml:space="preserve"> Our allowance for credit losses increased by $1.8 billion to $13.2 billion and our allowance coverage ratio incre</w:t>
      </w:r>
      <w:r>
        <w:rPr>
          <w:rFonts w:eastAsia="Times New Roman"/>
          <w:color w:val="000000"/>
          <w:sz w:val="20"/>
          <w:szCs w:val="20"/>
        </w:rPr>
        <w:t xml:space="preserve">ased by 12 bps to 4.24% as of December 31, 2022 compared to December 31, 2021. </w:t>
      </w:r>
    </w:p>
    <w:tbl>
      <w:tblPr>
        <w:tblW w:w="4992" w:type="pct"/>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trPr>
          <w:divId w:val="870992443"/>
        </w:trPr>
        <w:tc>
          <w:tcPr>
            <w:tcW w:w="50" w:type="pct"/>
            <w:vAlign w:val="center"/>
            <w:hideMark/>
          </w:tcPr>
          <w:p w:rsidR="00000000" w:rsidRDefault="0094004B">
            <w:pPr>
              <w:ind w:hanging="360"/>
              <w:jc w:val="both"/>
              <w:rPr>
                <w:rFonts w:eastAsia="Times New Roman"/>
              </w:rPr>
            </w:pPr>
          </w:p>
        </w:tc>
        <w:tc>
          <w:tcPr>
            <w:tcW w:w="494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870992443"/>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20"/>
                <w:szCs w:val="20"/>
              </w:rPr>
              <w:t>CONSOLIDATED RESULTS OF OPERATIONS</w:t>
            </w:r>
          </w:p>
        </w:tc>
      </w:tr>
    </w:tbl>
    <w:p w:rsidR="00000000" w:rsidRDefault="0094004B">
      <w:pPr>
        <w:jc w:val="both"/>
        <w:divId w:val="1717699077"/>
        <w:rPr>
          <w:rFonts w:eastAsia="Times New Roman"/>
        </w:rPr>
      </w:pPr>
      <w:r>
        <w:rPr>
          <w:rFonts w:eastAsia="Times New Roman"/>
          <w:color w:val="000000"/>
          <w:sz w:val="20"/>
          <w:szCs w:val="20"/>
        </w:rPr>
        <w:t>The section below provides a comparative discussion of our consolidated financial performance for 2022 and 2021. We provide a discussion of our business segment results in the following section, “Business Segment Financial Performance.” This section should</w:t>
      </w:r>
      <w:r>
        <w:rPr>
          <w:rFonts w:eastAsia="Times New Roman"/>
          <w:color w:val="000000"/>
          <w:sz w:val="20"/>
          <w:szCs w:val="20"/>
        </w:rPr>
        <w:t xml:space="preserve"> be read together with our “Executive Summary,” where we discuss trends and other factors that we expect will affect our future results of operations.</w:t>
      </w:r>
    </w:p>
    <w:p w:rsidR="00000000" w:rsidRDefault="0094004B">
      <w:pPr>
        <w:divId w:val="2009209024"/>
        <w:rPr>
          <w:rFonts w:eastAsia="Times New Roman"/>
        </w:rPr>
      </w:pPr>
      <w:r>
        <w:rPr>
          <w:rFonts w:eastAsia="Times New Roman"/>
          <w:b/>
          <w:bCs/>
          <w:color w:val="000000"/>
          <w:sz w:val="20"/>
          <w:szCs w:val="20"/>
        </w:rPr>
        <w:t>Net Interest Income</w:t>
      </w:r>
    </w:p>
    <w:p w:rsidR="00000000" w:rsidRDefault="0094004B">
      <w:pPr>
        <w:jc w:val="both"/>
        <w:divId w:val="2119718967"/>
        <w:rPr>
          <w:rFonts w:eastAsia="Times New Roman"/>
        </w:rPr>
      </w:pPr>
      <w:r>
        <w:rPr>
          <w:rFonts w:eastAsia="Times New Roman"/>
          <w:color w:val="000000"/>
          <w:sz w:val="20"/>
          <w:szCs w:val="20"/>
        </w:rPr>
        <w:t>Net interest income represents the difference between interest income, including cert</w:t>
      </w:r>
      <w:r>
        <w:rPr>
          <w:rFonts w:eastAsia="Times New Roman"/>
          <w:color w:val="000000"/>
          <w:sz w:val="20"/>
          <w:szCs w:val="20"/>
        </w:rPr>
        <w:t>ain fees, earned on our interest-earning assets and the interest expense incurred on our interest-bearing liabilities. Our interest-earning assets include loans, investment securities and other interest-earning assets, while our interest-bearing liabilitie</w:t>
      </w:r>
      <w:r>
        <w:rPr>
          <w:rFonts w:eastAsia="Times New Roman"/>
          <w:color w:val="000000"/>
          <w:sz w:val="20"/>
          <w:szCs w:val="20"/>
        </w:rPr>
        <w:t>s include interest-bearing deposits, securitized debt obligations, senior and subordinated notes, other borrowings and other interest-bearing liabilities. Generally, we include in interest income any past due fees, net of reversals, on loans that we deem c</w:t>
      </w:r>
      <w:r>
        <w:rPr>
          <w:rFonts w:eastAsia="Times New Roman"/>
          <w:color w:val="000000"/>
          <w:sz w:val="20"/>
          <w:szCs w:val="20"/>
        </w:rPr>
        <w:t>ollectible. Our net interest margin, based on our consolidated results, represents the difference between the yield on our interest-earning assets and the cost of our interest-bearing liabilities, including the notional impact of non-interest-bearing fundi</w:t>
      </w:r>
      <w:r>
        <w:rPr>
          <w:rFonts w:eastAsia="Times New Roman"/>
          <w:color w:val="000000"/>
          <w:sz w:val="20"/>
          <w:szCs w:val="20"/>
        </w:rPr>
        <w:t>ng. We expect net interest income and our net interest margin to fluctuate based on changes in interest rates and changes in the amount and composition of our interest-earning assets and interest-bearing liabilities.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700664528"/>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700664528"/>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700664528"/>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49</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075" style="width:0;height:1.5pt" o:hralign="center" o:hrstd="t" o:hr="t" fillcolor="#a0a0a0" stroked="f"/>
        </w:pict>
      </w:r>
    </w:p>
    <w:p w:rsidR="00000000" w:rsidRDefault="0094004B">
      <w:pPr>
        <w:ind w:hanging="360"/>
        <w:jc w:val="both"/>
        <w:divId w:val="844789277"/>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both"/>
        <w:divId w:val="1924753784"/>
        <w:rPr>
          <w:rFonts w:eastAsia="Times New Roman"/>
        </w:rPr>
      </w:pPr>
      <w:r>
        <w:rPr>
          <w:rFonts w:eastAsia="Times New Roman"/>
          <w:color w:val="000000"/>
          <w:sz w:val="20"/>
          <w:szCs w:val="20"/>
        </w:rPr>
        <w:t xml:space="preserve">Table 1 below presents the average outstanding balance, interest income earned, interest expense incurred and average yield for 2022, 2021 and </w:t>
      </w:r>
      <w:r>
        <w:rPr>
          <w:rFonts w:eastAsia="Times New Roman"/>
          <w:color w:val="000000"/>
          <w:sz w:val="20"/>
          <w:szCs w:val="20"/>
        </w:rPr>
        <w:t>2020 for each major category of our interest-earning assets and interest-bearing liabilities. Nonperforming loans are included in the average loan balances below.</w:t>
      </w:r>
    </w:p>
    <w:p w:rsidR="00000000" w:rsidRDefault="0094004B">
      <w:pPr>
        <w:divId w:val="926889806"/>
        <w:rPr>
          <w:rFonts w:eastAsia="Times New Roman"/>
        </w:rPr>
      </w:pPr>
      <w:r>
        <w:rPr>
          <w:rFonts w:eastAsia="Times New Roman"/>
          <w:b/>
          <w:bCs/>
          <w:color w:val="000000"/>
          <w:sz w:val="18"/>
          <w:szCs w:val="18"/>
        </w:rPr>
        <w:t>Table 1: Average Balances, Net Interest Income and Net Interest Margin</w:t>
      </w:r>
    </w:p>
    <w:tbl>
      <w:tblPr>
        <w:tblW w:w="5000" w:type="pct"/>
        <w:tblCellMar>
          <w:top w:w="15" w:type="dxa"/>
          <w:left w:w="15" w:type="dxa"/>
          <w:bottom w:w="15" w:type="dxa"/>
          <w:right w:w="15" w:type="dxa"/>
        </w:tblCellMar>
        <w:tblLook w:val="04A0" w:firstRow="1" w:lastRow="0" w:firstColumn="1" w:lastColumn="0" w:noHBand="0" w:noVBand="1"/>
      </w:tblPr>
      <w:tblGrid>
        <w:gridCol w:w="49"/>
        <w:gridCol w:w="2948"/>
        <w:gridCol w:w="36"/>
        <w:gridCol w:w="36"/>
        <w:gridCol w:w="36"/>
        <w:gridCol w:w="36"/>
        <w:gridCol w:w="36"/>
        <w:gridCol w:w="584"/>
        <w:gridCol w:w="36"/>
        <w:gridCol w:w="36"/>
        <w:gridCol w:w="36"/>
        <w:gridCol w:w="36"/>
        <w:gridCol w:w="36"/>
        <w:gridCol w:w="584"/>
        <w:gridCol w:w="36"/>
        <w:gridCol w:w="36"/>
        <w:gridCol w:w="36"/>
        <w:gridCol w:w="36"/>
        <w:gridCol w:w="36"/>
        <w:gridCol w:w="584"/>
        <w:gridCol w:w="36"/>
        <w:gridCol w:w="36"/>
        <w:gridCol w:w="36"/>
        <w:gridCol w:w="36"/>
        <w:gridCol w:w="36"/>
        <w:gridCol w:w="585"/>
        <w:gridCol w:w="36"/>
        <w:gridCol w:w="36"/>
        <w:gridCol w:w="36"/>
        <w:gridCol w:w="36"/>
        <w:gridCol w:w="36"/>
        <w:gridCol w:w="587"/>
        <w:gridCol w:w="36"/>
        <w:gridCol w:w="36"/>
        <w:gridCol w:w="36"/>
        <w:gridCol w:w="36"/>
        <w:gridCol w:w="36"/>
        <w:gridCol w:w="621"/>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divId w:val="926889806"/>
        </w:trPr>
        <w:tc>
          <w:tcPr>
            <w:tcW w:w="50" w:type="pct"/>
            <w:vAlign w:val="center"/>
            <w:hideMark/>
          </w:tcPr>
          <w:p w:rsidR="00000000" w:rsidRDefault="0094004B">
            <w:pPr>
              <w:rPr>
                <w:rFonts w:eastAsia="Times New Roman"/>
              </w:rPr>
            </w:pPr>
          </w:p>
        </w:tc>
        <w:tc>
          <w:tcPr>
            <w:tcW w:w="1940"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0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0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0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0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0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2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26889806"/>
          <w:trHeight w:val="60"/>
        </w:trPr>
        <w:tc>
          <w:tcPr>
            <w:tcW w:w="0" w:type="auto"/>
            <w:gridSpan w:val="39"/>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926889806"/>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926889806"/>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926889806"/>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26889806"/>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26889806"/>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26889806"/>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26889806"/>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26889806"/>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26889806"/>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26889806"/>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26889806"/>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26889806"/>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26889806"/>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26889806"/>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26889806"/>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26889806"/>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26889806"/>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26889806"/>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26889806"/>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26889806"/>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26889806"/>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26889806"/>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26889806"/>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26889806"/>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26889806"/>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26889806"/>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26889806"/>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26889806"/>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26889806"/>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26889806"/>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26889806"/>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26889806"/>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926889806"/>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926889806"/>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bl>
    <w:p w:rsidR="00000000" w:rsidRDefault="0094004B">
      <w:pPr>
        <w:divId w:val="926889806"/>
        <w:rPr>
          <w:rFonts w:eastAsia="Times New Roman"/>
          <w:vanish/>
        </w:rPr>
      </w:pPr>
    </w:p>
    <w:tbl>
      <w:tblPr>
        <w:tblW w:w="4992" w:type="pct"/>
        <w:tblCellMar>
          <w:top w:w="15" w:type="dxa"/>
          <w:left w:w="15" w:type="dxa"/>
          <w:bottom w:w="15" w:type="dxa"/>
          <w:right w:w="15" w:type="dxa"/>
        </w:tblCellMar>
        <w:tblLook w:val="04A0" w:firstRow="1" w:lastRow="0" w:firstColumn="1" w:lastColumn="0" w:noHBand="0" w:noVBand="1"/>
      </w:tblPr>
      <w:tblGrid>
        <w:gridCol w:w="41"/>
        <w:gridCol w:w="1050"/>
        <w:gridCol w:w="40"/>
        <w:gridCol w:w="36"/>
        <w:gridCol w:w="36"/>
        <w:gridCol w:w="36"/>
        <w:gridCol w:w="100"/>
        <w:gridCol w:w="560"/>
        <w:gridCol w:w="36"/>
        <w:gridCol w:w="36"/>
        <w:gridCol w:w="36"/>
        <w:gridCol w:w="36"/>
        <w:gridCol w:w="100"/>
        <w:gridCol w:w="480"/>
        <w:gridCol w:w="36"/>
        <w:gridCol w:w="36"/>
        <w:gridCol w:w="36"/>
        <w:gridCol w:w="36"/>
        <w:gridCol w:w="86"/>
        <w:gridCol w:w="515"/>
        <w:gridCol w:w="180"/>
        <w:gridCol w:w="36"/>
        <w:gridCol w:w="36"/>
        <w:gridCol w:w="36"/>
        <w:gridCol w:w="100"/>
        <w:gridCol w:w="560"/>
        <w:gridCol w:w="36"/>
        <w:gridCol w:w="36"/>
        <w:gridCol w:w="36"/>
        <w:gridCol w:w="36"/>
        <w:gridCol w:w="100"/>
        <w:gridCol w:w="480"/>
        <w:gridCol w:w="36"/>
        <w:gridCol w:w="36"/>
        <w:gridCol w:w="36"/>
        <w:gridCol w:w="36"/>
        <w:gridCol w:w="78"/>
        <w:gridCol w:w="524"/>
        <w:gridCol w:w="154"/>
        <w:gridCol w:w="36"/>
        <w:gridCol w:w="36"/>
        <w:gridCol w:w="36"/>
        <w:gridCol w:w="100"/>
        <w:gridCol w:w="560"/>
        <w:gridCol w:w="36"/>
        <w:gridCol w:w="36"/>
        <w:gridCol w:w="36"/>
        <w:gridCol w:w="36"/>
        <w:gridCol w:w="100"/>
        <w:gridCol w:w="480"/>
        <w:gridCol w:w="36"/>
        <w:gridCol w:w="36"/>
        <w:gridCol w:w="36"/>
        <w:gridCol w:w="36"/>
        <w:gridCol w:w="86"/>
        <w:gridCol w:w="515"/>
        <w:gridCol w:w="154"/>
      </w:tblGrid>
      <w:tr w:rsidR="00000000">
        <w:trPr>
          <w:divId w:val="926889806"/>
        </w:trPr>
        <w:tc>
          <w:tcPr>
            <w:tcW w:w="50" w:type="pct"/>
            <w:vAlign w:val="center"/>
            <w:hideMark/>
          </w:tcPr>
          <w:p w:rsidR="00000000" w:rsidRDefault="0094004B">
            <w:pPr>
              <w:rPr>
                <w:rFonts w:eastAsia="Times New Roman"/>
              </w:rPr>
            </w:pPr>
          </w:p>
        </w:tc>
        <w:tc>
          <w:tcPr>
            <w:tcW w:w="1350"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0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0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0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0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0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40"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0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0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0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926889806"/>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51"/>
            <w:tcBorders>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Year Ended December 31,</w:t>
            </w:r>
          </w:p>
        </w:tc>
      </w:tr>
      <w:tr w:rsidR="00000000">
        <w:trPr>
          <w:divId w:val="926889806"/>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2020</w:t>
            </w:r>
          </w:p>
        </w:tc>
      </w:tr>
      <w:tr w:rsidR="00000000">
        <w:trPr>
          <w:divId w:val="926889806"/>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Average</w:t>
            </w:r>
            <w:r>
              <w:rPr>
                <w:rFonts w:eastAsia="Times New Roman"/>
                <w:b/>
                <w:bCs/>
                <w:color w:val="000000"/>
                <w:sz w:val="16"/>
                <w:szCs w:val="16"/>
              </w:rPr>
              <w:br/>
              <w:t>Balance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Interest Income/</w:t>
            </w:r>
            <w:r>
              <w:rPr>
                <w:rFonts w:eastAsia="Times New Roman"/>
                <w:b/>
                <w:bCs/>
                <w:color w:val="000000"/>
                <w:sz w:val="16"/>
                <w:szCs w:val="16"/>
              </w:rPr>
              <w:br/>
              <w:t>Expense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Average Yield/</w:t>
            </w:r>
          </w:p>
          <w:p w:rsidR="00000000" w:rsidRDefault="0094004B">
            <w:pPr>
              <w:spacing w:after="100"/>
              <w:jc w:val="center"/>
              <w:rPr>
                <w:rFonts w:eastAsia="Times New Roman"/>
              </w:rPr>
            </w:pPr>
            <w:r>
              <w:rPr>
                <w:rFonts w:eastAsia="Times New Roman"/>
                <w:b/>
                <w:bCs/>
                <w:color w:val="000000"/>
                <w:sz w:val="16"/>
                <w:szCs w:val="16"/>
              </w:rPr>
              <w:t>Rat</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Average</w:t>
            </w:r>
            <w:r>
              <w:rPr>
                <w:rFonts w:eastAsia="Times New Roman"/>
                <w:b/>
                <w:bCs/>
                <w:color w:val="000000"/>
                <w:sz w:val="16"/>
                <w:szCs w:val="16"/>
              </w:rPr>
              <w:br/>
              <w:t>Balance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Interest Income/</w:t>
            </w:r>
            <w:r>
              <w:rPr>
                <w:rFonts w:eastAsia="Times New Roman"/>
                <w:b/>
                <w:bCs/>
                <w:color w:val="000000"/>
                <w:sz w:val="16"/>
                <w:szCs w:val="16"/>
              </w:rPr>
              <w:br/>
              <w:t>Expense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Average Yield/</w:t>
            </w:r>
          </w:p>
          <w:p w:rsidR="00000000" w:rsidRDefault="0094004B">
            <w:pPr>
              <w:spacing w:after="100"/>
              <w:jc w:val="center"/>
              <w:rPr>
                <w:rFonts w:eastAsia="Times New Roman"/>
              </w:rPr>
            </w:pPr>
            <w:r>
              <w:rPr>
                <w:rFonts w:eastAsia="Times New Roman"/>
                <w:b/>
                <w:bCs/>
                <w:color w:val="000000"/>
                <w:sz w:val="16"/>
                <w:szCs w:val="16"/>
              </w:rPr>
              <w:t>Rat</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Average</w:t>
            </w:r>
            <w:r>
              <w:rPr>
                <w:rFonts w:eastAsia="Times New Roman"/>
                <w:b/>
                <w:bCs/>
                <w:color w:val="000000"/>
                <w:sz w:val="16"/>
                <w:szCs w:val="16"/>
              </w:rPr>
              <w:br/>
              <w:t>Balance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Interest Income/</w:t>
            </w:r>
            <w:r>
              <w:rPr>
                <w:rFonts w:eastAsia="Times New Roman"/>
                <w:b/>
                <w:bCs/>
                <w:color w:val="000000"/>
                <w:sz w:val="16"/>
                <w:szCs w:val="16"/>
              </w:rPr>
              <w:br/>
              <w:t>Expense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Average Yield/</w:t>
            </w:r>
          </w:p>
          <w:p w:rsidR="00000000" w:rsidRDefault="0094004B">
            <w:pPr>
              <w:spacing w:after="100"/>
              <w:jc w:val="center"/>
              <w:rPr>
                <w:rFonts w:eastAsia="Times New Roman"/>
              </w:rPr>
            </w:pPr>
            <w:r>
              <w:rPr>
                <w:rFonts w:eastAsia="Times New Roman"/>
                <w:b/>
                <w:bCs/>
                <w:color w:val="000000"/>
                <w:sz w:val="16"/>
                <w:szCs w:val="16"/>
              </w:rPr>
              <w:t>Rat</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r>
      <w:tr w:rsidR="00000000">
        <w:trPr>
          <w:divId w:val="92688980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6"/>
                <w:szCs w:val="16"/>
              </w:rPr>
              <w:t>Assets: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926889806"/>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Interest-earning assets: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926889806"/>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divId w:val="1627158405"/>
              <w:rPr>
                <w:rFonts w:eastAsia="Times New Roman"/>
              </w:rPr>
            </w:pPr>
            <w:r>
              <w:rPr>
                <w:rFonts w:eastAsia="Times New Roman"/>
                <w:color w:val="000000"/>
                <w:sz w:val="16"/>
                <w:szCs w:val="16"/>
              </w:rPr>
              <w:t>Loans</w:t>
            </w:r>
            <w:r>
              <w:rPr>
                <w:rFonts w:eastAsia="Times New Roman"/>
                <w:color w:val="000000"/>
                <w:sz w:val="16"/>
                <w:szCs w:val="16"/>
              </w:rPr>
              <w:t>:</w:t>
            </w:r>
            <w:r>
              <w:rPr>
                <w:rFonts w:eastAsia="Times New Roman"/>
                <w:color w:val="000000"/>
                <w:sz w:val="10"/>
                <w:szCs w:val="10"/>
              </w:rPr>
              <w:t>(2</w:t>
            </w:r>
            <w:r>
              <w:rPr>
                <w:rFonts w:eastAsia="Times New Roman"/>
                <w:color w:val="000000"/>
                <w:sz w:val="10"/>
                <w:szCs w:val="10"/>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94004B">
        <w:trPr>
          <w:divId w:val="926889806"/>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Credit card</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121,055</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19,626</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16.21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r>
              <w:rPr>
                <w:rFonts w:eastAsia="Times New Roman"/>
                <w:b/>
                <w:b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106,016 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15,474 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14.60 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110,634 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15,575 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14.08 </w:t>
            </w:r>
          </w:p>
        </w:tc>
        <w:tc>
          <w:tcPr>
            <w:tcW w:w="0" w:type="auto"/>
            <w:shd w:val="clear" w:color="auto" w:fill="FFFFFF"/>
            <w:tcMar>
              <w:top w:w="30" w:type="dxa"/>
              <w:left w:w="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w:t>
            </w:r>
          </w:p>
        </w:tc>
      </w:tr>
      <w:tr w:rsidR="0094004B">
        <w:trPr>
          <w:divId w:val="926889806"/>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Consumer banking</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80,511</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5,782</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7.18</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73,874 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5,804 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7.86 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66,299 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5,551 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8.37 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94004B">
        <w:trPr>
          <w:divId w:val="926889806"/>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divId w:val="1141768694"/>
              <w:rPr>
                <w:rFonts w:eastAsia="Times New Roman"/>
              </w:rPr>
            </w:pPr>
            <w:r>
              <w:rPr>
                <w:rFonts w:eastAsia="Times New Roman"/>
                <w:color w:val="000000"/>
                <w:sz w:val="16"/>
                <w:szCs w:val="16"/>
              </w:rPr>
              <w:t>Commercial bankin</w:t>
            </w:r>
            <w:r>
              <w:rPr>
                <w:rFonts w:eastAsia="Times New Roman"/>
                <w:color w:val="000000"/>
                <w:sz w:val="16"/>
                <w:szCs w:val="16"/>
              </w:rPr>
              <w:t>g</w:t>
            </w:r>
            <w:r>
              <w:rPr>
                <w:rFonts w:eastAsia="Times New Roman"/>
                <w:color w:val="000000"/>
                <w:sz w:val="10"/>
                <w:szCs w:val="10"/>
              </w:rPr>
              <w:t>(3</w:t>
            </w:r>
            <w:r>
              <w:rPr>
                <w:rFonts w:eastAsia="Times New Roman"/>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92,273</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3,702</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4.01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77,438 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2,119 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2.74 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77,968 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2,438 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3.13 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926889806"/>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divId w:val="1050572804"/>
              <w:rPr>
                <w:rFonts w:eastAsia="Times New Roman"/>
              </w:rPr>
            </w:pPr>
            <w:r>
              <w:rPr>
                <w:rFonts w:eastAsia="Times New Roman"/>
                <w:color w:val="000000"/>
                <w:sz w:val="16"/>
                <w:szCs w:val="16"/>
              </w:rPr>
              <w:t>Othe</w:t>
            </w:r>
            <w:r>
              <w:rPr>
                <w:rFonts w:eastAsia="Times New Roman"/>
                <w:color w:val="000000"/>
                <w:sz w:val="16"/>
                <w:szCs w:val="16"/>
              </w:rPr>
              <w:t>r</w:t>
            </w:r>
            <w:r>
              <w:rPr>
                <w:rFonts w:eastAsia="Times New Roman"/>
                <w:color w:val="000000"/>
                <w:sz w:val="10"/>
                <w:szCs w:val="10"/>
              </w:rPr>
              <w:t>(4</w:t>
            </w:r>
            <w:r>
              <w:rPr>
                <w:rFonts w:eastAsia="Times New Roman"/>
                <w:color w:val="000000"/>
                <w:sz w:val="10"/>
                <w:szCs w:val="10"/>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(200)</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866 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510 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16"/>
                <w:szCs w:val="16"/>
              </w:rPr>
              <w:t>**</w:t>
            </w:r>
          </w:p>
        </w:tc>
      </w:tr>
      <w:tr w:rsidR="0094004B">
        <w:trPr>
          <w:divId w:val="926889806"/>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Total loans, including loans held for sale</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293,839</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28,910</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9.84</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257,328 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24,263 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9.43 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254,901 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24,074 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9.44 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94004B">
        <w:trPr>
          <w:divId w:val="926889806"/>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Investment securities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90,608</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1,884</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2.08</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98,394 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1,446 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1.47 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87,222 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1,877 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2.15 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94004B">
        <w:trPr>
          <w:divId w:val="926889806"/>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Cash equivalents and other interest-earning assets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6"/>
                <w:szCs w:val="16"/>
              </w:rPr>
              <w:t>22,199</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6"/>
                <w:szCs w:val="16"/>
              </w:rPr>
              <w:t>443</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6"/>
                <w:szCs w:val="16"/>
              </w:rPr>
              <w:t>2.00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6"/>
                <w:szCs w:val="16"/>
              </w:rPr>
              <w:t>33,614 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6"/>
                <w:szCs w:val="16"/>
              </w:rPr>
              <w:t>60 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6"/>
                <w:szCs w:val="16"/>
              </w:rPr>
              <w:t>0.18 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6"/>
                <w:szCs w:val="16"/>
              </w:rPr>
              <w:t>36,239 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6"/>
                <w:szCs w:val="16"/>
              </w:rPr>
              <w:t>82 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6"/>
                <w:szCs w:val="16"/>
              </w:rPr>
              <w:t>0.23 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94004B">
        <w:trPr>
          <w:divId w:val="926889806"/>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Total interest-earning assets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406,646</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31,237</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7.68</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389,336 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25,769 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6.62 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378,362 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26,033 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6.88 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926889806"/>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Cash and due from banks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5,054</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5,281 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4,839 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926889806"/>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Allowance for credit losses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(11,620)</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(13,354)</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(14,382)</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926889806"/>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Premises and equipment, net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4,265</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4,257 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4,334 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926889806"/>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Other assets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36,193</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39,001 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38,034 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926889806"/>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Total assets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440,538</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424,521 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411,187 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926889806"/>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6"/>
                <w:szCs w:val="16"/>
              </w:rPr>
              <w:t>Liabilities and stockholders’ equity:</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926889806"/>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Interest-bearing liabilities: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94004B">
        <w:trPr>
          <w:divId w:val="926889806"/>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Interest-bearing deposits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6"/>
                <w:szCs w:val="16"/>
              </w:rPr>
              <w:t>$</w:t>
            </w:r>
          </w:p>
        </w:tc>
        <w:tc>
          <w:tcPr>
            <w:tcW w:w="0" w:type="auto"/>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277,208</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6"/>
                <w:szCs w:val="16"/>
              </w:rPr>
              <w:t>$</w:t>
            </w:r>
          </w:p>
        </w:tc>
        <w:tc>
          <w:tcPr>
            <w:tcW w:w="0" w:type="auto"/>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2,535</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0.91</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r>
              <w:rPr>
                <w:rFonts w:eastAsia="Times New Roman"/>
                <w:b/>
                <w:bCs/>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271,500 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956 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0.35 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263,279 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2,165 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0.82 </w:t>
            </w:r>
          </w:p>
        </w:tc>
        <w:tc>
          <w:tcPr>
            <w:tcW w:w="0" w:type="auto"/>
            <w:shd w:val="clear" w:color="auto" w:fill="CCEEFF"/>
            <w:tcMar>
              <w:top w:w="30" w:type="dxa"/>
              <w:left w:w="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w:t>
            </w:r>
          </w:p>
        </w:tc>
      </w:tr>
      <w:tr w:rsidR="0094004B">
        <w:trPr>
          <w:divId w:val="926889806"/>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Securitized debt obligations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15,603</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384</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2.46</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12,336 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119 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0.96 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15,533 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232 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1.49 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94004B">
        <w:trPr>
          <w:divId w:val="926889806"/>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Senior and subordinated notes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29,286</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1,074</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3.67</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25,530 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488 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1.91 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29,621 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679 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2.29 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94004B">
        <w:trPr>
          <w:divId w:val="926889806"/>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Other borrowings and liabilities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7,800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130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1.67</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2,261 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35 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1.57 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2,882 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44 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1.55 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94004B">
        <w:trPr>
          <w:divId w:val="926889806"/>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Total interest-bearing liabilities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329,897</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4,123</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1.25</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311,627 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1,598 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0.51 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311,315 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3,120 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1.00 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926889806"/>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Non-interest-bearing deposits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36,343</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34,897 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27,556 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926889806"/>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Other liabilities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19,173</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15,441 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14,115 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926889806"/>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Total liabilities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385,413</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361,965 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352,986 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926889806"/>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Stockholders’ equity</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55,125</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62,556 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58,201 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926889806"/>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Total liabilities and stockholders’ equity</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440,538</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424,521 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411,187 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94004B">
        <w:trPr>
          <w:divId w:val="926889806"/>
        </w:trPr>
        <w:tc>
          <w:tcPr>
            <w:tcW w:w="0" w:type="auto"/>
            <w:gridSpan w:val="9"/>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Net interest income/spread</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27,114</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6.43</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24,171 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6.11 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22,913 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5.88 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926889806"/>
        </w:trPr>
        <w:tc>
          <w:tcPr>
            <w:tcW w:w="0" w:type="auto"/>
            <w:gridSpan w:val="15"/>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Impact of non-interest-bearing funding</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0.24</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0.10 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0.18 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926889806"/>
        </w:trPr>
        <w:tc>
          <w:tcPr>
            <w:tcW w:w="0" w:type="auto"/>
            <w:gridSpan w:val="15"/>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Net interest margin</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6.67</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r>
              <w:rPr>
                <w:rFonts w:eastAsia="Times New Roman"/>
                <w:b/>
                <w:bCs/>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6.21 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6.06 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w:t>
            </w:r>
          </w:p>
        </w:tc>
      </w:tr>
    </w:tbl>
    <w:p w:rsidR="00000000" w:rsidRDefault="0094004B">
      <w:pPr>
        <w:divId w:val="1364137442"/>
        <w:rPr>
          <w:rFonts w:eastAsia="Times New Roman"/>
        </w:rPr>
      </w:pPr>
      <w:r>
        <w:rPr>
          <w:rFonts w:eastAsia="Times New Roman"/>
          <w:color w:val="000000"/>
          <w:sz w:val="20"/>
          <w:szCs w:val="20"/>
        </w:rPr>
        <w:t>__________</w:t>
      </w:r>
    </w:p>
    <w:p w:rsidR="00000000" w:rsidRDefault="0094004B">
      <w:pPr>
        <w:ind w:hanging="360"/>
        <w:jc w:val="both"/>
        <w:divId w:val="438448271"/>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Average yiel</w:t>
      </w:r>
      <w:r>
        <w:rPr>
          <w:rFonts w:eastAsia="Times New Roman"/>
          <w:color w:val="000000"/>
          <w:sz w:val="16"/>
          <w:szCs w:val="16"/>
        </w:rPr>
        <w:t>d is calculated based on interest income for the period divided by average loans during the period. Interest income does not include any allocations, such as funds transfer pricing. Average yield is calculated using whole dollar values for average balances</w:t>
      </w:r>
      <w:r>
        <w:rPr>
          <w:rFonts w:eastAsia="Times New Roman"/>
          <w:color w:val="000000"/>
          <w:sz w:val="16"/>
          <w:szCs w:val="16"/>
        </w:rPr>
        <w:t xml:space="preserve"> and interest income/expense. </w:t>
      </w:r>
    </w:p>
    <w:p w:rsidR="00000000" w:rsidRDefault="0094004B">
      <w:pPr>
        <w:ind w:hanging="360"/>
        <w:jc w:val="both"/>
        <w:divId w:val="37559028"/>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 xml:space="preserve">Past due fees, net of reversals, included in interest income totaled approximately $1.9 billion in 2022, $1.4 billion in 2021 and $1.3 billion in 2020. </w:t>
      </w:r>
    </w:p>
    <w:p w:rsidR="00000000" w:rsidRDefault="0094004B">
      <w:pPr>
        <w:ind w:hanging="360"/>
        <w:jc w:val="both"/>
        <w:divId w:val="90051296"/>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Some of our commercial investments generate tax-exempt income, tax</w:t>
      </w:r>
      <w:r>
        <w:rPr>
          <w:rFonts w:eastAsia="Times New Roman"/>
          <w:color w:val="000000"/>
          <w:sz w:val="16"/>
          <w:szCs w:val="16"/>
        </w:rPr>
        <w:t xml:space="preserve"> credits or other tax benefits. Accordingly, we present our Commercial Banking revenue and yields on a taxable-equivalent basis, calculated using the federal statutory tax rate of 21% and state taxes where applicable, with offsetting reductions to the Othe</w:t>
      </w:r>
      <w:r>
        <w:rPr>
          <w:rFonts w:eastAsia="Times New Roman"/>
          <w:color w:val="000000"/>
          <w:sz w:val="16"/>
          <w:szCs w:val="16"/>
        </w:rPr>
        <w:t>r category. Taxable-equivalent adjustments included in the interest income and yield computations for our commercial loans totaled approximately $74 million in both 2022 and 2021, and $81 million in 2020, with corresponding reductions to the Other category</w:t>
      </w:r>
      <w:r>
        <w:rPr>
          <w:rFonts w:eastAsia="Times New Roman"/>
          <w:color w:val="000000"/>
          <w:sz w:val="16"/>
          <w:szCs w:val="16"/>
        </w:rPr>
        <w:t>.</w:t>
      </w:r>
    </w:p>
    <w:p w:rsidR="00000000" w:rsidRDefault="0094004B">
      <w:pPr>
        <w:ind w:firstLine="360"/>
        <w:jc w:val="both"/>
        <w:divId w:val="736323402"/>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740060931"/>
          <w:jc w:val="center"/>
        </w:trPr>
        <w:tc>
          <w:tcPr>
            <w:tcW w:w="50" w:type="pct"/>
            <w:vAlign w:val="center"/>
            <w:hideMark/>
          </w:tcPr>
          <w:p w:rsidR="00000000" w:rsidRDefault="0094004B">
            <w:pPr>
              <w:ind w:firstLine="360"/>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740060931"/>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740060931"/>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50</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076" style="width:0;height:1.5pt" o:hralign="center" o:hrstd="t" o:hr="t" fillcolor="#a0a0a0" stroked="f"/>
        </w:pict>
      </w:r>
    </w:p>
    <w:p w:rsidR="00000000" w:rsidRDefault="0094004B">
      <w:pPr>
        <w:ind w:hanging="360"/>
        <w:jc w:val="both"/>
        <w:divId w:val="481040282"/>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ind w:hanging="360"/>
        <w:jc w:val="both"/>
        <w:divId w:val="975915109"/>
        <w:rPr>
          <w:rFonts w:eastAsia="Times New Roman"/>
        </w:rPr>
      </w:pPr>
      <w:r>
        <w:rPr>
          <w:rFonts w:eastAsia="Times New Roman"/>
          <w:color w:val="000000"/>
          <w:sz w:val="10"/>
          <w:szCs w:val="10"/>
        </w:rPr>
        <w:t>(4</w:t>
      </w:r>
      <w:r>
        <w:rPr>
          <w:rFonts w:eastAsia="Times New Roman"/>
          <w:color w:val="000000"/>
          <w:sz w:val="10"/>
          <w:szCs w:val="10"/>
        </w:rPr>
        <w:t>)</w:t>
      </w:r>
      <w:r>
        <w:rPr>
          <w:rFonts w:eastAsia="Times New Roman"/>
          <w:color w:val="000000"/>
          <w:sz w:val="16"/>
          <w:szCs w:val="16"/>
        </w:rPr>
        <w:t xml:space="preserve">Interest income/expense in the Other category represents the impact of hedge accounting on our loan portfolios and the offsetting reduction of the taxable-equivalent adjustments of our commercial loans as described above. </w:t>
      </w:r>
    </w:p>
    <w:p w:rsidR="00000000" w:rsidRDefault="0094004B">
      <w:pPr>
        <w:ind w:hanging="360"/>
        <w:jc w:val="both"/>
        <w:divId w:val="1969898412"/>
        <w:rPr>
          <w:rFonts w:eastAsia="Times New Roman"/>
        </w:rPr>
      </w:pPr>
      <w:r>
        <w:rPr>
          <w:rFonts w:eastAsia="Times New Roman"/>
          <w:color w:val="000000"/>
          <w:sz w:val="16"/>
          <w:szCs w:val="16"/>
        </w:rPr>
        <w:t>**    Not meaningful.</w:t>
      </w:r>
    </w:p>
    <w:p w:rsidR="00000000" w:rsidRDefault="0094004B">
      <w:pPr>
        <w:jc w:val="both"/>
        <w:divId w:val="745884306"/>
        <w:rPr>
          <w:rFonts w:eastAsia="Times New Roman"/>
        </w:rPr>
      </w:pPr>
      <w:r>
        <w:rPr>
          <w:rFonts w:eastAsia="Times New Roman"/>
          <w:color w:val="000000"/>
          <w:sz w:val="20"/>
          <w:szCs w:val="20"/>
        </w:rPr>
        <w:t>Net interes</w:t>
      </w:r>
      <w:r>
        <w:rPr>
          <w:rFonts w:eastAsia="Times New Roman"/>
          <w:color w:val="000000"/>
          <w:sz w:val="20"/>
          <w:szCs w:val="20"/>
        </w:rPr>
        <w:t>t income increased by $2.9 billion to $27.1 billion in 2022 compared to 2021 primarily driven by higher average loan balances in our credit card loan portfolio.</w:t>
      </w:r>
    </w:p>
    <w:p w:rsidR="00000000" w:rsidRDefault="0094004B">
      <w:pPr>
        <w:jc w:val="both"/>
        <w:divId w:val="1549607717"/>
        <w:rPr>
          <w:rFonts w:eastAsia="Times New Roman"/>
        </w:rPr>
      </w:pPr>
      <w:r>
        <w:rPr>
          <w:rFonts w:eastAsia="Times New Roman"/>
          <w:color w:val="000000"/>
          <w:sz w:val="20"/>
          <w:szCs w:val="20"/>
        </w:rPr>
        <w:t>Net interest margin increased by 46 basis points to 6.67% in 2022 compared to 2021 primarily dr</w:t>
      </w:r>
      <w:r>
        <w:rPr>
          <w:rFonts w:eastAsia="Times New Roman"/>
          <w:color w:val="000000"/>
          <w:sz w:val="20"/>
          <w:szCs w:val="20"/>
        </w:rPr>
        <w:t xml:space="preserve">iven by growth in our credit card loan portfolio relative to the movement in other interest-earning assets, partially offset by higher rates paid on interest-bearing liabilities. </w:t>
      </w:r>
    </w:p>
    <w:p w:rsidR="00000000" w:rsidRDefault="0094004B">
      <w:pPr>
        <w:jc w:val="both"/>
        <w:divId w:val="1413621510"/>
        <w:rPr>
          <w:rFonts w:eastAsia="Times New Roman"/>
        </w:rPr>
      </w:pPr>
      <w:r>
        <w:rPr>
          <w:rFonts w:eastAsia="Times New Roman"/>
          <w:color w:val="000000"/>
          <w:sz w:val="20"/>
          <w:szCs w:val="20"/>
        </w:rPr>
        <w:t>Table 2 displays the change in our net interest income between periods and t</w:t>
      </w:r>
      <w:r>
        <w:rPr>
          <w:rFonts w:eastAsia="Times New Roman"/>
          <w:color w:val="000000"/>
          <w:sz w:val="20"/>
          <w:szCs w:val="20"/>
        </w:rPr>
        <w:t>he extent to which the variance is attributable to:</w:t>
      </w:r>
    </w:p>
    <w:p w:rsidR="00000000" w:rsidRDefault="0094004B">
      <w:pPr>
        <w:ind w:hanging="360"/>
        <w:jc w:val="both"/>
        <w:divId w:val="900556360"/>
        <w:rPr>
          <w:rFonts w:eastAsia="Times New Roman"/>
        </w:rPr>
      </w:pPr>
      <w:r>
        <w:rPr>
          <w:rFonts w:eastAsia="Times New Roman"/>
          <w:color w:val="000000"/>
          <w:sz w:val="20"/>
          <w:szCs w:val="20"/>
        </w:rPr>
        <w:t>•changes in the volume of our interest-earning assets and interest-bearing liabilities; or</w:t>
      </w:r>
    </w:p>
    <w:p w:rsidR="00000000" w:rsidRDefault="0094004B">
      <w:pPr>
        <w:ind w:hanging="360"/>
        <w:jc w:val="both"/>
        <w:divId w:val="161287960"/>
        <w:rPr>
          <w:rFonts w:eastAsia="Times New Roman"/>
        </w:rPr>
      </w:pPr>
      <w:r>
        <w:rPr>
          <w:rFonts w:eastAsia="Times New Roman"/>
          <w:color w:val="000000"/>
          <w:sz w:val="20"/>
          <w:szCs w:val="20"/>
        </w:rPr>
        <w:t>•changes in the interest rates related to these assets and liabilities.</w:t>
      </w:r>
    </w:p>
    <w:p w:rsidR="00000000" w:rsidRDefault="0094004B">
      <w:pPr>
        <w:divId w:val="652836200"/>
        <w:rPr>
          <w:rFonts w:eastAsia="Times New Roman"/>
        </w:rPr>
      </w:pPr>
      <w:r>
        <w:rPr>
          <w:rFonts w:eastAsia="Times New Roman"/>
          <w:b/>
          <w:bCs/>
          <w:color w:val="000000"/>
          <w:sz w:val="18"/>
          <w:szCs w:val="18"/>
        </w:rPr>
        <w:t>Table 2: Rate/Volume Analysis of Net Inte</w:t>
      </w:r>
      <w:r>
        <w:rPr>
          <w:rFonts w:eastAsia="Times New Roman"/>
          <w:b/>
          <w:bCs/>
          <w:color w:val="000000"/>
          <w:sz w:val="18"/>
          <w:szCs w:val="18"/>
        </w:rPr>
        <w:t>rest Incom</w:t>
      </w:r>
      <w:r>
        <w:rPr>
          <w:rFonts w:eastAsia="Times New Roman"/>
          <w:b/>
          <w:bCs/>
          <w:color w:val="000000"/>
          <w:sz w:val="18"/>
          <w:szCs w:val="18"/>
        </w:rPr>
        <w:t>e</w:t>
      </w:r>
      <w:r>
        <w:rPr>
          <w:rFonts w:eastAsia="Times New Roman"/>
          <w:b/>
          <w:bCs/>
          <w:color w:val="000000"/>
          <w:sz w:val="12"/>
          <w:szCs w:val="12"/>
        </w:rPr>
        <w:t>(1</w:t>
      </w:r>
      <w:r>
        <w:rPr>
          <w:rFonts w:eastAsia="Times New Roman"/>
          <w:b/>
          <w:bCs/>
          <w:color w:val="000000"/>
          <w:sz w:val="12"/>
          <w:szCs w:val="12"/>
        </w:rPr>
        <w:t>)</w:t>
      </w:r>
      <w:r>
        <w:rPr>
          <w:rFonts w:eastAsia="Times New Roman"/>
          <w:color w:val="000000"/>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41"/>
        <w:gridCol w:w="3559"/>
        <w:gridCol w:w="40"/>
        <w:gridCol w:w="36"/>
        <w:gridCol w:w="36"/>
        <w:gridCol w:w="36"/>
        <w:gridCol w:w="121"/>
        <w:gridCol w:w="573"/>
        <w:gridCol w:w="36"/>
        <w:gridCol w:w="36"/>
        <w:gridCol w:w="36"/>
        <w:gridCol w:w="36"/>
        <w:gridCol w:w="120"/>
        <w:gridCol w:w="500"/>
        <w:gridCol w:w="36"/>
        <w:gridCol w:w="36"/>
        <w:gridCol w:w="36"/>
        <w:gridCol w:w="36"/>
        <w:gridCol w:w="120"/>
        <w:gridCol w:w="500"/>
        <w:gridCol w:w="36"/>
        <w:gridCol w:w="36"/>
        <w:gridCol w:w="36"/>
        <w:gridCol w:w="36"/>
        <w:gridCol w:w="121"/>
        <w:gridCol w:w="573"/>
        <w:gridCol w:w="36"/>
        <w:gridCol w:w="36"/>
        <w:gridCol w:w="36"/>
        <w:gridCol w:w="36"/>
        <w:gridCol w:w="120"/>
        <w:gridCol w:w="434"/>
        <w:gridCol w:w="36"/>
        <w:gridCol w:w="36"/>
        <w:gridCol w:w="36"/>
        <w:gridCol w:w="36"/>
        <w:gridCol w:w="120"/>
        <w:gridCol w:w="500"/>
        <w:gridCol w:w="36"/>
      </w:tblGrid>
      <w:tr w:rsidR="00000000">
        <w:trPr>
          <w:divId w:val="1523543465"/>
        </w:trPr>
        <w:tc>
          <w:tcPr>
            <w:tcW w:w="50" w:type="pct"/>
            <w:vAlign w:val="center"/>
            <w:hideMark/>
          </w:tcPr>
          <w:p w:rsidR="00000000" w:rsidRDefault="0094004B">
            <w:pPr>
              <w:rPr>
                <w:rFonts w:eastAsia="Times New Roman"/>
              </w:rPr>
            </w:pPr>
          </w:p>
        </w:tc>
        <w:tc>
          <w:tcPr>
            <w:tcW w:w="226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5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5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5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5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5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5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523543465"/>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1523543465"/>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2022 vs. 2021</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2021 vs. 2020</w:t>
            </w:r>
          </w:p>
        </w:tc>
      </w:tr>
      <w:tr w:rsidR="00000000">
        <w:trPr>
          <w:divId w:val="1523543465"/>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Total Variance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Volume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Rate</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Total Variance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Volume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Rate</w:t>
            </w:r>
          </w:p>
        </w:tc>
      </w:tr>
      <w:tr w:rsidR="00000000">
        <w:trPr>
          <w:divId w:val="152354346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20"/>
                <w:szCs w:val="20"/>
              </w:rPr>
              <w:t>Interest income:</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523543465"/>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Loans: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523543465"/>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Credit card</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4,152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2,324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1,828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(101)</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(650)</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549 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523543465"/>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Cons</w:t>
            </w:r>
            <w:r>
              <w:rPr>
                <w:rFonts w:eastAsia="Times New Roman"/>
                <w:color w:val="000000"/>
                <w:sz w:val="20"/>
                <w:szCs w:val="20"/>
              </w:rPr>
              <w:t>umer banking</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(22)</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477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(499)</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253 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595 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(342)</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523543465"/>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divId w:val="980617509"/>
              <w:rPr>
                <w:rFonts w:eastAsia="Times New Roman"/>
              </w:rPr>
            </w:pPr>
            <w:r>
              <w:rPr>
                <w:rFonts w:eastAsia="Times New Roman"/>
                <w:color w:val="000000"/>
                <w:sz w:val="20"/>
                <w:szCs w:val="20"/>
              </w:rPr>
              <w:t>Commercial bankin</w:t>
            </w:r>
            <w:r>
              <w:rPr>
                <w:rFonts w:eastAsia="Times New Roman"/>
                <w:color w:val="000000"/>
                <w:sz w:val="20"/>
                <w:szCs w:val="20"/>
              </w:rPr>
              <w:t>g</w:t>
            </w:r>
            <w:r>
              <w:rPr>
                <w:rFonts w:eastAsia="Times New Roman"/>
                <w:color w:val="000000"/>
                <w:sz w:val="13"/>
                <w:szCs w:val="13"/>
              </w:rPr>
              <w:t>(2</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1,583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454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1,129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(319)</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(16)</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(303)</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523543465"/>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divId w:val="1223105250"/>
              <w:rPr>
                <w:rFonts w:eastAsia="Times New Roman"/>
              </w:rPr>
            </w:pPr>
            <w:r>
              <w:rPr>
                <w:rFonts w:eastAsia="Times New Roman"/>
                <w:color w:val="000000"/>
                <w:sz w:val="20"/>
                <w:szCs w:val="20"/>
              </w:rPr>
              <w:t>Othe</w:t>
            </w:r>
            <w:r>
              <w:rPr>
                <w:rFonts w:eastAsia="Times New Roman"/>
                <w:color w:val="000000"/>
                <w:sz w:val="20"/>
                <w:szCs w:val="20"/>
              </w:rPr>
              <w:t>r</w:t>
            </w:r>
            <w:r>
              <w:rPr>
                <w:rFonts w:eastAsia="Times New Roman"/>
                <w:color w:val="000000"/>
                <w:sz w:val="13"/>
                <w:szCs w:val="13"/>
              </w:rPr>
              <w:t>(3</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(1,066)</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(1,066)</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356 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356 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523543465"/>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Total loans, including loans held for sale</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4,647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3,255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1,392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189 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(71)</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260 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523543465"/>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Investment securities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438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(115)</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553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(431)</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164 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(595)</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523543465"/>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Cash equivalents and other interest-earning assets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383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(20)</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403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(22)</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(6)</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(16)</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523543465"/>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Total interest income</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5,468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3,120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2,348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(264)</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87 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(351)</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523543465"/>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20"/>
                <w:szCs w:val="20"/>
              </w:rPr>
              <w:t>Interest expense:</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523543465"/>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Interest-bearing deposits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1,579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20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1,559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(1,209)</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(1,238)</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523543465"/>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Securitized debt obligations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265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37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228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(113)</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(41)</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(72)</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523543465"/>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Senior and subordinated notes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586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80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506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(191)</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(86)</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(105)</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523543465"/>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Other borrowings and liabilities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95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92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(9)</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(9)</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523543465"/>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Total interest expense</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2,525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229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2,296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(1,522)</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(107)</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(1,415)</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523543465"/>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Net interest income</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2,943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2,891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52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1,258 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194 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1,064 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523543465"/>
        </w:trPr>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bl>
    <w:p w:rsidR="00000000" w:rsidRDefault="0094004B">
      <w:pPr>
        <w:divId w:val="1523543465"/>
        <w:rPr>
          <w:rFonts w:eastAsia="Times New Roman"/>
        </w:rPr>
      </w:pPr>
      <w:r>
        <w:rPr>
          <w:rFonts w:eastAsia="Times New Roman"/>
          <w:color w:val="000000"/>
          <w:sz w:val="20"/>
          <w:szCs w:val="20"/>
        </w:rPr>
        <w:t>__________</w:t>
      </w:r>
    </w:p>
    <w:p w:rsidR="00000000" w:rsidRDefault="0094004B">
      <w:pPr>
        <w:ind w:hanging="360"/>
        <w:jc w:val="both"/>
        <w:divId w:val="46533403"/>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We calculate the change in in</w:t>
      </w:r>
      <w:r>
        <w:rPr>
          <w:rFonts w:eastAsia="Times New Roman"/>
          <w:color w:val="000000"/>
          <w:sz w:val="16"/>
          <w:szCs w:val="16"/>
        </w:rPr>
        <w:t>terest income and interest expense separately for each item. The portion of interest income or interest expense attributable to both volume and rate is allocated proportionately when the calculation results in a positive value. When the portion of interest</w:t>
      </w:r>
      <w:r>
        <w:rPr>
          <w:rFonts w:eastAsia="Times New Roman"/>
          <w:color w:val="000000"/>
          <w:sz w:val="16"/>
          <w:szCs w:val="16"/>
        </w:rPr>
        <w:t xml:space="preserve"> income or interest expense attributable to both volume and rate results in a negative value, the total amount is allocated to volume or rate, depending on which amount is positive.</w:t>
      </w:r>
    </w:p>
    <w:p w:rsidR="00000000" w:rsidRDefault="0094004B">
      <w:pPr>
        <w:ind w:hanging="360"/>
        <w:jc w:val="both"/>
        <w:divId w:val="521090563"/>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Some of our commercial investments generate tax-exempt income, tax cred</w:t>
      </w:r>
      <w:r>
        <w:rPr>
          <w:rFonts w:eastAsia="Times New Roman"/>
          <w:color w:val="000000"/>
          <w:sz w:val="16"/>
          <w:szCs w:val="16"/>
        </w:rPr>
        <w:t>its or other tax benefits. Accordingly, we present our Commercial Banking revenue and yields on a taxable-equivalent basis, calculated using the federal statutory tax rate of 21% and state taxes where applicable, with offsetting reductions to the Other cat</w:t>
      </w:r>
      <w:r>
        <w:rPr>
          <w:rFonts w:eastAsia="Times New Roman"/>
          <w:color w:val="000000"/>
          <w:sz w:val="16"/>
          <w:szCs w:val="16"/>
        </w:rPr>
        <w:t>egory.</w:t>
      </w:r>
    </w:p>
    <w:p w:rsidR="00000000" w:rsidRDefault="0094004B">
      <w:pPr>
        <w:ind w:hanging="360"/>
        <w:jc w:val="both"/>
        <w:divId w:val="536359074"/>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Interest income/expense in the Other category represents the impact of hedge accounting on our loan portfolios and the offsetting reduction of the taxable-equivalent adjustments of our commercial loans as described above.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607657776"/>
          <w:jc w:val="center"/>
        </w:trPr>
        <w:tc>
          <w:tcPr>
            <w:tcW w:w="50" w:type="pct"/>
            <w:vAlign w:val="center"/>
            <w:hideMark/>
          </w:tcPr>
          <w:p w:rsidR="00000000" w:rsidRDefault="0094004B">
            <w:pPr>
              <w:ind w:hanging="360"/>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607657776"/>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607657776"/>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51</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077" style="width:0;height:1.5pt" o:hralign="center" o:hrstd="t" o:hr="t" fillcolor="#a0a0a0" stroked="f"/>
        </w:pict>
      </w:r>
    </w:p>
    <w:p w:rsidR="00000000" w:rsidRDefault="0094004B">
      <w:pPr>
        <w:ind w:hanging="360"/>
        <w:jc w:val="both"/>
        <w:divId w:val="1944192784"/>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divId w:val="1310090968"/>
        <w:rPr>
          <w:rFonts w:eastAsia="Times New Roman"/>
        </w:rPr>
      </w:pPr>
      <w:r>
        <w:rPr>
          <w:rFonts w:eastAsia="Times New Roman"/>
          <w:b/>
          <w:bCs/>
          <w:color w:val="000000"/>
          <w:sz w:val="20"/>
          <w:szCs w:val="20"/>
        </w:rPr>
        <w:t>Non-Interest Income</w:t>
      </w:r>
    </w:p>
    <w:p w:rsidR="00000000" w:rsidRDefault="0094004B">
      <w:pPr>
        <w:ind w:hanging="360"/>
        <w:jc w:val="both"/>
        <w:divId w:val="145753813"/>
        <w:rPr>
          <w:rFonts w:eastAsia="Times New Roman"/>
        </w:rPr>
      </w:pPr>
      <w:r>
        <w:rPr>
          <w:rFonts w:eastAsia="Times New Roman"/>
          <w:color w:val="000000"/>
          <w:sz w:val="20"/>
          <w:szCs w:val="20"/>
        </w:rPr>
        <w:t>Table 3 displays the components of non-interest income for 2022, 2021 and 2020.</w:t>
      </w:r>
    </w:p>
    <w:p w:rsidR="00000000" w:rsidRDefault="0094004B">
      <w:pPr>
        <w:divId w:val="752555886"/>
        <w:rPr>
          <w:rFonts w:eastAsia="Times New Roman"/>
        </w:rPr>
      </w:pPr>
      <w:r>
        <w:rPr>
          <w:rFonts w:eastAsia="Times New Roman"/>
          <w:b/>
          <w:bCs/>
          <w:color w:val="000000"/>
          <w:sz w:val="18"/>
          <w:szCs w:val="18"/>
        </w:rPr>
        <w:t>Table 3: Non-Interest Income</w:t>
      </w:r>
    </w:p>
    <w:tbl>
      <w:tblPr>
        <w:tblW w:w="5000" w:type="pct"/>
        <w:tblCellMar>
          <w:top w:w="15" w:type="dxa"/>
          <w:left w:w="15" w:type="dxa"/>
          <w:bottom w:w="15" w:type="dxa"/>
          <w:right w:w="15" w:type="dxa"/>
        </w:tblCellMar>
        <w:tblLook w:val="04A0" w:firstRow="1" w:lastRow="0" w:firstColumn="1" w:lastColumn="0" w:noHBand="0" w:noVBand="1"/>
      </w:tblPr>
      <w:tblGrid>
        <w:gridCol w:w="40"/>
        <w:gridCol w:w="4412"/>
        <w:gridCol w:w="38"/>
        <w:gridCol w:w="36"/>
        <w:gridCol w:w="36"/>
        <w:gridCol w:w="46"/>
        <w:gridCol w:w="617"/>
        <w:gridCol w:w="36"/>
        <w:gridCol w:w="36"/>
        <w:gridCol w:w="36"/>
        <w:gridCol w:w="121"/>
        <w:gridCol w:w="678"/>
        <w:gridCol w:w="36"/>
        <w:gridCol w:w="36"/>
        <w:gridCol w:w="36"/>
        <w:gridCol w:w="36"/>
        <w:gridCol w:w="121"/>
        <w:gridCol w:w="750"/>
        <w:gridCol w:w="36"/>
        <w:gridCol w:w="36"/>
        <w:gridCol w:w="36"/>
        <w:gridCol w:w="36"/>
        <w:gridCol w:w="121"/>
        <w:gridCol w:w="750"/>
        <w:gridCol w:w="36"/>
        <w:gridCol w:w="36"/>
        <w:gridCol w:w="36"/>
        <w:gridCol w:w="36"/>
      </w:tblGrid>
      <w:tr w:rsidR="00000000">
        <w:trPr>
          <w:divId w:val="601181730"/>
        </w:trPr>
        <w:tc>
          <w:tcPr>
            <w:tcW w:w="50" w:type="pct"/>
            <w:vAlign w:val="center"/>
            <w:hideMark/>
          </w:tcPr>
          <w:p w:rsidR="00000000" w:rsidRDefault="0094004B">
            <w:pPr>
              <w:rPr>
                <w:rFonts w:eastAsia="Times New Roman"/>
              </w:rPr>
            </w:pPr>
          </w:p>
        </w:tc>
        <w:tc>
          <w:tcPr>
            <w:tcW w:w="302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551"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1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551"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1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551"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601181730"/>
        </w:trPr>
        <w:tc>
          <w:tcPr>
            <w:tcW w:w="0" w:type="auto"/>
            <w:gridSpan w:val="3"/>
            <w:tcMar>
              <w:top w:w="30" w:type="dxa"/>
              <w:left w:w="155" w:type="dxa"/>
              <w:bottom w:w="30" w:type="dxa"/>
              <w:right w:w="20" w:type="dxa"/>
            </w:tcMar>
            <w:vAlign w:val="bottom"/>
            <w:hideMark/>
          </w:tcPr>
          <w:p w:rsidR="00000000" w:rsidRDefault="0094004B">
            <w:pPr>
              <w:spacing w:after="100"/>
              <w:rPr>
                <w:rFonts w:eastAsia="Times New Roman"/>
              </w:rPr>
            </w:pPr>
            <w:r>
              <w:rPr>
                <w:rFonts w:eastAsia="Times New Roman"/>
                <w:color w:val="000000"/>
                <w:sz w:val="20"/>
                <w:szCs w:val="20"/>
              </w:rPr>
              <w:t> </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1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rPr>
              <w:t>Year Ended December 31,</w:t>
            </w:r>
          </w:p>
        </w:tc>
        <w:tc>
          <w:tcPr>
            <w:tcW w:w="0" w:type="auto"/>
            <w:gridSpan w:val="3"/>
            <w:vAlign w:val="center"/>
            <w:hideMark/>
          </w:tcPr>
          <w:p w:rsidR="00000000" w:rsidRDefault="0094004B">
            <w:pPr>
              <w:spacing w:after="100"/>
              <w:jc w:val="center"/>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601181730"/>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8"/>
                <w:szCs w:val="18"/>
              </w:rPr>
              <w:t>(Dollars in millions)</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rPr>
              <w:t>2020</w:t>
            </w:r>
          </w:p>
        </w:tc>
        <w:tc>
          <w:tcPr>
            <w:tcW w:w="0" w:type="auto"/>
            <w:gridSpan w:val="3"/>
            <w:vAlign w:val="center"/>
            <w:hideMark/>
          </w:tcPr>
          <w:p w:rsidR="00000000" w:rsidRDefault="0094004B">
            <w:pPr>
              <w:spacing w:after="100"/>
              <w:jc w:val="center"/>
              <w:rPr>
                <w:rFonts w:eastAsia="Times New Roman"/>
              </w:rPr>
            </w:pPr>
          </w:p>
        </w:tc>
      </w:tr>
      <w:tr w:rsidR="00000000">
        <w:trPr>
          <w:divId w:val="601181730"/>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20"/>
                <w:szCs w:val="20"/>
              </w:rPr>
              <w:t>Interchange fees, net</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center"/>
            <w:hideMark/>
          </w:tcPr>
          <w:p w:rsidR="00000000" w:rsidRDefault="0094004B">
            <w:pPr>
              <w:spacing w:after="100"/>
              <w:jc w:val="right"/>
              <w:rPr>
                <w:rFonts w:eastAsia="Times New Roman"/>
              </w:rPr>
            </w:pPr>
            <w:r>
              <w:rPr>
                <w:rFonts w:eastAsia="Times New Roman"/>
                <w:b/>
                <w:bCs/>
                <w:color w:val="000000"/>
                <w:sz w:val="20"/>
                <w:szCs w:val="20"/>
              </w:rPr>
              <w:t>4,606</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20"/>
                <w:szCs w:val="20"/>
              </w:rPr>
              <w:t>3,860</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20"/>
                <w:szCs w:val="20"/>
              </w:rPr>
              <w:t>3,017</w:t>
            </w:r>
          </w:p>
        </w:tc>
        <w:tc>
          <w:tcPr>
            <w:tcW w:w="0" w:type="auto"/>
            <w:gridSpan w:val="3"/>
            <w:vAlign w:val="center"/>
            <w:hideMark/>
          </w:tcPr>
          <w:p w:rsidR="00000000" w:rsidRDefault="0094004B">
            <w:pPr>
              <w:spacing w:after="100"/>
              <w:jc w:val="right"/>
              <w:rPr>
                <w:rFonts w:eastAsia="Times New Roman"/>
              </w:rPr>
            </w:pPr>
          </w:p>
        </w:tc>
      </w:tr>
      <w:tr w:rsidR="00000000">
        <w:trPr>
          <w:divId w:val="601181730"/>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20"/>
                <w:szCs w:val="20"/>
              </w:rPr>
              <w:t>Service charges and other customer-related fees</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b/>
                <w:bCs/>
                <w:color w:val="000000"/>
                <w:sz w:val="20"/>
                <w:szCs w:val="20"/>
              </w:rPr>
              <w:t>1,625</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20"/>
                <w:szCs w:val="20"/>
              </w:rPr>
              <w:t>1,578</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20"/>
                <w:szCs w:val="20"/>
              </w:rPr>
              <w:t>1,243</w:t>
            </w:r>
          </w:p>
        </w:tc>
        <w:tc>
          <w:tcPr>
            <w:tcW w:w="0" w:type="auto"/>
            <w:gridSpan w:val="3"/>
            <w:vAlign w:val="center"/>
            <w:hideMark/>
          </w:tcPr>
          <w:p w:rsidR="00000000" w:rsidRDefault="0094004B">
            <w:pPr>
              <w:spacing w:after="100"/>
              <w:jc w:val="right"/>
              <w:rPr>
                <w:rFonts w:eastAsia="Times New Roman"/>
              </w:rPr>
            </w:pPr>
          </w:p>
        </w:tc>
      </w:tr>
      <w:tr w:rsidR="00000000">
        <w:trPr>
          <w:divId w:val="601181730"/>
        </w:trPr>
        <w:tc>
          <w:tcPr>
            <w:tcW w:w="0" w:type="auto"/>
            <w:gridSpan w:val="3"/>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601181730"/>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divId w:val="1807425840"/>
              <w:rPr>
                <w:rFonts w:eastAsia="Times New Roman"/>
              </w:rPr>
            </w:pPr>
            <w:r>
              <w:rPr>
                <w:rFonts w:eastAsia="Times New Roman"/>
                <w:color w:val="000000"/>
                <w:sz w:val="20"/>
                <w:szCs w:val="20"/>
              </w:rPr>
              <w:t>Other non-interest income</w:t>
            </w:r>
            <w:r>
              <w:rPr>
                <w:rFonts w:eastAsia="Times New Roman"/>
                <w:color w:val="000000"/>
                <w:sz w:val="20"/>
                <w:szCs w:val="20"/>
              </w:rPr>
              <w:t>:</w:t>
            </w:r>
            <w:r>
              <w:rPr>
                <w:rFonts w:eastAsia="Times New Roman"/>
                <w:color w:val="000000"/>
                <w:sz w:val="13"/>
                <w:szCs w:val="13"/>
              </w:rPr>
              <w:t>(1</w:t>
            </w:r>
            <w:r>
              <w:rPr>
                <w:rFonts w:eastAsia="Times New Roman"/>
                <w:color w:val="000000"/>
                <w:sz w:val="13"/>
                <w:szCs w:val="13"/>
              </w:rPr>
              <w:t>)</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601181730"/>
        </w:trPr>
        <w:tc>
          <w:tcPr>
            <w:tcW w:w="0" w:type="auto"/>
            <w:gridSpan w:val="3"/>
            <w:shd w:val="clear" w:color="auto" w:fill="FFFFFF"/>
            <w:tcMar>
              <w:top w:w="30" w:type="dxa"/>
              <w:left w:w="245" w:type="dxa"/>
              <w:bottom w:w="30" w:type="dxa"/>
              <w:right w:w="20" w:type="dxa"/>
            </w:tcMar>
            <w:vAlign w:val="bottom"/>
            <w:hideMark/>
          </w:tcPr>
          <w:p w:rsidR="00000000" w:rsidRDefault="0094004B">
            <w:pPr>
              <w:spacing w:after="100"/>
              <w:rPr>
                <w:rFonts w:eastAsia="Times New Roman"/>
              </w:rPr>
            </w:pPr>
            <w:r>
              <w:rPr>
                <w:rFonts w:eastAsia="Times New Roman"/>
                <w:color w:val="000000"/>
                <w:sz w:val="20"/>
                <w:szCs w:val="20"/>
              </w:rPr>
              <w:t>Mortgage banking revenue</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b/>
                <w:bCs/>
                <w:color w:val="000000"/>
                <w:sz w:val="20"/>
                <w:szCs w:val="20"/>
              </w:rPr>
              <w:t>193</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20"/>
                <w:szCs w:val="20"/>
              </w:rPr>
              <w:t>235</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20"/>
                <w:szCs w:val="20"/>
              </w:rPr>
              <w:t>249</w:t>
            </w:r>
          </w:p>
        </w:tc>
        <w:tc>
          <w:tcPr>
            <w:tcW w:w="0" w:type="auto"/>
            <w:gridSpan w:val="3"/>
            <w:vAlign w:val="center"/>
            <w:hideMark/>
          </w:tcPr>
          <w:p w:rsidR="00000000" w:rsidRDefault="0094004B">
            <w:pPr>
              <w:spacing w:after="100"/>
              <w:jc w:val="right"/>
              <w:rPr>
                <w:rFonts w:eastAsia="Times New Roman"/>
              </w:rPr>
            </w:pPr>
          </w:p>
        </w:tc>
      </w:tr>
      <w:tr w:rsidR="00000000">
        <w:trPr>
          <w:divId w:val="601181730"/>
        </w:trPr>
        <w:tc>
          <w:tcPr>
            <w:tcW w:w="0" w:type="auto"/>
            <w:gridSpan w:val="3"/>
            <w:shd w:val="clear" w:color="auto" w:fill="CCEEFF"/>
            <w:tcMar>
              <w:top w:w="30" w:type="dxa"/>
              <w:left w:w="245" w:type="dxa"/>
              <w:bottom w:w="30" w:type="dxa"/>
              <w:right w:w="20" w:type="dxa"/>
            </w:tcMar>
            <w:vAlign w:val="bottom"/>
            <w:hideMark/>
          </w:tcPr>
          <w:p w:rsidR="00000000" w:rsidRDefault="0094004B">
            <w:pPr>
              <w:spacing w:after="100"/>
              <w:rPr>
                <w:rFonts w:eastAsia="Times New Roman"/>
              </w:rPr>
            </w:pPr>
            <w:r>
              <w:rPr>
                <w:rFonts w:eastAsia="Times New Roman"/>
                <w:color w:val="000000"/>
                <w:sz w:val="20"/>
                <w:szCs w:val="20"/>
              </w:rPr>
              <w:t>Treasury and other investment income</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b/>
                <w:bCs/>
                <w:color w:val="000000"/>
                <w:sz w:val="20"/>
                <w:szCs w:val="20"/>
              </w:rPr>
              <w:t>51</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20"/>
                <w:szCs w:val="20"/>
              </w:rPr>
              <w:t>151</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2C2C2C"/>
                <w:sz w:val="20"/>
                <w:szCs w:val="20"/>
              </w:rPr>
              <w:t>701</w:t>
            </w:r>
          </w:p>
        </w:tc>
        <w:tc>
          <w:tcPr>
            <w:tcW w:w="0" w:type="auto"/>
            <w:gridSpan w:val="3"/>
            <w:vAlign w:val="center"/>
            <w:hideMark/>
          </w:tcPr>
          <w:p w:rsidR="00000000" w:rsidRDefault="0094004B">
            <w:pPr>
              <w:spacing w:after="100"/>
              <w:jc w:val="right"/>
              <w:rPr>
                <w:rFonts w:eastAsia="Times New Roman"/>
              </w:rPr>
            </w:pPr>
          </w:p>
        </w:tc>
      </w:tr>
      <w:tr w:rsidR="00000000">
        <w:trPr>
          <w:divId w:val="601181730"/>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divId w:val="1164978164"/>
              <w:rPr>
                <w:rFonts w:eastAsia="Times New Roman"/>
              </w:rPr>
            </w:pPr>
            <w:r>
              <w:rPr>
                <w:rFonts w:eastAsia="Times New Roman"/>
                <w:color w:val="000000"/>
                <w:sz w:val="20"/>
                <w:szCs w:val="20"/>
              </w:rPr>
              <w:t>Othe</w:t>
            </w:r>
            <w:r>
              <w:rPr>
                <w:rFonts w:eastAsia="Times New Roman"/>
                <w:color w:val="000000"/>
                <w:sz w:val="20"/>
                <w:szCs w:val="20"/>
              </w:rPr>
              <w:t>r</w:t>
            </w:r>
            <w:r>
              <w:rPr>
                <w:rFonts w:eastAsia="Times New Roman"/>
                <w:color w:val="000000"/>
                <w:sz w:val="13"/>
                <w:szCs w:val="13"/>
              </w:rPr>
              <w:t>(2</w:t>
            </w:r>
            <w:r>
              <w:rPr>
                <w:rFonts w:eastAsia="Times New Roman"/>
                <w:color w:val="000000"/>
                <w:sz w:val="13"/>
                <w:szCs w:val="13"/>
              </w:rPr>
              <w:t>)</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b/>
                <w:bCs/>
                <w:color w:val="000000"/>
                <w:sz w:val="20"/>
                <w:szCs w:val="20"/>
              </w:rPr>
              <w:t>661</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20"/>
                <w:szCs w:val="20"/>
              </w:rPr>
              <w:t>440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20"/>
                <w:szCs w:val="20"/>
              </w:rPr>
              <w:t>400</w:t>
            </w:r>
          </w:p>
        </w:tc>
        <w:tc>
          <w:tcPr>
            <w:tcW w:w="0" w:type="auto"/>
            <w:gridSpan w:val="3"/>
            <w:vAlign w:val="center"/>
            <w:hideMark/>
          </w:tcPr>
          <w:p w:rsidR="00000000" w:rsidRDefault="0094004B">
            <w:pPr>
              <w:spacing w:after="100"/>
              <w:jc w:val="right"/>
              <w:rPr>
                <w:rFonts w:eastAsia="Times New Roman"/>
              </w:rPr>
            </w:pPr>
          </w:p>
        </w:tc>
      </w:tr>
      <w:tr w:rsidR="00000000">
        <w:trPr>
          <w:divId w:val="601181730"/>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20"/>
                <w:szCs w:val="20"/>
              </w:rPr>
              <w:t>Total other non-interest income</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b/>
                <w:bCs/>
                <w:color w:val="2C2C2C"/>
                <w:sz w:val="20"/>
                <w:szCs w:val="20"/>
              </w:rPr>
              <w:t>905</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2C2C2C"/>
                <w:sz w:val="20"/>
                <w:szCs w:val="20"/>
              </w:rPr>
              <w:t>826</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2C2C2C"/>
                <w:sz w:val="20"/>
                <w:szCs w:val="20"/>
              </w:rPr>
              <w:t>1,350</w:t>
            </w:r>
          </w:p>
        </w:tc>
        <w:tc>
          <w:tcPr>
            <w:tcW w:w="0" w:type="auto"/>
            <w:gridSpan w:val="3"/>
            <w:vAlign w:val="center"/>
            <w:hideMark/>
          </w:tcPr>
          <w:p w:rsidR="00000000" w:rsidRDefault="0094004B">
            <w:pPr>
              <w:spacing w:after="100"/>
              <w:jc w:val="right"/>
              <w:rPr>
                <w:rFonts w:eastAsia="Times New Roman"/>
              </w:rPr>
            </w:pPr>
          </w:p>
        </w:tc>
      </w:tr>
      <w:tr w:rsidR="00000000">
        <w:trPr>
          <w:divId w:val="601181730"/>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20"/>
                <w:szCs w:val="20"/>
              </w:rPr>
              <w:t>Total non-interest income</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20"/>
                <w:szCs w:val="20"/>
              </w:rPr>
              <w:t>$</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140" w:type="dxa"/>
            </w:tcMar>
            <w:vAlign w:val="center"/>
            <w:hideMark/>
          </w:tcPr>
          <w:p w:rsidR="00000000" w:rsidRDefault="0094004B">
            <w:pPr>
              <w:spacing w:after="100"/>
              <w:jc w:val="right"/>
              <w:rPr>
                <w:rFonts w:eastAsia="Times New Roman"/>
              </w:rPr>
            </w:pPr>
            <w:r>
              <w:rPr>
                <w:rFonts w:eastAsia="Times New Roman"/>
                <w:b/>
                <w:bCs/>
                <w:color w:val="000000"/>
                <w:sz w:val="20"/>
                <w:szCs w:val="20"/>
              </w:rPr>
              <w:t>7,136</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20"/>
                <w:szCs w:val="20"/>
              </w:rPr>
              <w:t>6,264</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20"/>
                <w:szCs w:val="20"/>
              </w:rPr>
              <w:t>5,610</w:t>
            </w:r>
          </w:p>
        </w:tc>
        <w:tc>
          <w:tcPr>
            <w:tcW w:w="0" w:type="auto"/>
            <w:gridSpan w:val="3"/>
            <w:vAlign w:val="center"/>
            <w:hideMark/>
          </w:tcPr>
          <w:p w:rsidR="00000000" w:rsidRDefault="0094004B">
            <w:pPr>
              <w:spacing w:after="100"/>
              <w:jc w:val="right"/>
              <w:rPr>
                <w:rFonts w:eastAsia="Times New Roman"/>
              </w:rPr>
            </w:pPr>
          </w:p>
        </w:tc>
      </w:tr>
    </w:tbl>
    <w:p w:rsidR="00000000" w:rsidRDefault="0094004B">
      <w:pPr>
        <w:divId w:val="601181730"/>
        <w:rPr>
          <w:rFonts w:eastAsia="Times New Roman"/>
        </w:rPr>
      </w:pPr>
      <w:r>
        <w:rPr>
          <w:rFonts w:eastAsia="Times New Roman"/>
          <w:color w:val="000000"/>
          <w:sz w:val="20"/>
          <w:szCs w:val="20"/>
        </w:rPr>
        <w:t>________</w:t>
      </w:r>
    </w:p>
    <w:p w:rsidR="00000000" w:rsidRDefault="0094004B">
      <w:pPr>
        <w:ind w:hanging="360"/>
        <w:jc w:val="both"/>
        <w:divId w:val="2084835834"/>
        <w:rPr>
          <w:rFonts w:eastAsia="Times New Roman"/>
        </w:rPr>
      </w:pPr>
      <w:r>
        <w:rPr>
          <w:rFonts w:eastAsia="Times New Roman"/>
          <w:b/>
          <w:bCs/>
          <w:color w:val="000000"/>
          <w:sz w:val="10"/>
          <w:szCs w:val="10"/>
          <w:shd w:val="clear" w:color="auto" w:fill="FFFFFF"/>
        </w:rPr>
        <w:t>(1</w:t>
      </w:r>
      <w:r>
        <w:rPr>
          <w:rFonts w:eastAsia="Times New Roman"/>
          <w:b/>
          <w:bCs/>
          <w:color w:val="000000"/>
          <w:sz w:val="10"/>
          <w:szCs w:val="10"/>
          <w:shd w:val="clear" w:color="auto" w:fill="FFFFFF"/>
        </w:rPr>
        <w:t>)</w:t>
      </w:r>
      <w:r>
        <w:rPr>
          <w:rFonts w:eastAsia="Times New Roman"/>
          <w:color w:val="000000"/>
          <w:sz w:val="16"/>
          <w:szCs w:val="16"/>
        </w:rPr>
        <w:t>Includes a loss of $78 </w:t>
      </w:r>
      <w:r>
        <w:rPr>
          <w:rFonts w:eastAsia="Times New Roman"/>
          <w:color w:val="000000"/>
          <w:sz w:val="16"/>
          <w:szCs w:val="16"/>
        </w:rPr>
        <w:t>million and gains of $69 million and $45 million on deferred compensation plan investments for 2022, 2021 and 2020, respectively. These amounts have corresponding offsets in non-interest expense.</w:t>
      </w:r>
    </w:p>
    <w:p w:rsidR="00000000" w:rsidRDefault="0094004B">
      <w:pPr>
        <w:ind w:hanging="360"/>
        <w:jc w:val="both"/>
        <w:divId w:val="783353732"/>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 xml:space="preserve">Primarily consists of revenue from Capital One Shopping, </w:t>
      </w:r>
      <w:r>
        <w:rPr>
          <w:rFonts w:eastAsia="Times New Roman"/>
          <w:color w:val="000000"/>
          <w:sz w:val="16"/>
          <w:szCs w:val="16"/>
        </w:rPr>
        <w:t>our credit card partnership agreements and gains or losses on loan sales. In 2022, the gain on sale of card partnership loan portfolios was $192 million.</w:t>
      </w:r>
    </w:p>
    <w:p w:rsidR="00000000" w:rsidRDefault="0094004B">
      <w:pPr>
        <w:jc w:val="both"/>
        <w:divId w:val="1535657673"/>
        <w:rPr>
          <w:rFonts w:eastAsia="Times New Roman"/>
        </w:rPr>
      </w:pPr>
      <w:r>
        <w:rPr>
          <w:rFonts w:eastAsia="Times New Roman"/>
          <w:color w:val="000000"/>
          <w:sz w:val="20"/>
          <w:szCs w:val="20"/>
        </w:rPr>
        <w:t>Non-interest income increased by $872 million to $7.1 billion in 2022 compared to 2021 primarily drive</w:t>
      </w:r>
      <w:r>
        <w:rPr>
          <w:rFonts w:eastAsia="Times New Roman"/>
          <w:color w:val="000000"/>
          <w:sz w:val="20"/>
          <w:szCs w:val="20"/>
        </w:rPr>
        <w:t>n by higher net interchange fees due to an increase in purchase volume in our Credit Card business.</w:t>
      </w:r>
    </w:p>
    <w:p w:rsidR="00000000" w:rsidRDefault="0094004B">
      <w:pPr>
        <w:divId w:val="624311937"/>
        <w:rPr>
          <w:rFonts w:eastAsia="Times New Roman"/>
        </w:rPr>
      </w:pPr>
      <w:r>
        <w:rPr>
          <w:rFonts w:eastAsia="Times New Roman"/>
          <w:b/>
          <w:bCs/>
          <w:color w:val="000000"/>
          <w:sz w:val="20"/>
          <w:szCs w:val="20"/>
          <w:shd w:val="clear" w:color="auto" w:fill="FFFFFF"/>
        </w:rPr>
        <w:t>Provision for Credit Losses</w:t>
      </w:r>
    </w:p>
    <w:p w:rsidR="00000000" w:rsidRDefault="0094004B">
      <w:pPr>
        <w:jc w:val="both"/>
        <w:divId w:val="45763232"/>
        <w:rPr>
          <w:rFonts w:eastAsia="Times New Roman"/>
        </w:rPr>
      </w:pPr>
      <w:r>
        <w:rPr>
          <w:rFonts w:eastAsia="Times New Roman"/>
          <w:color w:val="000000"/>
          <w:sz w:val="20"/>
          <w:szCs w:val="20"/>
        </w:rPr>
        <w:t>Our provision for credit losses in each period is driven by net charge-offs, changes to the allowance for credit losses and chan</w:t>
      </w:r>
      <w:r>
        <w:rPr>
          <w:rFonts w:eastAsia="Times New Roman"/>
          <w:color w:val="000000"/>
          <w:sz w:val="20"/>
          <w:szCs w:val="20"/>
        </w:rPr>
        <w:t>ges to the reserve for unfunded lending commitments. We recorded a provision for credit losses of $5.8 billion in 2022, $(1.9) billion in 2021 and $10.3 billion in 2020</w:t>
      </w:r>
      <w:r>
        <w:rPr>
          <w:rFonts w:eastAsia="Times New Roman"/>
          <w:color w:val="000000"/>
          <w:sz w:val="16"/>
          <w:szCs w:val="16"/>
        </w:rPr>
        <w:t>.</w:t>
      </w:r>
    </w:p>
    <w:p w:rsidR="00000000" w:rsidRDefault="0094004B">
      <w:pPr>
        <w:jc w:val="both"/>
        <w:divId w:val="1747266845"/>
        <w:rPr>
          <w:rFonts w:eastAsia="Times New Roman"/>
        </w:rPr>
      </w:pPr>
      <w:r>
        <w:rPr>
          <w:rFonts w:eastAsia="Times New Roman"/>
          <w:color w:val="000000"/>
          <w:sz w:val="20"/>
          <w:szCs w:val="20"/>
        </w:rPr>
        <w:t>Our provision for credit losses increased by $7.8 billion to $5.8 billion in 2022 comp</w:t>
      </w:r>
      <w:r>
        <w:rPr>
          <w:rFonts w:eastAsia="Times New Roman"/>
          <w:color w:val="000000"/>
          <w:sz w:val="20"/>
          <w:szCs w:val="20"/>
        </w:rPr>
        <w:t>ared to 2021 primarily driven by a net allowance build across all of our segments due to credit normalization, a modestly worse economic outlook and loan growth, compared to a net allowance release across all of our segments in 2021.</w:t>
      </w:r>
    </w:p>
    <w:p w:rsidR="00000000" w:rsidRDefault="0094004B">
      <w:pPr>
        <w:jc w:val="both"/>
        <w:divId w:val="972951803"/>
        <w:rPr>
          <w:rFonts w:eastAsia="Times New Roman"/>
        </w:rPr>
      </w:pPr>
      <w:r>
        <w:rPr>
          <w:rFonts w:eastAsia="Times New Roman"/>
          <w:color w:val="000000"/>
          <w:sz w:val="20"/>
          <w:szCs w:val="20"/>
        </w:rPr>
        <w:t xml:space="preserve">We provide additional </w:t>
      </w:r>
      <w:r>
        <w:rPr>
          <w:rFonts w:eastAsia="Times New Roman"/>
          <w:color w:val="000000"/>
          <w:sz w:val="20"/>
          <w:szCs w:val="20"/>
        </w:rPr>
        <w:t xml:space="preserve">information on the provision for credit losses and changes in the allowance for credit losses within “Credit Risk Profile” and “Part II—Item 8. Financial Statements and Supplementary Data—Note 4—Allowance for Credit Losses and Reserve for Unfunded Lending </w:t>
      </w:r>
      <w:r>
        <w:rPr>
          <w:rFonts w:eastAsia="Times New Roman"/>
          <w:color w:val="000000"/>
          <w:sz w:val="20"/>
          <w:szCs w:val="20"/>
        </w:rPr>
        <w:t>Commitments.” For information on the allowance methodology for each of our loan categories, see “Part II—Item 8. Financial Statements and Supplementary Data—Note 1—Summary of Significant Accounting Policies.”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069307630"/>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069307630"/>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069307630"/>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52</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078" style="width:0;height:1.5pt" o:hralign="center" o:hrstd="t" o:hr="t" fillcolor="#a0a0a0" stroked="f"/>
        </w:pict>
      </w:r>
    </w:p>
    <w:p w:rsidR="00000000" w:rsidRDefault="0094004B">
      <w:pPr>
        <w:ind w:hanging="360"/>
        <w:jc w:val="both"/>
        <w:divId w:val="2004507837"/>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divId w:val="734818544"/>
        <w:rPr>
          <w:rFonts w:eastAsia="Times New Roman"/>
        </w:rPr>
      </w:pPr>
      <w:r>
        <w:rPr>
          <w:rFonts w:eastAsia="Times New Roman"/>
          <w:b/>
          <w:bCs/>
          <w:color w:val="000000"/>
          <w:sz w:val="20"/>
          <w:szCs w:val="20"/>
        </w:rPr>
        <w:t>Non-Interest Expense</w:t>
      </w:r>
    </w:p>
    <w:p w:rsidR="00000000" w:rsidRDefault="0094004B">
      <w:pPr>
        <w:ind w:hanging="360"/>
        <w:jc w:val="both"/>
        <w:divId w:val="1454010976"/>
        <w:rPr>
          <w:rFonts w:eastAsia="Times New Roman"/>
        </w:rPr>
      </w:pPr>
      <w:r>
        <w:rPr>
          <w:rFonts w:eastAsia="Times New Roman"/>
          <w:color w:val="000000"/>
          <w:sz w:val="20"/>
          <w:szCs w:val="20"/>
        </w:rPr>
        <w:t>Table 4 displays the components of non-interest expense for 2022, 2021 and 2020.</w:t>
      </w:r>
    </w:p>
    <w:p w:rsidR="00000000" w:rsidRDefault="0094004B">
      <w:pPr>
        <w:divId w:val="2041776939"/>
        <w:rPr>
          <w:rFonts w:eastAsia="Times New Roman"/>
        </w:rPr>
      </w:pPr>
      <w:r>
        <w:rPr>
          <w:rFonts w:eastAsia="Times New Roman"/>
          <w:b/>
          <w:bCs/>
          <w:color w:val="000000"/>
          <w:sz w:val="18"/>
          <w:szCs w:val="18"/>
        </w:rPr>
        <w:t>Table 4: Non-Interest Expense</w:t>
      </w:r>
    </w:p>
    <w:tbl>
      <w:tblPr>
        <w:tblW w:w="4992" w:type="pct"/>
        <w:tblCellMar>
          <w:top w:w="15" w:type="dxa"/>
          <w:left w:w="15" w:type="dxa"/>
          <w:bottom w:w="15" w:type="dxa"/>
          <w:right w:w="15" w:type="dxa"/>
        </w:tblCellMar>
        <w:tblLook w:val="04A0" w:firstRow="1" w:lastRow="0" w:firstColumn="1" w:lastColumn="0" w:noHBand="0" w:noVBand="1"/>
      </w:tblPr>
      <w:tblGrid>
        <w:gridCol w:w="41"/>
        <w:gridCol w:w="3919"/>
        <w:gridCol w:w="40"/>
        <w:gridCol w:w="36"/>
        <w:gridCol w:w="36"/>
        <w:gridCol w:w="46"/>
        <w:gridCol w:w="615"/>
        <w:gridCol w:w="36"/>
        <w:gridCol w:w="36"/>
        <w:gridCol w:w="36"/>
        <w:gridCol w:w="121"/>
        <w:gridCol w:w="803"/>
        <w:gridCol w:w="36"/>
        <w:gridCol w:w="40"/>
        <w:gridCol w:w="207"/>
        <w:gridCol w:w="39"/>
        <w:gridCol w:w="121"/>
        <w:gridCol w:w="803"/>
        <w:gridCol w:w="36"/>
        <w:gridCol w:w="40"/>
        <w:gridCol w:w="207"/>
        <w:gridCol w:w="39"/>
        <w:gridCol w:w="121"/>
        <w:gridCol w:w="803"/>
        <w:gridCol w:w="36"/>
      </w:tblGrid>
      <w:tr w:rsidR="00000000">
        <w:trPr>
          <w:divId w:val="780102194"/>
        </w:trPr>
        <w:tc>
          <w:tcPr>
            <w:tcW w:w="50" w:type="pct"/>
            <w:vAlign w:val="center"/>
            <w:hideMark/>
          </w:tcPr>
          <w:p w:rsidR="00000000" w:rsidRDefault="0094004B">
            <w:pPr>
              <w:rPr>
                <w:rFonts w:eastAsia="Times New Roman"/>
              </w:rPr>
            </w:pPr>
          </w:p>
        </w:tc>
        <w:tc>
          <w:tcPr>
            <w:tcW w:w="299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1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55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55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560"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780102194"/>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1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rPr>
              <w:t>Year Ended December 31,</w:t>
            </w: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780102194"/>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20"/>
                <w:szCs w:val="20"/>
              </w:rPr>
              <w:t>(Dollars in millions)</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2020</w:t>
            </w:r>
          </w:p>
        </w:tc>
      </w:tr>
      <w:tr w:rsidR="00000000">
        <w:trPr>
          <w:divId w:val="78010219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Operating Expense:</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780102194"/>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divId w:val="1800150552"/>
              <w:rPr>
                <w:rFonts w:eastAsia="Times New Roman"/>
              </w:rPr>
            </w:pPr>
            <w:r>
              <w:rPr>
                <w:rFonts w:eastAsia="Times New Roman"/>
                <w:color w:val="000000"/>
                <w:sz w:val="20"/>
                <w:szCs w:val="20"/>
              </w:rPr>
              <w:t>    </w:t>
            </w:r>
            <w:r>
              <w:rPr>
                <w:rFonts w:eastAsia="Times New Roman"/>
                <w:color w:val="000000"/>
                <w:sz w:val="20"/>
                <w:szCs w:val="20"/>
              </w:rPr>
              <w:t>Salaries and associate benefit</w:t>
            </w:r>
            <w:r>
              <w:rPr>
                <w:rFonts w:eastAsia="Times New Roman"/>
                <w:color w:val="000000"/>
                <w:sz w:val="20"/>
                <w:szCs w:val="20"/>
              </w:rPr>
              <w:t>s</w:t>
            </w:r>
            <w:r>
              <w:rPr>
                <w:rFonts w:eastAsia="Times New Roman"/>
                <w:color w:val="000000"/>
                <w:sz w:val="13"/>
                <w:szCs w:val="13"/>
              </w:rPr>
              <w:t>(1</w:t>
            </w:r>
            <w:r>
              <w:rPr>
                <w:rFonts w:eastAsia="Times New Roman"/>
                <w:color w:val="000000"/>
                <w:sz w:val="13"/>
                <w:szCs w:val="13"/>
              </w:rPr>
              <w:t>)</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20"/>
                <w:szCs w:val="20"/>
              </w:rPr>
              <w:t>8,425</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20"/>
                <w:szCs w:val="20"/>
              </w:rPr>
              <w:t>7,421</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20"/>
                <w:szCs w:val="20"/>
              </w:rPr>
              <w:t>6,805</w:t>
            </w:r>
          </w:p>
        </w:tc>
      </w:tr>
      <w:tr w:rsidR="00000000">
        <w:trPr>
          <w:divId w:val="780102194"/>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    Occupancy and equipment</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20"/>
                <w:szCs w:val="20"/>
              </w:rPr>
              <w:t>2,050</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20"/>
                <w:szCs w:val="20"/>
              </w:rPr>
              <w:t>2,003</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20"/>
                <w:szCs w:val="20"/>
              </w:rPr>
              <w:t>2,118</w:t>
            </w:r>
          </w:p>
        </w:tc>
      </w:tr>
      <w:tr w:rsidR="00000000">
        <w:trPr>
          <w:divId w:val="780102194"/>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    Professional services</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20"/>
                <w:szCs w:val="20"/>
              </w:rPr>
              <w:t>1,807</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20"/>
                <w:szCs w:val="20"/>
              </w:rPr>
              <w:t>1,440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20"/>
                <w:szCs w:val="20"/>
              </w:rPr>
              <w:t>1,312</w:t>
            </w:r>
          </w:p>
        </w:tc>
      </w:tr>
      <w:tr w:rsidR="00000000">
        <w:trPr>
          <w:divId w:val="780102194"/>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    </w:t>
            </w:r>
            <w:r>
              <w:rPr>
                <w:rFonts w:eastAsia="Times New Roman"/>
                <w:color w:val="000000"/>
                <w:sz w:val="20"/>
                <w:szCs w:val="20"/>
              </w:rPr>
              <w:t>Communications and data processing</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20"/>
                <w:szCs w:val="20"/>
              </w:rPr>
              <w:t>1,379</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20"/>
                <w:szCs w:val="20"/>
              </w:rPr>
              <w:t>1,262</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20"/>
                <w:szCs w:val="20"/>
              </w:rPr>
              <w:t>1,215</w:t>
            </w:r>
          </w:p>
        </w:tc>
      </w:tr>
      <w:tr w:rsidR="00000000">
        <w:trPr>
          <w:divId w:val="780102194"/>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    Amortization of intangibles</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20"/>
                <w:szCs w:val="20"/>
              </w:rPr>
              <w:t>70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20"/>
                <w:szCs w:val="20"/>
              </w:rPr>
              <w:t>29</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20"/>
                <w:szCs w:val="20"/>
              </w:rPr>
              <w:t>60</w:t>
            </w:r>
          </w:p>
        </w:tc>
      </w:tr>
      <w:tr w:rsidR="00000000">
        <w:trPr>
          <w:divId w:val="780102194"/>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    Other non-interest expense:</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60" w:type="dxa"/>
              <w:bottom w:w="0" w:type="dxa"/>
              <w:right w:w="20" w:type="dxa"/>
            </w:tcMar>
            <w:vAlign w:val="center"/>
            <w:hideMark/>
          </w:tcPr>
          <w:p w:rsidR="00000000" w:rsidRDefault="0094004B">
            <w:pPr>
              <w:spacing w:after="100"/>
              <w:rPr>
                <w:rFonts w:eastAsia="Times New Roman"/>
                <w:sz w:val="20"/>
                <w:szCs w:val="20"/>
              </w:rPr>
            </w:pPr>
          </w:p>
        </w:tc>
      </w:tr>
      <w:tr w:rsidR="00000000">
        <w:trPr>
          <w:divId w:val="780102194"/>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    </w:t>
            </w:r>
            <w:r>
              <w:rPr>
                <w:rFonts w:eastAsia="Times New Roman"/>
                <w:color w:val="000000"/>
                <w:sz w:val="20"/>
                <w:szCs w:val="20"/>
              </w:rPr>
              <w:t>Bankcard, regulatory and other fee assessments</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20"/>
                <w:szCs w:val="20"/>
              </w:rPr>
              <w:t>264</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20"/>
                <w:szCs w:val="20"/>
              </w:rPr>
              <w:t>199</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20"/>
                <w:szCs w:val="20"/>
              </w:rPr>
              <w:t>267</w:t>
            </w:r>
          </w:p>
        </w:tc>
      </w:tr>
      <w:tr w:rsidR="00000000">
        <w:trPr>
          <w:divId w:val="780102194"/>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    Collections</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20"/>
                <w:szCs w:val="20"/>
              </w:rPr>
              <w:t>331</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20"/>
                <w:szCs w:val="20"/>
              </w:rPr>
              <w:t>360</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20"/>
                <w:szCs w:val="20"/>
              </w:rPr>
              <w:t>323</w:t>
            </w:r>
          </w:p>
        </w:tc>
      </w:tr>
      <w:tr w:rsidR="00000000">
        <w:trPr>
          <w:divId w:val="780102194"/>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    Other</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20"/>
                <w:szCs w:val="20"/>
              </w:rPr>
              <w:t>820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20"/>
                <w:szCs w:val="20"/>
              </w:rPr>
              <w:t>985</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20"/>
                <w:szCs w:val="20"/>
              </w:rPr>
              <w:t>1,346</w:t>
            </w:r>
          </w:p>
        </w:tc>
      </w:tr>
      <w:tr w:rsidR="00000000">
        <w:trPr>
          <w:divId w:val="780102194"/>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    </w:t>
            </w:r>
            <w:r>
              <w:rPr>
                <w:rFonts w:eastAsia="Times New Roman"/>
                <w:color w:val="000000"/>
                <w:sz w:val="20"/>
                <w:szCs w:val="20"/>
              </w:rPr>
              <w:t>Total other non-interest expense</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20"/>
                <w:szCs w:val="20"/>
              </w:rPr>
              <w:t>1,415</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20"/>
                <w:szCs w:val="20"/>
              </w:rPr>
              <w:t>1,544</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20"/>
                <w:szCs w:val="20"/>
              </w:rPr>
              <w:t>1,936</w:t>
            </w:r>
          </w:p>
        </w:tc>
      </w:tr>
      <w:tr w:rsidR="00000000">
        <w:trPr>
          <w:divId w:val="780102194"/>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Total operating expense</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20"/>
                <w:szCs w:val="20"/>
              </w:rPr>
              <w:t>15,146</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20"/>
                <w:szCs w:val="20"/>
              </w:rPr>
              <w:t>13,699</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20"/>
                <w:szCs w:val="20"/>
              </w:rPr>
              <w:t>13,446</w:t>
            </w:r>
          </w:p>
        </w:tc>
      </w:tr>
      <w:tr w:rsidR="00000000">
        <w:trPr>
          <w:divId w:val="780102194"/>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Marketing</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20"/>
                <w:szCs w:val="20"/>
              </w:rPr>
              <w:t>4,017</w:t>
            </w:r>
          </w:p>
        </w:tc>
        <w:tc>
          <w:tcPr>
            <w:tcW w:w="0" w:type="auto"/>
            <w:gridSpan w:val="3"/>
            <w:shd w:val="clear" w:color="auto" w:fill="CCEEFF"/>
            <w:tcMar>
              <w:top w:w="0" w:type="dxa"/>
              <w:left w:w="20" w:type="dxa"/>
              <w:bottom w:w="0" w:type="dxa"/>
              <w:right w:w="26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20"/>
                <w:szCs w:val="20"/>
              </w:rPr>
              <w:t>2,871</w:t>
            </w:r>
          </w:p>
        </w:tc>
        <w:tc>
          <w:tcPr>
            <w:tcW w:w="0" w:type="auto"/>
            <w:gridSpan w:val="3"/>
            <w:shd w:val="clear" w:color="auto" w:fill="CCEEFF"/>
            <w:tcMar>
              <w:top w:w="0" w:type="dxa"/>
              <w:left w:w="20" w:type="dxa"/>
              <w:bottom w:w="0" w:type="dxa"/>
              <w:right w:w="26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20"/>
                <w:szCs w:val="20"/>
              </w:rPr>
              <w:t>1,610</w:t>
            </w:r>
          </w:p>
        </w:tc>
      </w:tr>
      <w:tr w:rsidR="00000000">
        <w:trPr>
          <w:divId w:val="780102194"/>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Total non-interest expense</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20"/>
                <w:szCs w:val="20"/>
              </w:rPr>
              <w:t>$</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20"/>
                <w:szCs w:val="20"/>
              </w:rPr>
              <w:t>19,163</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20"/>
                <w:szCs w:val="20"/>
              </w:rPr>
              <w:t>16,570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20"/>
                <w:szCs w:val="20"/>
              </w:rPr>
              <w:t>15,056</w:t>
            </w:r>
          </w:p>
        </w:tc>
      </w:tr>
    </w:tbl>
    <w:p w:rsidR="00000000" w:rsidRDefault="0094004B">
      <w:pPr>
        <w:divId w:val="780102194"/>
        <w:rPr>
          <w:rFonts w:eastAsia="Times New Roman"/>
        </w:rPr>
      </w:pPr>
      <w:r>
        <w:rPr>
          <w:rFonts w:eastAsia="Times New Roman"/>
          <w:color w:val="000000"/>
          <w:sz w:val="20"/>
          <w:szCs w:val="20"/>
        </w:rPr>
        <w:t>_________</w:t>
      </w:r>
    </w:p>
    <w:p w:rsidR="00000000" w:rsidRDefault="0094004B">
      <w:pPr>
        <w:ind w:hanging="360"/>
        <w:jc w:val="both"/>
        <w:divId w:val="454254624"/>
        <w:rPr>
          <w:rFonts w:eastAsia="Times New Roman"/>
        </w:rPr>
      </w:pPr>
      <w:r>
        <w:rPr>
          <w:rFonts w:eastAsia="Times New Roman"/>
          <w:color w:val="000000"/>
          <w:sz w:val="10"/>
          <w:szCs w:val="10"/>
          <w:shd w:val="clear" w:color="auto" w:fill="FFFFFF"/>
        </w:rPr>
        <w:t>(1</w:t>
      </w:r>
      <w:r>
        <w:rPr>
          <w:rFonts w:eastAsia="Times New Roman"/>
          <w:color w:val="000000"/>
          <w:sz w:val="10"/>
          <w:szCs w:val="10"/>
          <w:shd w:val="clear" w:color="auto" w:fill="FFFFFF"/>
        </w:rPr>
        <w:t>)</w:t>
      </w:r>
      <w:r>
        <w:rPr>
          <w:rFonts w:eastAsia="Times New Roman"/>
          <w:color w:val="000000"/>
          <w:sz w:val="16"/>
          <w:szCs w:val="16"/>
        </w:rPr>
        <w:t>Includes a benefit of</w:t>
      </w:r>
      <w:r>
        <w:rPr>
          <w:rFonts w:eastAsia="Times New Roman"/>
          <w:color w:val="000000"/>
          <w:sz w:val="16"/>
          <w:szCs w:val="16"/>
          <w:shd w:val="clear" w:color="auto" w:fill="FFFFFF"/>
        </w:rPr>
        <w:t xml:space="preserve"> </w:t>
      </w:r>
      <w:r>
        <w:rPr>
          <w:rFonts w:eastAsia="Times New Roman"/>
          <w:color w:val="000000"/>
          <w:sz w:val="16"/>
          <w:szCs w:val="16"/>
        </w:rPr>
        <w:t>$78 million and expenses of $69 million and $45 million related to our deferred compensation plan investments</w:t>
      </w:r>
      <w:r>
        <w:rPr>
          <w:rFonts w:eastAsia="Times New Roman"/>
          <w:color w:val="000000"/>
          <w:sz w:val="16"/>
          <w:szCs w:val="16"/>
          <w:shd w:val="clear" w:color="auto" w:fill="FFFFFF"/>
        </w:rPr>
        <w:t xml:space="preserve"> for 2022, </w:t>
      </w:r>
      <w:r>
        <w:rPr>
          <w:rFonts w:eastAsia="Times New Roman"/>
          <w:color w:val="000000"/>
          <w:sz w:val="16"/>
          <w:szCs w:val="16"/>
        </w:rPr>
        <w:t>2021 and 2020, respectively. These amounts have co</w:t>
      </w:r>
      <w:r>
        <w:rPr>
          <w:rFonts w:eastAsia="Times New Roman"/>
          <w:color w:val="000000"/>
          <w:sz w:val="16"/>
          <w:szCs w:val="16"/>
        </w:rPr>
        <w:t>rresponding offsets from investments in other non-interest income.</w:t>
      </w:r>
    </w:p>
    <w:p w:rsidR="00000000" w:rsidRDefault="0094004B">
      <w:pPr>
        <w:jc w:val="both"/>
        <w:divId w:val="1627277204"/>
        <w:rPr>
          <w:rFonts w:eastAsia="Times New Roman"/>
        </w:rPr>
      </w:pPr>
      <w:r>
        <w:rPr>
          <w:rFonts w:eastAsia="Times New Roman"/>
          <w:color w:val="000000"/>
          <w:sz w:val="20"/>
          <w:szCs w:val="20"/>
        </w:rPr>
        <w:t>Non-interest expense increased by $2.6 billion to $19.2 </w:t>
      </w:r>
      <w:r>
        <w:rPr>
          <w:rFonts w:eastAsia="Times New Roman"/>
          <w:color w:val="000000"/>
          <w:sz w:val="20"/>
          <w:szCs w:val="20"/>
        </w:rPr>
        <w:t xml:space="preserve">billion in the year ended 2022 compared to 2021, primarily driven by increased marketing spend and increased salaries and associate benefits due to increased employee headcount and continued investment in technology. </w:t>
      </w:r>
    </w:p>
    <w:p w:rsidR="00000000" w:rsidRDefault="0094004B">
      <w:pPr>
        <w:divId w:val="249781038"/>
        <w:rPr>
          <w:rFonts w:eastAsia="Times New Roman"/>
        </w:rPr>
      </w:pPr>
      <w:r>
        <w:rPr>
          <w:rFonts w:eastAsia="Times New Roman"/>
          <w:b/>
          <w:bCs/>
          <w:color w:val="000000"/>
          <w:sz w:val="20"/>
          <w:szCs w:val="20"/>
          <w:shd w:val="clear" w:color="auto" w:fill="FFFFFF"/>
        </w:rPr>
        <w:t>Income Taxes</w:t>
      </w:r>
    </w:p>
    <w:p w:rsidR="00000000" w:rsidRDefault="0094004B">
      <w:pPr>
        <w:jc w:val="both"/>
        <w:divId w:val="166865412"/>
        <w:rPr>
          <w:rFonts w:eastAsia="Times New Roman"/>
        </w:rPr>
      </w:pPr>
      <w:r>
        <w:rPr>
          <w:rFonts w:eastAsia="Times New Roman"/>
          <w:color w:val="000000"/>
          <w:sz w:val="20"/>
          <w:szCs w:val="20"/>
        </w:rPr>
        <w:t>We recorded an income tax</w:t>
      </w:r>
      <w:r>
        <w:rPr>
          <w:rFonts w:eastAsia="Times New Roman"/>
          <w:color w:val="000000"/>
          <w:sz w:val="20"/>
          <w:szCs w:val="20"/>
        </w:rPr>
        <w:t xml:space="preserve"> provision of $1.9 billion (20.3% effective income tax rate), $3.4 billion (21.6% effective income tax rate), and $486 million (15.2% effective income tax rate) in 2022, 2021 and 2020, respectively. Our effective tax rate on income from continuing operatio</w:t>
      </w:r>
      <w:r>
        <w:rPr>
          <w:rFonts w:eastAsia="Times New Roman"/>
          <w:color w:val="000000"/>
          <w:sz w:val="20"/>
          <w:szCs w:val="20"/>
        </w:rPr>
        <w:t>ns varies between periods due, in part, to the impact of changes in pre-tax income and changes in tax credits, tax-exempt income and non-deductible expenses relative to our pre-tax earnings.</w:t>
      </w:r>
    </w:p>
    <w:p w:rsidR="00000000" w:rsidRDefault="0094004B">
      <w:pPr>
        <w:jc w:val="both"/>
        <w:divId w:val="1983534981"/>
        <w:rPr>
          <w:rFonts w:eastAsia="Times New Roman"/>
        </w:rPr>
      </w:pPr>
      <w:r>
        <w:rPr>
          <w:rFonts w:eastAsia="Times New Roman"/>
          <w:color w:val="000000"/>
          <w:sz w:val="20"/>
          <w:szCs w:val="20"/>
        </w:rPr>
        <w:t xml:space="preserve">Our effective income tax rate in 2022 decreased by 1.3% compared </w:t>
      </w:r>
      <w:r>
        <w:rPr>
          <w:rFonts w:eastAsia="Times New Roman"/>
          <w:color w:val="000000"/>
          <w:sz w:val="20"/>
          <w:szCs w:val="20"/>
        </w:rPr>
        <w:t xml:space="preserve">to 2021. We recorded discrete tax benefits of $71 million in 2022, $66 million in 2021 and $22 million in 2020. </w:t>
      </w:r>
    </w:p>
    <w:p w:rsidR="00000000" w:rsidRDefault="0094004B">
      <w:pPr>
        <w:jc w:val="both"/>
        <w:divId w:val="845637586"/>
        <w:rPr>
          <w:rFonts w:eastAsia="Times New Roman"/>
        </w:rPr>
      </w:pPr>
      <w:r>
        <w:rPr>
          <w:rFonts w:eastAsia="Times New Roman"/>
          <w:color w:val="000000"/>
          <w:sz w:val="20"/>
          <w:szCs w:val="20"/>
        </w:rPr>
        <w:t>We provide additional information on items affecting our income taxes and effective tax rate in “Part II—Item 8. Financial Statements and Suppl</w:t>
      </w:r>
      <w:r>
        <w:rPr>
          <w:rFonts w:eastAsia="Times New Roman"/>
          <w:color w:val="000000"/>
          <w:sz w:val="20"/>
          <w:szCs w:val="20"/>
        </w:rPr>
        <w:t>ementary Data—Note 15—Income Taxes.”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013385833"/>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013385833"/>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013385833"/>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53</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079" style="width:0;height:1.5pt" o:hralign="center" o:hrstd="t" o:hr="t" fillcolor="#a0a0a0" stroked="f"/>
        </w:pict>
      </w:r>
    </w:p>
    <w:p w:rsidR="00000000" w:rsidRDefault="0094004B">
      <w:pPr>
        <w:ind w:hanging="360"/>
        <w:jc w:val="both"/>
        <w:divId w:val="66341206"/>
        <w:rPr>
          <w:rFonts w:eastAsia="Times New Roman"/>
        </w:rPr>
      </w:pPr>
      <w:hyperlink w:anchor="ia820611622d9441b977884dac00e0ebd_16"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648239169"/>
        </w:trPr>
        <w:tc>
          <w:tcPr>
            <w:tcW w:w="50" w:type="pct"/>
            <w:vAlign w:val="center"/>
            <w:hideMark/>
          </w:tcPr>
          <w:p w:rsidR="00000000" w:rsidRDefault="0094004B">
            <w:pPr>
              <w:ind w:hanging="360"/>
              <w:jc w:val="both"/>
              <w:rPr>
                <w:rFonts w:eastAsia="Times New Roman"/>
              </w:rPr>
            </w:pPr>
          </w:p>
        </w:tc>
        <w:tc>
          <w:tcPr>
            <w:tcW w:w="494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648239169"/>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20"/>
                <w:szCs w:val="20"/>
              </w:rPr>
              <w:t>CONSOLIDATED BALANCE SHEETS ANALYSIS</w:t>
            </w:r>
          </w:p>
        </w:tc>
      </w:tr>
    </w:tbl>
    <w:p w:rsidR="00000000" w:rsidRDefault="0094004B">
      <w:pPr>
        <w:jc w:val="both"/>
        <w:rPr>
          <w:rFonts w:eastAsia="Times New Roman"/>
        </w:rPr>
      </w:pPr>
      <w:r>
        <w:rPr>
          <w:rFonts w:eastAsia="Times New Roman"/>
          <w:color w:val="000000"/>
          <w:sz w:val="20"/>
          <w:szCs w:val="20"/>
        </w:rPr>
        <w:t>Total assets increased by $22.9 billion to $455.2 billion as of December 31, 2022 from December 31, 2021 primarily driven by growth in our loan portfolios, partially offset by a decrease in our investment securities portfolio.</w:t>
      </w:r>
    </w:p>
    <w:p w:rsidR="00000000" w:rsidRDefault="0094004B">
      <w:pPr>
        <w:jc w:val="both"/>
        <w:divId w:val="765729460"/>
        <w:rPr>
          <w:rFonts w:eastAsia="Times New Roman"/>
        </w:rPr>
      </w:pPr>
      <w:r>
        <w:rPr>
          <w:rFonts w:eastAsia="Times New Roman"/>
          <w:color w:val="000000"/>
          <w:sz w:val="20"/>
          <w:szCs w:val="20"/>
        </w:rPr>
        <w:t>Total liabilities increased b</w:t>
      </w:r>
      <w:r>
        <w:rPr>
          <w:rFonts w:eastAsia="Times New Roman"/>
          <w:color w:val="000000"/>
          <w:sz w:val="20"/>
          <w:szCs w:val="20"/>
        </w:rPr>
        <w:t>y $31.3 billion to $402.7 billion as of December 31, 2022 from December 31, 2021 primarily driven by deposit growth.</w:t>
      </w:r>
    </w:p>
    <w:p w:rsidR="00000000" w:rsidRDefault="0094004B">
      <w:pPr>
        <w:jc w:val="both"/>
        <w:divId w:val="33820953"/>
        <w:rPr>
          <w:rFonts w:eastAsia="Times New Roman"/>
        </w:rPr>
      </w:pPr>
      <w:r>
        <w:rPr>
          <w:rFonts w:eastAsia="Times New Roman"/>
          <w:color w:val="000000"/>
          <w:sz w:val="20"/>
          <w:szCs w:val="20"/>
        </w:rPr>
        <w:t>Stockholders’ equity decreased by $8.4 billion to $52.6 billion as of December 31, 2022 from December 31, 2021 primarily driven by a decrea</w:t>
      </w:r>
      <w:r>
        <w:rPr>
          <w:rFonts w:eastAsia="Times New Roman"/>
          <w:color w:val="000000"/>
          <w:sz w:val="20"/>
          <w:szCs w:val="20"/>
        </w:rPr>
        <w:t xml:space="preserve">se in AOCI due to a decline in the fair value of our investment securities portfolio and our common stock repurchases, partially offset by net income of $7.4 billion. </w:t>
      </w:r>
    </w:p>
    <w:p w:rsidR="00000000" w:rsidRDefault="0094004B">
      <w:pPr>
        <w:jc w:val="both"/>
        <w:divId w:val="29035040"/>
        <w:rPr>
          <w:rFonts w:eastAsia="Times New Roman"/>
        </w:rPr>
      </w:pPr>
      <w:r>
        <w:rPr>
          <w:rFonts w:eastAsia="Times New Roman"/>
          <w:color w:val="000000"/>
          <w:sz w:val="20"/>
          <w:szCs w:val="20"/>
        </w:rPr>
        <w:t xml:space="preserve">The following is a discussion of material changes in the major components of our assets </w:t>
      </w:r>
      <w:r>
        <w:rPr>
          <w:rFonts w:eastAsia="Times New Roman"/>
          <w:color w:val="000000"/>
          <w:sz w:val="20"/>
          <w:szCs w:val="20"/>
        </w:rPr>
        <w:t>and liabilities during 2022. Period-end balance sheet amounts may vary from average balance sheet amounts due to liquidity and balance sheet management activities that are intended to support the adequacy of capital while managing our liquidity requirement</w:t>
      </w:r>
      <w:r>
        <w:rPr>
          <w:rFonts w:eastAsia="Times New Roman"/>
          <w:color w:val="000000"/>
          <w:sz w:val="20"/>
          <w:szCs w:val="20"/>
        </w:rPr>
        <w:t>s, our customers and our market risk exposure in accordance with our risk appetite.</w:t>
      </w:r>
    </w:p>
    <w:p w:rsidR="00000000" w:rsidRDefault="0094004B">
      <w:pPr>
        <w:divId w:val="1783374012"/>
        <w:rPr>
          <w:rFonts w:eastAsia="Times New Roman"/>
        </w:rPr>
      </w:pPr>
      <w:r>
        <w:rPr>
          <w:rFonts w:eastAsia="Times New Roman"/>
          <w:b/>
          <w:bCs/>
          <w:color w:val="000000"/>
          <w:sz w:val="20"/>
          <w:szCs w:val="20"/>
        </w:rPr>
        <w:t xml:space="preserve">Investment Securities </w:t>
      </w:r>
    </w:p>
    <w:p w:rsidR="00000000" w:rsidRDefault="0094004B">
      <w:pPr>
        <w:jc w:val="both"/>
        <w:divId w:val="1862666592"/>
        <w:rPr>
          <w:rFonts w:eastAsia="Times New Roman"/>
        </w:rPr>
      </w:pPr>
      <w:r>
        <w:rPr>
          <w:rFonts w:eastAsia="Times New Roman"/>
          <w:color w:val="000000"/>
          <w:sz w:val="20"/>
          <w:szCs w:val="20"/>
        </w:rPr>
        <w:t>Our investment securities portfolio consists of the following: U.S. government-sponsored enterprise or agency (“Agency”) and non-agency residential m</w:t>
      </w:r>
      <w:r>
        <w:rPr>
          <w:rFonts w:eastAsia="Times New Roman"/>
          <w:color w:val="000000"/>
          <w:sz w:val="20"/>
          <w:szCs w:val="20"/>
        </w:rPr>
        <w:t>ortgage-backed securities (“RMBS”), agency commercial mortgage-backed securities (“CMBS”), U.S. Treasury securities and other securities. Agency securities include Government National Mortgage Association (“Ginnie Mae”) guaranteed securities, Federal Natio</w:t>
      </w:r>
      <w:r>
        <w:rPr>
          <w:rFonts w:eastAsia="Times New Roman"/>
          <w:color w:val="000000"/>
          <w:sz w:val="20"/>
          <w:szCs w:val="20"/>
        </w:rPr>
        <w:t>nal Mortgage Association (“Fannie Mae”) and Federal Home Loan Mortgage Corporation (“Freddie Mac”) issued securities. The carrying value of our investments in Agency and U.S. Treasury securities represented 97% and 96% of our total investment securities po</w:t>
      </w:r>
      <w:r>
        <w:rPr>
          <w:rFonts w:eastAsia="Times New Roman"/>
          <w:color w:val="000000"/>
          <w:sz w:val="20"/>
          <w:szCs w:val="20"/>
        </w:rPr>
        <w:t>rtfolio as of December 31, 2022 and 2021, respectively.</w:t>
      </w:r>
    </w:p>
    <w:p w:rsidR="00000000" w:rsidRDefault="0094004B">
      <w:pPr>
        <w:jc w:val="both"/>
        <w:divId w:val="1052726268"/>
        <w:rPr>
          <w:rFonts w:eastAsia="Times New Roman"/>
        </w:rPr>
      </w:pPr>
      <w:r>
        <w:rPr>
          <w:rFonts w:eastAsia="Times New Roman"/>
          <w:color w:val="000000"/>
          <w:sz w:val="20"/>
          <w:szCs w:val="20"/>
        </w:rPr>
        <w:t>The fair value of our available for sale securities portfolio decreased by $18.3 billion to $76.9 billion as of December 31, 2022 from December 31, 2021, driven by increases in interest rates and cred</w:t>
      </w:r>
      <w:r>
        <w:rPr>
          <w:rFonts w:eastAsia="Times New Roman"/>
          <w:color w:val="000000"/>
          <w:sz w:val="20"/>
          <w:szCs w:val="20"/>
        </w:rPr>
        <w:t xml:space="preserve">it spreads, lower reinvestment rates of principal paydowns, and sales. See “Part II—Item 8. Financial Statements and Supplementary Data—Note 2—Investment Securities” for more information. </w:t>
      </w:r>
    </w:p>
    <w:p w:rsidR="00000000" w:rsidRDefault="0094004B">
      <w:pPr>
        <w:divId w:val="446849962"/>
        <w:rPr>
          <w:rFonts w:eastAsia="Times New Roman"/>
        </w:rPr>
      </w:pPr>
      <w:r>
        <w:rPr>
          <w:rFonts w:eastAsia="Times New Roman"/>
          <w:b/>
          <w:bCs/>
          <w:color w:val="000000"/>
          <w:sz w:val="20"/>
          <w:szCs w:val="20"/>
        </w:rPr>
        <w:t>Loans Held for Investment</w:t>
      </w:r>
    </w:p>
    <w:p w:rsidR="00000000" w:rsidRDefault="0094004B">
      <w:pPr>
        <w:jc w:val="both"/>
        <w:divId w:val="306857892"/>
        <w:rPr>
          <w:rFonts w:eastAsia="Times New Roman"/>
        </w:rPr>
      </w:pPr>
      <w:r>
        <w:rPr>
          <w:rFonts w:eastAsia="Times New Roman"/>
          <w:color w:val="000000"/>
          <w:sz w:val="20"/>
          <w:szCs w:val="20"/>
        </w:rPr>
        <w:t xml:space="preserve">Total loans held for investment consists </w:t>
      </w:r>
      <w:r>
        <w:rPr>
          <w:rFonts w:eastAsia="Times New Roman"/>
          <w:color w:val="000000"/>
          <w:sz w:val="20"/>
          <w:szCs w:val="20"/>
        </w:rPr>
        <w:t>of both unsecuritized loans and loans held in our consolidated trusts. Table 5 summarizes, by portfolio segment, the carrying value of our loans held for investment, the allowance for credit losses and net loan balance as of December 31, 2022 and 2021.</w:t>
      </w:r>
    </w:p>
    <w:p w:rsidR="00000000" w:rsidRDefault="0094004B">
      <w:pPr>
        <w:divId w:val="2143424506"/>
        <w:rPr>
          <w:rFonts w:eastAsia="Times New Roman"/>
        </w:rPr>
      </w:pPr>
      <w:r>
        <w:rPr>
          <w:rFonts w:eastAsia="Times New Roman"/>
          <w:b/>
          <w:bCs/>
          <w:color w:val="000000"/>
          <w:sz w:val="18"/>
          <w:szCs w:val="18"/>
        </w:rPr>
        <w:t>Tab</w:t>
      </w:r>
      <w:r>
        <w:rPr>
          <w:rFonts w:eastAsia="Times New Roman"/>
          <w:b/>
          <w:bCs/>
          <w:color w:val="000000"/>
          <w:sz w:val="18"/>
          <w:szCs w:val="18"/>
        </w:rPr>
        <w:t xml:space="preserve">le 5: Loans Held for Investment </w:t>
      </w:r>
    </w:p>
    <w:tbl>
      <w:tblPr>
        <w:tblW w:w="5000" w:type="pct"/>
        <w:tblCellMar>
          <w:top w:w="15" w:type="dxa"/>
          <w:left w:w="15" w:type="dxa"/>
          <w:bottom w:w="15" w:type="dxa"/>
          <w:right w:w="15" w:type="dxa"/>
        </w:tblCellMar>
        <w:tblLook w:val="04A0" w:firstRow="1" w:lastRow="0" w:firstColumn="1" w:lastColumn="0" w:noHBand="0" w:noVBand="1"/>
      </w:tblPr>
      <w:tblGrid>
        <w:gridCol w:w="42"/>
        <w:gridCol w:w="1871"/>
        <w:gridCol w:w="38"/>
        <w:gridCol w:w="36"/>
        <w:gridCol w:w="36"/>
        <w:gridCol w:w="36"/>
        <w:gridCol w:w="120"/>
        <w:gridCol w:w="792"/>
        <w:gridCol w:w="36"/>
        <w:gridCol w:w="36"/>
        <w:gridCol w:w="36"/>
        <w:gridCol w:w="36"/>
        <w:gridCol w:w="121"/>
        <w:gridCol w:w="836"/>
        <w:gridCol w:w="36"/>
        <w:gridCol w:w="36"/>
        <w:gridCol w:w="36"/>
        <w:gridCol w:w="36"/>
        <w:gridCol w:w="120"/>
        <w:gridCol w:w="736"/>
        <w:gridCol w:w="36"/>
        <w:gridCol w:w="36"/>
        <w:gridCol w:w="36"/>
        <w:gridCol w:w="36"/>
        <w:gridCol w:w="120"/>
        <w:gridCol w:w="794"/>
        <w:gridCol w:w="36"/>
        <w:gridCol w:w="36"/>
        <w:gridCol w:w="36"/>
        <w:gridCol w:w="36"/>
        <w:gridCol w:w="121"/>
        <w:gridCol w:w="836"/>
        <w:gridCol w:w="36"/>
        <w:gridCol w:w="36"/>
        <w:gridCol w:w="36"/>
        <w:gridCol w:w="36"/>
        <w:gridCol w:w="120"/>
        <w:gridCol w:w="775"/>
        <w:gridCol w:w="36"/>
      </w:tblGrid>
      <w:tr w:rsidR="00000000">
        <w:trPr>
          <w:divId w:val="1365209956"/>
        </w:trPr>
        <w:tc>
          <w:tcPr>
            <w:tcW w:w="50" w:type="pct"/>
            <w:vAlign w:val="center"/>
            <w:hideMark/>
          </w:tcPr>
          <w:p w:rsidR="00000000" w:rsidRDefault="0094004B">
            <w:pPr>
              <w:rPr>
                <w:rFonts w:eastAsia="Times New Roman"/>
              </w:rPr>
            </w:pPr>
          </w:p>
        </w:tc>
        <w:tc>
          <w:tcPr>
            <w:tcW w:w="1180"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551"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9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551"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551"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9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48"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55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365209956"/>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December 31, 2022</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December 31, 2021</w:t>
            </w:r>
          </w:p>
        </w:tc>
      </w:tr>
      <w:tr w:rsidR="00000000">
        <w:trPr>
          <w:divId w:val="1365209956"/>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20"/>
                <w:szCs w:val="20"/>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Loans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Allowance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Net Loans</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Loans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Allowance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Net Loans</w:t>
            </w:r>
          </w:p>
        </w:tc>
      </w:tr>
      <w:tr w:rsidR="00000000">
        <w:trPr>
          <w:divId w:val="136520995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Credit Card</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137,730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9,545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128,185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2C2C2C"/>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2C2C2C"/>
                <w:sz w:val="20"/>
                <w:szCs w:val="20"/>
              </w:rPr>
              <w:t>114,772 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2C2C2C"/>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2C2C2C"/>
                <w:sz w:val="20"/>
                <w:szCs w:val="20"/>
              </w:rPr>
              <w:t>8,345 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2C2C2C"/>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2C2C2C"/>
                <w:sz w:val="20"/>
                <w:szCs w:val="20"/>
              </w:rPr>
              <w:t>106,427 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365209956"/>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Consumer Banking</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79,925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2,237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77,688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2C2C2C"/>
                <w:sz w:val="20"/>
                <w:szCs w:val="20"/>
              </w:rPr>
              <w:t>77,646 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2C2C2C"/>
                <w:sz w:val="20"/>
                <w:szCs w:val="20"/>
              </w:rPr>
              <w:t>1,918 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2C2C2C"/>
                <w:sz w:val="20"/>
                <w:szCs w:val="20"/>
              </w:rPr>
              <w:t>75,728 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365209956"/>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94,676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1,458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93,218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2C2C2C"/>
                <w:sz w:val="20"/>
                <w:szCs w:val="20"/>
              </w:rPr>
              <w:t>84,922 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2C2C2C"/>
                <w:sz w:val="20"/>
                <w:szCs w:val="20"/>
              </w:rPr>
              <w:t>1,167 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2C2C2C"/>
                <w:sz w:val="20"/>
                <w:szCs w:val="20"/>
              </w:rPr>
              <w:t>83,755 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365209956"/>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312,331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13,240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299,091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2C2C2C"/>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2C2C2C"/>
                <w:sz w:val="20"/>
                <w:szCs w:val="20"/>
              </w:rPr>
              <w:t>277,340 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2C2C2C"/>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2C2C2C"/>
                <w:sz w:val="20"/>
                <w:szCs w:val="20"/>
              </w:rPr>
              <w:t>11,430 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2C2C2C"/>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2C2C2C"/>
                <w:sz w:val="20"/>
                <w:szCs w:val="20"/>
              </w:rPr>
              <w:t>265,910 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bl>
    <w:p w:rsidR="00000000" w:rsidRDefault="0094004B">
      <w:pPr>
        <w:jc w:val="both"/>
        <w:divId w:val="2091731284"/>
        <w:rPr>
          <w:rFonts w:eastAsia="Times New Roman"/>
        </w:rPr>
      </w:pPr>
      <w:r>
        <w:rPr>
          <w:rFonts w:eastAsia="Times New Roman"/>
          <w:color w:val="000000"/>
          <w:sz w:val="20"/>
          <w:szCs w:val="20"/>
        </w:rPr>
        <w:t>Loans held for investment increased by $35.0 billion to $312.3 billion as of December 31, 2022 from December 31, 2021 primarily driven by growth across all of our segments.</w:t>
      </w:r>
    </w:p>
    <w:p w:rsidR="00000000" w:rsidRDefault="0094004B">
      <w:pPr>
        <w:jc w:val="both"/>
        <w:divId w:val="844438136"/>
        <w:rPr>
          <w:rFonts w:eastAsia="Times New Roman"/>
        </w:rPr>
      </w:pPr>
      <w:r>
        <w:rPr>
          <w:rFonts w:eastAsia="Times New Roman"/>
          <w:color w:val="000000"/>
          <w:sz w:val="20"/>
          <w:szCs w:val="20"/>
        </w:rPr>
        <w:t>We provide additional information on the composition of our</w:t>
      </w:r>
      <w:r>
        <w:rPr>
          <w:rFonts w:eastAsia="Times New Roman"/>
          <w:color w:val="000000"/>
          <w:sz w:val="20"/>
          <w:szCs w:val="20"/>
        </w:rPr>
        <w:t xml:space="preserve"> loan portfolio and credit quality in “Credit Risk Profile,” “Consolidated Results of Operations” and “Part II—Item 8. Financial Statements and Supplementary Data—Note 3—Loans.”</w:t>
      </w:r>
    </w:p>
    <w:p w:rsidR="00000000" w:rsidRDefault="0094004B">
      <w:pPr>
        <w:divId w:val="137118608"/>
        <w:rPr>
          <w:rFonts w:eastAsia="Times New Roman"/>
        </w:rPr>
      </w:pPr>
      <w:r>
        <w:rPr>
          <w:rFonts w:eastAsia="Times New Roman"/>
          <w:b/>
          <w:bCs/>
          <w:color w:val="000000"/>
          <w:sz w:val="20"/>
          <w:szCs w:val="20"/>
        </w:rPr>
        <w:t>Funding Sources</w:t>
      </w:r>
    </w:p>
    <w:p w:rsidR="00000000" w:rsidRDefault="0094004B">
      <w:pPr>
        <w:jc w:val="both"/>
        <w:divId w:val="32732399"/>
        <w:rPr>
          <w:rFonts w:eastAsia="Times New Roman"/>
        </w:rPr>
      </w:pPr>
      <w:r>
        <w:rPr>
          <w:rFonts w:eastAsia="Times New Roman"/>
          <w:color w:val="000000"/>
          <w:sz w:val="20"/>
          <w:szCs w:val="20"/>
        </w:rPr>
        <w:t>Our primary source of funding comes from deposits, as they are</w:t>
      </w:r>
      <w:r>
        <w:rPr>
          <w:rFonts w:eastAsia="Times New Roman"/>
          <w:color w:val="000000"/>
          <w:sz w:val="20"/>
          <w:szCs w:val="20"/>
        </w:rPr>
        <w:t xml:space="preserve"> a stable and relatively low cost source of funding. In addition to deposits, we raise funding through the issuance of senior and subordinated notes, securitized debt obligations, federal funds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92555830"/>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92555830"/>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92555830"/>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54</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080" style="width:0;height:1.5pt" o:hralign="center" o:hrstd="t" o:hr="t" fillcolor="#a0a0a0" stroked="f"/>
        </w:pict>
      </w:r>
    </w:p>
    <w:p w:rsidR="00000000" w:rsidRDefault="0094004B">
      <w:pPr>
        <w:ind w:hanging="360"/>
        <w:jc w:val="both"/>
        <w:divId w:val="1121724629"/>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both"/>
        <w:divId w:val="874541834"/>
        <w:rPr>
          <w:rFonts w:eastAsia="Times New Roman"/>
        </w:rPr>
      </w:pPr>
      <w:r>
        <w:rPr>
          <w:rFonts w:eastAsia="Times New Roman"/>
          <w:color w:val="000000"/>
          <w:sz w:val="20"/>
          <w:szCs w:val="20"/>
        </w:rPr>
        <w:t xml:space="preserve">purchased, securities loaned or sold under agreements to repurchase, and FHLB advances secured by certain portions of our loan and securities portfolios. </w:t>
      </w:r>
    </w:p>
    <w:p w:rsidR="00000000" w:rsidRDefault="0094004B">
      <w:pPr>
        <w:divId w:val="1952667063"/>
        <w:rPr>
          <w:rFonts w:eastAsia="Times New Roman"/>
        </w:rPr>
      </w:pPr>
      <w:r>
        <w:rPr>
          <w:rFonts w:eastAsia="Times New Roman"/>
          <w:color w:val="000000"/>
          <w:sz w:val="20"/>
          <w:szCs w:val="20"/>
        </w:rPr>
        <w:t>Table 6 provides the composition of our primary sources of funding as of December 31, 2022 and 2021.</w:t>
      </w:r>
    </w:p>
    <w:p w:rsidR="00000000" w:rsidRDefault="0094004B">
      <w:pPr>
        <w:divId w:val="2002541152"/>
        <w:rPr>
          <w:rFonts w:eastAsia="Times New Roman"/>
        </w:rPr>
      </w:pPr>
      <w:r>
        <w:rPr>
          <w:rFonts w:eastAsia="Times New Roman"/>
          <w:b/>
          <w:bCs/>
          <w:color w:val="000000"/>
          <w:sz w:val="18"/>
          <w:szCs w:val="18"/>
        </w:rPr>
        <w:t xml:space="preserve">Table 6: Funding Sources Composition </w:t>
      </w:r>
    </w:p>
    <w:tbl>
      <w:tblPr>
        <w:tblW w:w="5000" w:type="pct"/>
        <w:tblCellMar>
          <w:top w:w="15" w:type="dxa"/>
          <w:left w:w="15" w:type="dxa"/>
          <w:bottom w:w="15" w:type="dxa"/>
          <w:right w:w="15" w:type="dxa"/>
        </w:tblCellMar>
        <w:tblLook w:val="04A0" w:firstRow="1" w:lastRow="0" w:firstColumn="1" w:lastColumn="0" w:noHBand="0" w:noVBand="1"/>
      </w:tblPr>
      <w:tblGrid>
        <w:gridCol w:w="39"/>
        <w:gridCol w:w="4198"/>
        <w:gridCol w:w="38"/>
        <w:gridCol w:w="36"/>
        <w:gridCol w:w="36"/>
        <w:gridCol w:w="36"/>
        <w:gridCol w:w="120"/>
        <w:gridCol w:w="796"/>
        <w:gridCol w:w="36"/>
        <w:gridCol w:w="36"/>
        <w:gridCol w:w="36"/>
        <w:gridCol w:w="36"/>
        <w:gridCol w:w="50"/>
        <w:gridCol w:w="594"/>
        <w:gridCol w:w="220"/>
        <w:gridCol w:w="36"/>
        <w:gridCol w:w="36"/>
        <w:gridCol w:w="36"/>
        <w:gridCol w:w="120"/>
        <w:gridCol w:w="796"/>
        <w:gridCol w:w="36"/>
        <w:gridCol w:w="36"/>
        <w:gridCol w:w="36"/>
        <w:gridCol w:w="36"/>
        <w:gridCol w:w="50"/>
        <w:gridCol w:w="594"/>
        <w:gridCol w:w="187"/>
      </w:tblGrid>
      <w:tr w:rsidR="00000000">
        <w:trPr>
          <w:divId w:val="1992634587"/>
        </w:trPr>
        <w:tc>
          <w:tcPr>
            <w:tcW w:w="50" w:type="pct"/>
            <w:vAlign w:val="center"/>
            <w:hideMark/>
          </w:tcPr>
          <w:p w:rsidR="00000000" w:rsidRDefault="0094004B">
            <w:pPr>
              <w:rPr>
                <w:rFonts w:eastAsia="Times New Roman"/>
              </w:rPr>
            </w:pPr>
          </w:p>
        </w:tc>
        <w:tc>
          <w:tcPr>
            <w:tcW w:w="257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551"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4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551"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4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992634587"/>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December 31, 2022</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December 31, 2021</w:t>
            </w:r>
          </w:p>
        </w:tc>
      </w:tr>
      <w:tr w:rsidR="00000000">
        <w:trPr>
          <w:divId w:val="1992634587"/>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20"/>
                <w:szCs w:val="20"/>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 of Total</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 of Total</w:t>
            </w:r>
          </w:p>
        </w:tc>
      </w:tr>
      <w:tr w:rsidR="00000000">
        <w:trPr>
          <w:divId w:val="199263458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Deposits: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992634587"/>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Consumer Banking</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270,592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71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256,407 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72 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r>
              <w:rPr>
                <w:rFonts w:eastAsia="Times New Roman"/>
                <w:color w:val="000000"/>
                <w:sz w:val="20"/>
                <w:szCs w:val="20"/>
              </w:rPr>
              <w:t>%</w:t>
            </w:r>
          </w:p>
        </w:tc>
      </w:tr>
      <w:tr w:rsidR="00000000">
        <w:trPr>
          <w:divId w:val="1992634587"/>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40,808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44,809 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992634587"/>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divId w:val="697586635"/>
              <w:rPr>
                <w:rFonts w:eastAsia="Times New Roman"/>
              </w:rPr>
            </w:pPr>
            <w:r>
              <w:rPr>
                <w:rFonts w:eastAsia="Times New Roman"/>
                <w:color w:val="000000"/>
                <w:sz w:val="20"/>
                <w:szCs w:val="20"/>
              </w:rPr>
              <w:t>Othe</w:t>
            </w:r>
            <w:r>
              <w:rPr>
                <w:rFonts w:eastAsia="Times New Roman"/>
                <w:color w:val="000000"/>
                <w:sz w:val="20"/>
                <w:szCs w:val="20"/>
              </w:rPr>
              <w:t>r</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21,592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9,764 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992634587"/>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Total deposits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332,992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88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310,980 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88 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992634587"/>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Securitized debt obligations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16,973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14,994 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992634587"/>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Other debt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31,742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28,092 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992634587"/>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Total funding sources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381,707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354,066 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r>
              <w:rPr>
                <w:rFonts w:eastAsia="Times New Roman"/>
                <w:color w:val="000000"/>
                <w:sz w:val="20"/>
                <w:szCs w:val="20"/>
              </w:rPr>
              <w:t>%</w:t>
            </w:r>
          </w:p>
        </w:tc>
      </w:tr>
    </w:tbl>
    <w:p w:rsidR="00000000" w:rsidRDefault="0094004B">
      <w:pPr>
        <w:divId w:val="1992634587"/>
        <w:rPr>
          <w:rFonts w:eastAsia="Times New Roman"/>
        </w:rPr>
      </w:pPr>
      <w:r>
        <w:rPr>
          <w:rFonts w:eastAsia="Times New Roman"/>
          <w:color w:val="000000"/>
          <w:sz w:val="20"/>
          <w:szCs w:val="20"/>
        </w:rPr>
        <w:t>__________</w:t>
      </w:r>
    </w:p>
    <w:p w:rsidR="00000000" w:rsidRDefault="0094004B">
      <w:pPr>
        <w:ind w:hanging="360"/>
        <w:jc w:val="both"/>
        <w:divId w:val="1665281088"/>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Includes brokered deposits of $20.6 billion and $8.6 billion as of December 31, 2022 and 2021, respectively.</w:t>
      </w:r>
    </w:p>
    <w:p w:rsidR="00000000" w:rsidRDefault="0094004B">
      <w:pPr>
        <w:jc w:val="both"/>
        <w:divId w:val="473910136"/>
        <w:rPr>
          <w:rFonts w:eastAsia="Times New Roman"/>
        </w:rPr>
      </w:pPr>
      <w:r>
        <w:rPr>
          <w:rFonts w:eastAsia="Times New Roman"/>
          <w:color w:val="000000"/>
          <w:sz w:val="20"/>
          <w:szCs w:val="20"/>
        </w:rPr>
        <w:t>Total deposits increased by $22.0 billion to $333.0 billion as of December 31, 2022 from December 31, 2021 primarily driven by our national banking strategy and issuances of brokered deposits.</w:t>
      </w:r>
    </w:p>
    <w:p w:rsidR="00000000" w:rsidRDefault="0094004B">
      <w:pPr>
        <w:jc w:val="both"/>
        <w:divId w:val="1459028300"/>
        <w:rPr>
          <w:rFonts w:eastAsia="Times New Roman"/>
        </w:rPr>
      </w:pPr>
      <w:r>
        <w:rPr>
          <w:rFonts w:eastAsia="Times New Roman"/>
          <w:color w:val="000000"/>
          <w:sz w:val="20"/>
          <w:szCs w:val="20"/>
        </w:rPr>
        <w:t>Securitized debt obligations increased by $2.0 billion to $17.0</w:t>
      </w:r>
      <w:r>
        <w:rPr>
          <w:rFonts w:eastAsia="Times New Roman"/>
          <w:color w:val="000000"/>
          <w:sz w:val="20"/>
          <w:szCs w:val="20"/>
        </w:rPr>
        <w:t xml:space="preserve"> billion as of December 31, 2022 from December 31, 2021 primarily driven by net issuances in our auto and credit card securitization programs.</w:t>
      </w:r>
    </w:p>
    <w:p w:rsidR="00000000" w:rsidRDefault="0094004B">
      <w:pPr>
        <w:jc w:val="both"/>
        <w:divId w:val="948046262"/>
        <w:rPr>
          <w:rFonts w:eastAsia="Times New Roman"/>
        </w:rPr>
      </w:pPr>
      <w:r>
        <w:rPr>
          <w:rFonts w:eastAsia="Times New Roman"/>
          <w:color w:val="000000"/>
          <w:sz w:val="20"/>
          <w:szCs w:val="20"/>
        </w:rPr>
        <w:t>Other debt increased by $3.7 billion to $31.7 billion as of December 31, 2022 from December 31, 2021 primarily dr</w:t>
      </w:r>
      <w:r>
        <w:rPr>
          <w:rFonts w:eastAsia="Times New Roman"/>
          <w:color w:val="000000"/>
          <w:sz w:val="20"/>
          <w:szCs w:val="20"/>
        </w:rPr>
        <w:t xml:space="preserve">iven by net issuances of senior debt. </w:t>
      </w:r>
    </w:p>
    <w:p w:rsidR="00000000" w:rsidRDefault="0094004B">
      <w:pPr>
        <w:jc w:val="both"/>
        <w:divId w:val="550506786"/>
        <w:rPr>
          <w:rFonts w:eastAsia="Times New Roman"/>
        </w:rPr>
      </w:pPr>
      <w:r>
        <w:rPr>
          <w:rFonts w:eastAsia="Times New Roman"/>
          <w:color w:val="000000"/>
          <w:sz w:val="20"/>
          <w:szCs w:val="20"/>
        </w:rPr>
        <w:t>We provide additional information on our funding sources in “Liquidity Risk Profile” and “Part II—Item 8. Financial Statements and Supplementary Data—Note 8—Deposits and Borrowings.”</w:t>
      </w:r>
    </w:p>
    <w:p w:rsidR="00000000" w:rsidRDefault="0094004B">
      <w:pPr>
        <w:jc w:val="both"/>
        <w:divId w:val="1562252513"/>
        <w:rPr>
          <w:rFonts w:eastAsia="Times New Roman"/>
        </w:rPr>
      </w:pPr>
      <w:r>
        <w:rPr>
          <w:rFonts w:eastAsia="Times New Roman"/>
          <w:b/>
          <w:bCs/>
          <w:color w:val="000000"/>
          <w:sz w:val="20"/>
          <w:szCs w:val="20"/>
        </w:rPr>
        <w:t>Deferred Tax Assets and Liabilitie</w:t>
      </w:r>
      <w:r>
        <w:rPr>
          <w:rFonts w:eastAsia="Times New Roman"/>
          <w:b/>
          <w:bCs/>
          <w:color w:val="000000"/>
          <w:sz w:val="20"/>
          <w:szCs w:val="20"/>
        </w:rPr>
        <w:t>s</w:t>
      </w:r>
    </w:p>
    <w:p w:rsidR="00000000" w:rsidRDefault="0094004B">
      <w:pPr>
        <w:jc w:val="both"/>
        <w:divId w:val="95057792"/>
        <w:rPr>
          <w:rFonts w:eastAsia="Times New Roman"/>
        </w:rPr>
      </w:pPr>
      <w:r>
        <w:rPr>
          <w:rFonts w:eastAsia="Times New Roman"/>
          <w:color w:val="000000"/>
          <w:sz w:val="20"/>
          <w:szCs w:val="20"/>
        </w:rPr>
        <w:t xml:space="preserve">Deferred tax assets and liabilities represent decreases or increases in taxes expected to be paid in the future because of future reversals of temporary differences between the financial reporting and tax bases of assets and liabilities, as well as from </w:t>
      </w:r>
      <w:r>
        <w:rPr>
          <w:rFonts w:eastAsia="Times New Roman"/>
          <w:color w:val="000000"/>
          <w:sz w:val="20"/>
          <w:szCs w:val="20"/>
        </w:rPr>
        <w:t>net operating loss and tax credit carryforwards. Deferred tax assets are recognized subject to management’s judgment that these future deductions are more likely than not to be realized. We evaluate the recoverability of these future tax deductions by asse</w:t>
      </w:r>
      <w:r>
        <w:rPr>
          <w:rFonts w:eastAsia="Times New Roman"/>
          <w:color w:val="000000"/>
          <w:sz w:val="20"/>
          <w:szCs w:val="20"/>
        </w:rPr>
        <w:t>ssing the adequacy of expected taxable income from all sources, including taxable income in carryback years, reversal of taxable temporary differences, forecasted operating earnings and available tax planning strategies. These sources of income rely heavil</w:t>
      </w:r>
      <w:r>
        <w:rPr>
          <w:rFonts w:eastAsia="Times New Roman"/>
          <w:color w:val="000000"/>
          <w:sz w:val="20"/>
          <w:szCs w:val="20"/>
        </w:rPr>
        <w:t>y on estimates. We use our historical experience and our short and long-range business forecasts to make these estimates.</w:t>
      </w:r>
    </w:p>
    <w:p w:rsidR="00000000" w:rsidRDefault="0094004B">
      <w:pPr>
        <w:jc w:val="both"/>
        <w:divId w:val="47649583"/>
        <w:rPr>
          <w:rFonts w:eastAsia="Times New Roman"/>
        </w:rPr>
      </w:pPr>
      <w:r>
        <w:rPr>
          <w:rFonts w:eastAsia="Times New Roman"/>
          <w:color w:val="000000"/>
          <w:sz w:val="20"/>
          <w:szCs w:val="20"/>
        </w:rPr>
        <w:t>Deferred tax assets, net of deferred tax liabilities and valuation allowances, were approximately $7.7 billion as of December 31, 2022</w:t>
      </w:r>
      <w:r>
        <w:rPr>
          <w:rFonts w:eastAsia="Times New Roman"/>
          <w:color w:val="000000"/>
          <w:sz w:val="20"/>
          <w:szCs w:val="20"/>
        </w:rPr>
        <w:t>, an increase of $4.0 billion from December 31, 2021. The increase in our net deferred tax assets was primarily driven by the decrease in fair value of our available for sale securities and derivatives, as well as the increase in allowance for credit losse</w:t>
      </w:r>
      <w:r>
        <w:rPr>
          <w:rFonts w:eastAsia="Times New Roman"/>
          <w:color w:val="000000"/>
          <w:sz w:val="20"/>
          <w:szCs w:val="20"/>
        </w:rPr>
        <w:t>s in 2022.</w:t>
      </w:r>
    </w:p>
    <w:p w:rsidR="00000000" w:rsidRDefault="0094004B">
      <w:pPr>
        <w:jc w:val="both"/>
        <w:divId w:val="2015762555"/>
        <w:rPr>
          <w:rFonts w:eastAsia="Times New Roman"/>
        </w:rPr>
      </w:pPr>
      <w:r>
        <w:rPr>
          <w:rFonts w:eastAsia="Times New Roman"/>
          <w:color w:val="000000"/>
          <w:sz w:val="20"/>
          <w:szCs w:val="20"/>
        </w:rPr>
        <w:t>We recorded valuation allowances of $446 million and $355 million as of December 31, 2022 and 2021, respectively. If changes in circumstances lead us to change our judgment about our ability to realize deferred tax assets in future years, we wil</w:t>
      </w:r>
      <w:r>
        <w:rPr>
          <w:rFonts w:eastAsia="Times New Roman"/>
          <w:color w:val="000000"/>
          <w:sz w:val="20"/>
          <w:szCs w:val="20"/>
        </w:rPr>
        <w:t>l adjust our valuation allowances in the period that our change in judgment occurs and record a corresponding increase or charge to income.</w:t>
      </w:r>
    </w:p>
    <w:p w:rsidR="00000000" w:rsidRDefault="0094004B">
      <w:pPr>
        <w:jc w:val="both"/>
        <w:divId w:val="845364856"/>
        <w:rPr>
          <w:rFonts w:eastAsia="Times New Roman"/>
        </w:rPr>
      </w:pPr>
      <w:r>
        <w:rPr>
          <w:rFonts w:eastAsia="Times New Roman"/>
          <w:color w:val="000000"/>
          <w:sz w:val="20"/>
          <w:szCs w:val="20"/>
        </w:rPr>
        <w:t>We provide additional information on income taxes in “Consolidated Results of Operations” and “Part II—Item 8. Finan</w:t>
      </w:r>
      <w:r>
        <w:rPr>
          <w:rFonts w:eastAsia="Times New Roman"/>
          <w:color w:val="000000"/>
          <w:sz w:val="20"/>
          <w:szCs w:val="20"/>
        </w:rPr>
        <w:t>cial Statements and Supplementary Data—Note 15—Income Taxes.”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934557137"/>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934557137"/>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934557137"/>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55</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081" style="width:0;height:1.5pt" o:hralign="center" o:hrstd="t" o:hr="t" fillcolor="#a0a0a0" stroked="f"/>
        </w:pict>
      </w:r>
    </w:p>
    <w:p w:rsidR="00000000" w:rsidRDefault="0094004B">
      <w:pPr>
        <w:ind w:hanging="360"/>
        <w:jc w:val="both"/>
        <w:divId w:val="848058509"/>
        <w:rPr>
          <w:rFonts w:eastAsia="Times New Roman"/>
        </w:rPr>
      </w:pPr>
      <w:hyperlink w:anchor="ia820611622d9441b977884dac00e0ebd_16"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678917957"/>
        </w:trPr>
        <w:tc>
          <w:tcPr>
            <w:tcW w:w="50" w:type="pct"/>
            <w:vAlign w:val="center"/>
            <w:hideMark/>
          </w:tcPr>
          <w:p w:rsidR="00000000" w:rsidRDefault="0094004B">
            <w:pPr>
              <w:ind w:hanging="360"/>
              <w:jc w:val="both"/>
              <w:rPr>
                <w:rFonts w:eastAsia="Times New Roman"/>
              </w:rPr>
            </w:pPr>
          </w:p>
        </w:tc>
        <w:tc>
          <w:tcPr>
            <w:tcW w:w="494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678917957"/>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20"/>
                <w:szCs w:val="20"/>
              </w:rPr>
              <w:t xml:space="preserve">OFF-BALANCE SHEET ARRANGEMENTS </w:t>
            </w:r>
          </w:p>
        </w:tc>
      </w:tr>
    </w:tbl>
    <w:p w:rsidR="00000000" w:rsidRDefault="0094004B">
      <w:pPr>
        <w:jc w:val="both"/>
        <w:divId w:val="550844768"/>
        <w:rPr>
          <w:rFonts w:eastAsia="Times New Roman"/>
        </w:rPr>
      </w:pPr>
      <w:r>
        <w:rPr>
          <w:rFonts w:eastAsia="Times New Roman"/>
          <w:color w:val="000000"/>
          <w:sz w:val="20"/>
          <w:szCs w:val="20"/>
        </w:rPr>
        <w:t>In the ordinary course of business, we engage in certain activities that are not reflected on our consolidated balance sheets, generally referred to as off-balance sheet arrangements. These activities typically involve transactions with unconsolidated vari</w:t>
      </w:r>
      <w:r>
        <w:rPr>
          <w:rFonts w:eastAsia="Times New Roman"/>
          <w:color w:val="000000"/>
          <w:sz w:val="20"/>
          <w:szCs w:val="20"/>
        </w:rPr>
        <w:t xml:space="preserve">able interest entities (“VIEs”) as well as other arrangements, such as letters of credit, loan commitments and guarantees, to meet the financing needs of our customers and support their ongoing operations. We provide additional information regarding these </w:t>
      </w:r>
      <w:r>
        <w:rPr>
          <w:rFonts w:eastAsia="Times New Roman"/>
          <w:color w:val="000000"/>
          <w:sz w:val="20"/>
          <w:szCs w:val="20"/>
        </w:rPr>
        <w:t>types of activities in “Part II—Item 8. Financial Statements and Supplementary Data—Note 5—Variable Interest Entities and Securitizations” and “Part II—Item 8. Financial Statements and Supplementary Data—Note 18—Commitments, Contingencies, Guarantees and O</w:t>
      </w:r>
      <w:r>
        <w:rPr>
          <w:rFonts w:eastAsia="Times New Roman"/>
          <w:color w:val="000000"/>
          <w:sz w:val="20"/>
          <w:szCs w:val="20"/>
        </w:rPr>
        <w:t>thers.”</w:t>
      </w:r>
    </w:p>
    <w:tbl>
      <w:tblPr>
        <w:tblW w:w="4992" w:type="pct"/>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trPr>
          <w:divId w:val="503017272"/>
        </w:trPr>
        <w:tc>
          <w:tcPr>
            <w:tcW w:w="50" w:type="pct"/>
            <w:vAlign w:val="center"/>
            <w:hideMark/>
          </w:tcPr>
          <w:p w:rsidR="00000000" w:rsidRDefault="0094004B">
            <w:pPr>
              <w:jc w:val="both"/>
              <w:rPr>
                <w:rFonts w:eastAsia="Times New Roman"/>
              </w:rPr>
            </w:pPr>
          </w:p>
        </w:tc>
        <w:tc>
          <w:tcPr>
            <w:tcW w:w="494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503017272"/>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20"/>
                <w:szCs w:val="20"/>
              </w:rPr>
              <w:t>BUSINESS SEGMENT FINANCIAL PERFORMANCE</w:t>
            </w:r>
          </w:p>
        </w:tc>
      </w:tr>
    </w:tbl>
    <w:p w:rsidR="00000000" w:rsidRDefault="0094004B">
      <w:pPr>
        <w:jc w:val="both"/>
        <w:divId w:val="1390617837"/>
        <w:rPr>
          <w:rFonts w:eastAsia="Times New Roman"/>
        </w:rPr>
      </w:pPr>
      <w:r>
        <w:rPr>
          <w:rFonts w:eastAsia="Times New Roman"/>
          <w:color w:val="000000"/>
          <w:sz w:val="20"/>
          <w:szCs w:val="20"/>
        </w:rPr>
        <w:t>Our principal operations are organized for management reporting purposes into three major business segments, which are defined primarily based on the products and services provided or the types of customer served: Credit Card, Consumer Banking and Commerci</w:t>
      </w:r>
      <w:r>
        <w:rPr>
          <w:rFonts w:eastAsia="Times New Roman"/>
          <w:color w:val="000000"/>
          <w:sz w:val="20"/>
          <w:szCs w:val="20"/>
        </w:rPr>
        <w:t>al Banking. The operations of acquired businesses have been integrated into or managed as a part of our existing business segments. Certain activities that are not part of a segment, such as management of our corporate investment portfolio, asset/liability</w:t>
      </w:r>
      <w:r>
        <w:rPr>
          <w:rFonts w:eastAsia="Times New Roman"/>
          <w:color w:val="000000"/>
          <w:sz w:val="20"/>
          <w:szCs w:val="20"/>
        </w:rPr>
        <w:t xml:space="preserve"> management and oversight of our funds transfer pricing process, are centralized in our Corporate Treasury group. Our residual tax expense or benefit to arrive at the consolidated effective tax rate that is not assessed to our primary business segments is </w:t>
      </w:r>
      <w:r>
        <w:rPr>
          <w:rFonts w:eastAsia="Times New Roman"/>
          <w:color w:val="000000"/>
          <w:sz w:val="20"/>
          <w:szCs w:val="20"/>
        </w:rPr>
        <w:t>included in the Other category.</w:t>
      </w:r>
    </w:p>
    <w:p w:rsidR="00000000" w:rsidRDefault="0094004B">
      <w:pPr>
        <w:jc w:val="both"/>
        <w:divId w:val="835461360"/>
        <w:rPr>
          <w:rFonts w:eastAsia="Times New Roman"/>
        </w:rPr>
      </w:pPr>
      <w:r>
        <w:rPr>
          <w:rFonts w:eastAsia="Times New Roman"/>
          <w:color w:val="000000"/>
          <w:sz w:val="20"/>
          <w:szCs w:val="20"/>
        </w:rPr>
        <w:t>The results of our individual businesses, which we report on a continuing operations basis, reflect the manner in which management evaluates performance and makes decisions about funding our operations and allocating resourc</w:t>
      </w:r>
      <w:r>
        <w:rPr>
          <w:rFonts w:eastAsia="Times New Roman"/>
          <w:color w:val="000000"/>
          <w:sz w:val="20"/>
          <w:szCs w:val="20"/>
        </w:rPr>
        <w:t xml:space="preserve">es. We may periodically change our business segments or reclassify business segment results based on modifications to our management reporting methodologies and changes in organizational alignment. Our business segment results are intended to reflect each </w:t>
      </w:r>
      <w:r>
        <w:rPr>
          <w:rFonts w:eastAsia="Times New Roman"/>
          <w:color w:val="000000"/>
          <w:sz w:val="20"/>
          <w:szCs w:val="20"/>
        </w:rPr>
        <w:t>segment as if it were a stand-alone business. We use an internal management and reporting process to derive our business segment results. Our internal management and reporting process employs various allocation methodologies, including funds transfer prici</w:t>
      </w:r>
      <w:r>
        <w:rPr>
          <w:rFonts w:eastAsia="Times New Roman"/>
          <w:color w:val="000000"/>
          <w:sz w:val="20"/>
          <w:szCs w:val="20"/>
        </w:rPr>
        <w:t>ng, to assign certain balance sheet assets, deposits and other liabilities and their related revenue and expenses directly or indirectly attributable to each business segment. Total interest income and non-interest income are directly attributable to the s</w:t>
      </w:r>
      <w:r>
        <w:rPr>
          <w:rFonts w:eastAsia="Times New Roman"/>
          <w:color w:val="000000"/>
          <w:sz w:val="20"/>
          <w:szCs w:val="20"/>
        </w:rPr>
        <w:t>egment in which they are reported. The net interest income of each segment reflects the results of our funds transfer pricing process, which is primarily based on a matched funding concept that takes into consideration market interest rates. Our funds tran</w:t>
      </w:r>
      <w:r>
        <w:rPr>
          <w:rFonts w:eastAsia="Times New Roman"/>
          <w:color w:val="000000"/>
          <w:sz w:val="20"/>
          <w:szCs w:val="20"/>
        </w:rPr>
        <w:t>sfer pricing process is managed by our centralized Corporate Treasury group and provides a funds credit for sources of funds, such as deposits generated by our Consumer Banking and Commercial Banking businesses, and a charge for the use of funds by each se</w:t>
      </w:r>
      <w:r>
        <w:rPr>
          <w:rFonts w:eastAsia="Times New Roman"/>
          <w:color w:val="000000"/>
          <w:sz w:val="20"/>
          <w:szCs w:val="20"/>
        </w:rPr>
        <w:t>gment. The allocation is unique to each business segment and acquired business and is based on the composition of assets and liabilities. The funds transfer pricing process considers the interest rate and liquidity risk characteristics of assets and liabil</w:t>
      </w:r>
      <w:r>
        <w:rPr>
          <w:rFonts w:eastAsia="Times New Roman"/>
          <w:color w:val="000000"/>
          <w:sz w:val="20"/>
          <w:szCs w:val="20"/>
        </w:rPr>
        <w:t xml:space="preserve">ities and off-balance sheet products. Periodically, the methodology and assumptions utilized in the funds transfer pricing process are adjusted to reflect economic conditions and other factors, which may impact the allocation of net interest income to the </w:t>
      </w:r>
      <w:r>
        <w:rPr>
          <w:rFonts w:eastAsia="Times New Roman"/>
          <w:color w:val="000000"/>
          <w:sz w:val="20"/>
          <w:szCs w:val="20"/>
        </w:rPr>
        <w:t>business segments. We regularly assess the assumptions, methodologies and reporting classifications used for segment reporting, which may result in the implementation of refinements or changes in future periods.</w:t>
      </w:r>
    </w:p>
    <w:p w:rsidR="00000000" w:rsidRDefault="0094004B">
      <w:pPr>
        <w:jc w:val="both"/>
        <w:rPr>
          <w:rFonts w:eastAsia="Times New Roman"/>
        </w:rPr>
      </w:pPr>
      <w:r>
        <w:rPr>
          <w:rFonts w:eastAsia="Times New Roman"/>
          <w:color w:val="000000"/>
          <w:sz w:val="20"/>
          <w:szCs w:val="20"/>
        </w:rPr>
        <w:t>We refer to the business segment results der</w:t>
      </w:r>
      <w:r>
        <w:rPr>
          <w:rFonts w:eastAsia="Times New Roman"/>
          <w:color w:val="000000"/>
          <w:sz w:val="20"/>
          <w:szCs w:val="20"/>
        </w:rPr>
        <w:t>ived from our internal management accounting and reporting process as our “managed” presentation, which differs in some cases from our reported results prepared based on U.S. GAAP. There is no comprehensive authoritative body of guidance for management acc</w:t>
      </w:r>
      <w:r>
        <w:rPr>
          <w:rFonts w:eastAsia="Times New Roman"/>
          <w:color w:val="000000"/>
          <w:sz w:val="20"/>
          <w:szCs w:val="20"/>
        </w:rPr>
        <w:t>ounting equivalent to U.S. GAAP; therefore, the managed presentation of our business segment results may not be comparable to similar information provided by other financial services companies. In addition, our individual business segment results should no</w:t>
      </w:r>
      <w:r>
        <w:rPr>
          <w:rFonts w:eastAsia="Times New Roman"/>
          <w:color w:val="000000"/>
          <w:sz w:val="20"/>
          <w:szCs w:val="20"/>
        </w:rPr>
        <w:t>t be used as a substitute for comparable results determined in accordance with U.S. GAAP.</w:t>
      </w:r>
    </w:p>
    <w:p w:rsidR="00000000" w:rsidRDefault="0094004B">
      <w:pPr>
        <w:jc w:val="both"/>
        <w:rPr>
          <w:rFonts w:eastAsia="Times New Roman"/>
        </w:rPr>
      </w:pPr>
    </w:p>
    <w:p w:rsidR="00000000" w:rsidRDefault="0094004B">
      <w:pPr>
        <w:jc w:val="both"/>
        <w:rPr>
          <w:rFonts w:eastAsia="Times New Roman"/>
        </w:rPr>
      </w:pPr>
      <w:r>
        <w:rPr>
          <w:rFonts w:eastAsia="Times New Roman"/>
          <w:color w:val="000000"/>
          <w:sz w:val="20"/>
          <w:szCs w:val="20"/>
        </w:rPr>
        <w:t>We summarize our business segment results for the years ended December 31, 2022, 2021 and 2020 and provide a comparative discussion of these results for 2022 and 20</w:t>
      </w:r>
      <w:r>
        <w:rPr>
          <w:rFonts w:eastAsia="Times New Roman"/>
          <w:color w:val="000000"/>
          <w:sz w:val="20"/>
          <w:szCs w:val="20"/>
        </w:rPr>
        <w:t>21, as well as changes in our financial condition and credit performance metrics as of December 31, 2022 compared to December 31, 2021. We provide a reconciliation of our total business segment results to our reported consolidated results in “Part II—Item </w:t>
      </w:r>
      <w:r>
        <w:rPr>
          <w:rFonts w:eastAsia="Times New Roman"/>
          <w:color w:val="000000"/>
          <w:sz w:val="20"/>
          <w:szCs w:val="20"/>
        </w:rPr>
        <w:t>8. Financial Statements and Supplementary Data—Note 17—Business Segments and Revenue from Contracts with Customers.”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251281762"/>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251281762"/>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251281762"/>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56</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082" style="width:0;height:1.5pt" o:hralign="center" o:hrstd="t" o:hr="t" fillcolor="#a0a0a0" stroked="f"/>
        </w:pict>
      </w:r>
    </w:p>
    <w:p w:rsidR="00000000" w:rsidRDefault="0094004B">
      <w:pPr>
        <w:ind w:hanging="360"/>
        <w:jc w:val="both"/>
        <w:divId w:val="1625303525"/>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divId w:val="188758309"/>
        <w:rPr>
          <w:rFonts w:eastAsia="Times New Roman"/>
        </w:rPr>
      </w:pPr>
      <w:r>
        <w:rPr>
          <w:rFonts w:eastAsia="Times New Roman"/>
          <w:b/>
          <w:bCs/>
          <w:i/>
          <w:iCs/>
          <w:color w:val="000000"/>
          <w:sz w:val="20"/>
          <w:szCs w:val="20"/>
        </w:rPr>
        <w:t>Business Segment Financial Performance</w:t>
      </w:r>
    </w:p>
    <w:p w:rsidR="00000000" w:rsidRDefault="0094004B">
      <w:pPr>
        <w:jc w:val="both"/>
        <w:divId w:val="1181356647"/>
        <w:rPr>
          <w:rFonts w:eastAsia="Times New Roman"/>
        </w:rPr>
      </w:pPr>
      <w:r>
        <w:rPr>
          <w:rFonts w:eastAsia="Times New Roman"/>
          <w:color w:val="000000"/>
          <w:sz w:val="20"/>
          <w:szCs w:val="20"/>
        </w:rPr>
        <w:t>Table 7 summarizes our business segment results, which we report based on revenue (loss) and income (los</w:t>
      </w:r>
      <w:r>
        <w:rPr>
          <w:rFonts w:eastAsia="Times New Roman"/>
          <w:color w:val="000000"/>
          <w:sz w:val="20"/>
          <w:szCs w:val="20"/>
        </w:rPr>
        <w:t>s) from continuing operations, for the years ended December 31, 2022, 2021 and 2020. We provide information on the allocation methodologies used to derive our business segment results in “Part II—Item 8. Financial Statements and Supplementary Data—Note 17—</w:t>
      </w:r>
      <w:r>
        <w:rPr>
          <w:rFonts w:eastAsia="Times New Roman"/>
          <w:color w:val="000000"/>
          <w:sz w:val="20"/>
          <w:szCs w:val="20"/>
        </w:rPr>
        <w:t>Business Segments and Revenue from Contracts with Customers.”</w:t>
      </w:r>
    </w:p>
    <w:p w:rsidR="00000000" w:rsidRDefault="0094004B">
      <w:pPr>
        <w:divId w:val="568808520"/>
        <w:rPr>
          <w:rFonts w:eastAsia="Times New Roman"/>
        </w:rPr>
      </w:pPr>
      <w:r>
        <w:rPr>
          <w:rFonts w:eastAsia="Times New Roman"/>
          <w:b/>
          <w:bCs/>
          <w:color w:val="000000"/>
          <w:sz w:val="18"/>
          <w:szCs w:val="18"/>
        </w:rPr>
        <w:t xml:space="preserve">Table </w:t>
      </w:r>
      <w:r>
        <w:rPr>
          <w:rFonts w:eastAsia="Times New Roman"/>
          <w:b/>
          <w:bCs/>
          <w:color w:val="000000"/>
          <w:sz w:val="20"/>
          <w:szCs w:val="20"/>
        </w:rPr>
        <w:t>7</w:t>
      </w:r>
      <w:r>
        <w:rPr>
          <w:rFonts w:eastAsia="Times New Roman"/>
          <w:b/>
          <w:bCs/>
          <w:color w:val="000000"/>
          <w:sz w:val="18"/>
          <w:szCs w:val="18"/>
        </w:rPr>
        <w:t xml:space="preserve">: Business Segment Results </w:t>
      </w:r>
    </w:p>
    <w:tbl>
      <w:tblPr>
        <w:tblW w:w="5000" w:type="pct"/>
        <w:tblCellMar>
          <w:top w:w="15" w:type="dxa"/>
          <w:left w:w="15" w:type="dxa"/>
          <w:bottom w:w="15" w:type="dxa"/>
          <w:right w:w="15" w:type="dxa"/>
        </w:tblCellMar>
        <w:tblLook w:val="04A0" w:firstRow="1" w:lastRow="0" w:firstColumn="1" w:lastColumn="0" w:noHBand="0" w:noVBand="1"/>
      </w:tblPr>
      <w:tblGrid>
        <w:gridCol w:w="52"/>
        <w:gridCol w:w="1407"/>
        <w:gridCol w:w="36"/>
        <w:gridCol w:w="36"/>
        <w:gridCol w:w="36"/>
        <w:gridCol w:w="36"/>
        <w:gridCol w:w="36"/>
        <w:gridCol w:w="616"/>
        <w:gridCol w:w="36"/>
        <w:gridCol w:w="36"/>
        <w:gridCol w:w="36"/>
        <w:gridCol w:w="36"/>
        <w:gridCol w:w="36"/>
        <w:gridCol w:w="616"/>
        <w:gridCol w:w="36"/>
        <w:gridCol w:w="36"/>
        <w:gridCol w:w="36"/>
        <w:gridCol w:w="36"/>
        <w:gridCol w:w="36"/>
        <w:gridCol w:w="616"/>
        <w:gridCol w:w="36"/>
        <w:gridCol w:w="36"/>
        <w:gridCol w:w="36"/>
        <w:gridCol w:w="36"/>
        <w:gridCol w:w="36"/>
        <w:gridCol w:w="616"/>
        <w:gridCol w:w="36"/>
        <w:gridCol w:w="36"/>
        <w:gridCol w:w="36"/>
        <w:gridCol w:w="36"/>
        <w:gridCol w:w="36"/>
        <w:gridCol w:w="617"/>
        <w:gridCol w:w="36"/>
        <w:gridCol w:w="36"/>
        <w:gridCol w:w="36"/>
        <w:gridCol w:w="36"/>
        <w:gridCol w:w="36"/>
        <w:gridCol w:w="619"/>
        <w:gridCol w:w="36"/>
        <w:gridCol w:w="36"/>
        <w:gridCol w:w="36"/>
        <w:gridCol w:w="36"/>
        <w:gridCol w:w="36"/>
        <w:gridCol w:w="619"/>
        <w:gridCol w:w="36"/>
        <w:gridCol w:w="36"/>
        <w:gridCol w:w="36"/>
        <w:gridCol w:w="36"/>
        <w:gridCol w:w="36"/>
        <w:gridCol w:w="620"/>
        <w:gridCol w:w="36"/>
        <w:gridCol w:w="36"/>
        <w:gridCol w:w="36"/>
        <w:gridCol w:w="36"/>
        <w:gridCol w:w="36"/>
        <w:gridCol w:w="36"/>
        <w:gridCol w:w="36"/>
        <w:gridCol w:w="36"/>
        <w:gridCol w:w="36"/>
        <w:gridCol w:w="36"/>
        <w:gridCol w:w="36"/>
        <w:gridCol w:w="36"/>
        <w:gridCol w:w="36"/>
      </w:tblGrid>
      <w:tr w:rsidR="00000000">
        <w:trPr>
          <w:divId w:val="568808520"/>
        </w:trPr>
        <w:tc>
          <w:tcPr>
            <w:tcW w:w="50" w:type="pct"/>
            <w:vAlign w:val="center"/>
            <w:hideMark/>
          </w:tcPr>
          <w:p w:rsidR="00000000" w:rsidRDefault="0094004B">
            <w:pPr>
              <w:rPr>
                <w:rFonts w:eastAsia="Times New Roman"/>
              </w:rPr>
            </w:pPr>
          </w:p>
        </w:tc>
        <w:tc>
          <w:tcPr>
            <w:tcW w:w="90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1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1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1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1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1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1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1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1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2"/>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568808520"/>
          <w:trHeight w:val="60"/>
        </w:trPr>
        <w:tc>
          <w:tcPr>
            <w:tcW w:w="0" w:type="auto"/>
            <w:gridSpan w:val="51"/>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568808520"/>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568808520"/>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568808520"/>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568808520"/>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2"/>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568808520"/>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2"/>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568808520"/>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2"/>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568808520"/>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2"/>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568808520"/>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2"/>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568808520"/>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2"/>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1157"/>
        <w:gridCol w:w="144"/>
        <w:gridCol w:w="144"/>
        <w:gridCol w:w="144"/>
        <w:gridCol w:w="144"/>
        <w:gridCol w:w="144"/>
        <w:gridCol w:w="466"/>
        <w:gridCol w:w="144"/>
        <w:gridCol w:w="144"/>
        <w:gridCol w:w="144"/>
        <w:gridCol w:w="144"/>
        <w:gridCol w:w="144"/>
        <w:gridCol w:w="393"/>
        <w:gridCol w:w="144"/>
        <w:gridCol w:w="144"/>
        <w:gridCol w:w="144"/>
        <w:gridCol w:w="144"/>
        <w:gridCol w:w="144"/>
        <w:gridCol w:w="478"/>
        <w:gridCol w:w="144"/>
        <w:gridCol w:w="144"/>
        <w:gridCol w:w="144"/>
        <w:gridCol w:w="144"/>
        <w:gridCol w:w="144"/>
        <w:gridCol w:w="393"/>
        <w:gridCol w:w="144"/>
        <w:gridCol w:w="144"/>
        <w:gridCol w:w="144"/>
        <w:gridCol w:w="144"/>
        <w:gridCol w:w="144"/>
        <w:gridCol w:w="478"/>
        <w:gridCol w:w="144"/>
        <w:gridCol w:w="144"/>
        <w:gridCol w:w="144"/>
        <w:gridCol w:w="144"/>
        <w:gridCol w:w="144"/>
        <w:gridCol w:w="393"/>
        <w:gridCol w:w="144"/>
        <w:gridCol w:w="144"/>
        <w:gridCol w:w="144"/>
        <w:gridCol w:w="144"/>
        <w:gridCol w:w="144"/>
        <w:gridCol w:w="478"/>
        <w:gridCol w:w="144"/>
        <w:gridCol w:w="144"/>
        <w:gridCol w:w="144"/>
        <w:gridCol w:w="144"/>
        <w:gridCol w:w="144"/>
        <w:gridCol w:w="393"/>
        <w:gridCol w:w="144"/>
        <w:gridCol w:w="144"/>
        <w:gridCol w:w="144"/>
        <w:gridCol w:w="144"/>
        <w:gridCol w:w="144"/>
        <w:gridCol w:w="478"/>
        <w:gridCol w:w="144"/>
        <w:gridCol w:w="144"/>
        <w:gridCol w:w="144"/>
        <w:gridCol w:w="144"/>
        <w:gridCol w:w="144"/>
        <w:gridCol w:w="393"/>
        <w:gridCol w:w="144"/>
      </w:tblGrid>
      <w:tr w:rsidR="00000000">
        <w:tc>
          <w:tcPr>
            <w:tcW w:w="50" w:type="pct"/>
            <w:vAlign w:val="center"/>
            <w:hideMark/>
          </w:tcPr>
          <w:p w:rsidR="00000000" w:rsidRDefault="0094004B">
            <w:pPr>
              <w:rPr>
                <w:rFonts w:eastAsia="Times New Roman"/>
              </w:rPr>
            </w:pPr>
          </w:p>
        </w:tc>
        <w:tc>
          <w:tcPr>
            <w:tcW w:w="69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81"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3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88"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3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88"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3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88"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3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88"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3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56"/>
            <w:tcBorders>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94004B">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94004B">
            <w:pPr>
              <w:spacing w:after="100"/>
              <w:divId w:val="1748068429"/>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1"/>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21"/>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8"/>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2020</w:t>
            </w:r>
          </w:p>
        </w:tc>
        <w:tc>
          <w:tcPr>
            <w:tcW w:w="0" w:type="auto"/>
            <w:vAlign w:val="center"/>
            <w:hideMark/>
          </w:tcPr>
          <w:p w:rsidR="00000000" w:rsidRDefault="0094004B">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94004B">
            <w:pPr>
              <w:spacing w:after="100"/>
              <w:divId w:val="1958947356"/>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Total Net</w:t>
            </w:r>
            <w:r>
              <w:rPr>
                <w:rFonts w:eastAsia="Times New Roman"/>
                <w:b/>
                <w:bCs/>
                <w:color w:val="000000"/>
                <w:sz w:val="16"/>
                <w:szCs w:val="16"/>
              </w:rPr>
              <w:br/>
              <w:t>Revenue (Loss</w:t>
            </w:r>
            <w:r>
              <w:rPr>
                <w:rFonts w:eastAsia="Times New Roman"/>
                <w:b/>
                <w:bCs/>
                <w:color w:val="000000"/>
                <w:sz w:val="16"/>
                <w:szCs w:val="16"/>
              </w:rPr>
              <w:t>)</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Net Income</w:t>
            </w:r>
          </w:p>
          <w:p w:rsidR="00000000" w:rsidRDefault="0094004B">
            <w:pPr>
              <w:spacing w:after="100"/>
              <w:jc w:val="center"/>
              <w:rPr>
                <w:rFonts w:eastAsia="Times New Roman"/>
              </w:rPr>
            </w:pPr>
            <w:r>
              <w:rPr>
                <w:rFonts w:eastAsia="Times New Roman"/>
                <w:b/>
                <w:bCs/>
                <w:color w:val="000000"/>
                <w:sz w:val="16"/>
                <w:szCs w:val="16"/>
              </w:rPr>
              <w:t>(Loss</w:t>
            </w:r>
            <w:r>
              <w:rPr>
                <w:rFonts w:eastAsia="Times New Roman"/>
                <w:b/>
                <w:bCs/>
                <w:color w:val="000000"/>
                <w:sz w:val="16"/>
                <w:szCs w:val="16"/>
              </w:rPr>
              <w:t>)</w:t>
            </w:r>
            <w:r>
              <w:rPr>
                <w:rFonts w:eastAsia="Times New Roman"/>
                <w:b/>
                <w:bCs/>
                <w:color w:val="000000"/>
                <w:sz w:val="10"/>
                <w:szCs w:val="10"/>
              </w:rPr>
              <w:t>(2</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Total Net</w:t>
            </w:r>
            <w:r>
              <w:rPr>
                <w:rFonts w:eastAsia="Times New Roman"/>
                <w:b/>
                <w:bCs/>
                <w:color w:val="000000"/>
                <w:sz w:val="16"/>
                <w:szCs w:val="16"/>
              </w:rPr>
              <w:br/>
              <w:t>Revenue (Loss</w:t>
            </w:r>
            <w:r>
              <w:rPr>
                <w:rFonts w:eastAsia="Times New Roman"/>
                <w:b/>
                <w:bCs/>
                <w:color w:val="000000"/>
                <w:sz w:val="16"/>
                <w:szCs w:val="16"/>
              </w:rPr>
              <w:t>)</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Net Income</w:t>
            </w:r>
          </w:p>
          <w:p w:rsidR="00000000" w:rsidRDefault="0094004B">
            <w:pPr>
              <w:spacing w:after="100"/>
              <w:jc w:val="center"/>
              <w:rPr>
                <w:rFonts w:eastAsia="Times New Roman"/>
              </w:rPr>
            </w:pPr>
            <w:r>
              <w:rPr>
                <w:rFonts w:eastAsia="Times New Roman"/>
                <w:b/>
                <w:bCs/>
                <w:color w:val="000000"/>
                <w:sz w:val="16"/>
                <w:szCs w:val="16"/>
              </w:rPr>
              <w:t>(Loss</w:t>
            </w:r>
            <w:r>
              <w:rPr>
                <w:rFonts w:eastAsia="Times New Roman"/>
                <w:b/>
                <w:bCs/>
                <w:color w:val="000000"/>
                <w:sz w:val="16"/>
                <w:szCs w:val="16"/>
              </w:rPr>
              <w:t>)</w:t>
            </w:r>
            <w:r>
              <w:rPr>
                <w:rFonts w:eastAsia="Times New Roman"/>
                <w:b/>
                <w:bCs/>
                <w:color w:val="000000"/>
                <w:sz w:val="10"/>
                <w:szCs w:val="10"/>
              </w:rPr>
              <w:t>(2</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8"/>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Total Net</w:t>
            </w:r>
            <w:r>
              <w:rPr>
                <w:rFonts w:eastAsia="Times New Roman"/>
                <w:b/>
                <w:bCs/>
                <w:color w:val="000000"/>
                <w:sz w:val="16"/>
                <w:szCs w:val="16"/>
              </w:rPr>
              <w:br/>
              <w:t>Revenu</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c>
          <w:tcPr>
            <w:tcW w:w="0" w:type="auto"/>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r>
              <w:rPr>
                <w:rFonts w:eastAsia="Times New Roman"/>
                <w:b/>
                <w:bCs/>
                <w:color w:val="000000"/>
                <w:sz w:val="16"/>
                <w:szCs w:val="16"/>
              </w:rPr>
              <w:t xml:space="preserve">Net Income </w:t>
            </w:r>
          </w:p>
          <w:p w:rsidR="00000000" w:rsidRDefault="0094004B">
            <w:pPr>
              <w:spacing w:after="100"/>
              <w:jc w:val="center"/>
              <w:rPr>
                <w:rFonts w:eastAsia="Times New Roman"/>
              </w:rPr>
            </w:pPr>
            <w:r>
              <w:rPr>
                <w:rFonts w:eastAsia="Times New Roman"/>
                <w:b/>
                <w:bCs/>
                <w:color w:val="000000"/>
                <w:sz w:val="16"/>
                <w:szCs w:val="16"/>
              </w:rPr>
              <w:t>(Loss</w:t>
            </w:r>
            <w:r>
              <w:rPr>
                <w:rFonts w:eastAsia="Times New Roman"/>
                <w:b/>
                <w:bCs/>
                <w:color w:val="000000"/>
                <w:sz w:val="16"/>
                <w:szCs w:val="16"/>
              </w:rPr>
              <w:t>)</w:t>
            </w:r>
            <w:r>
              <w:rPr>
                <w:rFonts w:eastAsia="Times New Roman"/>
                <w:b/>
                <w:bCs/>
                <w:color w:val="000000"/>
                <w:sz w:val="10"/>
                <w:szCs w:val="10"/>
              </w:rPr>
              <w:t>(2</w:t>
            </w:r>
            <w:r>
              <w:rPr>
                <w:rFonts w:eastAsia="Times New Roman"/>
                <w:b/>
                <w:bCs/>
                <w:color w:val="000000"/>
                <w:sz w:val="10"/>
                <w:szCs w:val="10"/>
              </w:rPr>
              <w:t>)</w:t>
            </w:r>
          </w:p>
          <w:p w:rsidR="00000000" w:rsidRDefault="0094004B">
            <w:pPr>
              <w:spacing w:after="100"/>
              <w:jc w:val="center"/>
              <w:rPr>
                <w:rFonts w:eastAsia="Times New Roman"/>
              </w:rPr>
            </w:pPr>
          </w:p>
        </w:tc>
      </w:tr>
      <w:tr w:rsidR="00000000">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 of</w:t>
            </w:r>
            <w:r>
              <w:rPr>
                <w:rFonts w:eastAsia="Times New Roman"/>
                <w:b/>
                <w:bCs/>
                <w:color w:val="000000"/>
                <w:sz w:val="16"/>
                <w:szCs w:val="16"/>
              </w:rPr>
              <w:br/>
              <w:t>Total</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 of</w:t>
            </w:r>
            <w:r>
              <w:rPr>
                <w:rFonts w:eastAsia="Times New Roman"/>
                <w:b/>
                <w:bCs/>
                <w:color w:val="000000"/>
                <w:sz w:val="16"/>
                <w:szCs w:val="16"/>
              </w:rPr>
              <w:br/>
              <w:t>Total</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 of</w:t>
            </w:r>
            <w:r>
              <w:rPr>
                <w:rFonts w:eastAsia="Times New Roman"/>
                <w:b/>
                <w:bCs/>
                <w:color w:val="000000"/>
                <w:sz w:val="16"/>
                <w:szCs w:val="16"/>
              </w:rPr>
              <w:br/>
              <w:t>Total</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 of</w:t>
            </w:r>
            <w:r>
              <w:rPr>
                <w:rFonts w:eastAsia="Times New Roman"/>
                <w:b/>
                <w:bCs/>
                <w:color w:val="000000"/>
                <w:sz w:val="16"/>
                <w:szCs w:val="16"/>
              </w:rPr>
              <w:br/>
              <w:t>Total</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2"/>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 of</w:t>
            </w:r>
            <w:r>
              <w:rPr>
                <w:rFonts w:eastAsia="Times New Roman"/>
                <w:b/>
                <w:bCs/>
                <w:color w:val="000000"/>
                <w:sz w:val="16"/>
                <w:szCs w:val="16"/>
              </w:rPr>
              <w:br/>
              <w:t>Total</w:t>
            </w:r>
          </w:p>
        </w:tc>
        <w:tc>
          <w:tcPr>
            <w:tcW w:w="0" w:type="auto"/>
            <w:tcMar>
              <w:top w:w="0" w:type="dxa"/>
              <w:left w:w="20" w:type="dxa"/>
              <w:bottom w:w="0" w:type="dxa"/>
              <w:right w:w="20" w:type="dxa"/>
            </w:tcMar>
            <w:vAlign w:val="center"/>
            <w:hideMark/>
          </w:tcPr>
          <w:p w:rsidR="00000000" w:rsidRDefault="0094004B">
            <w:pPr>
              <w:spacing w:after="100"/>
              <w:jc w:val="center"/>
              <w:rPr>
                <w:rFonts w:eastAsia="Times New Roman"/>
              </w:rPr>
            </w:pPr>
            <w:r>
              <w:rPr>
                <w:rFonts w:eastAsia="Times New Roman"/>
                <w:b/>
                <w:bCs/>
                <w:color w:val="000000"/>
                <w:sz w:val="16"/>
                <w:szCs w:val="16"/>
              </w:rPr>
              <w:t>Amount% of</w:t>
            </w:r>
            <w:r>
              <w:rPr>
                <w:rFonts w:eastAsia="Times New Roman"/>
                <w:b/>
                <w:bCs/>
                <w:color w:val="000000"/>
                <w:sz w:val="16"/>
                <w:szCs w:val="16"/>
              </w:rPr>
              <w:br/>
              <w:t>Total</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22,355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65%</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4,927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67%</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18,880 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62%</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7,758 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63%</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17,599 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62%</w:t>
            </w:r>
          </w:p>
        </w:tc>
        <w:tc>
          <w:tcPr>
            <w:tcW w:w="0" w:type="auto"/>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r>
              <w:rPr>
                <w:rFonts w:eastAsia="Times New Roman"/>
                <w:color w:val="000000"/>
                <w:sz w:val="18"/>
                <w:szCs w:val="18"/>
              </w:rPr>
              <w:t>$1,361 50%</w:t>
            </w:r>
          </w:p>
        </w:tc>
      </w:tr>
      <w:tr w:rsidR="00000000">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Consumer Banking</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9,434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28</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2,250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31</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9,002 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29</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3,676 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30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7,704 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27</w:t>
            </w:r>
          </w:p>
        </w:tc>
        <w:tc>
          <w:tcPr>
            <w:tcW w:w="0" w:type="auto"/>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r>
              <w:rPr>
                <w:rFonts w:eastAsia="Times New Roman"/>
                <w:color w:val="000000"/>
                <w:sz w:val="18"/>
                <w:szCs w:val="18"/>
              </w:rPr>
              <w:t>1,367 51</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divId w:val="114950514"/>
              <w:rPr>
                <w:rFonts w:eastAsia="Times New Roman"/>
              </w:rPr>
            </w:pPr>
            <w:r>
              <w:rPr>
                <w:rFonts w:eastAsia="Times New Roman"/>
                <w:color w:val="000000"/>
                <w:sz w:val="18"/>
                <w:szCs w:val="18"/>
              </w:rPr>
              <w:t>Commercial Bankin</w:t>
            </w:r>
            <w:r>
              <w:rPr>
                <w:rFonts w:eastAsia="Times New Roman"/>
                <w:color w:val="000000"/>
                <w:sz w:val="18"/>
                <w:szCs w:val="18"/>
              </w:rPr>
              <w:t>g</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3,590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10</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843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11</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3,301 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11</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1,532 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12</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2,971 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10</w:t>
            </w:r>
          </w:p>
        </w:tc>
        <w:tc>
          <w:tcPr>
            <w:tcW w:w="0" w:type="auto"/>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r>
              <w:rPr>
                <w:rFonts w:eastAsia="Times New Roman"/>
                <w:color w:val="000000"/>
                <w:sz w:val="18"/>
                <w:szCs w:val="18"/>
              </w:rPr>
              <w:t>65 2</w:t>
            </w:r>
          </w:p>
        </w:tc>
      </w:tr>
      <w:tr w:rsidR="00000000">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divId w:val="1779368105"/>
              <w:rPr>
                <w:rFonts w:eastAsia="Times New Roman"/>
              </w:rPr>
            </w:pPr>
            <w:r>
              <w:rPr>
                <w:rFonts w:eastAsia="Times New Roman"/>
                <w:color w:val="000000"/>
                <w:sz w:val="18"/>
                <w:szCs w:val="18"/>
              </w:rPr>
              <w:t>Othe</w:t>
            </w:r>
            <w:r>
              <w:rPr>
                <w:rFonts w:eastAsia="Times New Roman"/>
                <w:color w:val="000000"/>
                <w:sz w:val="18"/>
                <w:szCs w:val="18"/>
              </w:rPr>
              <w:t>r</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(1,129)</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(3)</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(660)</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(9)</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(748)</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(2)</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(572)</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(5)</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249 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1</w:t>
            </w:r>
          </w:p>
        </w:tc>
        <w:tc>
          <w:tcPr>
            <w:tcW w:w="0" w:type="auto"/>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r>
              <w:rPr>
                <w:rFonts w:eastAsia="Times New Roman"/>
                <w:color w:val="000000"/>
                <w:sz w:val="18"/>
                <w:szCs w:val="18"/>
              </w:rPr>
              <w:t>(76)(3)</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34,250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tcBorders>
              <w:top w:val="single" w:sz="8" w:space="0" w:color="000000"/>
              <w:bottom w:val="double" w:sz="6" w:space="0" w:color="000000"/>
            </w:tcBorders>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100%</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7,360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tcBorders>
              <w:top w:val="single" w:sz="8" w:space="0" w:color="000000"/>
              <w:bottom w:val="double" w:sz="6" w:space="0" w:color="000000"/>
            </w:tcBorders>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100%</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30,435 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tcBorders>
              <w:top w:val="single" w:sz="8" w:space="0" w:color="000000"/>
              <w:bottom w:val="double" w:sz="6" w:space="0" w:color="000000"/>
            </w:tcBorders>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100%</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12,394 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tcBorders>
              <w:top w:val="single" w:sz="8" w:space="0" w:color="000000"/>
              <w:bottom w:val="double" w:sz="6" w:space="0" w:color="000000"/>
            </w:tcBorders>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100%</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28,523 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100%</w:t>
            </w:r>
          </w:p>
        </w:tc>
        <w:tc>
          <w:tcPr>
            <w:tcW w:w="0" w:type="auto"/>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r>
              <w:rPr>
                <w:rFonts w:eastAsia="Times New Roman"/>
                <w:color w:val="000000"/>
                <w:sz w:val="18"/>
                <w:szCs w:val="18"/>
              </w:rPr>
              <w:t>$2,717 100%</w:t>
            </w:r>
          </w:p>
        </w:tc>
      </w:tr>
    </w:tbl>
    <w:p w:rsidR="00000000" w:rsidRDefault="0094004B">
      <w:pPr>
        <w:jc w:val="both"/>
        <w:rPr>
          <w:rFonts w:eastAsia="Times New Roman"/>
        </w:rPr>
      </w:pPr>
      <w:r>
        <w:rPr>
          <w:rFonts w:eastAsia="Times New Roman"/>
          <w:color w:val="000000"/>
          <w:sz w:val="20"/>
          <w:szCs w:val="20"/>
        </w:rPr>
        <w:t>__________</w:t>
      </w:r>
    </w:p>
    <w:p w:rsidR="00000000" w:rsidRDefault="0094004B">
      <w:pPr>
        <w:ind w:hanging="360"/>
        <w:jc w:val="both"/>
        <w:divId w:val="938681594"/>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Total net reve</w:t>
      </w:r>
      <w:r>
        <w:rPr>
          <w:rFonts w:eastAsia="Times New Roman"/>
          <w:color w:val="000000"/>
          <w:sz w:val="16"/>
          <w:szCs w:val="16"/>
        </w:rPr>
        <w:t>nue (loss) consists of net interest income and non-interest income.</w:t>
      </w:r>
    </w:p>
    <w:p w:rsidR="00000000" w:rsidRDefault="0094004B">
      <w:pPr>
        <w:ind w:hanging="360"/>
        <w:jc w:val="both"/>
        <w:divId w:val="716776431"/>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Net income (loss) for our business segments and the Other category is based on income (loss) from continuing operations, net of tax.</w:t>
      </w:r>
    </w:p>
    <w:p w:rsidR="00000000" w:rsidRDefault="0094004B">
      <w:pPr>
        <w:ind w:hanging="360"/>
        <w:jc w:val="both"/>
        <w:divId w:val="705059210"/>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Some of our commercial investments generate tax-e</w:t>
      </w:r>
      <w:r>
        <w:rPr>
          <w:rFonts w:eastAsia="Times New Roman"/>
          <w:color w:val="000000"/>
          <w:sz w:val="16"/>
          <w:szCs w:val="16"/>
        </w:rPr>
        <w:t>xempt income, tax credits or other tax benefits. Accordingly, we present our Commercial Banking revenue and yields on a taxable-equivalent basis, calculated using the federal statutory tax rate of 21% and state taxes where applicable, with offsetting reduc</w:t>
      </w:r>
      <w:r>
        <w:rPr>
          <w:rFonts w:eastAsia="Times New Roman"/>
          <w:color w:val="000000"/>
          <w:sz w:val="16"/>
          <w:szCs w:val="16"/>
        </w:rPr>
        <w:t>tions to the Other category</w:t>
      </w:r>
      <w:r>
        <w:rPr>
          <w:rFonts w:eastAsia="Times New Roman"/>
          <w:color w:val="000000"/>
          <w:sz w:val="16"/>
          <w:szCs w:val="16"/>
        </w:rPr>
        <w:t>.</w:t>
      </w:r>
      <w:r>
        <w:rPr>
          <w:rFonts w:eastAsia="Times New Roman"/>
          <w:color w:val="000000"/>
          <w:sz w:val="10"/>
          <w:szCs w:val="10"/>
        </w:rPr>
        <w:t xml:space="preserve"> </w:t>
      </w:r>
    </w:p>
    <w:p w:rsidR="00000000" w:rsidRDefault="0094004B">
      <w:pPr>
        <w:divId w:val="932860584"/>
        <w:rPr>
          <w:rFonts w:eastAsia="Times New Roman"/>
        </w:rPr>
      </w:pPr>
      <w:r>
        <w:rPr>
          <w:rFonts w:eastAsia="Times New Roman"/>
          <w:b/>
          <w:bCs/>
          <w:color w:val="000000"/>
          <w:sz w:val="20"/>
          <w:szCs w:val="20"/>
        </w:rPr>
        <w:t>Credit Card Business</w:t>
      </w:r>
    </w:p>
    <w:p w:rsidR="00000000" w:rsidRDefault="0094004B">
      <w:pPr>
        <w:jc w:val="both"/>
        <w:divId w:val="372198435"/>
        <w:rPr>
          <w:rFonts w:eastAsia="Times New Roman"/>
        </w:rPr>
      </w:pPr>
      <w:r>
        <w:rPr>
          <w:rFonts w:eastAsia="Times New Roman"/>
          <w:color w:val="000000"/>
          <w:sz w:val="20"/>
          <w:szCs w:val="20"/>
        </w:rPr>
        <w:t>The primary sources of revenue for our Credit Card business are net interest income, net interchange income and fees collected from customers. Expenses primarily consist of the provision for credit losses,</w:t>
      </w:r>
      <w:r>
        <w:rPr>
          <w:rFonts w:eastAsia="Times New Roman"/>
          <w:color w:val="000000"/>
          <w:sz w:val="20"/>
          <w:szCs w:val="20"/>
        </w:rPr>
        <w:t xml:space="preserve"> operating costs and marketing expenses.</w:t>
      </w:r>
    </w:p>
    <w:p w:rsidR="00000000" w:rsidRDefault="0094004B">
      <w:pPr>
        <w:jc w:val="both"/>
        <w:divId w:val="1745757876"/>
        <w:rPr>
          <w:rFonts w:eastAsia="Times New Roman"/>
        </w:rPr>
      </w:pPr>
      <w:r>
        <w:rPr>
          <w:rFonts w:eastAsia="Times New Roman"/>
          <w:color w:val="000000"/>
          <w:sz w:val="20"/>
          <w:szCs w:val="20"/>
        </w:rPr>
        <w:t>Our Credit Card business generated net income from continuing operations of $4.9 billion, $7.8 billion and $1.4 billion in 2022, 2021 and 2020, respectively.</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895359878"/>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895359878"/>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895359878"/>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57</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083" style="width:0;height:1.5pt" o:hralign="center" o:hrstd="t" o:hr="t" fillcolor="#a0a0a0" stroked="f"/>
        </w:pict>
      </w:r>
    </w:p>
    <w:p w:rsidR="00000000" w:rsidRDefault="0094004B">
      <w:pPr>
        <w:shd w:val="clear" w:color="auto" w:fill="FFFFFF"/>
        <w:ind w:hanging="360"/>
        <w:jc w:val="both"/>
        <w:divId w:val="962543276"/>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shd w:val="clear" w:color="auto" w:fill="FFFFFF"/>
        <w:jc w:val="both"/>
        <w:divId w:val="1803576591"/>
        <w:rPr>
          <w:rFonts w:eastAsia="Times New Roman"/>
        </w:rPr>
      </w:pPr>
      <w:r>
        <w:rPr>
          <w:rFonts w:eastAsia="Times New Roman"/>
          <w:color w:val="000000"/>
          <w:sz w:val="20"/>
          <w:szCs w:val="20"/>
        </w:rPr>
        <w:t>Table 8 summarizes the financial results of our Credit Card business and displays selected key metrics for the periods indicated.</w:t>
      </w:r>
    </w:p>
    <w:p w:rsidR="00000000" w:rsidRDefault="0094004B">
      <w:pPr>
        <w:shd w:val="clear" w:color="auto" w:fill="FFFFFF"/>
        <w:divId w:val="170023548"/>
        <w:rPr>
          <w:rFonts w:eastAsia="Times New Roman"/>
        </w:rPr>
      </w:pPr>
      <w:r>
        <w:rPr>
          <w:rFonts w:eastAsia="Times New Roman"/>
          <w:b/>
          <w:bCs/>
          <w:color w:val="000000"/>
          <w:sz w:val="18"/>
          <w:szCs w:val="18"/>
        </w:rPr>
        <w:t>Table 8: Cred</w:t>
      </w:r>
      <w:r>
        <w:rPr>
          <w:rFonts w:eastAsia="Times New Roman"/>
          <w:b/>
          <w:bCs/>
          <w:color w:val="000000"/>
          <w:sz w:val="18"/>
          <w:szCs w:val="18"/>
        </w:rPr>
        <w:t>it Card Business Results</w:t>
      </w:r>
    </w:p>
    <w:tbl>
      <w:tblPr>
        <w:tblW w:w="5000" w:type="pct"/>
        <w:tblCellMar>
          <w:top w:w="15" w:type="dxa"/>
          <w:left w:w="15" w:type="dxa"/>
          <w:bottom w:w="15" w:type="dxa"/>
          <w:right w:w="15" w:type="dxa"/>
        </w:tblCellMar>
        <w:tblLook w:val="04A0" w:firstRow="1" w:lastRow="0" w:firstColumn="1" w:lastColumn="0" w:noHBand="0" w:noVBand="1"/>
      </w:tblPr>
      <w:tblGrid>
        <w:gridCol w:w="41"/>
        <w:gridCol w:w="3210"/>
        <w:gridCol w:w="39"/>
        <w:gridCol w:w="36"/>
        <w:gridCol w:w="36"/>
        <w:gridCol w:w="36"/>
        <w:gridCol w:w="36"/>
        <w:gridCol w:w="36"/>
        <w:gridCol w:w="36"/>
        <w:gridCol w:w="36"/>
        <w:gridCol w:w="36"/>
        <w:gridCol w:w="36"/>
        <w:gridCol w:w="110"/>
        <w:gridCol w:w="717"/>
        <w:gridCol w:w="201"/>
        <w:gridCol w:w="36"/>
        <w:gridCol w:w="36"/>
        <w:gridCol w:w="36"/>
        <w:gridCol w:w="110"/>
        <w:gridCol w:w="628"/>
        <w:gridCol w:w="170"/>
        <w:gridCol w:w="36"/>
        <w:gridCol w:w="36"/>
        <w:gridCol w:w="36"/>
        <w:gridCol w:w="110"/>
        <w:gridCol w:w="630"/>
        <w:gridCol w:w="170"/>
        <w:gridCol w:w="36"/>
        <w:gridCol w:w="36"/>
        <w:gridCol w:w="36"/>
        <w:gridCol w:w="72"/>
        <w:gridCol w:w="622"/>
        <w:gridCol w:w="38"/>
        <w:gridCol w:w="36"/>
        <w:gridCol w:w="36"/>
        <w:gridCol w:w="36"/>
        <w:gridCol w:w="43"/>
        <w:gridCol w:w="368"/>
        <w:gridCol w:w="271"/>
      </w:tblGrid>
      <w:tr w:rsidR="00000000">
        <w:trPr>
          <w:divId w:val="1725790841"/>
        </w:trPr>
        <w:tc>
          <w:tcPr>
            <w:tcW w:w="50" w:type="pct"/>
            <w:vAlign w:val="center"/>
            <w:hideMark/>
          </w:tcPr>
          <w:p w:rsidR="00000000" w:rsidRDefault="0094004B">
            <w:pPr>
              <w:shd w:val="clear" w:color="auto" w:fill="FFFFFF"/>
              <w:rPr>
                <w:rFonts w:eastAsia="Times New Roman"/>
              </w:rPr>
            </w:pPr>
          </w:p>
        </w:tc>
        <w:tc>
          <w:tcPr>
            <w:tcW w:w="231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3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3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3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3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3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725790841"/>
        </w:trPr>
        <w:tc>
          <w:tcPr>
            <w:tcW w:w="0" w:type="auto"/>
            <w:gridSpan w:val="3"/>
            <w:tcMar>
              <w:top w:w="30" w:type="dxa"/>
              <w:left w:w="515"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18"/>
                <w:szCs w:val="18"/>
              </w:rPr>
              <w:t> </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7"/>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rPr>
              <w:t>Year Ended December 31,</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rPr>
              <w:t>Change</w:t>
            </w: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1725790841"/>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8"/>
                <w:szCs w:val="18"/>
              </w:rPr>
              <w:t>(Dollars in millions, except as noted)</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rPr>
              <w:t>2022 vs.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rPr>
              <w:t>2021 vs. 2020</w:t>
            </w:r>
          </w:p>
        </w:tc>
      </w:tr>
      <w:tr w:rsidR="00000000">
        <w:trPr>
          <w:divId w:val="1725790841"/>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18"/>
                <w:szCs w:val="18"/>
              </w:rPr>
              <w:t>Selected income statement data:</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725790841"/>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Net interest income</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2"/>
            <w:shd w:val="clear" w:color="auto" w:fill="FFFF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16,584</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14,074</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13,776 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18%</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2%</w:t>
            </w:r>
          </w:p>
        </w:tc>
      </w:tr>
      <w:tr w:rsidR="00000000">
        <w:trPr>
          <w:divId w:val="1725790841"/>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Non-interest income</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5,771</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4,806</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3,823 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380" w:type="dxa"/>
            </w:tcMar>
            <w:vAlign w:val="bottom"/>
            <w:hideMark/>
          </w:tcPr>
          <w:p w:rsidR="00000000" w:rsidRDefault="0094004B">
            <w:pPr>
              <w:spacing w:after="100"/>
              <w:jc w:val="right"/>
              <w:rPr>
                <w:rFonts w:eastAsia="Times New Roman"/>
              </w:rPr>
            </w:pPr>
            <w:r>
              <w:rPr>
                <w:rFonts w:eastAsia="Times New Roman"/>
                <w:color w:val="000000"/>
                <w:sz w:val="18"/>
                <w:szCs w:val="18"/>
              </w:rPr>
              <w:t>20</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26 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725790841"/>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divId w:val="1956256593"/>
              <w:rPr>
                <w:rFonts w:eastAsia="Times New Roman"/>
              </w:rPr>
            </w:pPr>
            <w:r>
              <w:rPr>
                <w:rFonts w:eastAsia="Times New Roman"/>
                <w:color w:val="000000"/>
                <w:sz w:val="18"/>
                <w:szCs w:val="18"/>
              </w:rPr>
              <w:t>Total net revenu</w:t>
            </w:r>
            <w:r>
              <w:rPr>
                <w:rFonts w:eastAsia="Times New Roman"/>
                <w:color w:val="000000"/>
                <w:sz w:val="18"/>
                <w:szCs w:val="18"/>
              </w:rPr>
              <w:t>e</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22,355</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18,880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17,599 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380" w:type="dxa"/>
            </w:tcMar>
            <w:vAlign w:val="bottom"/>
            <w:hideMark/>
          </w:tcPr>
          <w:p w:rsidR="00000000" w:rsidRDefault="0094004B">
            <w:pPr>
              <w:spacing w:after="100"/>
              <w:jc w:val="right"/>
              <w:rPr>
                <w:rFonts w:eastAsia="Times New Roman"/>
              </w:rPr>
            </w:pPr>
            <w:r>
              <w:rPr>
                <w:rFonts w:eastAsia="Times New Roman"/>
                <w:color w:val="000000"/>
                <w:sz w:val="18"/>
                <w:szCs w:val="18"/>
              </w:rPr>
              <w:t>18</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7 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725790841"/>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Provision (benefit) for credit losses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4,265</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(902)</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7,327 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380" w:type="dxa"/>
            </w:tcMar>
            <w:vAlign w:val="bottom"/>
            <w:hideMark/>
          </w:tcPr>
          <w:p w:rsidR="00000000" w:rsidRDefault="0094004B">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380" w:type="dxa"/>
            </w:tcMar>
            <w:vAlign w:val="center"/>
            <w:hideMark/>
          </w:tcPr>
          <w:p w:rsidR="00000000" w:rsidRDefault="0094004B">
            <w:pPr>
              <w:spacing w:after="100"/>
              <w:jc w:val="right"/>
              <w:rPr>
                <w:rFonts w:eastAsia="Times New Roman"/>
              </w:rPr>
            </w:pPr>
            <w:r>
              <w:rPr>
                <w:rFonts w:eastAsia="Times New Roman"/>
                <w:color w:val="000000"/>
                <w:sz w:val="18"/>
                <w:szCs w:val="18"/>
              </w:rPr>
              <w:t>**</w:t>
            </w:r>
          </w:p>
        </w:tc>
      </w:tr>
      <w:tr w:rsidR="00000000">
        <w:trPr>
          <w:divId w:val="1725790841"/>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Non-interest expense</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11,627</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9,621</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8,491 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380" w:type="dxa"/>
            </w:tcMar>
            <w:vAlign w:val="bottom"/>
            <w:hideMark/>
          </w:tcPr>
          <w:p w:rsidR="00000000" w:rsidRDefault="0094004B">
            <w:pPr>
              <w:spacing w:after="100"/>
              <w:jc w:val="right"/>
              <w:rPr>
                <w:rFonts w:eastAsia="Times New Roman"/>
              </w:rPr>
            </w:pPr>
            <w:r>
              <w:rPr>
                <w:rFonts w:eastAsia="Times New Roman"/>
                <w:color w:val="000000"/>
                <w:sz w:val="18"/>
                <w:szCs w:val="18"/>
              </w:rPr>
              <w:t>21</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13 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725790841"/>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Income from continuing operations before income taxes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6,463</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10,161</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1,781 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380" w:type="dxa"/>
            </w:tcMar>
            <w:vAlign w:val="bottom"/>
            <w:hideMark/>
          </w:tcPr>
          <w:p w:rsidR="00000000" w:rsidRDefault="0094004B">
            <w:pPr>
              <w:spacing w:after="100"/>
              <w:jc w:val="right"/>
              <w:rPr>
                <w:rFonts w:eastAsia="Times New Roman"/>
              </w:rPr>
            </w:pPr>
            <w:r>
              <w:rPr>
                <w:rFonts w:eastAsia="Times New Roman"/>
                <w:color w:val="000000"/>
                <w:sz w:val="18"/>
                <w:szCs w:val="18"/>
              </w:rPr>
              <w:t>(36)</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380" w:type="dxa"/>
            </w:tcMar>
            <w:vAlign w:val="center"/>
            <w:hideMark/>
          </w:tcPr>
          <w:p w:rsidR="00000000" w:rsidRDefault="0094004B">
            <w:pPr>
              <w:spacing w:after="100"/>
              <w:jc w:val="right"/>
              <w:rPr>
                <w:rFonts w:eastAsia="Times New Roman"/>
              </w:rPr>
            </w:pPr>
            <w:r>
              <w:rPr>
                <w:rFonts w:eastAsia="Times New Roman"/>
                <w:color w:val="000000"/>
                <w:sz w:val="18"/>
                <w:szCs w:val="18"/>
              </w:rPr>
              <w:t>**</w:t>
            </w:r>
          </w:p>
        </w:tc>
      </w:tr>
      <w:tr w:rsidR="00000000">
        <w:trPr>
          <w:divId w:val="1725790841"/>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Income tax provision</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1,536</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2,403</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420 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380" w:type="dxa"/>
            </w:tcMar>
            <w:vAlign w:val="bottom"/>
            <w:hideMark/>
          </w:tcPr>
          <w:p w:rsidR="00000000" w:rsidRDefault="0094004B">
            <w:pPr>
              <w:spacing w:after="100"/>
              <w:jc w:val="right"/>
              <w:rPr>
                <w:rFonts w:eastAsia="Times New Roman"/>
              </w:rPr>
            </w:pPr>
            <w:r>
              <w:rPr>
                <w:rFonts w:eastAsia="Times New Roman"/>
                <w:color w:val="000000"/>
                <w:sz w:val="18"/>
                <w:szCs w:val="18"/>
              </w:rPr>
              <w:t>(36)</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380" w:type="dxa"/>
            </w:tcMar>
            <w:vAlign w:val="center"/>
            <w:hideMark/>
          </w:tcPr>
          <w:p w:rsidR="00000000" w:rsidRDefault="0094004B">
            <w:pPr>
              <w:spacing w:after="100"/>
              <w:jc w:val="right"/>
              <w:rPr>
                <w:rFonts w:eastAsia="Times New Roman"/>
              </w:rPr>
            </w:pPr>
            <w:r>
              <w:rPr>
                <w:rFonts w:eastAsia="Times New Roman"/>
                <w:color w:val="000000"/>
                <w:sz w:val="18"/>
                <w:szCs w:val="18"/>
              </w:rPr>
              <w:t>**</w:t>
            </w:r>
          </w:p>
        </w:tc>
      </w:tr>
      <w:tr w:rsidR="00000000">
        <w:trPr>
          <w:divId w:val="1725790841"/>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Income from continuing operations, net of tax</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4,927</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7,758</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1,361 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380" w:type="dxa"/>
            </w:tcMar>
            <w:vAlign w:val="bottom"/>
            <w:hideMark/>
          </w:tcPr>
          <w:p w:rsidR="00000000" w:rsidRDefault="0094004B">
            <w:pPr>
              <w:spacing w:after="100"/>
              <w:jc w:val="right"/>
              <w:rPr>
                <w:rFonts w:eastAsia="Times New Roman"/>
              </w:rPr>
            </w:pPr>
            <w:r>
              <w:rPr>
                <w:rFonts w:eastAsia="Times New Roman"/>
                <w:color w:val="000000"/>
                <w:sz w:val="18"/>
                <w:szCs w:val="18"/>
              </w:rPr>
              <w:t>(36)</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380" w:type="dxa"/>
            </w:tcMar>
            <w:vAlign w:val="center"/>
            <w:hideMark/>
          </w:tcPr>
          <w:p w:rsidR="00000000" w:rsidRDefault="0094004B">
            <w:pPr>
              <w:spacing w:after="100"/>
              <w:jc w:val="right"/>
              <w:rPr>
                <w:rFonts w:eastAsia="Times New Roman"/>
              </w:rPr>
            </w:pPr>
            <w:r>
              <w:rPr>
                <w:rFonts w:eastAsia="Times New Roman"/>
                <w:color w:val="000000"/>
                <w:sz w:val="18"/>
                <w:szCs w:val="18"/>
              </w:rPr>
              <w:t>**</w:t>
            </w:r>
          </w:p>
        </w:tc>
      </w:tr>
      <w:tr w:rsidR="00000000">
        <w:trPr>
          <w:divId w:val="1725790841"/>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18"/>
                <w:szCs w:val="18"/>
              </w:rPr>
              <w:t>Selected performance metrics: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725790841"/>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Average 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2"/>
            <w:shd w:val="clear" w:color="auto" w:fill="CCEE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120,392</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2"/>
            <w:shd w:val="clear" w:color="auto" w:fill="CCEE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102,731</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110,082 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380" w:type="dxa"/>
            </w:tcMar>
            <w:vAlign w:val="bottom"/>
            <w:hideMark/>
          </w:tcPr>
          <w:p w:rsidR="00000000" w:rsidRDefault="0094004B">
            <w:pPr>
              <w:spacing w:after="100"/>
              <w:jc w:val="right"/>
              <w:rPr>
                <w:rFonts w:eastAsia="Times New Roman"/>
              </w:rPr>
            </w:pPr>
            <w:r>
              <w:rPr>
                <w:rFonts w:eastAsia="Times New Roman"/>
                <w:color w:val="000000"/>
                <w:sz w:val="18"/>
                <w:szCs w:val="18"/>
              </w:rPr>
              <w:t>17</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(7)</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725790841"/>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divId w:val="270672319"/>
              <w:rPr>
                <w:rFonts w:eastAsia="Times New Roman"/>
              </w:rPr>
            </w:pPr>
            <w:r>
              <w:rPr>
                <w:rFonts w:eastAsia="Times New Roman"/>
                <w:color w:val="000000"/>
                <w:sz w:val="18"/>
                <w:szCs w:val="18"/>
              </w:rPr>
              <w:t>Average yield on loan</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16.21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14.60 </w:t>
            </w:r>
          </w:p>
        </w:tc>
        <w:tc>
          <w:tcPr>
            <w:tcW w:w="0" w:type="auto"/>
            <w:shd w:val="clear" w:color="auto" w:fill="FFFFFF"/>
            <w:tcMar>
              <w:top w:w="30" w:type="dxa"/>
              <w:left w:w="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14.08 </w:t>
            </w:r>
          </w:p>
        </w:tc>
        <w:tc>
          <w:tcPr>
            <w:tcW w:w="0" w:type="auto"/>
            <w:shd w:val="clear" w:color="auto" w:fill="FFFFFF"/>
            <w:tcMar>
              <w:top w:w="30" w:type="dxa"/>
              <w:left w:w="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161bps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52bps</w:t>
            </w:r>
          </w:p>
        </w:tc>
      </w:tr>
      <w:tr w:rsidR="00000000">
        <w:trPr>
          <w:divId w:val="1725790841"/>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divId w:val="975646414"/>
              <w:rPr>
                <w:rFonts w:eastAsia="Times New Roman"/>
              </w:rPr>
            </w:pPr>
            <w:r>
              <w:rPr>
                <w:rFonts w:eastAsia="Times New Roman"/>
                <w:color w:val="000000"/>
                <w:sz w:val="18"/>
                <w:szCs w:val="18"/>
              </w:rPr>
              <w:t>Total net revenue margi</w:t>
            </w:r>
            <w:r>
              <w:rPr>
                <w:rFonts w:eastAsia="Times New Roman"/>
                <w:color w:val="000000"/>
                <w:sz w:val="18"/>
                <w:szCs w:val="18"/>
              </w:rPr>
              <w:t>n</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18.47</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17.81</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15.91 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380" w:type="dxa"/>
            </w:tcMar>
            <w:vAlign w:val="bottom"/>
            <w:hideMark/>
          </w:tcPr>
          <w:p w:rsidR="00000000" w:rsidRDefault="0094004B">
            <w:pPr>
              <w:spacing w:after="100"/>
              <w:jc w:val="right"/>
              <w:rPr>
                <w:rFonts w:eastAsia="Times New Roman"/>
              </w:rPr>
            </w:pPr>
            <w:r>
              <w:rPr>
                <w:rFonts w:eastAsia="Times New Roman"/>
                <w:color w:val="000000"/>
                <w:sz w:val="18"/>
                <w:szCs w:val="18"/>
              </w:rPr>
              <w:t>66</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190 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725790841"/>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Net charge-offs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2"/>
            <w:shd w:val="clear" w:color="auto" w:fill="FFFFFF"/>
            <w:tcMar>
              <w:top w:w="30" w:type="dxa"/>
              <w:left w:w="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3,048</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1,956</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4,270 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56%</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(54)%</w:t>
            </w:r>
          </w:p>
        </w:tc>
      </w:tr>
      <w:tr w:rsidR="00000000">
        <w:trPr>
          <w:divId w:val="1725790841"/>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Net charge-off rate</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2.53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1.90 </w:t>
            </w:r>
          </w:p>
        </w:tc>
        <w:tc>
          <w:tcPr>
            <w:tcW w:w="0" w:type="auto"/>
            <w:shd w:val="clear" w:color="auto" w:fill="CCEEFF"/>
            <w:tcMar>
              <w:top w:w="30" w:type="dxa"/>
              <w:left w:w="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3.88 </w:t>
            </w:r>
          </w:p>
        </w:tc>
        <w:tc>
          <w:tcPr>
            <w:tcW w:w="0" w:type="auto"/>
            <w:shd w:val="clear" w:color="auto" w:fill="CCEEFF"/>
            <w:tcMar>
              <w:top w:w="30" w:type="dxa"/>
              <w:left w:w="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63bps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(198)</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r>
              <w:rPr>
                <w:rFonts w:eastAsia="Times New Roman"/>
                <w:color w:val="000000"/>
                <w:sz w:val="18"/>
                <w:szCs w:val="18"/>
              </w:rPr>
              <w:t>bps</w:t>
            </w:r>
          </w:p>
        </w:tc>
      </w:tr>
      <w:tr w:rsidR="00000000">
        <w:trPr>
          <w:divId w:val="1725790841"/>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Purchase volume</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2"/>
            <w:shd w:val="clear" w:color="auto" w:fill="FFFF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587,283</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527,605</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414,312 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11%</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27%</w:t>
            </w:r>
          </w:p>
        </w:tc>
      </w:tr>
      <w:tr w:rsidR="00000000">
        <w:trPr>
          <w:divId w:val="1725790841"/>
          <w:trHeight w:val="300"/>
        </w:trPr>
        <w:tc>
          <w:tcPr>
            <w:tcW w:w="0" w:type="auto"/>
            <w:gridSpan w:val="3"/>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725790841"/>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8"/>
                <w:szCs w:val="18"/>
              </w:rPr>
              <w:t>(Dollars in millions, except as noted)</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rPr>
              <w:t>December 31, 2022</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rPr>
              <w:t>December 31, 2021</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rPr>
              <w:t>Change</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725790841"/>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18"/>
                <w:szCs w:val="18"/>
              </w:rPr>
              <w:t>Selected period-end data:</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725790841"/>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Loans held for investment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2"/>
            <w:shd w:val="clear" w:color="auto" w:fill="FFFF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137,730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114,772</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20%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6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725790841"/>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30+ day performing delinquency rate</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3.46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2.28 </w:t>
            </w:r>
          </w:p>
        </w:tc>
        <w:tc>
          <w:tcPr>
            <w:tcW w:w="0" w:type="auto"/>
            <w:shd w:val="clear" w:color="auto" w:fill="CCEEFF"/>
            <w:tcMar>
              <w:top w:w="30" w:type="dxa"/>
              <w:left w:w="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118bps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14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725790841"/>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30+ day delinquency rate</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3.46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2.29 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380" w:type="dxa"/>
            </w:tcMar>
            <w:vAlign w:val="bottom"/>
            <w:hideMark/>
          </w:tcPr>
          <w:p w:rsidR="00000000" w:rsidRDefault="0094004B">
            <w:pPr>
              <w:spacing w:after="100"/>
              <w:jc w:val="right"/>
              <w:rPr>
                <w:rFonts w:eastAsia="Times New Roman"/>
              </w:rPr>
            </w:pPr>
            <w:r>
              <w:rPr>
                <w:rFonts w:eastAsia="Times New Roman"/>
                <w:color w:val="000000"/>
                <w:sz w:val="18"/>
                <w:szCs w:val="18"/>
              </w:rPr>
              <w:t>117</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38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725790841"/>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divId w:val="433477189"/>
              <w:rPr>
                <w:rFonts w:eastAsia="Times New Roman"/>
              </w:rPr>
            </w:pPr>
            <w:r>
              <w:rPr>
                <w:rFonts w:eastAsia="Times New Roman"/>
                <w:color w:val="000000"/>
                <w:sz w:val="18"/>
                <w:szCs w:val="18"/>
              </w:rPr>
              <w:t>Nonperforming loan rat</w:t>
            </w:r>
            <w:r>
              <w:rPr>
                <w:rFonts w:eastAsia="Times New Roman"/>
                <w:color w:val="000000"/>
                <w:sz w:val="18"/>
                <w:szCs w:val="18"/>
              </w:rPr>
              <w:t>e</w:t>
            </w:r>
            <w:r>
              <w:rPr>
                <w:rFonts w:eastAsia="Times New Roman"/>
                <w:color w:val="000000"/>
                <w:sz w:val="12"/>
                <w:szCs w:val="12"/>
              </w:rPr>
              <w:t>(4</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0.01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0.01 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380" w:type="dxa"/>
            </w:tcMar>
            <w:vAlign w:val="bottom"/>
            <w:hideMark/>
          </w:tcPr>
          <w:p w:rsidR="00000000" w:rsidRDefault="0094004B">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38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725790841"/>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Allowance for credit losses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9,545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8,345 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14%</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6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725790841"/>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Allowance coverage ratio</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6.93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7.27 </w:t>
            </w:r>
          </w:p>
        </w:tc>
        <w:tc>
          <w:tcPr>
            <w:tcW w:w="0" w:type="auto"/>
            <w:shd w:val="clear" w:color="auto" w:fill="CCEEFF"/>
            <w:tcMar>
              <w:top w:w="30" w:type="dxa"/>
              <w:left w:w="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(34)bps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14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bl>
    <w:p w:rsidR="00000000" w:rsidRDefault="0094004B">
      <w:pPr>
        <w:shd w:val="clear" w:color="auto" w:fill="FFFFFF"/>
        <w:divId w:val="1725790841"/>
        <w:rPr>
          <w:rFonts w:eastAsia="Times New Roman"/>
        </w:rPr>
      </w:pPr>
      <w:r>
        <w:rPr>
          <w:rFonts w:eastAsia="Times New Roman"/>
          <w:color w:val="000000"/>
          <w:sz w:val="20"/>
          <w:szCs w:val="20"/>
        </w:rPr>
        <w:t>__________</w:t>
      </w:r>
    </w:p>
    <w:p w:rsidR="00000000" w:rsidRDefault="0094004B">
      <w:pPr>
        <w:shd w:val="clear" w:color="auto" w:fill="FFFFFF"/>
        <w:ind w:hanging="360"/>
        <w:jc w:val="both"/>
        <w:divId w:val="620916863"/>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We recognize finance charges and fee income on open-ended loans in accordance with the contractual provisions of the credit arrangements and charge off any uncollectible amounts. Total net revenue was reduced by $946 million, $629 million and $1.1 billion </w:t>
      </w:r>
      <w:r>
        <w:rPr>
          <w:rFonts w:eastAsia="Times New Roman"/>
          <w:color w:val="000000"/>
          <w:sz w:val="16"/>
          <w:szCs w:val="16"/>
        </w:rPr>
        <w:t>in 2022, 2021 and 2020, respectively, for finance charges and fees charged-off as uncollectible.</w:t>
      </w:r>
    </w:p>
    <w:p w:rsidR="00000000" w:rsidRDefault="0094004B">
      <w:pPr>
        <w:shd w:val="clear" w:color="auto" w:fill="FFFFFF"/>
        <w:ind w:hanging="360"/>
        <w:jc w:val="both"/>
        <w:divId w:val="1630936876"/>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Average yield is calculated based on interest income for the period divided by average loans during the period and does not include any allocations, such as</w:t>
      </w:r>
      <w:r>
        <w:rPr>
          <w:rFonts w:eastAsia="Times New Roman"/>
          <w:color w:val="000000"/>
          <w:sz w:val="16"/>
          <w:szCs w:val="16"/>
        </w:rPr>
        <w:t xml:space="preserve"> funds transfer pricing. </w:t>
      </w:r>
    </w:p>
    <w:p w:rsidR="00000000" w:rsidRDefault="0094004B">
      <w:pPr>
        <w:shd w:val="clear" w:color="auto" w:fill="FFFFFF"/>
        <w:ind w:hanging="360"/>
        <w:jc w:val="both"/>
        <w:divId w:val="1515683368"/>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Total net revenue margin is calculated based on total net revenue for the period divided by average loans during the period.</w:t>
      </w:r>
    </w:p>
    <w:p w:rsidR="00000000" w:rsidRDefault="0094004B">
      <w:pPr>
        <w:shd w:val="clear" w:color="auto" w:fill="FFFFFF"/>
        <w:ind w:hanging="360"/>
        <w:jc w:val="both"/>
        <w:divId w:val="2097439116"/>
        <w:rPr>
          <w:rFonts w:eastAsia="Times New Roman"/>
        </w:rPr>
      </w:pPr>
      <w:r>
        <w:rPr>
          <w:rFonts w:eastAsia="Times New Roman"/>
          <w:color w:val="000000"/>
          <w:sz w:val="10"/>
          <w:szCs w:val="10"/>
        </w:rPr>
        <w:t>(4</w:t>
      </w:r>
      <w:r>
        <w:rPr>
          <w:rFonts w:eastAsia="Times New Roman"/>
          <w:color w:val="000000"/>
          <w:sz w:val="10"/>
          <w:szCs w:val="10"/>
        </w:rPr>
        <w:t>)</w:t>
      </w:r>
      <w:r>
        <w:rPr>
          <w:rFonts w:eastAsia="Times New Roman"/>
          <w:color w:val="000000"/>
          <w:sz w:val="16"/>
          <w:szCs w:val="16"/>
        </w:rPr>
        <w:t xml:space="preserve">Within our credit card loan portfolio, only certain loans in our international card businesses are </w:t>
      </w:r>
      <w:r>
        <w:rPr>
          <w:rFonts w:eastAsia="Times New Roman"/>
          <w:color w:val="000000"/>
          <w:sz w:val="16"/>
          <w:szCs w:val="16"/>
        </w:rPr>
        <w:t>classified as nonperforming. See “Nonperforming Loans and Other Nonperforming Assets” for additional information.</w:t>
      </w:r>
    </w:p>
    <w:p w:rsidR="00000000" w:rsidRDefault="0094004B">
      <w:pPr>
        <w:shd w:val="clear" w:color="auto" w:fill="FFFFFF"/>
        <w:ind w:hanging="360"/>
        <w:jc w:val="both"/>
        <w:divId w:val="1746101292"/>
        <w:rPr>
          <w:rFonts w:eastAsia="Times New Roman"/>
        </w:rPr>
      </w:pPr>
      <w:r>
        <w:rPr>
          <w:rFonts w:eastAsia="Times New Roman"/>
          <w:color w:val="000000"/>
          <w:sz w:val="16"/>
          <w:szCs w:val="16"/>
        </w:rPr>
        <w:t>**    Not meaningful.</w:t>
      </w:r>
    </w:p>
    <w:p w:rsidR="00000000" w:rsidRDefault="0094004B">
      <w:pPr>
        <w:shd w:val="clear" w:color="auto" w:fill="FFFFFF"/>
        <w:jc w:val="both"/>
        <w:divId w:val="350185345"/>
        <w:rPr>
          <w:rFonts w:eastAsia="Times New Roman"/>
        </w:rPr>
      </w:pPr>
      <w:r>
        <w:rPr>
          <w:rFonts w:eastAsia="Times New Roman"/>
          <w:color w:val="000000"/>
          <w:sz w:val="20"/>
          <w:szCs w:val="20"/>
        </w:rPr>
        <w:t>Key factors affecting the results of our Credit Card business for 2022 compared to 2021, and changes in financial condit</w:t>
      </w:r>
      <w:r>
        <w:rPr>
          <w:rFonts w:eastAsia="Times New Roman"/>
          <w:color w:val="000000"/>
          <w:sz w:val="20"/>
          <w:szCs w:val="20"/>
        </w:rPr>
        <w:t>ion and credit performance between December 31, 2022 and 2021 include the following:</w:t>
      </w:r>
    </w:p>
    <w:p w:rsidR="00000000" w:rsidRDefault="0094004B">
      <w:pPr>
        <w:shd w:val="clear" w:color="auto" w:fill="FFFFFF"/>
        <w:ind w:hanging="360"/>
        <w:jc w:val="both"/>
        <w:divId w:val="1887446834"/>
        <w:rPr>
          <w:rFonts w:eastAsia="Times New Roman"/>
        </w:rPr>
      </w:pPr>
      <w:r>
        <w:rPr>
          <w:rFonts w:eastAsia="Times New Roman"/>
          <w:color w:val="000000"/>
          <w:sz w:val="20"/>
          <w:szCs w:val="20"/>
        </w:rPr>
        <w:t>•</w:t>
      </w:r>
      <w:r>
        <w:rPr>
          <w:rFonts w:eastAsia="Times New Roman"/>
          <w:i/>
          <w:iCs/>
          <w:color w:val="000000"/>
          <w:sz w:val="20"/>
          <w:szCs w:val="20"/>
        </w:rPr>
        <w:t>Net Interest Income:</w:t>
      </w:r>
      <w:r>
        <w:rPr>
          <w:rFonts w:eastAsia="Times New Roman"/>
          <w:color w:val="000000"/>
          <w:sz w:val="20"/>
          <w:szCs w:val="20"/>
        </w:rPr>
        <w:t xml:space="preserve"> Net interest income increased by $2.5 billion to $16.6 billion in 2022 primarily driven by higher average loan balances.</w:t>
      </w:r>
    </w:p>
    <w:p w:rsidR="00000000" w:rsidRDefault="0094004B">
      <w:pPr>
        <w:shd w:val="clear" w:color="auto" w:fill="FFFFFF"/>
        <w:ind w:hanging="360"/>
        <w:jc w:val="both"/>
        <w:divId w:val="1279025126"/>
        <w:rPr>
          <w:rFonts w:eastAsia="Times New Roman"/>
        </w:rPr>
      </w:pPr>
      <w:r>
        <w:rPr>
          <w:rFonts w:eastAsia="Times New Roman"/>
          <w:color w:val="000000"/>
          <w:sz w:val="18"/>
          <w:szCs w:val="18"/>
        </w:rPr>
        <w:t>•</w:t>
      </w:r>
      <w:r>
        <w:rPr>
          <w:rFonts w:eastAsia="Times New Roman"/>
          <w:i/>
          <w:iCs/>
          <w:color w:val="000000"/>
          <w:sz w:val="20"/>
          <w:szCs w:val="20"/>
        </w:rPr>
        <w:t xml:space="preserve">Non-Interest Income: </w:t>
      </w:r>
      <w:r>
        <w:rPr>
          <w:rFonts w:eastAsia="Times New Roman"/>
          <w:color w:val="000000"/>
          <w:sz w:val="20"/>
          <w:szCs w:val="20"/>
        </w:rPr>
        <w:t>Non-in</w:t>
      </w:r>
      <w:r>
        <w:rPr>
          <w:rFonts w:eastAsia="Times New Roman"/>
          <w:color w:val="000000"/>
          <w:sz w:val="20"/>
          <w:szCs w:val="20"/>
        </w:rPr>
        <w:t>terest income increased by $965 million to $5.8 billion in 2022 primarily driven by higher net interchange fees due to an increase in purchase volume.</w:t>
      </w:r>
    </w:p>
    <w:p w:rsidR="00000000" w:rsidRDefault="0094004B">
      <w:pPr>
        <w:shd w:val="clear" w:color="auto" w:fill="FFFFFF"/>
        <w:ind w:hanging="360"/>
        <w:jc w:val="both"/>
        <w:divId w:val="496072963"/>
        <w:rPr>
          <w:rFonts w:eastAsia="Times New Roman"/>
        </w:rPr>
      </w:pPr>
      <w:r>
        <w:rPr>
          <w:rFonts w:eastAsia="Times New Roman"/>
          <w:color w:val="000000"/>
          <w:sz w:val="18"/>
          <w:szCs w:val="18"/>
        </w:rPr>
        <w:t>•</w:t>
      </w:r>
      <w:r>
        <w:rPr>
          <w:rFonts w:eastAsia="Times New Roman"/>
          <w:i/>
          <w:iCs/>
          <w:color w:val="000000"/>
          <w:sz w:val="20"/>
          <w:szCs w:val="20"/>
        </w:rPr>
        <w:t>Provision for Credit Losses:</w:t>
      </w:r>
      <w:r>
        <w:rPr>
          <w:rFonts w:eastAsia="Times New Roman"/>
          <w:color w:val="000000"/>
          <w:sz w:val="20"/>
          <w:szCs w:val="20"/>
        </w:rPr>
        <w:t xml:space="preserve"> Provision for credit losses increased by $5.2 billion to $4.3 billion in 20</w:t>
      </w:r>
      <w:r>
        <w:rPr>
          <w:rFonts w:eastAsia="Times New Roman"/>
          <w:color w:val="000000"/>
          <w:sz w:val="20"/>
          <w:szCs w:val="20"/>
        </w:rPr>
        <w:t>22 primarily driven by a net allowance build due to credit normalization, a modestly worse economic outlook and loan growth, compared to a net allowance release in 2021.</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827020965"/>
          <w:jc w:val="center"/>
        </w:trPr>
        <w:tc>
          <w:tcPr>
            <w:tcW w:w="50" w:type="pct"/>
            <w:vAlign w:val="center"/>
            <w:hideMark/>
          </w:tcPr>
          <w:p w:rsidR="00000000" w:rsidRDefault="0094004B">
            <w:pPr>
              <w:shd w:val="clear" w:color="auto" w:fill="FFFFFF"/>
              <w:ind w:hanging="360"/>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827020965"/>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827020965"/>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58</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084" style="width:0;height:1.5pt" o:hralign="center" o:hrstd="t" o:hr="t" fillcolor="#a0a0a0" stroked="f"/>
        </w:pict>
      </w:r>
    </w:p>
    <w:p w:rsidR="00000000" w:rsidRDefault="0094004B">
      <w:pPr>
        <w:shd w:val="clear" w:color="auto" w:fill="FFFFFF"/>
        <w:ind w:hanging="360"/>
        <w:jc w:val="both"/>
        <w:divId w:val="225530409"/>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shd w:val="clear" w:color="auto" w:fill="FFFFFF"/>
        <w:ind w:hanging="360"/>
        <w:jc w:val="both"/>
        <w:divId w:val="1926106075"/>
        <w:rPr>
          <w:rFonts w:eastAsia="Times New Roman"/>
        </w:rPr>
      </w:pPr>
      <w:r>
        <w:rPr>
          <w:rFonts w:eastAsia="Times New Roman"/>
          <w:color w:val="000000"/>
          <w:sz w:val="20"/>
          <w:szCs w:val="20"/>
        </w:rPr>
        <w:t>•</w:t>
      </w:r>
      <w:r>
        <w:rPr>
          <w:rFonts w:eastAsia="Times New Roman"/>
          <w:i/>
          <w:iCs/>
          <w:color w:val="000000"/>
          <w:sz w:val="20"/>
          <w:szCs w:val="20"/>
        </w:rPr>
        <w:t>Non-Interest Expense:</w:t>
      </w:r>
      <w:r>
        <w:rPr>
          <w:rFonts w:eastAsia="Times New Roman"/>
          <w:color w:val="000000"/>
          <w:sz w:val="20"/>
          <w:szCs w:val="20"/>
        </w:rPr>
        <w:t xml:space="preserve"> </w:t>
      </w:r>
      <w:r>
        <w:rPr>
          <w:rFonts w:eastAsia="Times New Roman"/>
          <w:color w:val="000000"/>
          <w:sz w:val="20"/>
          <w:szCs w:val="20"/>
        </w:rPr>
        <w:t>Non-interest expense increased by $2.0 billion to $11.6 billion in 2022 primarily driven by increased marketing spend, as well as continued investment in technology.</w:t>
      </w:r>
    </w:p>
    <w:p w:rsidR="00000000" w:rsidRDefault="0094004B">
      <w:pPr>
        <w:shd w:val="clear" w:color="auto" w:fill="FFFFFF"/>
        <w:divId w:val="1670475236"/>
        <w:rPr>
          <w:rFonts w:eastAsia="Times New Roman"/>
        </w:rPr>
      </w:pPr>
      <w:r>
        <w:rPr>
          <w:rFonts w:eastAsia="Times New Roman"/>
          <w:i/>
          <w:iCs/>
          <w:color w:val="000000"/>
          <w:sz w:val="20"/>
          <w:szCs w:val="20"/>
        </w:rPr>
        <w:t>Loans Held for Investment:</w:t>
      </w:r>
      <w:r>
        <w:rPr>
          <w:rFonts w:eastAsia="Times New Roman"/>
          <w:color w:val="000000"/>
          <w:sz w:val="20"/>
          <w:szCs w:val="20"/>
        </w:rPr>
        <w:t xml:space="preserve"> </w:t>
      </w:r>
    </w:p>
    <w:p w:rsidR="00000000" w:rsidRDefault="0094004B">
      <w:pPr>
        <w:shd w:val="clear" w:color="auto" w:fill="FFFFFF"/>
        <w:ind w:hanging="360"/>
        <w:jc w:val="both"/>
        <w:divId w:val="1926106075"/>
        <w:rPr>
          <w:rFonts w:eastAsia="Times New Roman"/>
        </w:rPr>
      </w:pPr>
      <w:r>
        <w:rPr>
          <w:rFonts w:eastAsia="Times New Roman"/>
          <w:color w:val="000000"/>
          <w:sz w:val="20"/>
          <w:szCs w:val="20"/>
        </w:rPr>
        <w:t>•Period-end loans held for investment increased by $23.0 billi</w:t>
      </w:r>
      <w:r>
        <w:rPr>
          <w:rFonts w:eastAsia="Times New Roman"/>
          <w:color w:val="000000"/>
          <w:sz w:val="20"/>
          <w:szCs w:val="20"/>
        </w:rPr>
        <w:t>on to $137.7 billion as of December 31, 2022 from December 31, 2021 and average loans held for investment increased by $17.7 billion to $120.4 billion in 2022 compared to 2021 primarily driven by continued strength in purchase volume, which outpaced custom</w:t>
      </w:r>
      <w:r>
        <w:rPr>
          <w:rFonts w:eastAsia="Times New Roman"/>
          <w:color w:val="000000"/>
          <w:sz w:val="20"/>
          <w:szCs w:val="20"/>
        </w:rPr>
        <w:t>er payments.</w:t>
      </w:r>
    </w:p>
    <w:p w:rsidR="00000000" w:rsidRDefault="0094004B">
      <w:pPr>
        <w:shd w:val="clear" w:color="auto" w:fill="FFFFFF"/>
        <w:divId w:val="1751074142"/>
        <w:rPr>
          <w:rFonts w:eastAsia="Times New Roman"/>
        </w:rPr>
      </w:pPr>
      <w:r>
        <w:rPr>
          <w:rFonts w:eastAsia="Times New Roman"/>
          <w:i/>
          <w:iCs/>
          <w:color w:val="000000"/>
          <w:sz w:val="20"/>
          <w:szCs w:val="20"/>
        </w:rPr>
        <w:t>Net Charge-Off and Delinquency Metrics:</w:t>
      </w:r>
      <w:r>
        <w:rPr>
          <w:rFonts w:eastAsia="Times New Roman"/>
          <w:color w:val="000000"/>
          <w:sz w:val="20"/>
          <w:szCs w:val="20"/>
        </w:rPr>
        <w:t xml:space="preserve"> </w:t>
      </w:r>
    </w:p>
    <w:p w:rsidR="00000000" w:rsidRDefault="0094004B">
      <w:pPr>
        <w:shd w:val="clear" w:color="auto" w:fill="FFFFFF"/>
        <w:ind w:hanging="360"/>
        <w:jc w:val="both"/>
        <w:divId w:val="1926106075"/>
        <w:rPr>
          <w:rFonts w:eastAsia="Times New Roman"/>
        </w:rPr>
      </w:pPr>
      <w:r>
        <w:rPr>
          <w:rFonts w:eastAsia="Times New Roman"/>
          <w:i/>
          <w:iCs/>
          <w:color w:val="000000"/>
          <w:sz w:val="20"/>
          <w:szCs w:val="20"/>
        </w:rPr>
        <w:t>•</w:t>
      </w:r>
      <w:r>
        <w:rPr>
          <w:rFonts w:eastAsia="Times New Roman"/>
          <w:color w:val="000000"/>
          <w:sz w:val="20"/>
          <w:szCs w:val="20"/>
        </w:rPr>
        <w:t>The net charge-off rate increased by 63 basis points to 2.53% in 2022 compared to 2021 primarily driven by continued credit normalization.</w:t>
      </w:r>
    </w:p>
    <w:p w:rsidR="00000000" w:rsidRDefault="0094004B">
      <w:pPr>
        <w:shd w:val="clear" w:color="auto" w:fill="FFFFFF"/>
        <w:divId w:val="1026323766"/>
        <w:rPr>
          <w:rFonts w:eastAsia="Times New Roman"/>
        </w:rPr>
      </w:pPr>
    </w:p>
    <w:p w:rsidR="00000000" w:rsidRDefault="0094004B">
      <w:pPr>
        <w:shd w:val="clear" w:color="auto" w:fill="FFFFFF"/>
        <w:ind w:hanging="360"/>
        <w:jc w:val="both"/>
        <w:divId w:val="1926106075"/>
        <w:rPr>
          <w:rFonts w:eastAsia="Times New Roman"/>
        </w:rPr>
      </w:pPr>
      <w:r>
        <w:rPr>
          <w:rFonts w:eastAsia="Times New Roman"/>
          <w:i/>
          <w:iCs/>
          <w:color w:val="000000"/>
          <w:sz w:val="20"/>
          <w:szCs w:val="20"/>
        </w:rPr>
        <w:t>•</w:t>
      </w:r>
      <w:r>
        <w:rPr>
          <w:rFonts w:eastAsia="Times New Roman"/>
          <w:color w:val="000000"/>
          <w:sz w:val="20"/>
          <w:szCs w:val="20"/>
        </w:rPr>
        <w:t>The 30+ day delinquency rate increased by 117 basis points to 3.46% as of December 31, 2022 from December 31, 2021</w:t>
      </w:r>
      <w:r>
        <w:rPr>
          <w:rFonts w:eastAsia="Times New Roman"/>
          <w:color w:val="000000"/>
          <w:sz w:val="20"/>
          <w:szCs w:val="20"/>
        </w:rPr>
        <w:t xml:space="preserve"> primarily driven by continued credit normalization. </w:t>
      </w:r>
    </w:p>
    <w:p w:rsidR="00000000" w:rsidRDefault="0094004B">
      <w:pPr>
        <w:shd w:val="clear" w:color="auto" w:fill="FFFFFF"/>
        <w:divId w:val="1163551573"/>
        <w:rPr>
          <w:rFonts w:eastAsia="Times New Roman"/>
        </w:rPr>
      </w:pPr>
      <w:r>
        <w:rPr>
          <w:rFonts w:eastAsia="Times New Roman"/>
          <w:b/>
          <w:bCs/>
          <w:color w:val="000000"/>
          <w:sz w:val="20"/>
          <w:szCs w:val="20"/>
        </w:rPr>
        <w:t>Domestic Card Business</w:t>
      </w:r>
    </w:p>
    <w:p w:rsidR="00000000" w:rsidRDefault="0094004B">
      <w:pPr>
        <w:shd w:val="clear" w:color="auto" w:fill="FFFFFF"/>
        <w:jc w:val="both"/>
        <w:divId w:val="1820460112"/>
        <w:rPr>
          <w:rFonts w:eastAsia="Times New Roman"/>
        </w:rPr>
      </w:pPr>
      <w:r>
        <w:rPr>
          <w:rFonts w:eastAsia="Times New Roman"/>
          <w:color w:val="000000"/>
          <w:sz w:val="20"/>
          <w:szCs w:val="20"/>
        </w:rPr>
        <w:t>The Domestic Card business generated net income from continuing operations of $4.7 billion, $7.3 billion and $1.2 billion in 2022, 2021 and 2020, respectively. In 2022, 2021 and 2</w:t>
      </w:r>
      <w:r>
        <w:rPr>
          <w:rFonts w:eastAsia="Times New Roman"/>
          <w:color w:val="000000"/>
          <w:sz w:val="20"/>
          <w:szCs w:val="20"/>
        </w:rPr>
        <w:t>020, the Domestic Card business accounted for greater than 90% of total net revenue of our Credit Card business.</w:t>
      </w:r>
    </w:p>
    <w:p w:rsidR="00000000" w:rsidRDefault="0094004B">
      <w:pPr>
        <w:shd w:val="clear" w:color="auto" w:fill="FFFFFF"/>
        <w:jc w:val="both"/>
        <w:divId w:val="1868172448"/>
        <w:rPr>
          <w:rFonts w:eastAsia="Times New Roman"/>
        </w:rPr>
      </w:pPr>
      <w:r>
        <w:rPr>
          <w:rFonts w:eastAsia="Times New Roman"/>
          <w:color w:val="000000"/>
          <w:sz w:val="20"/>
          <w:szCs w:val="20"/>
        </w:rPr>
        <w:t>Table 8.1 summarizes the financial results for Domestic Card business and displays selected key metrics for the periods indicated.</w:t>
      </w:r>
    </w:p>
    <w:p w:rsidR="00000000" w:rsidRDefault="0094004B">
      <w:pPr>
        <w:shd w:val="clear" w:color="auto" w:fill="FFFFFF"/>
        <w:divId w:val="1475373390"/>
        <w:rPr>
          <w:rFonts w:eastAsia="Times New Roman"/>
        </w:rPr>
      </w:pPr>
      <w:r>
        <w:rPr>
          <w:rFonts w:eastAsia="Times New Roman"/>
          <w:b/>
          <w:bCs/>
          <w:color w:val="000000"/>
          <w:sz w:val="18"/>
          <w:szCs w:val="18"/>
        </w:rPr>
        <w:t>Table 8.1: D</w:t>
      </w:r>
      <w:r>
        <w:rPr>
          <w:rFonts w:eastAsia="Times New Roman"/>
          <w:b/>
          <w:bCs/>
          <w:color w:val="000000"/>
          <w:sz w:val="18"/>
          <w:szCs w:val="18"/>
        </w:rPr>
        <w:t>omestic Card Business Results</w:t>
      </w:r>
    </w:p>
    <w:tbl>
      <w:tblPr>
        <w:tblW w:w="5000" w:type="pct"/>
        <w:tblCellMar>
          <w:top w:w="15" w:type="dxa"/>
          <w:left w:w="15" w:type="dxa"/>
          <w:bottom w:w="15" w:type="dxa"/>
          <w:right w:w="15" w:type="dxa"/>
        </w:tblCellMar>
        <w:tblLook w:val="04A0" w:firstRow="1" w:lastRow="0" w:firstColumn="1" w:lastColumn="0" w:noHBand="0" w:noVBand="1"/>
      </w:tblPr>
      <w:tblGrid>
        <w:gridCol w:w="39"/>
        <w:gridCol w:w="2728"/>
        <w:gridCol w:w="38"/>
        <w:gridCol w:w="36"/>
        <w:gridCol w:w="36"/>
        <w:gridCol w:w="46"/>
        <w:gridCol w:w="246"/>
        <w:gridCol w:w="245"/>
        <w:gridCol w:w="245"/>
        <w:gridCol w:w="36"/>
        <w:gridCol w:w="36"/>
        <w:gridCol w:w="36"/>
        <w:gridCol w:w="111"/>
        <w:gridCol w:w="627"/>
        <w:gridCol w:w="202"/>
        <w:gridCol w:w="36"/>
        <w:gridCol w:w="36"/>
        <w:gridCol w:w="36"/>
        <w:gridCol w:w="111"/>
        <w:gridCol w:w="628"/>
        <w:gridCol w:w="170"/>
        <w:gridCol w:w="36"/>
        <w:gridCol w:w="36"/>
        <w:gridCol w:w="36"/>
        <w:gridCol w:w="110"/>
        <w:gridCol w:w="717"/>
        <w:gridCol w:w="36"/>
        <w:gridCol w:w="36"/>
        <w:gridCol w:w="36"/>
        <w:gridCol w:w="36"/>
        <w:gridCol w:w="78"/>
        <w:gridCol w:w="596"/>
        <w:gridCol w:w="39"/>
        <w:gridCol w:w="36"/>
        <w:gridCol w:w="36"/>
        <w:gridCol w:w="36"/>
        <w:gridCol w:w="48"/>
        <w:gridCol w:w="363"/>
        <w:gridCol w:w="271"/>
      </w:tblGrid>
      <w:tr w:rsidR="00000000">
        <w:trPr>
          <w:divId w:val="1435781614"/>
        </w:trPr>
        <w:tc>
          <w:tcPr>
            <w:tcW w:w="50" w:type="pct"/>
            <w:vAlign w:val="center"/>
            <w:hideMark/>
          </w:tcPr>
          <w:p w:rsidR="00000000" w:rsidRDefault="0094004B">
            <w:pPr>
              <w:shd w:val="clear" w:color="auto" w:fill="FFFFFF"/>
              <w:rPr>
                <w:rFonts w:eastAsia="Times New Roman"/>
              </w:rPr>
            </w:pPr>
          </w:p>
        </w:tc>
        <w:tc>
          <w:tcPr>
            <w:tcW w:w="239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4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4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4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8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8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435781614"/>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rPr>
              <w:t>Year Ended December 31,</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rPr>
              <w:t>Change</w:t>
            </w: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1435781614"/>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8"/>
                <w:szCs w:val="18"/>
              </w:rPr>
              <w:t>(Dollars in millions, except as noted)</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rPr>
              <w:t>2022 vs.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rPr>
              <w:t>2021 vs. 2020</w:t>
            </w:r>
          </w:p>
        </w:tc>
      </w:tr>
      <w:tr w:rsidR="00000000">
        <w:trPr>
          <w:divId w:val="143578161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Selected income statement data:</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435781614"/>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Net interest income</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2"/>
            <w:shd w:val="clear" w:color="auto" w:fill="FFFF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15,616</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12,916</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12,599</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21%</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3%</w:t>
            </w:r>
          </w:p>
        </w:tc>
      </w:tr>
      <w:tr w:rsidR="00000000">
        <w:trPr>
          <w:divId w:val="1435781614"/>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Non-interest income</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5,363</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4,532</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3,583</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18</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26 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435781614"/>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divId w:val="1928071400"/>
              <w:rPr>
                <w:rFonts w:eastAsia="Times New Roman"/>
              </w:rPr>
            </w:pPr>
            <w:r>
              <w:rPr>
                <w:rFonts w:eastAsia="Times New Roman"/>
                <w:color w:val="000000"/>
                <w:sz w:val="18"/>
                <w:szCs w:val="18"/>
              </w:rPr>
              <w:t>Total net revenu</w:t>
            </w:r>
            <w:r>
              <w:rPr>
                <w:rFonts w:eastAsia="Times New Roman"/>
                <w:color w:val="000000"/>
                <w:sz w:val="18"/>
                <w:szCs w:val="18"/>
              </w:rPr>
              <w:t>e</w:t>
            </w:r>
            <w:r>
              <w:rPr>
                <w:rFonts w:eastAsia="Times New Roman"/>
                <w:color w:val="000000"/>
                <w:sz w:val="12"/>
                <w:szCs w:val="12"/>
              </w:rPr>
              <w:t>(1</w:t>
            </w:r>
            <w:r>
              <w:rPr>
                <w:rFonts w:eastAsia="Times New Roman"/>
                <w:color w:val="000000"/>
                <w:sz w:val="12"/>
                <w:szCs w:val="12"/>
              </w:rPr>
              <w:t>)</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20,979</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17,448</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16,182</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20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8 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435781614"/>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Provision (benefit) for credit losses</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4,020</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(868)</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6,979</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w:t>
            </w:r>
          </w:p>
        </w:tc>
      </w:tr>
      <w:tr w:rsidR="00000000">
        <w:trPr>
          <w:divId w:val="1435781614"/>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Non-interest expense</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10,827</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8,712</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7,625</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24</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14 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435781614"/>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Income from continuing operations before income taxes</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6,132</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9,604</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1,578</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(36)</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w:t>
            </w:r>
          </w:p>
        </w:tc>
      </w:tr>
      <w:tr w:rsidR="00000000">
        <w:trPr>
          <w:divId w:val="1435781614"/>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Income tax provision</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1,453</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2,266</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374</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(36)</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w:t>
            </w:r>
          </w:p>
        </w:tc>
      </w:tr>
      <w:tr w:rsidR="00000000">
        <w:trPr>
          <w:divId w:val="1435781614"/>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Income from continuing operations, net of tax</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4,679</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7,338</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1,204</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(36)</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w:t>
            </w:r>
          </w:p>
        </w:tc>
      </w:tr>
      <w:tr w:rsidR="00000000">
        <w:trPr>
          <w:divId w:val="1435781614"/>
        </w:trPr>
        <w:tc>
          <w:tcPr>
            <w:tcW w:w="0" w:type="auto"/>
            <w:gridSpan w:val="3"/>
            <w:vAlign w:val="center"/>
            <w:hideMark/>
          </w:tcPr>
          <w:p w:rsidR="00000000" w:rsidRDefault="0094004B">
            <w:pPr>
              <w:spacing w:after="100"/>
              <w:jc w:val="right"/>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435781614"/>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Selected performance metrics:</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14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435781614"/>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Average loans held for investment</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2"/>
            <w:shd w:val="clear" w:color="auto" w:fill="CCEE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114,506</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2"/>
            <w:shd w:val="clear" w:color="auto" w:fill="CCEE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95,818</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2"/>
            <w:shd w:val="clear" w:color="auto" w:fill="CCEE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101,837</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20</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(6)</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435781614"/>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divId w:val="1181748430"/>
              <w:rPr>
                <w:rFonts w:eastAsia="Times New Roman"/>
              </w:rPr>
            </w:pPr>
            <w:r>
              <w:rPr>
                <w:rFonts w:eastAsia="Times New Roman"/>
                <w:color w:val="000000"/>
                <w:sz w:val="18"/>
                <w:szCs w:val="18"/>
              </w:rPr>
              <w:t>Average yield on loan</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16.07%</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14.49%</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13.88%</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158bps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61bps</w:t>
            </w:r>
          </w:p>
        </w:tc>
      </w:tr>
      <w:tr w:rsidR="00000000">
        <w:trPr>
          <w:divId w:val="1435781614"/>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divId w:val="931472426"/>
              <w:rPr>
                <w:rFonts w:eastAsia="Times New Roman"/>
              </w:rPr>
            </w:pPr>
            <w:r>
              <w:rPr>
                <w:rFonts w:eastAsia="Times New Roman"/>
                <w:color w:val="000000"/>
                <w:sz w:val="18"/>
                <w:szCs w:val="18"/>
              </w:rPr>
              <w:t>Total net revenue margi</w:t>
            </w:r>
            <w:r>
              <w:rPr>
                <w:rFonts w:eastAsia="Times New Roman"/>
                <w:color w:val="000000"/>
                <w:sz w:val="18"/>
                <w:szCs w:val="18"/>
              </w:rPr>
              <w:t>n</w:t>
            </w:r>
            <w:r>
              <w:rPr>
                <w:rFonts w:eastAsia="Times New Roman"/>
                <w:color w:val="000000"/>
                <w:sz w:val="12"/>
                <w:szCs w:val="12"/>
              </w:rPr>
              <w:t>(3</w:t>
            </w:r>
            <w:r>
              <w:rPr>
                <w:rFonts w:eastAsia="Times New Roman"/>
                <w:color w:val="000000"/>
                <w:sz w:val="12"/>
                <w:szCs w:val="12"/>
              </w:rPr>
              <w:t>)</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18.28</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17.85</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15.80</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380" w:type="dxa"/>
            </w:tcMar>
            <w:vAlign w:val="bottom"/>
            <w:hideMark/>
          </w:tcPr>
          <w:p w:rsidR="00000000" w:rsidRDefault="0094004B">
            <w:pPr>
              <w:spacing w:after="100"/>
              <w:jc w:val="right"/>
              <w:rPr>
                <w:rFonts w:eastAsia="Times New Roman"/>
              </w:rPr>
            </w:pPr>
            <w:r>
              <w:rPr>
                <w:rFonts w:eastAsia="Times New Roman"/>
                <w:color w:val="000000"/>
                <w:sz w:val="18"/>
                <w:szCs w:val="18"/>
              </w:rPr>
              <w:t>43</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205 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435781614"/>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Net charge-offs</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2"/>
            <w:shd w:val="clear" w:color="auto" w:fill="FFFFFF"/>
            <w:tcMar>
              <w:top w:w="30" w:type="dxa"/>
              <w:left w:w="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2,833</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1,820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4,002</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56%</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(55)%</w:t>
            </w:r>
          </w:p>
        </w:tc>
      </w:tr>
      <w:tr w:rsidR="00000000">
        <w:trPr>
          <w:divId w:val="1435781614"/>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Net charge-off rate</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2.47%</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1.90%</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3.93%</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57bps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(203)</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r>
              <w:rPr>
                <w:rFonts w:eastAsia="Times New Roman"/>
                <w:color w:val="000000"/>
                <w:sz w:val="18"/>
                <w:szCs w:val="18"/>
              </w:rPr>
              <w:t>bps</w:t>
            </w:r>
          </w:p>
        </w:tc>
      </w:tr>
      <w:tr w:rsidR="00000000">
        <w:trPr>
          <w:divId w:val="1435781614"/>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Purchase volume</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2"/>
            <w:shd w:val="clear" w:color="auto" w:fill="FFFF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568,752</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487,297</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380,787 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17%</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28%</w:t>
            </w:r>
          </w:p>
        </w:tc>
      </w:tr>
      <w:tr w:rsidR="00000000">
        <w:trPr>
          <w:divId w:val="1435781614"/>
          <w:trHeight w:val="300"/>
        </w:trPr>
        <w:tc>
          <w:tcPr>
            <w:tcW w:w="0" w:type="auto"/>
            <w:gridSpan w:val="3"/>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435781614"/>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8"/>
                <w:szCs w:val="18"/>
              </w:rPr>
              <w:t>(Dollars in millions, except as noted)</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rPr>
              <w:t>December 31, 2022</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rPr>
              <w:t>December 31, 2021</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rPr>
              <w:t>Change</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43578161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Selected period-end data:</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435781614"/>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Loans held for investment</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2"/>
            <w:shd w:val="clear" w:color="auto" w:fill="FFFF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131,581</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108,723</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21%</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435781614"/>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30+ day performing delinquency rate</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3.43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2.22 </w:t>
            </w:r>
          </w:p>
        </w:tc>
        <w:tc>
          <w:tcPr>
            <w:tcW w:w="0" w:type="auto"/>
            <w:shd w:val="clear" w:color="auto" w:fill="CCEEFF"/>
            <w:tcMar>
              <w:top w:w="30" w:type="dxa"/>
              <w:left w:w="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121bps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435781614"/>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Allowance for credit losses</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2"/>
            <w:shd w:val="clear" w:color="auto" w:fill="FFFF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9,165</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7,968</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15%</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435781614"/>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Allowance coverage ratio</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6.97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7.33 </w:t>
            </w:r>
          </w:p>
        </w:tc>
        <w:tc>
          <w:tcPr>
            <w:tcW w:w="0" w:type="auto"/>
            <w:shd w:val="clear" w:color="auto" w:fill="CCEEFF"/>
            <w:tcMar>
              <w:top w:w="30" w:type="dxa"/>
              <w:left w:w="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(36)bps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bl>
    <w:p w:rsidR="00000000" w:rsidRDefault="0094004B">
      <w:pPr>
        <w:shd w:val="clear" w:color="auto" w:fill="FFFFFF"/>
        <w:divId w:val="1435781614"/>
        <w:rPr>
          <w:rFonts w:eastAsia="Times New Roman"/>
        </w:rPr>
      </w:pPr>
      <w:r>
        <w:rPr>
          <w:rFonts w:eastAsia="Times New Roman"/>
          <w:color w:val="000000"/>
          <w:sz w:val="20"/>
          <w:szCs w:val="20"/>
        </w:rPr>
        <w:t>__________</w:t>
      </w:r>
    </w:p>
    <w:p w:rsidR="00000000" w:rsidRDefault="0094004B">
      <w:pPr>
        <w:shd w:val="clear" w:color="auto" w:fill="FFFFFF"/>
        <w:ind w:hanging="360"/>
        <w:jc w:val="both"/>
        <w:divId w:val="1122571441"/>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We recognize finance charges and fee income on open-ended loans in accordance with the contractual provisions of the credit arrangements and charge off any uncollectible amounts. Finance</w:t>
      </w:r>
      <w:r>
        <w:rPr>
          <w:rFonts w:eastAsia="Times New Roman"/>
          <w:color w:val="000000"/>
          <w:sz w:val="16"/>
          <w:szCs w:val="16"/>
        </w:rPr>
        <w:t xml:space="preserve"> charges and fees charged off as uncollectible are reflected as a reduction in total net revenue.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901214002"/>
          <w:jc w:val="center"/>
        </w:trPr>
        <w:tc>
          <w:tcPr>
            <w:tcW w:w="50" w:type="pct"/>
            <w:vAlign w:val="center"/>
            <w:hideMark/>
          </w:tcPr>
          <w:p w:rsidR="00000000" w:rsidRDefault="0094004B">
            <w:pPr>
              <w:shd w:val="clear" w:color="auto" w:fill="FFFFFF"/>
              <w:ind w:hanging="360"/>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901214002"/>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901214002"/>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59</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085" style="width:0;height:1.5pt" o:hralign="center" o:hrstd="t" o:hr="t" fillcolor="#a0a0a0" stroked="f"/>
        </w:pict>
      </w:r>
    </w:p>
    <w:p w:rsidR="00000000" w:rsidRDefault="0094004B">
      <w:pPr>
        <w:ind w:hanging="360"/>
        <w:jc w:val="both"/>
        <w:divId w:val="1608461034"/>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ind w:hanging="360"/>
        <w:jc w:val="both"/>
        <w:divId w:val="896093766"/>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Average yield is calculated based on interest income for the period divided by average loans during the period and does not include any allo</w:t>
      </w:r>
      <w:r>
        <w:rPr>
          <w:rFonts w:eastAsia="Times New Roman"/>
          <w:color w:val="000000"/>
          <w:sz w:val="16"/>
          <w:szCs w:val="16"/>
        </w:rPr>
        <w:t>cations, such as funds transfer pricing.</w:t>
      </w:r>
    </w:p>
    <w:p w:rsidR="00000000" w:rsidRDefault="0094004B">
      <w:pPr>
        <w:ind w:hanging="360"/>
        <w:jc w:val="both"/>
        <w:divId w:val="1646161177"/>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Total net revenue margin is calculated based on total net revenue for the period divided by average loans during the period.</w:t>
      </w:r>
    </w:p>
    <w:p w:rsidR="00000000" w:rsidRDefault="0094004B">
      <w:pPr>
        <w:ind w:hanging="360"/>
        <w:jc w:val="both"/>
        <w:divId w:val="68501442"/>
        <w:rPr>
          <w:rFonts w:eastAsia="Times New Roman"/>
        </w:rPr>
      </w:pPr>
      <w:r>
        <w:rPr>
          <w:rFonts w:eastAsia="Times New Roman"/>
          <w:color w:val="000000"/>
          <w:sz w:val="16"/>
          <w:szCs w:val="16"/>
        </w:rPr>
        <w:t>**    Not meaningful.</w:t>
      </w:r>
    </w:p>
    <w:p w:rsidR="00000000" w:rsidRDefault="0094004B">
      <w:pPr>
        <w:ind w:hanging="360"/>
        <w:jc w:val="both"/>
        <w:divId w:val="531960131"/>
        <w:rPr>
          <w:rFonts w:eastAsia="Times New Roman"/>
        </w:rPr>
      </w:pPr>
    </w:p>
    <w:p w:rsidR="00000000" w:rsidRDefault="0094004B">
      <w:pPr>
        <w:jc w:val="both"/>
        <w:divId w:val="1153569573"/>
        <w:rPr>
          <w:rFonts w:eastAsia="Times New Roman"/>
        </w:rPr>
      </w:pPr>
      <w:r>
        <w:rPr>
          <w:rFonts w:eastAsia="Times New Roman"/>
          <w:color w:val="000000"/>
          <w:sz w:val="20"/>
          <w:szCs w:val="20"/>
        </w:rPr>
        <w:t>Because our Domestic Card business accounts for the substantial</w:t>
      </w:r>
      <w:r>
        <w:rPr>
          <w:rFonts w:eastAsia="Times New Roman"/>
          <w:color w:val="000000"/>
          <w:sz w:val="20"/>
          <w:szCs w:val="20"/>
        </w:rPr>
        <w:t xml:space="preserve"> majority of our Credit Card business, the key factors driving the results are similar to the key factors affecting our total Credit Card business. Net income for our Domestic Card business decreased in 2022 compared to 2021 primarily driven by: </w:t>
      </w:r>
    </w:p>
    <w:p w:rsidR="00000000" w:rsidRDefault="0094004B">
      <w:pPr>
        <w:ind w:hanging="360"/>
        <w:jc w:val="both"/>
        <w:divId w:val="212936159"/>
        <w:rPr>
          <w:rFonts w:eastAsia="Times New Roman"/>
        </w:rPr>
      </w:pPr>
      <w:r>
        <w:rPr>
          <w:rFonts w:eastAsia="Times New Roman"/>
          <w:color w:val="000000"/>
          <w:sz w:val="20"/>
          <w:szCs w:val="20"/>
        </w:rPr>
        <w:t>•Higher p</w:t>
      </w:r>
      <w:r>
        <w:rPr>
          <w:rFonts w:eastAsia="Times New Roman"/>
          <w:color w:val="000000"/>
          <w:sz w:val="20"/>
          <w:szCs w:val="20"/>
        </w:rPr>
        <w:t>rovision for credit losses primarily driven by a net allowance build due to credit normalization, a modestly worse economic outlook and loan growth, compared to a net allowance release in 2021.</w:t>
      </w:r>
    </w:p>
    <w:p w:rsidR="00000000" w:rsidRDefault="0094004B">
      <w:pPr>
        <w:ind w:hanging="360"/>
        <w:jc w:val="both"/>
        <w:divId w:val="7023439"/>
        <w:rPr>
          <w:rFonts w:eastAsia="Times New Roman"/>
        </w:rPr>
      </w:pPr>
      <w:r>
        <w:rPr>
          <w:rFonts w:eastAsia="Times New Roman"/>
          <w:color w:val="000000"/>
          <w:sz w:val="20"/>
          <w:szCs w:val="20"/>
        </w:rPr>
        <w:t>•</w:t>
      </w:r>
      <w:r>
        <w:rPr>
          <w:rFonts w:eastAsia="Times New Roman"/>
          <w:color w:val="000000"/>
          <w:sz w:val="20"/>
          <w:szCs w:val="20"/>
        </w:rPr>
        <w:t>Higher non-interest expense primarily driven by increased marketing spend, as well as continued investment in technology.</w:t>
      </w:r>
    </w:p>
    <w:p w:rsidR="00000000" w:rsidRDefault="0094004B">
      <w:pPr>
        <w:divId w:val="214584596"/>
        <w:rPr>
          <w:rFonts w:eastAsia="Times New Roman"/>
        </w:rPr>
      </w:pPr>
      <w:r>
        <w:rPr>
          <w:rFonts w:eastAsia="Times New Roman"/>
          <w:color w:val="000000"/>
          <w:sz w:val="20"/>
          <w:szCs w:val="20"/>
        </w:rPr>
        <w:t>These drivers were partially offset by:</w:t>
      </w:r>
    </w:p>
    <w:p w:rsidR="00000000" w:rsidRDefault="0094004B">
      <w:pPr>
        <w:ind w:hanging="360"/>
        <w:divId w:val="448428810"/>
        <w:rPr>
          <w:rFonts w:eastAsia="Times New Roman"/>
        </w:rPr>
      </w:pPr>
      <w:r>
        <w:rPr>
          <w:rFonts w:eastAsia="Times New Roman"/>
          <w:b/>
          <w:bCs/>
          <w:color w:val="000000"/>
          <w:sz w:val="18"/>
          <w:szCs w:val="18"/>
        </w:rPr>
        <w:t>•</w:t>
      </w:r>
      <w:r>
        <w:rPr>
          <w:rFonts w:eastAsia="Times New Roman"/>
          <w:color w:val="000000"/>
          <w:sz w:val="20"/>
          <w:szCs w:val="20"/>
        </w:rPr>
        <w:t>Higher net interest income primarily driven by higher average loan balances.</w:t>
      </w:r>
    </w:p>
    <w:p w:rsidR="00000000" w:rsidRDefault="0094004B">
      <w:pPr>
        <w:ind w:hanging="360"/>
        <w:jc w:val="both"/>
        <w:divId w:val="1679189812"/>
        <w:rPr>
          <w:rFonts w:eastAsia="Times New Roman"/>
        </w:rPr>
      </w:pPr>
      <w:r>
        <w:rPr>
          <w:rFonts w:eastAsia="Times New Roman"/>
          <w:color w:val="000000"/>
          <w:sz w:val="18"/>
          <w:szCs w:val="18"/>
        </w:rPr>
        <w:t>•</w:t>
      </w:r>
      <w:r>
        <w:rPr>
          <w:rFonts w:eastAsia="Times New Roman"/>
          <w:color w:val="000000"/>
          <w:sz w:val="20"/>
          <w:szCs w:val="20"/>
        </w:rPr>
        <w:t>Higher non-inte</w:t>
      </w:r>
      <w:r>
        <w:rPr>
          <w:rFonts w:eastAsia="Times New Roman"/>
          <w:color w:val="000000"/>
          <w:sz w:val="20"/>
          <w:szCs w:val="20"/>
        </w:rPr>
        <w:t>rest income primarily driven by higher net interchange fees due to an increase in purchase volume.</w:t>
      </w:r>
    </w:p>
    <w:p w:rsidR="00000000" w:rsidRDefault="0094004B">
      <w:pPr>
        <w:divId w:val="1437749226"/>
        <w:rPr>
          <w:rFonts w:eastAsia="Times New Roman"/>
        </w:rPr>
      </w:pPr>
      <w:r>
        <w:rPr>
          <w:rFonts w:eastAsia="Times New Roman"/>
          <w:b/>
          <w:bCs/>
          <w:color w:val="000000"/>
          <w:sz w:val="20"/>
          <w:szCs w:val="20"/>
        </w:rPr>
        <w:t>Consumer Banking Business</w:t>
      </w:r>
    </w:p>
    <w:p w:rsidR="00000000" w:rsidRDefault="0094004B">
      <w:pPr>
        <w:jc w:val="both"/>
        <w:divId w:val="1554849373"/>
        <w:rPr>
          <w:rFonts w:eastAsia="Times New Roman"/>
        </w:rPr>
      </w:pPr>
      <w:r>
        <w:rPr>
          <w:rFonts w:eastAsia="Times New Roman"/>
          <w:color w:val="000000"/>
          <w:sz w:val="20"/>
          <w:szCs w:val="20"/>
        </w:rPr>
        <w:t>The primary sources of revenue for our Consumer Banking business are net interest income from loans and deposits. Expenses primaril</w:t>
      </w:r>
      <w:r>
        <w:rPr>
          <w:rFonts w:eastAsia="Times New Roman"/>
          <w:color w:val="000000"/>
          <w:sz w:val="20"/>
          <w:szCs w:val="20"/>
        </w:rPr>
        <w:t>y consist of the provision for credit losses, operating costs and marketing expenses.</w:t>
      </w:r>
    </w:p>
    <w:p w:rsidR="00000000" w:rsidRDefault="0094004B">
      <w:pPr>
        <w:jc w:val="both"/>
        <w:divId w:val="1850900108"/>
        <w:rPr>
          <w:rFonts w:eastAsia="Times New Roman"/>
        </w:rPr>
      </w:pPr>
      <w:r>
        <w:rPr>
          <w:rFonts w:eastAsia="Times New Roman"/>
          <w:color w:val="000000"/>
          <w:sz w:val="20"/>
          <w:szCs w:val="20"/>
        </w:rPr>
        <w:t>Our Consumer Banking business generated net income from continuing operations of $2.3 billion, $3.7 billion and $1.4 billion in 2022, 2021 and 2020, respectively.</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522818243"/>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522818243"/>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522818243"/>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60</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086" style="width:0;height:1.5pt" o:hralign="center" o:hrstd="t" o:hr="t" fillcolor="#a0a0a0" stroked="f"/>
        </w:pict>
      </w:r>
    </w:p>
    <w:p w:rsidR="00000000" w:rsidRDefault="0094004B">
      <w:pPr>
        <w:ind w:hanging="360"/>
        <w:jc w:val="both"/>
        <w:divId w:val="1546796958"/>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both"/>
        <w:divId w:val="708188513"/>
        <w:rPr>
          <w:rFonts w:eastAsia="Times New Roman"/>
        </w:rPr>
      </w:pPr>
      <w:r>
        <w:rPr>
          <w:rFonts w:eastAsia="Times New Roman"/>
          <w:color w:val="000000"/>
          <w:sz w:val="20"/>
          <w:szCs w:val="20"/>
        </w:rPr>
        <w:t>Table 9 summarizes the financial results of our Consumer Banking business and displays selected key metrics for the periods indicated.</w:t>
      </w:r>
    </w:p>
    <w:p w:rsidR="00000000" w:rsidRDefault="0094004B">
      <w:pPr>
        <w:divId w:val="933516812"/>
        <w:rPr>
          <w:rFonts w:eastAsia="Times New Roman"/>
        </w:rPr>
      </w:pPr>
      <w:r>
        <w:rPr>
          <w:rFonts w:eastAsia="Times New Roman"/>
          <w:b/>
          <w:bCs/>
          <w:color w:val="000000"/>
          <w:sz w:val="18"/>
          <w:szCs w:val="18"/>
        </w:rPr>
        <w:t>Table 9:</w:t>
      </w:r>
      <w:r>
        <w:rPr>
          <w:rFonts w:eastAsia="Times New Roman"/>
          <w:b/>
          <w:bCs/>
          <w:color w:val="000000"/>
          <w:sz w:val="18"/>
          <w:szCs w:val="18"/>
        </w:rPr>
        <w:t xml:space="preserve"> Consumer Banking Business Results</w:t>
      </w:r>
    </w:p>
    <w:tbl>
      <w:tblPr>
        <w:tblW w:w="5000" w:type="pct"/>
        <w:tblCellMar>
          <w:top w:w="15" w:type="dxa"/>
          <w:left w:w="15" w:type="dxa"/>
          <w:bottom w:w="15" w:type="dxa"/>
          <w:right w:w="15" w:type="dxa"/>
        </w:tblCellMar>
        <w:tblLook w:val="04A0" w:firstRow="1" w:lastRow="0" w:firstColumn="1" w:lastColumn="0" w:noHBand="0" w:noVBand="1"/>
      </w:tblPr>
      <w:tblGrid>
        <w:gridCol w:w="41"/>
        <w:gridCol w:w="2564"/>
        <w:gridCol w:w="39"/>
        <w:gridCol w:w="36"/>
        <w:gridCol w:w="36"/>
        <w:gridCol w:w="46"/>
        <w:gridCol w:w="246"/>
        <w:gridCol w:w="245"/>
        <w:gridCol w:w="245"/>
        <w:gridCol w:w="36"/>
        <w:gridCol w:w="36"/>
        <w:gridCol w:w="36"/>
        <w:gridCol w:w="111"/>
        <w:gridCol w:w="627"/>
        <w:gridCol w:w="202"/>
        <w:gridCol w:w="36"/>
        <w:gridCol w:w="36"/>
        <w:gridCol w:w="36"/>
        <w:gridCol w:w="110"/>
        <w:gridCol w:w="717"/>
        <w:gridCol w:w="170"/>
        <w:gridCol w:w="36"/>
        <w:gridCol w:w="36"/>
        <w:gridCol w:w="36"/>
        <w:gridCol w:w="110"/>
        <w:gridCol w:w="717"/>
        <w:gridCol w:w="170"/>
        <w:gridCol w:w="36"/>
        <w:gridCol w:w="36"/>
        <w:gridCol w:w="36"/>
        <w:gridCol w:w="46"/>
        <w:gridCol w:w="350"/>
        <w:gridCol w:w="271"/>
        <w:gridCol w:w="36"/>
        <w:gridCol w:w="36"/>
        <w:gridCol w:w="36"/>
        <w:gridCol w:w="46"/>
        <w:gridCol w:w="350"/>
        <w:gridCol w:w="271"/>
      </w:tblGrid>
      <w:tr w:rsidR="00000000">
        <w:trPr>
          <w:divId w:val="640421971"/>
        </w:trPr>
        <w:tc>
          <w:tcPr>
            <w:tcW w:w="50" w:type="pct"/>
            <w:vAlign w:val="center"/>
            <w:hideMark/>
          </w:tcPr>
          <w:p w:rsidR="00000000" w:rsidRDefault="0094004B">
            <w:pPr>
              <w:rPr>
                <w:rFonts w:eastAsia="Times New Roman"/>
              </w:rPr>
            </w:pPr>
          </w:p>
        </w:tc>
        <w:tc>
          <w:tcPr>
            <w:tcW w:w="239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4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4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4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8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8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640421971"/>
        </w:trPr>
        <w:tc>
          <w:tcPr>
            <w:tcW w:w="0" w:type="auto"/>
            <w:gridSpan w:val="3"/>
            <w:tcMar>
              <w:top w:w="30" w:type="dxa"/>
              <w:left w:w="245"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 </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rPr>
              <w:t>Year Ended December 31,</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rPr>
              <w:t>Change</w:t>
            </w: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640421971"/>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8"/>
                <w:szCs w:val="18"/>
              </w:rPr>
              <w:t>(Dollars in millions, except as noted)</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rPr>
              <w:t>2022 vs.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rPr>
              <w:t>2021 vs. 2020</w:t>
            </w:r>
          </w:p>
        </w:tc>
      </w:tr>
      <w:tr w:rsidR="00000000">
        <w:trPr>
          <w:divId w:val="640421971"/>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18"/>
                <w:szCs w:val="18"/>
              </w:rPr>
              <w:t>Selected income statement data:</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640421971"/>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Net interest income</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2"/>
            <w:shd w:val="clear" w:color="auto" w:fill="FFFF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8,965</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8,448</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7,238 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6%</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17%</w:t>
            </w:r>
          </w:p>
        </w:tc>
      </w:tr>
      <w:tr w:rsidR="00000000">
        <w:trPr>
          <w:divId w:val="640421971"/>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Non-interest income</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469</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554</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466 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(15)</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19 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640421971"/>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Total net revenue</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9,434</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9,002</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7,704 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5</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17 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640421971"/>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Provision (benefit) for credit losses</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1,173</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(521)</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1,753 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380" w:type="dxa"/>
            </w:tcMar>
            <w:vAlign w:val="bottom"/>
            <w:hideMark/>
          </w:tcPr>
          <w:p w:rsidR="00000000" w:rsidRDefault="0094004B">
            <w:pPr>
              <w:spacing w:after="100"/>
              <w:jc w:val="right"/>
              <w:rPr>
                <w:rFonts w:eastAsia="Times New Roman"/>
              </w:rPr>
            </w:pPr>
            <w:r>
              <w:rPr>
                <w:rFonts w:eastAsia="Times New Roman"/>
                <w:color w:val="000000"/>
                <w:sz w:val="18"/>
                <w:szCs w:val="18"/>
              </w:rPr>
              <w:t>**</w:t>
            </w:r>
          </w:p>
        </w:tc>
      </w:tr>
      <w:tr w:rsidR="00000000">
        <w:trPr>
          <w:divId w:val="640421971"/>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Non-interest expense</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5,312</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4,711</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4,159 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13</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13 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640421971"/>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Income from continuing operations before income taxes</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2,949</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4,812</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1,792 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(39)</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169 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640421971"/>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Income tax provision</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699</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1,136</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425 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(38)</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167 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640421971"/>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Income from continuing operations, net of tax</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2,250</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3,676</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1,367 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(39)</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169 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640421971"/>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18"/>
                <w:szCs w:val="18"/>
              </w:rPr>
              <w:t>Selected performance metrics:</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640421971"/>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Average loans held for investment:</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640421971"/>
        </w:trPr>
        <w:tc>
          <w:tcPr>
            <w:tcW w:w="0" w:type="auto"/>
            <w:gridSpan w:val="3"/>
            <w:shd w:val="clear" w:color="auto" w:fill="FFFFFF"/>
            <w:tcMar>
              <w:top w:w="30" w:type="dxa"/>
              <w:left w:w="245"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Auto</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2"/>
            <w:shd w:val="clear" w:color="auto" w:fill="FFFF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78,772</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71,108</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63,227 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11</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12 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640421971"/>
        </w:trPr>
        <w:tc>
          <w:tcPr>
            <w:tcW w:w="0" w:type="auto"/>
            <w:gridSpan w:val="3"/>
            <w:shd w:val="clear" w:color="auto" w:fill="CCEEFF"/>
            <w:tcMar>
              <w:top w:w="30" w:type="dxa"/>
              <w:left w:w="245"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Retail banking</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1,663</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2,765</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3,072 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(40)</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(10)</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640421971"/>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Total consumer banking</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80,435</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73,873</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66,299 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9</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11 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640421971"/>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divId w:val="939408816"/>
              <w:rPr>
                <w:rFonts w:eastAsia="Times New Roman"/>
              </w:rPr>
            </w:pPr>
            <w:r>
              <w:rPr>
                <w:rFonts w:eastAsia="Times New Roman"/>
                <w:color w:val="000000"/>
                <w:sz w:val="18"/>
                <w:szCs w:val="18"/>
              </w:rPr>
              <w:t>Average yield on loans held for investmen</w:t>
            </w:r>
            <w:r>
              <w:rPr>
                <w:rFonts w:eastAsia="Times New Roman"/>
                <w:color w:val="000000"/>
                <w:sz w:val="18"/>
                <w:szCs w:val="18"/>
              </w:rPr>
              <w:t>t</w:t>
            </w:r>
            <w:r>
              <w:rPr>
                <w:rFonts w:eastAsia="Times New Roman"/>
                <w:color w:val="000000"/>
                <w:sz w:val="12"/>
                <w:szCs w:val="12"/>
              </w:rPr>
              <w:t>(1</w:t>
            </w:r>
            <w:r>
              <w:rPr>
                <w:rFonts w:eastAsia="Times New Roman"/>
                <w:color w:val="000000"/>
                <w:sz w:val="12"/>
                <w:szCs w:val="12"/>
              </w:rPr>
              <w:t>)</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7.19</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7.86%</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8.37%</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(67)</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8"/>
                <w:szCs w:val="18"/>
              </w:rPr>
              <w:t>bps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(51)</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8"/>
                <w:szCs w:val="18"/>
              </w:rPr>
              <w:t>bps</w:t>
            </w:r>
          </w:p>
        </w:tc>
      </w:tr>
      <w:tr w:rsidR="00000000">
        <w:trPr>
          <w:divId w:val="640421971"/>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Average deposits</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2"/>
            <w:shd w:val="clear" w:color="auto" w:fill="FFFF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257,089</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251,676</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236,369</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2%</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6%</w:t>
            </w:r>
          </w:p>
        </w:tc>
      </w:tr>
      <w:tr w:rsidR="00000000">
        <w:trPr>
          <w:divId w:val="640421971"/>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Average deposits interest rate</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0.72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0.32 </w:t>
            </w:r>
          </w:p>
        </w:tc>
        <w:tc>
          <w:tcPr>
            <w:tcW w:w="0" w:type="auto"/>
            <w:shd w:val="clear" w:color="auto" w:fill="CCEEFF"/>
            <w:tcMar>
              <w:top w:w="30" w:type="dxa"/>
              <w:left w:w="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0.76 </w:t>
            </w:r>
          </w:p>
        </w:tc>
        <w:tc>
          <w:tcPr>
            <w:tcW w:w="0" w:type="auto"/>
            <w:shd w:val="clear" w:color="auto" w:fill="CCEEFF"/>
            <w:tcMar>
              <w:top w:w="30" w:type="dxa"/>
              <w:left w:w="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40bps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(44)</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8"/>
                <w:szCs w:val="18"/>
              </w:rPr>
              <w:t>bps</w:t>
            </w:r>
          </w:p>
        </w:tc>
      </w:tr>
      <w:tr w:rsidR="00000000">
        <w:trPr>
          <w:divId w:val="640421971"/>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Net charge-offs</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2"/>
            <w:shd w:val="clear" w:color="auto" w:fill="FFFFFF"/>
            <w:tcMar>
              <w:top w:w="30" w:type="dxa"/>
              <w:left w:w="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854</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276 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578 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(52)%</w:t>
            </w:r>
          </w:p>
        </w:tc>
      </w:tr>
      <w:tr w:rsidR="00000000">
        <w:trPr>
          <w:divId w:val="640421971"/>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Net charge-off rate</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1.06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0.37 </w:t>
            </w:r>
          </w:p>
        </w:tc>
        <w:tc>
          <w:tcPr>
            <w:tcW w:w="0" w:type="auto"/>
            <w:shd w:val="clear" w:color="auto" w:fill="CCEEFF"/>
            <w:tcMar>
              <w:top w:w="30" w:type="dxa"/>
              <w:left w:w="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0.87 </w:t>
            </w:r>
          </w:p>
        </w:tc>
        <w:tc>
          <w:tcPr>
            <w:tcW w:w="0" w:type="auto"/>
            <w:shd w:val="clear" w:color="auto" w:fill="CCEEFF"/>
            <w:tcMar>
              <w:top w:w="30" w:type="dxa"/>
              <w:left w:w="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69bps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(50)</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8"/>
                <w:szCs w:val="18"/>
              </w:rPr>
              <w:t>bps</w:t>
            </w:r>
          </w:p>
        </w:tc>
      </w:tr>
      <w:tr w:rsidR="00000000">
        <w:trPr>
          <w:divId w:val="640421971"/>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Auto loan originations</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2"/>
            <w:shd w:val="clear" w:color="auto" w:fill="FFFF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36,965</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43,083</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32,282 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(14)%</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33%</w:t>
            </w:r>
          </w:p>
        </w:tc>
      </w:tr>
      <w:tr w:rsidR="00000000">
        <w:trPr>
          <w:divId w:val="640421971"/>
          <w:trHeight w:val="240"/>
        </w:trPr>
        <w:tc>
          <w:tcPr>
            <w:tcW w:w="0" w:type="auto"/>
            <w:gridSpan w:val="3"/>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640421971"/>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8"/>
                <w:szCs w:val="18"/>
              </w:rPr>
              <w:t>(Dollars in millions, except as noted)</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rPr>
              <w:t>December 31, 2022</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rPr>
              <w:t>December 31, 2021</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rPr>
              <w:t>Change</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640421971"/>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18"/>
                <w:szCs w:val="18"/>
              </w:rPr>
              <w:t>Selected period-end data:</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640421971"/>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Loans held for investment:</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640421971"/>
        </w:trPr>
        <w:tc>
          <w:tcPr>
            <w:tcW w:w="0" w:type="auto"/>
            <w:gridSpan w:val="3"/>
            <w:shd w:val="clear" w:color="auto" w:fill="CCEEFF"/>
            <w:tcMar>
              <w:top w:w="30" w:type="dxa"/>
              <w:left w:w="245"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Auto</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2"/>
            <w:shd w:val="clear" w:color="auto" w:fill="CCEE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78,373</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2"/>
            <w:shd w:val="clear" w:color="auto" w:fill="CCEE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75,779</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3%</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640421971"/>
        </w:trPr>
        <w:tc>
          <w:tcPr>
            <w:tcW w:w="0" w:type="auto"/>
            <w:gridSpan w:val="3"/>
            <w:shd w:val="clear" w:color="auto" w:fill="FFFFFF"/>
            <w:tcMar>
              <w:top w:w="30" w:type="dxa"/>
              <w:left w:w="245"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Retail banking</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1,552</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1,867</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380" w:type="dxa"/>
            </w:tcMar>
            <w:vAlign w:val="bottom"/>
            <w:hideMark/>
          </w:tcPr>
          <w:p w:rsidR="00000000" w:rsidRDefault="0094004B">
            <w:pPr>
              <w:spacing w:after="100"/>
              <w:jc w:val="right"/>
              <w:rPr>
                <w:rFonts w:eastAsia="Times New Roman"/>
              </w:rPr>
            </w:pPr>
            <w:r>
              <w:rPr>
                <w:rFonts w:eastAsia="Times New Roman"/>
                <w:color w:val="000000"/>
                <w:sz w:val="18"/>
                <w:szCs w:val="18"/>
              </w:rPr>
              <w:t>(17)</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640421971"/>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Total consumer banking</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79,925</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77,646</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380" w:type="dxa"/>
            </w:tcMar>
            <w:vAlign w:val="bottom"/>
            <w:hideMark/>
          </w:tcPr>
          <w:p w:rsidR="00000000" w:rsidRDefault="0094004B">
            <w:pPr>
              <w:spacing w:after="100"/>
              <w:jc w:val="right"/>
              <w:rPr>
                <w:rFonts w:eastAsia="Times New Roman"/>
              </w:rPr>
            </w:pPr>
            <w:r>
              <w:rPr>
                <w:rFonts w:eastAsia="Times New Roman"/>
                <w:color w:val="000000"/>
                <w:sz w:val="18"/>
                <w:szCs w:val="18"/>
              </w:rPr>
              <w:t>3</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640421971"/>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30+ day performing delinquency rate</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5.53</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4.26 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127bps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640421971"/>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30+ day delinquency rate</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6.18</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4.66</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380" w:type="dxa"/>
            </w:tcMar>
            <w:vAlign w:val="bottom"/>
            <w:hideMark/>
          </w:tcPr>
          <w:p w:rsidR="00000000" w:rsidRDefault="0094004B">
            <w:pPr>
              <w:spacing w:after="100"/>
              <w:jc w:val="right"/>
              <w:rPr>
                <w:rFonts w:eastAsia="Times New Roman"/>
              </w:rPr>
            </w:pPr>
            <w:r>
              <w:rPr>
                <w:rFonts w:eastAsia="Times New Roman"/>
                <w:color w:val="000000"/>
                <w:sz w:val="18"/>
                <w:szCs w:val="18"/>
              </w:rPr>
              <w:t>152</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640421971"/>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Nonperforming loan rate</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0.79</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0.50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380" w:type="dxa"/>
            </w:tcMar>
            <w:vAlign w:val="bottom"/>
            <w:hideMark/>
          </w:tcPr>
          <w:p w:rsidR="00000000" w:rsidRDefault="0094004B">
            <w:pPr>
              <w:spacing w:after="100"/>
              <w:jc w:val="right"/>
              <w:rPr>
                <w:rFonts w:eastAsia="Times New Roman"/>
              </w:rPr>
            </w:pPr>
            <w:r>
              <w:rPr>
                <w:rFonts w:eastAsia="Times New Roman"/>
                <w:color w:val="000000"/>
                <w:sz w:val="18"/>
                <w:szCs w:val="18"/>
              </w:rPr>
              <w:t>29</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640421971"/>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divId w:val="765926473"/>
              <w:rPr>
                <w:rFonts w:eastAsia="Times New Roman"/>
              </w:rPr>
            </w:pPr>
            <w:r>
              <w:rPr>
                <w:rFonts w:eastAsia="Times New Roman"/>
                <w:color w:val="000000"/>
                <w:sz w:val="18"/>
                <w:szCs w:val="18"/>
              </w:rPr>
              <w:t>Nonperforming asset rat</w:t>
            </w:r>
            <w:r>
              <w:rPr>
                <w:rFonts w:eastAsia="Times New Roman"/>
                <w:color w:val="000000"/>
                <w:sz w:val="18"/>
                <w:szCs w:val="18"/>
              </w:rPr>
              <w:t>e</w:t>
            </w:r>
            <w:r>
              <w:rPr>
                <w:rFonts w:eastAsia="Times New Roman"/>
                <w:color w:val="000000"/>
                <w:sz w:val="12"/>
                <w:szCs w:val="12"/>
              </w:rPr>
              <w:t>(2</w:t>
            </w:r>
            <w:r>
              <w:rPr>
                <w:rFonts w:eastAsia="Times New Roman"/>
                <w:color w:val="000000"/>
                <w:sz w:val="12"/>
                <w:szCs w:val="12"/>
              </w:rPr>
              <w:t>)</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0.87</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0.56</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380" w:type="dxa"/>
            </w:tcMar>
            <w:vAlign w:val="bottom"/>
            <w:hideMark/>
          </w:tcPr>
          <w:p w:rsidR="00000000" w:rsidRDefault="0094004B">
            <w:pPr>
              <w:spacing w:after="100"/>
              <w:jc w:val="right"/>
              <w:rPr>
                <w:rFonts w:eastAsia="Times New Roman"/>
              </w:rPr>
            </w:pPr>
            <w:r>
              <w:rPr>
                <w:rFonts w:eastAsia="Times New Roman"/>
                <w:color w:val="000000"/>
                <w:sz w:val="18"/>
                <w:szCs w:val="18"/>
              </w:rPr>
              <w:t>31</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640421971"/>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Allowance for credit losses</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2"/>
            <w:shd w:val="clear" w:color="auto" w:fill="FFFFFF"/>
            <w:tcMar>
              <w:top w:w="30" w:type="dxa"/>
              <w:left w:w="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2,237</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1,918</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17%</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640421971"/>
        </w:trPr>
        <w:tc>
          <w:tcPr>
            <w:tcW w:w="0" w:type="auto"/>
            <w:gridSpan w:val="3"/>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640421971"/>
        </w:trPr>
        <w:tc>
          <w:tcPr>
            <w:tcW w:w="0" w:type="auto"/>
            <w:gridSpan w:val="3"/>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640421971"/>
        </w:trPr>
        <w:tc>
          <w:tcPr>
            <w:tcW w:w="0" w:type="auto"/>
            <w:gridSpan w:val="3"/>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640421971"/>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Allowance coverage ratio</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2.80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2.47 </w:t>
            </w:r>
          </w:p>
        </w:tc>
        <w:tc>
          <w:tcPr>
            <w:tcW w:w="0" w:type="auto"/>
            <w:shd w:val="clear" w:color="auto" w:fill="CCEEFF"/>
            <w:tcMar>
              <w:top w:w="30" w:type="dxa"/>
              <w:left w:w="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33bps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640421971"/>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Deposits</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2"/>
            <w:shd w:val="clear" w:color="auto" w:fill="FFFF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270,592</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256,407</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380" w:type="dxa"/>
            </w:tcMar>
            <w:vAlign w:val="bottom"/>
            <w:hideMark/>
          </w:tcPr>
          <w:p w:rsidR="00000000" w:rsidRDefault="0094004B">
            <w:pPr>
              <w:spacing w:after="100"/>
              <w:jc w:val="right"/>
              <w:rPr>
                <w:rFonts w:eastAsia="Times New Roman"/>
              </w:rPr>
            </w:pPr>
            <w:r>
              <w:rPr>
                <w:rFonts w:eastAsia="Times New Roman"/>
                <w:color w:val="000000"/>
                <w:sz w:val="18"/>
                <w:szCs w:val="18"/>
              </w:rPr>
              <w:t>6%</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bl>
    <w:p w:rsidR="00000000" w:rsidRDefault="0094004B">
      <w:pPr>
        <w:divId w:val="640421971"/>
        <w:rPr>
          <w:rFonts w:eastAsia="Times New Roman"/>
        </w:rPr>
      </w:pPr>
      <w:r>
        <w:rPr>
          <w:rFonts w:eastAsia="Times New Roman"/>
          <w:color w:val="000000"/>
          <w:sz w:val="20"/>
          <w:szCs w:val="20"/>
        </w:rPr>
        <w:t>__________</w:t>
      </w:r>
    </w:p>
    <w:p w:rsidR="00000000" w:rsidRDefault="0094004B">
      <w:pPr>
        <w:ind w:hanging="360"/>
        <w:jc w:val="both"/>
        <w:divId w:val="1023481733"/>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Average yield is calculated based on interest income for the period divided by average loans during the period and does not include any allocations, such as funds transfer pricing.</w:t>
      </w:r>
    </w:p>
    <w:p w:rsidR="00000000" w:rsidRDefault="0094004B">
      <w:pPr>
        <w:ind w:hanging="360"/>
        <w:jc w:val="both"/>
        <w:divId w:val="1444685198"/>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Nonperforming assets primarily consist of nonperforming loans and repossessed assets. The total nonperforming asset rate is calculated based on total nonperforming assets divided by the combined period-end total loans held for investment and repossessed</w:t>
      </w:r>
      <w:r>
        <w:rPr>
          <w:rFonts w:eastAsia="Times New Roman"/>
          <w:color w:val="000000"/>
          <w:sz w:val="16"/>
          <w:szCs w:val="16"/>
        </w:rPr>
        <w:t xml:space="preserve"> assets. </w:t>
      </w:r>
    </w:p>
    <w:p w:rsidR="00000000" w:rsidRDefault="0094004B">
      <w:pPr>
        <w:ind w:hanging="360"/>
        <w:jc w:val="both"/>
        <w:divId w:val="1040280064"/>
        <w:rPr>
          <w:rFonts w:eastAsia="Times New Roman"/>
        </w:rPr>
      </w:pPr>
      <w:r>
        <w:rPr>
          <w:rFonts w:eastAsia="Times New Roman"/>
          <w:color w:val="000000"/>
          <w:sz w:val="16"/>
          <w:szCs w:val="16"/>
        </w:rPr>
        <w:t>**    Not meaningful.</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25129434"/>
          <w:jc w:val="center"/>
        </w:trPr>
        <w:tc>
          <w:tcPr>
            <w:tcW w:w="50" w:type="pct"/>
            <w:vAlign w:val="center"/>
            <w:hideMark/>
          </w:tcPr>
          <w:p w:rsidR="00000000" w:rsidRDefault="0094004B">
            <w:pPr>
              <w:ind w:hanging="360"/>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25129434"/>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25129434"/>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61</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087" style="width:0;height:1.5pt" o:hralign="center" o:hrstd="t" o:hr="t" fillcolor="#a0a0a0" stroked="f"/>
        </w:pict>
      </w:r>
    </w:p>
    <w:p w:rsidR="00000000" w:rsidRDefault="0094004B">
      <w:pPr>
        <w:ind w:hanging="360"/>
        <w:jc w:val="both"/>
        <w:divId w:val="51735017"/>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both"/>
        <w:divId w:val="976883160"/>
        <w:rPr>
          <w:rFonts w:eastAsia="Times New Roman"/>
        </w:rPr>
      </w:pPr>
      <w:r>
        <w:rPr>
          <w:rFonts w:eastAsia="Times New Roman"/>
          <w:color w:val="000000"/>
          <w:sz w:val="20"/>
          <w:szCs w:val="20"/>
        </w:rPr>
        <w:t>Key factors affecting the results of our Consumer Banking business for 2022 compared to 2021, and changes in financial condition and credit per</w:t>
      </w:r>
      <w:r>
        <w:rPr>
          <w:rFonts w:eastAsia="Times New Roman"/>
          <w:color w:val="000000"/>
          <w:sz w:val="20"/>
          <w:szCs w:val="20"/>
        </w:rPr>
        <w:t>formance between December 31, 2022 and 2021 include the following:</w:t>
      </w:r>
    </w:p>
    <w:p w:rsidR="00000000" w:rsidRDefault="0094004B">
      <w:pPr>
        <w:ind w:hanging="360"/>
        <w:jc w:val="both"/>
        <w:divId w:val="908614803"/>
        <w:rPr>
          <w:rFonts w:eastAsia="Times New Roman"/>
        </w:rPr>
      </w:pPr>
      <w:r>
        <w:rPr>
          <w:rFonts w:eastAsia="Times New Roman"/>
          <w:color w:val="000000"/>
          <w:sz w:val="20"/>
          <w:szCs w:val="20"/>
        </w:rPr>
        <w:t>•</w:t>
      </w:r>
      <w:r>
        <w:rPr>
          <w:rFonts w:eastAsia="Times New Roman"/>
          <w:i/>
          <w:iCs/>
          <w:color w:val="000000"/>
          <w:sz w:val="20"/>
          <w:szCs w:val="20"/>
        </w:rPr>
        <w:t>Net Interest Income: </w:t>
      </w:r>
      <w:r>
        <w:rPr>
          <w:rFonts w:eastAsia="Times New Roman"/>
          <w:color w:val="000000"/>
          <w:sz w:val="20"/>
          <w:szCs w:val="20"/>
        </w:rPr>
        <w:t>Net interest income increased by $517 million to $9.0 billion in 2022 primarily driven by higher margins in our retail banking business due to the increases in interes</w:t>
      </w:r>
      <w:r>
        <w:rPr>
          <w:rFonts w:eastAsia="Times New Roman"/>
          <w:color w:val="000000"/>
          <w:sz w:val="20"/>
          <w:szCs w:val="20"/>
        </w:rPr>
        <w:t xml:space="preserve">t rates, partially offset by lower margins in our auto business. </w:t>
      </w:r>
    </w:p>
    <w:p w:rsidR="00000000" w:rsidRDefault="0094004B">
      <w:pPr>
        <w:ind w:hanging="360"/>
        <w:jc w:val="both"/>
        <w:divId w:val="674845999"/>
        <w:rPr>
          <w:rFonts w:eastAsia="Times New Roman"/>
        </w:rPr>
      </w:pPr>
      <w:r>
        <w:rPr>
          <w:rFonts w:eastAsia="Times New Roman"/>
          <w:color w:val="000000"/>
          <w:sz w:val="20"/>
          <w:szCs w:val="20"/>
        </w:rPr>
        <w:t>•</w:t>
      </w:r>
      <w:r>
        <w:rPr>
          <w:rFonts w:eastAsia="Times New Roman"/>
          <w:i/>
          <w:iCs/>
          <w:color w:val="000000"/>
          <w:sz w:val="20"/>
          <w:szCs w:val="20"/>
        </w:rPr>
        <w:t>Non-Interest Income:</w:t>
      </w:r>
      <w:r>
        <w:rPr>
          <w:rFonts w:eastAsia="Times New Roman"/>
          <w:color w:val="000000"/>
          <w:sz w:val="20"/>
          <w:szCs w:val="20"/>
        </w:rPr>
        <w:t xml:space="preserve"> Non-interest income decreased by $85 million to $469 million in 2022 primarily driven by changes to our customer overdraft and non-sufficient funds policies in our reta</w:t>
      </w:r>
      <w:r>
        <w:rPr>
          <w:rFonts w:eastAsia="Times New Roman"/>
          <w:color w:val="000000"/>
          <w:sz w:val="20"/>
          <w:szCs w:val="20"/>
        </w:rPr>
        <w:t xml:space="preserve">il banking business. </w:t>
      </w:r>
    </w:p>
    <w:p w:rsidR="00000000" w:rsidRDefault="0094004B">
      <w:pPr>
        <w:ind w:hanging="360"/>
        <w:jc w:val="both"/>
        <w:divId w:val="5602376"/>
        <w:rPr>
          <w:rFonts w:eastAsia="Times New Roman"/>
        </w:rPr>
      </w:pPr>
      <w:r>
        <w:rPr>
          <w:rFonts w:eastAsia="Times New Roman"/>
          <w:i/>
          <w:iCs/>
          <w:color w:val="000000"/>
          <w:sz w:val="18"/>
          <w:szCs w:val="18"/>
        </w:rPr>
        <w:t>•</w:t>
      </w:r>
      <w:r>
        <w:rPr>
          <w:rFonts w:eastAsia="Times New Roman"/>
          <w:i/>
          <w:iCs/>
          <w:color w:val="000000"/>
          <w:sz w:val="20"/>
          <w:szCs w:val="20"/>
        </w:rPr>
        <w:t xml:space="preserve">Provision for Credit Losses: </w:t>
      </w:r>
      <w:r>
        <w:rPr>
          <w:rFonts w:eastAsia="Times New Roman"/>
          <w:color w:val="000000"/>
          <w:sz w:val="20"/>
          <w:szCs w:val="20"/>
        </w:rPr>
        <w:t>Provision for credit losses increased by $1.7 billion to $1.2 billion in 2022 primarily driven by a net allowance build due to credit normalization, a modestly worse economic outlook and loan growth, comp</w:t>
      </w:r>
      <w:r>
        <w:rPr>
          <w:rFonts w:eastAsia="Times New Roman"/>
          <w:color w:val="000000"/>
          <w:sz w:val="20"/>
          <w:szCs w:val="20"/>
        </w:rPr>
        <w:t xml:space="preserve">ared to a net allowance release in 2021. </w:t>
      </w:r>
    </w:p>
    <w:p w:rsidR="00000000" w:rsidRDefault="0094004B">
      <w:pPr>
        <w:ind w:hanging="360"/>
        <w:jc w:val="both"/>
        <w:divId w:val="143205813"/>
        <w:rPr>
          <w:rFonts w:eastAsia="Times New Roman"/>
        </w:rPr>
      </w:pPr>
      <w:r>
        <w:rPr>
          <w:rFonts w:eastAsia="Times New Roman"/>
          <w:i/>
          <w:iCs/>
          <w:color w:val="000000"/>
          <w:sz w:val="18"/>
          <w:szCs w:val="18"/>
        </w:rPr>
        <w:t>•</w:t>
      </w:r>
      <w:r>
        <w:rPr>
          <w:rFonts w:eastAsia="Times New Roman"/>
          <w:i/>
          <w:iCs/>
          <w:color w:val="000000"/>
          <w:sz w:val="20"/>
          <w:szCs w:val="20"/>
        </w:rPr>
        <w:t>Non-Interest Expense:</w:t>
      </w:r>
      <w:r>
        <w:rPr>
          <w:rFonts w:eastAsia="Times New Roman"/>
          <w:color w:val="000000"/>
          <w:sz w:val="20"/>
          <w:szCs w:val="20"/>
        </w:rPr>
        <w:t xml:space="preserve"> Non-interest expense increased by $601 million to $5.3 billion in 2022 primarily driven by continued investment in technology and increased marketing spend in our retail banking business. </w:t>
      </w:r>
    </w:p>
    <w:p w:rsidR="00000000" w:rsidRDefault="0094004B">
      <w:pPr>
        <w:jc w:val="both"/>
        <w:divId w:val="535629099"/>
        <w:rPr>
          <w:rFonts w:eastAsia="Times New Roman"/>
        </w:rPr>
      </w:pPr>
      <w:r>
        <w:rPr>
          <w:rFonts w:eastAsia="Times New Roman"/>
          <w:i/>
          <w:iCs/>
          <w:color w:val="000000"/>
          <w:sz w:val="20"/>
          <w:szCs w:val="20"/>
        </w:rPr>
        <w:t>Lo</w:t>
      </w:r>
      <w:r>
        <w:rPr>
          <w:rFonts w:eastAsia="Times New Roman"/>
          <w:i/>
          <w:iCs/>
          <w:color w:val="000000"/>
          <w:sz w:val="20"/>
          <w:szCs w:val="20"/>
        </w:rPr>
        <w:t>ans Held for Investment:</w:t>
      </w:r>
      <w:r>
        <w:rPr>
          <w:rFonts w:eastAsia="Times New Roman"/>
          <w:color w:val="000000"/>
          <w:sz w:val="20"/>
          <w:szCs w:val="20"/>
        </w:rPr>
        <w:t> </w:t>
      </w:r>
    </w:p>
    <w:p w:rsidR="00000000" w:rsidRDefault="0094004B">
      <w:pPr>
        <w:ind w:hanging="360"/>
        <w:jc w:val="both"/>
        <w:divId w:val="1203709776"/>
        <w:rPr>
          <w:rFonts w:eastAsia="Times New Roman"/>
        </w:rPr>
      </w:pPr>
      <w:r>
        <w:rPr>
          <w:rFonts w:eastAsia="Times New Roman"/>
          <w:color w:val="000000"/>
          <w:sz w:val="20"/>
          <w:szCs w:val="20"/>
        </w:rPr>
        <w:t>•Period-end loans held for investment increased by $2.3 billion to $79.9 billion as of December 31, 2022 from December 31, 2021 and average loans held for investment increased by $6.6 billion to $80.4 billion in 2022 compared to 2</w:t>
      </w:r>
      <w:r>
        <w:rPr>
          <w:rFonts w:eastAsia="Times New Roman"/>
          <w:color w:val="000000"/>
          <w:sz w:val="20"/>
          <w:szCs w:val="20"/>
        </w:rPr>
        <w:t>021 primarily driven by growth in our auto loan portfolio.</w:t>
      </w:r>
    </w:p>
    <w:p w:rsidR="00000000" w:rsidRDefault="0094004B">
      <w:pPr>
        <w:jc w:val="both"/>
        <w:divId w:val="1100375637"/>
        <w:rPr>
          <w:rFonts w:eastAsia="Times New Roman"/>
        </w:rPr>
      </w:pPr>
      <w:r>
        <w:rPr>
          <w:rFonts w:eastAsia="Times New Roman"/>
          <w:color w:val="000000"/>
          <w:sz w:val="20"/>
          <w:szCs w:val="20"/>
        </w:rPr>
        <w:t>Deposits: </w:t>
      </w:r>
    </w:p>
    <w:p w:rsidR="00000000" w:rsidRDefault="0094004B">
      <w:pPr>
        <w:ind w:hanging="360"/>
        <w:jc w:val="both"/>
        <w:divId w:val="1885094015"/>
        <w:rPr>
          <w:rFonts w:eastAsia="Times New Roman"/>
        </w:rPr>
      </w:pPr>
      <w:r>
        <w:rPr>
          <w:rFonts w:eastAsia="Times New Roman"/>
          <w:color w:val="000000"/>
          <w:sz w:val="20"/>
          <w:szCs w:val="20"/>
        </w:rPr>
        <w:t>•Period-end deposits increased by $14.2 billion at $270.6 billion as of December 31, 2022 from December 31, 2021 primarily driven by our national banking strategy.</w:t>
      </w:r>
    </w:p>
    <w:p w:rsidR="00000000" w:rsidRDefault="0094004B">
      <w:pPr>
        <w:jc w:val="both"/>
        <w:divId w:val="1728187218"/>
        <w:rPr>
          <w:rFonts w:eastAsia="Times New Roman"/>
        </w:rPr>
      </w:pPr>
      <w:r>
        <w:rPr>
          <w:rFonts w:eastAsia="Times New Roman"/>
          <w:i/>
          <w:iCs/>
          <w:color w:val="000000"/>
          <w:sz w:val="20"/>
          <w:szCs w:val="20"/>
        </w:rPr>
        <w:t>Net Charge-Off and Del</w:t>
      </w:r>
      <w:r>
        <w:rPr>
          <w:rFonts w:eastAsia="Times New Roman"/>
          <w:i/>
          <w:iCs/>
          <w:color w:val="000000"/>
          <w:sz w:val="20"/>
          <w:szCs w:val="20"/>
        </w:rPr>
        <w:t>inquency Metrics:</w:t>
      </w:r>
      <w:r>
        <w:rPr>
          <w:rFonts w:eastAsia="Times New Roman"/>
          <w:color w:val="000000"/>
          <w:sz w:val="20"/>
          <w:szCs w:val="20"/>
        </w:rPr>
        <w:t> </w:t>
      </w:r>
    </w:p>
    <w:p w:rsidR="00000000" w:rsidRDefault="0094004B">
      <w:pPr>
        <w:ind w:hanging="360"/>
        <w:jc w:val="both"/>
        <w:divId w:val="1382553400"/>
        <w:rPr>
          <w:rFonts w:eastAsia="Times New Roman"/>
        </w:rPr>
      </w:pPr>
      <w:r>
        <w:rPr>
          <w:rFonts w:eastAsia="Times New Roman"/>
          <w:i/>
          <w:iCs/>
          <w:color w:val="000000"/>
          <w:sz w:val="18"/>
          <w:szCs w:val="18"/>
        </w:rPr>
        <w:t>•</w:t>
      </w:r>
      <w:r>
        <w:rPr>
          <w:rFonts w:eastAsia="Times New Roman"/>
          <w:color w:val="000000"/>
          <w:sz w:val="20"/>
          <w:szCs w:val="20"/>
        </w:rPr>
        <w:t>The net charge-off rate increased by 69 basis points to 1.06% in 2022 compared to 2021 primarily driven by continued credit normalization in our auto loan portfolio.</w:t>
      </w:r>
    </w:p>
    <w:p w:rsidR="00000000" w:rsidRDefault="0094004B">
      <w:pPr>
        <w:ind w:hanging="360"/>
        <w:jc w:val="both"/>
        <w:divId w:val="1325281045"/>
        <w:rPr>
          <w:rFonts w:eastAsia="Times New Roman"/>
        </w:rPr>
      </w:pPr>
      <w:r>
        <w:rPr>
          <w:rFonts w:eastAsia="Times New Roman"/>
          <w:color w:val="000000"/>
          <w:sz w:val="20"/>
          <w:szCs w:val="20"/>
        </w:rPr>
        <w:t>•</w:t>
      </w:r>
      <w:r>
        <w:rPr>
          <w:rFonts w:eastAsia="Times New Roman"/>
          <w:color w:val="000000"/>
          <w:sz w:val="20"/>
          <w:szCs w:val="20"/>
        </w:rPr>
        <w:t>The 30+ day delinquency rate increased by 152 basis points to 6.18% as of December 31, 2022 from December 31, 2021 primarily driven by continued credit normalization in our auto loan portfolio.</w:t>
      </w:r>
    </w:p>
    <w:p w:rsidR="00000000" w:rsidRDefault="0094004B">
      <w:pPr>
        <w:divId w:val="1233008391"/>
        <w:rPr>
          <w:rFonts w:eastAsia="Times New Roman"/>
        </w:rPr>
      </w:pPr>
      <w:r>
        <w:rPr>
          <w:rFonts w:eastAsia="Times New Roman"/>
          <w:b/>
          <w:bCs/>
          <w:color w:val="000000"/>
          <w:sz w:val="20"/>
          <w:szCs w:val="20"/>
        </w:rPr>
        <w:t>Commercial Banking Business</w:t>
      </w:r>
    </w:p>
    <w:p w:rsidR="00000000" w:rsidRDefault="0094004B">
      <w:pPr>
        <w:jc w:val="both"/>
        <w:divId w:val="815226328"/>
        <w:rPr>
          <w:rFonts w:eastAsia="Times New Roman"/>
        </w:rPr>
      </w:pPr>
      <w:r>
        <w:rPr>
          <w:rFonts w:eastAsia="Times New Roman"/>
          <w:color w:val="000000"/>
          <w:sz w:val="20"/>
          <w:szCs w:val="20"/>
        </w:rPr>
        <w:t>The primary sources of revenue for</w:t>
      </w:r>
      <w:r>
        <w:rPr>
          <w:rFonts w:eastAsia="Times New Roman"/>
          <w:color w:val="000000"/>
          <w:sz w:val="20"/>
          <w:szCs w:val="20"/>
        </w:rPr>
        <w:t xml:space="preserve"> our Commercial Banking business are net interest income from loans and deposits and non-interest income earned from products and services provided to our clients such as advisory services, capital markets and treasury management. Because our Commercial Ba</w:t>
      </w:r>
      <w:r>
        <w:rPr>
          <w:rFonts w:eastAsia="Times New Roman"/>
          <w:color w:val="000000"/>
          <w:sz w:val="20"/>
          <w:szCs w:val="20"/>
        </w:rPr>
        <w:t>nking business has loans and investments that generate tax-exempt income, tax credits or other tax benefits, we present the revenues on a taxable-equivalent basis. Expenses primarily consist of the provision for credit losses and operating costs.</w:t>
      </w:r>
    </w:p>
    <w:p w:rsidR="00000000" w:rsidRDefault="0094004B">
      <w:pPr>
        <w:jc w:val="both"/>
        <w:divId w:val="1518083328"/>
        <w:rPr>
          <w:rFonts w:eastAsia="Times New Roman"/>
        </w:rPr>
      </w:pPr>
      <w:r>
        <w:rPr>
          <w:rFonts w:eastAsia="Times New Roman"/>
          <w:color w:val="000000"/>
          <w:sz w:val="20"/>
          <w:szCs w:val="20"/>
        </w:rPr>
        <w:t>Our Comme</w:t>
      </w:r>
      <w:r>
        <w:rPr>
          <w:rFonts w:eastAsia="Times New Roman"/>
          <w:color w:val="000000"/>
          <w:sz w:val="20"/>
          <w:szCs w:val="20"/>
        </w:rPr>
        <w:t>rcial Banking business generated net income from continuing operations of $843 million, $1.5 billion and $65 million in 2022, 2021 and 2020, respectively.</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613512536"/>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613512536"/>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613512536"/>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62</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088" style="width:0;height:1.5pt" o:hralign="center" o:hrstd="t" o:hr="t" fillcolor="#a0a0a0" stroked="f"/>
        </w:pict>
      </w:r>
    </w:p>
    <w:p w:rsidR="00000000" w:rsidRDefault="0094004B">
      <w:pPr>
        <w:ind w:hanging="360"/>
        <w:jc w:val="both"/>
        <w:divId w:val="181894003"/>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both"/>
        <w:divId w:val="170723185"/>
        <w:rPr>
          <w:rFonts w:eastAsia="Times New Roman"/>
        </w:rPr>
      </w:pPr>
      <w:r>
        <w:rPr>
          <w:rFonts w:eastAsia="Times New Roman"/>
          <w:color w:val="000000"/>
          <w:sz w:val="20"/>
          <w:szCs w:val="20"/>
        </w:rPr>
        <w:t>Table 10 summarizes the financial results of our Commercial Banking business and displays selected key metrics for the periods indicated.</w:t>
      </w:r>
    </w:p>
    <w:p w:rsidR="00000000" w:rsidRDefault="0094004B">
      <w:pPr>
        <w:divId w:val="2053386043"/>
        <w:rPr>
          <w:rFonts w:eastAsia="Times New Roman"/>
        </w:rPr>
      </w:pPr>
      <w:r>
        <w:rPr>
          <w:rFonts w:eastAsia="Times New Roman"/>
          <w:b/>
          <w:bCs/>
          <w:color w:val="000000"/>
          <w:sz w:val="18"/>
          <w:szCs w:val="18"/>
        </w:rPr>
        <w:t>Table</w:t>
      </w:r>
      <w:r>
        <w:rPr>
          <w:rFonts w:eastAsia="Times New Roman"/>
          <w:b/>
          <w:bCs/>
          <w:color w:val="000000"/>
          <w:sz w:val="18"/>
          <w:szCs w:val="18"/>
        </w:rPr>
        <w:t xml:space="preserve"> 10: Commercial Banking Business Results</w:t>
      </w:r>
    </w:p>
    <w:tbl>
      <w:tblPr>
        <w:tblW w:w="5000" w:type="pct"/>
        <w:tblCellMar>
          <w:top w:w="15" w:type="dxa"/>
          <w:left w:w="15" w:type="dxa"/>
          <w:bottom w:w="15" w:type="dxa"/>
          <w:right w:w="15" w:type="dxa"/>
        </w:tblCellMar>
        <w:tblLook w:val="04A0" w:firstRow="1" w:lastRow="0" w:firstColumn="1" w:lastColumn="0" w:noHBand="0" w:noVBand="1"/>
      </w:tblPr>
      <w:tblGrid>
        <w:gridCol w:w="40"/>
        <w:gridCol w:w="2564"/>
        <w:gridCol w:w="39"/>
        <w:gridCol w:w="36"/>
        <w:gridCol w:w="36"/>
        <w:gridCol w:w="46"/>
        <w:gridCol w:w="246"/>
        <w:gridCol w:w="246"/>
        <w:gridCol w:w="246"/>
        <w:gridCol w:w="36"/>
        <w:gridCol w:w="36"/>
        <w:gridCol w:w="36"/>
        <w:gridCol w:w="110"/>
        <w:gridCol w:w="746"/>
        <w:gridCol w:w="202"/>
        <w:gridCol w:w="36"/>
        <w:gridCol w:w="36"/>
        <w:gridCol w:w="36"/>
        <w:gridCol w:w="110"/>
        <w:gridCol w:w="539"/>
        <w:gridCol w:w="170"/>
        <w:gridCol w:w="36"/>
        <w:gridCol w:w="36"/>
        <w:gridCol w:w="36"/>
        <w:gridCol w:w="110"/>
        <w:gridCol w:w="628"/>
        <w:gridCol w:w="271"/>
        <w:gridCol w:w="36"/>
        <w:gridCol w:w="36"/>
        <w:gridCol w:w="36"/>
        <w:gridCol w:w="70"/>
        <w:gridCol w:w="605"/>
        <w:gridCol w:w="39"/>
        <w:gridCol w:w="36"/>
        <w:gridCol w:w="36"/>
        <w:gridCol w:w="36"/>
        <w:gridCol w:w="43"/>
        <w:gridCol w:w="353"/>
        <w:gridCol w:w="271"/>
      </w:tblGrid>
      <w:tr w:rsidR="00000000">
        <w:trPr>
          <w:divId w:val="1322389071"/>
        </w:trPr>
        <w:tc>
          <w:tcPr>
            <w:tcW w:w="50" w:type="pct"/>
            <w:vAlign w:val="center"/>
            <w:hideMark/>
          </w:tcPr>
          <w:p w:rsidR="00000000" w:rsidRDefault="0094004B">
            <w:pPr>
              <w:rPr>
                <w:rFonts w:eastAsia="Times New Roman"/>
              </w:rPr>
            </w:pPr>
          </w:p>
        </w:tc>
        <w:tc>
          <w:tcPr>
            <w:tcW w:w="233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1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3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3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3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3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20"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322389071"/>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 </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rPr>
              <w:t>Year Ended December 31,</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rPr>
              <w:t>Change</w:t>
            </w: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1322389071"/>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8"/>
                <w:szCs w:val="18"/>
              </w:rPr>
              <w:t>(Dollars in millions, except as noted)</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rPr>
              <w:t>2022 vs.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rPr>
              <w:t>2021 vs. 2020</w:t>
            </w:r>
          </w:p>
        </w:tc>
      </w:tr>
      <w:tr w:rsidR="00000000">
        <w:trPr>
          <w:divId w:val="1322389071"/>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18"/>
                <w:szCs w:val="18"/>
              </w:rPr>
              <w:t>Selected income statement data:</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322389071"/>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Net interest income</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2"/>
            <w:shd w:val="clear" w:color="auto" w:fill="FFFF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2,461</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2,153</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2,048</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14%</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5%</w:t>
            </w:r>
          </w:p>
        </w:tc>
      </w:tr>
      <w:tr w:rsidR="00000000">
        <w:trPr>
          <w:divId w:val="1322389071"/>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Non-interest income</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1,129</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1,148</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923</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(2)</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24 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1322389071"/>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divId w:val="2047102630"/>
              <w:rPr>
                <w:rFonts w:eastAsia="Times New Roman"/>
              </w:rPr>
            </w:pPr>
            <w:r>
              <w:rPr>
                <w:rFonts w:eastAsia="Times New Roman"/>
                <w:color w:val="000000"/>
                <w:sz w:val="18"/>
                <w:szCs w:val="18"/>
              </w:rPr>
              <w:t>Total net revenu</w:t>
            </w:r>
            <w:r>
              <w:rPr>
                <w:rFonts w:eastAsia="Times New Roman"/>
                <w:color w:val="000000"/>
                <w:sz w:val="18"/>
                <w:szCs w:val="18"/>
              </w:rPr>
              <w:t>e</w:t>
            </w:r>
            <w:r>
              <w:rPr>
                <w:rFonts w:eastAsia="Times New Roman"/>
                <w:color w:val="000000"/>
                <w:sz w:val="12"/>
                <w:szCs w:val="12"/>
              </w:rPr>
              <w:t>(1</w:t>
            </w:r>
            <w:r>
              <w:rPr>
                <w:rFonts w:eastAsia="Times New Roman"/>
                <w:color w:val="000000"/>
                <w:sz w:val="12"/>
                <w:szCs w:val="12"/>
              </w:rPr>
              <w:t>)</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3,590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3,301</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2,971</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9</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11 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1322389071"/>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divId w:val="1615332572"/>
              <w:rPr>
                <w:rFonts w:eastAsia="Times New Roman"/>
              </w:rPr>
            </w:pPr>
            <w:r>
              <w:rPr>
                <w:rFonts w:eastAsia="Times New Roman"/>
                <w:color w:val="000000"/>
                <w:sz w:val="18"/>
                <w:szCs w:val="18"/>
              </w:rPr>
              <w:t>Provision (benefit) for credit losse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415</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(519)</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1,181</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380" w:type="dxa"/>
            </w:tcMar>
            <w:vAlign w:val="bottom"/>
            <w:hideMark/>
          </w:tcPr>
          <w:p w:rsidR="00000000" w:rsidRDefault="0094004B">
            <w:pPr>
              <w:spacing w:after="100"/>
              <w:jc w:val="right"/>
              <w:rPr>
                <w:rFonts w:eastAsia="Times New Roman"/>
              </w:rPr>
            </w:pPr>
            <w:r>
              <w:rPr>
                <w:rFonts w:eastAsia="Times New Roman"/>
                <w:color w:val="000000"/>
                <w:sz w:val="18"/>
                <w:szCs w:val="18"/>
              </w:rPr>
              <w:t>**</w:t>
            </w:r>
          </w:p>
        </w:tc>
      </w:tr>
      <w:tr w:rsidR="00000000">
        <w:trPr>
          <w:divId w:val="1322389071"/>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Non-interest expense</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2,070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1,815</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1,706</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14</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6 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1322389071"/>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Income from continuing operations before income taxes</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1,105</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2,005</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84</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(45)</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380" w:type="dxa"/>
            </w:tcMar>
            <w:vAlign w:val="bottom"/>
            <w:hideMark/>
          </w:tcPr>
          <w:p w:rsidR="00000000" w:rsidRDefault="0094004B">
            <w:pPr>
              <w:spacing w:after="100"/>
              <w:jc w:val="right"/>
              <w:rPr>
                <w:rFonts w:eastAsia="Times New Roman"/>
              </w:rPr>
            </w:pPr>
            <w:r>
              <w:rPr>
                <w:rFonts w:eastAsia="Times New Roman"/>
                <w:color w:val="000000"/>
                <w:sz w:val="18"/>
                <w:szCs w:val="18"/>
              </w:rPr>
              <w:t>**</w:t>
            </w:r>
          </w:p>
        </w:tc>
      </w:tr>
      <w:tr w:rsidR="00000000">
        <w:trPr>
          <w:divId w:val="1322389071"/>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Income tax provision</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262</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473</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19</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(45)</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380" w:type="dxa"/>
            </w:tcMar>
            <w:vAlign w:val="bottom"/>
            <w:hideMark/>
          </w:tcPr>
          <w:p w:rsidR="00000000" w:rsidRDefault="0094004B">
            <w:pPr>
              <w:spacing w:after="100"/>
              <w:jc w:val="right"/>
              <w:rPr>
                <w:rFonts w:eastAsia="Times New Roman"/>
              </w:rPr>
            </w:pPr>
            <w:r>
              <w:rPr>
                <w:rFonts w:eastAsia="Times New Roman"/>
                <w:color w:val="000000"/>
                <w:sz w:val="18"/>
                <w:szCs w:val="18"/>
              </w:rPr>
              <w:t>**</w:t>
            </w:r>
          </w:p>
        </w:tc>
      </w:tr>
      <w:tr w:rsidR="00000000">
        <w:trPr>
          <w:divId w:val="1322389071"/>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Income from continuing operations, net of tax</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843</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1,532</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65</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(45)</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380" w:type="dxa"/>
            </w:tcMar>
            <w:vAlign w:val="bottom"/>
            <w:hideMark/>
          </w:tcPr>
          <w:p w:rsidR="00000000" w:rsidRDefault="0094004B">
            <w:pPr>
              <w:spacing w:after="100"/>
              <w:jc w:val="right"/>
              <w:rPr>
                <w:rFonts w:eastAsia="Times New Roman"/>
              </w:rPr>
            </w:pPr>
            <w:r>
              <w:rPr>
                <w:rFonts w:eastAsia="Times New Roman"/>
                <w:color w:val="000000"/>
                <w:sz w:val="18"/>
                <w:szCs w:val="18"/>
              </w:rPr>
              <w:t>**</w:t>
            </w:r>
          </w:p>
        </w:tc>
      </w:tr>
      <w:tr w:rsidR="00000000">
        <w:trPr>
          <w:divId w:val="1322389071"/>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18"/>
                <w:szCs w:val="18"/>
              </w:rPr>
              <w:t>Selected performance metrics:</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322389071"/>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Average loans held for investment:</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322389071"/>
        </w:trPr>
        <w:tc>
          <w:tcPr>
            <w:tcW w:w="0" w:type="auto"/>
            <w:gridSpan w:val="3"/>
            <w:shd w:val="clear" w:color="auto" w:fill="FFFFFF"/>
            <w:tcMar>
              <w:top w:w="30" w:type="dxa"/>
              <w:left w:w="245"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Commercial and multifamily real estate</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2"/>
            <w:shd w:val="clear" w:color="auto" w:fill="FFFF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36,639</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30,980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31,135</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18</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1322389071"/>
        </w:trPr>
        <w:tc>
          <w:tcPr>
            <w:tcW w:w="0" w:type="auto"/>
            <w:gridSpan w:val="3"/>
            <w:shd w:val="clear" w:color="auto" w:fill="CCEEFF"/>
            <w:tcMar>
              <w:top w:w="30" w:type="dxa"/>
              <w:left w:w="245"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Commercial and industrial</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54,772</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45,146</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45,819</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21</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1322389071"/>
        </w:trPr>
        <w:tc>
          <w:tcPr>
            <w:tcW w:w="0" w:type="auto"/>
            <w:gridSpan w:val="3"/>
            <w:vAlign w:val="center"/>
            <w:hideMark/>
          </w:tcPr>
          <w:p w:rsidR="00000000" w:rsidRDefault="0094004B">
            <w:pPr>
              <w:spacing w:after="100"/>
              <w:jc w:val="right"/>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322389071"/>
        </w:trPr>
        <w:tc>
          <w:tcPr>
            <w:tcW w:w="0" w:type="auto"/>
            <w:gridSpan w:val="3"/>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322389071"/>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Total commercial banking</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91,411</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76,126</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76,954</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20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1322389071"/>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divId w:val="2084836895"/>
              <w:rPr>
                <w:rFonts w:eastAsia="Times New Roman"/>
              </w:rPr>
            </w:pPr>
            <w:r>
              <w:rPr>
                <w:rFonts w:eastAsia="Times New Roman"/>
                <w:color w:val="000000"/>
                <w:sz w:val="18"/>
                <w:szCs w:val="18"/>
              </w:rPr>
              <w:t>Average yield on loans held for investmen</w:t>
            </w:r>
            <w:r>
              <w:rPr>
                <w:rFonts w:eastAsia="Times New Roman"/>
                <w:color w:val="000000"/>
                <w:sz w:val="18"/>
                <w:szCs w:val="18"/>
              </w:rPr>
              <w:t>t</w:t>
            </w:r>
            <w:r>
              <w:rPr>
                <w:rFonts w:eastAsia="Times New Roman"/>
                <w:color w:val="000000"/>
                <w:sz w:val="12"/>
                <w:szCs w:val="12"/>
              </w:rPr>
              <w:t>(1)(3</w:t>
            </w:r>
            <w:r>
              <w:rPr>
                <w:rFonts w:eastAsia="Times New Roman"/>
                <w:color w:val="000000"/>
                <w:sz w:val="12"/>
                <w:szCs w:val="12"/>
              </w:rPr>
              <w:t>)</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4.02</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2.74 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3.13 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128bps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(39)</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8"/>
                <w:szCs w:val="18"/>
              </w:rPr>
              <w:t>bps</w:t>
            </w:r>
          </w:p>
        </w:tc>
      </w:tr>
      <w:tr w:rsidR="00000000">
        <w:trPr>
          <w:divId w:val="1322389071"/>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Average deposits</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2"/>
            <w:shd w:val="clear" w:color="auto" w:fill="FFFFFF"/>
            <w:tcMar>
              <w:top w:w="30" w:type="dxa"/>
              <w:left w:w="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42,018</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42,350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35,468</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(1)%</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19%</w:t>
            </w:r>
          </w:p>
        </w:tc>
      </w:tr>
      <w:tr w:rsidR="00000000">
        <w:trPr>
          <w:divId w:val="1322389071"/>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Average deposits interest rate</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0.73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0.14 </w:t>
            </w:r>
          </w:p>
        </w:tc>
        <w:tc>
          <w:tcPr>
            <w:tcW w:w="0" w:type="auto"/>
            <w:shd w:val="clear" w:color="auto" w:fill="CCEEFF"/>
            <w:tcMar>
              <w:top w:w="30" w:type="dxa"/>
              <w:left w:w="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0.40 </w:t>
            </w:r>
          </w:p>
        </w:tc>
        <w:tc>
          <w:tcPr>
            <w:tcW w:w="0" w:type="auto"/>
            <w:shd w:val="clear" w:color="auto" w:fill="CCEEFF"/>
            <w:tcMar>
              <w:top w:w="30" w:type="dxa"/>
              <w:left w:w="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59bps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(26)</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8"/>
                <w:szCs w:val="18"/>
              </w:rPr>
              <w:t>bps</w:t>
            </w:r>
          </w:p>
        </w:tc>
      </w:tr>
      <w:tr w:rsidR="00000000">
        <w:trPr>
          <w:divId w:val="1322389071"/>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Net charge-offs</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71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377 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380" w:type="dxa"/>
            </w:tcMar>
            <w:vAlign w:val="bottom"/>
            <w:hideMark/>
          </w:tcPr>
          <w:p w:rsidR="00000000" w:rsidRDefault="0094004B">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(99)%</w:t>
            </w:r>
          </w:p>
        </w:tc>
      </w:tr>
      <w:tr w:rsidR="00000000">
        <w:trPr>
          <w:divId w:val="1322389071"/>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Net charge-off (recovery) rate</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0.08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0.49 </w:t>
            </w:r>
          </w:p>
        </w:tc>
        <w:tc>
          <w:tcPr>
            <w:tcW w:w="0" w:type="auto"/>
            <w:shd w:val="clear" w:color="auto" w:fill="CCEEFF"/>
            <w:tcMar>
              <w:top w:w="30" w:type="dxa"/>
              <w:left w:w="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8bps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(49)</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8"/>
                <w:szCs w:val="18"/>
              </w:rPr>
              <w:t>bps</w:t>
            </w:r>
          </w:p>
        </w:tc>
      </w:tr>
      <w:tr w:rsidR="00000000">
        <w:trPr>
          <w:divId w:val="1322389071"/>
          <w:trHeight w:val="300"/>
        </w:trPr>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322389071"/>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8"/>
                <w:szCs w:val="18"/>
              </w:rPr>
              <w:t>(Dollars in millions, except as noted)</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rPr>
              <w:t>December 31, 2022</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rPr>
              <w:t>December 31, 2021</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rPr>
              <w:t>Change</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322389071"/>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18"/>
                <w:szCs w:val="18"/>
              </w:rPr>
              <w:t>Selected period-end data:</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322389071"/>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Loans held for investment:</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322389071"/>
        </w:trPr>
        <w:tc>
          <w:tcPr>
            <w:tcW w:w="0" w:type="auto"/>
            <w:gridSpan w:val="3"/>
            <w:shd w:val="clear" w:color="auto" w:fill="CCEEFF"/>
            <w:tcMar>
              <w:top w:w="30" w:type="dxa"/>
              <w:left w:w="245"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Commercial and multifamily real estate</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2"/>
            <w:shd w:val="clear" w:color="auto" w:fill="CCEEFF"/>
            <w:tcMar>
              <w:top w:w="30" w:type="dxa"/>
              <w:left w:w="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37,453</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2"/>
            <w:shd w:val="clear" w:color="auto" w:fill="CCEE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35,262</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6%</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322389071"/>
        </w:trPr>
        <w:tc>
          <w:tcPr>
            <w:tcW w:w="0" w:type="auto"/>
            <w:gridSpan w:val="3"/>
            <w:shd w:val="clear" w:color="auto" w:fill="FFFFFF"/>
            <w:tcMar>
              <w:top w:w="30" w:type="dxa"/>
              <w:left w:w="245"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Commercial and industrial</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57,223</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49,660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15</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322389071"/>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Total commercial banking</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2"/>
            <w:tcBorders>
              <w:top w:val="single" w:sz="8" w:space="0" w:color="000000"/>
            </w:tcBorders>
            <w:shd w:val="clear" w:color="auto" w:fill="CCEEFF"/>
            <w:tcMar>
              <w:top w:w="30" w:type="dxa"/>
              <w:left w:w="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94,676</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84,922</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11</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322389071"/>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Nonperforming loan rate</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0.74</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0.82 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(8)</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8"/>
                <w:szCs w:val="18"/>
              </w:rPr>
              <w:t>bps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322389071"/>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divId w:val="730152725"/>
              <w:rPr>
                <w:rFonts w:eastAsia="Times New Roman"/>
              </w:rPr>
            </w:pPr>
            <w:r>
              <w:rPr>
                <w:rFonts w:eastAsia="Times New Roman"/>
                <w:color w:val="000000"/>
                <w:sz w:val="18"/>
                <w:szCs w:val="18"/>
              </w:rPr>
              <w:t>Nonperforming asset rat</w:t>
            </w:r>
            <w:r>
              <w:rPr>
                <w:rFonts w:eastAsia="Times New Roman"/>
                <w:color w:val="000000"/>
                <w:sz w:val="18"/>
                <w:szCs w:val="18"/>
              </w:rPr>
              <w:t>e</w:t>
            </w:r>
            <w:r>
              <w:rPr>
                <w:rFonts w:eastAsia="Times New Roman"/>
                <w:color w:val="000000"/>
                <w:sz w:val="12"/>
                <w:szCs w:val="12"/>
              </w:rPr>
              <w:t>(4</w:t>
            </w:r>
            <w:r>
              <w:rPr>
                <w:rFonts w:eastAsia="Times New Roman"/>
                <w:color w:val="000000"/>
                <w:sz w:val="12"/>
                <w:szCs w:val="12"/>
              </w:rPr>
              <w:t>)</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0.74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0.82 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(8)</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322389071"/>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divId w:val="504899147"/>
              <w:rPr>
                <w:rFonts w:eastAsia="Times New Roman"/>
              </w:rPr>
            </w:pPr>
            <w:r>
              <w:rPr>
                <w:rFonts w:eastAsia="Times New Roman"/>
                <w:color w:val="000000"/>
                <w:sz w:val="18"/>
                <w:szCs w:val="18"/>
              </w:rPr>
              <w:t>Allowance for credit losse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2"/>
            <w:shd w:val="clear" w:color="auto" w:fill="FFFFFF"/>
            <w:tcMar>
              <w:top w:w="30" w:type="dxa"/>
              <w:left w:w="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1,458</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1,167</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25%</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322389071"/>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Allowance coverage ratio</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1.54%</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1.37%</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17bps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322389071"/>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Deposits</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2"/>
            <w:shd w:val="clear" w:color="auto" w:fill="FFFFFF"/>
            <w:tcMar>
              <w:top w:w="30" w:type="dxa"/>
              <w:left w:w="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40,808</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44,809</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(9)%</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322389071"/>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Loans serviced for others</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51,918</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48,562</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7</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bl>
    <w:p w:rsidR="00000000" w:rsidRDefault="0094004B">
      <w:pPr>
        <w:divId w:val="1322389071"/>
        <w:rPr>
          <w:rFonts w:eastAsia="Times New Roman"/>
        </w:rPr>
      </w:pPr>
      <w:r>
        <w:rPr>
          <w:rFonts w:eastAsia="Times New Roman"/>
          <w:color w:val="000000"/>
          <w:sz w:val="20"/>
          <w:szCs w:val="20"/>
        </w:rPr>
        <w:t>__________</w:t>
      </w:r>
    </w:p>
    <w:p w:rsidR="00000000" w:rsidRDefault="0094004B">
      <w:pPr>
        <w:ind w:hanging="360"/>
        <w:jc w:val="both"/>
        <w:divId w:val="2104297956"/>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Some of our commercial investments generate tax-exempt income, tax credits or other tax b</w:t>
      </w:r>
      <w:r>
        <w:rPr>
          <w:rFonts w:eastAsia="Times New Roman"/>
          <w:color w:val="000000"/>
          <w:sz w:val="16"/>
          <w:szCs w:val="16"/>
        </w:rPr>
        <w:t>enefits. Accordingly, we present our Commercial Banking revenue and yields on a taxable-equivalent basis, calculated using the federal statutory tax rate of 21% and state taxes where applicable, with offsetting reductions to the Other category.</w:t>
      </w:r>
    </w:p>
    <w:p w:rsidR="00000000" w:rsidRDefault="0094004B">
      <w:pPr>
        <w:ind w:hanging="360"/>
        <w:jc w:val="both"/>
        <w:divId w:val="100805247"/>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The prov</w:t>
      </w:r>
      <w:r>
        <w:rPr>
          <w:rFonts w:eastAsia="Times New Roman"/>
          <w:color w:val="000000"/>
          <w:sz w:val="16"/>
          <w:szCs w:val="16"/>
        </w:rPr>
        <w:t>ision for losses on unfunded lending commitments is included in the provision for credit losses in our consolidated statements of income and the related reserve is included in other liabilities on our consolidated balance sheets. Our reserve for unfunded l</w:t>
      </w:r>
      <w:r>
        <w:rPr>
          <w:rFonts w:eastAsia="Times New Roman"/>
          <w:color w:val="000000"/>
          <w:sz w:val="16"/>
          <w:szCs w:val="16"/>
        </w:rPr>
        <w:t>ending commitments totaled $218 million, $165 million and $195 million as of December 31, 2022, 2021 and 2020, respectively.</w:t>
      </w:r>
    </w:p>
    <w:p w:rsidR="00000000" w:rsidRDefault="0094004B">
      <w:pPr>
        <w:ind w:hanging="360"/>
        <w:jc w:val="both"/>
        <w:divId w:val="1856457923"/>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Average yield is calculated based on interest income for the period divided by average loans during the period and does not incl</w:t>
      </w:r>
      <w:r>
        <w:rPr>
          <w:rFonts w:eastAsia="Times New Roman"/>
          <w:color w:val="000000"/>
          <w:sz w:val="16"/>
          <w:szCs w:val="16"/>
        </w:rPr>
        <w:t>ude any allocations, such as funds transfer pricing.</w:t>
      </w:r>
    </w:p>
    <w:p w:rsidR="00000000" w:rsidRDefault="0094004B">
      <w:pPr>
        <w:ind w:hanging="360"/>
        <w:jc w:val="both"/>
        <w:divId w:val="1967083115"/>
        <w:rPr>
          <w:rFonts w:eastAsia="Times New Roman"/>
        </w:rPr>
      </w:pPr>
      <w:r>
        <w:rPr>
          <w:rFonts w:eastAsia="Times New Roman"/>
          <w:color w:val="000000"/>
          <w:sz w:val="10"/>
          <w:szCs w:val="10"/>
        </w:rPr>
        <w:t>(4</w:t>
      </w:r>
      <w:r>
        <w:rPr>
          <w:rFonts w:eastAsia="Times New Roman"/>
          <w:color w:val="000000"/>
          <w:sz w:val="10"/>
          <w:szCs w:val="10"/>
        </w:rPr>
        <w:t>)</w:t>
      </w:r>
      <w:r>
        <w:rPr>
          <w:rFonts w:eastAsia="Times New Roman"/>
          <w:color w:val="000000"/>
          <w:sz w:val="16"/>
          <w:szCs w:val="16"/>
        </w:rPr>
        <w:t>Nonperforming assets consist of nonperforming loans and other foreclosed assets. The total nonperforming asset rate is calculated based on total nonperforming assets divided by the combined period-end</w:t>
      </w:r>
      <w:r>
        <w:rPr>
          <w:rFonts w:eastAsia="Times New Roman"/>
          <w:color w:val="000000"/>
          <w:sz w:val="16"/>
          <w:szCs w:val="16"/>
        </w:rPr>
        <w:t xml:space="preserve"> total loans held for investment and other foreclosed assets.</w:t>
      </w:r>
    </w:p>
    <w:p w:rsidR="00000000" w:rsidRDefault="0094004B">
      <w:pPr>
        <w:ind w:hanging="360"/>
        <w:jc w:val="both"/>
        <w:divId w:val="1934314611"/>
        <w:rPr>
          <w:rFonts w:eastAsia="Times New Roman"/>
        </w:rPr>
      </w:pPr>
      <w:r>
        <w:rPr>
          <w:rFonts w:eastAsia="Times New Roman"/>
          <w:color w:val="000000"/>
          <w:sz w:val="16"/>
          <w:szCs w:val="16"/>
        </w:rPr>
        <w:t>**    Not meaningful.</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944066624"/>
          <w:jc w:val="center"/>
        </w:trPr>
        <w:tc>
          <w:tcPr>
            <w:tcW w:w="50" w:type="pct"/>
            <w:vAlign w:val="center"/>
            <w:hideMark/>
          </w:tcPr>
          <w:p w:rsidR="00000000" w:rsidRDefault="0094004B">
            <w:pPr>
              <w:ind w:hanging="360"/>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944066624"/>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944066624"/>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63</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089" style="width:0;height:1.5pt" o:hralign="center" o:hrstd="t" o:hr="t" fillcolor="#a0a0a0" stroked="f"/>
        </w:pict>
      </w:r>
    </w:p>
    <w:p w:rsidR="00000000" w:rsidRDefault="0094004B">
      <w:pPr>
        <w:ind w:hanging="360"/>
        <w:jc w:val="both"/>
        <w:divId w:val="1503083814"/>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both"/>
        <w:divId w:val="848905615"/>
        <w:rPr>
          <w:rFonts w:eastAsia="Times New Roman"/>
        </w:rPr>
      </w:pPr>
      <w:r>
        <w:rPr>
          <w:rFonts w:eastAsia="Times New Roman"/>
          <w:color w:val="000000"/>
          <w:sz w:val="20"/>
          <w:szCs w:val="20"/>
        </w:rPr>
        <w:t>Key factors affecting the results of our Commercial Banking business for 2022 compared to 2021, and changes in financial condition and credit performance between December 31, 2022 and 2021 include the following:</w:t>
      </w:r>
    </w:p>
    <w:p w:rsidR="00000000" w:rsidRDefault="0094004B">
      <w:pPr>
        <w:ind w:hanging="360"/>
        <w:jc w:val="both"/>
        <w:divId w:val="457455333"/>
        <w:rPr>
          <w:rFonts w:eastAsia="Times New Roman"/>
        </w:rPr>
      </w:pPr>
      <w:r>
        <w:rPr>
          <w:rFonts w:eastAsia="Times New Roman"/>
          <w:i/>
          <w:iCs/>
          <w:color w:val="000000"/>
          <w:sz w:val="18"/>
          <w:szCs w:val="18"/>
        </w:rPr>
        <w:t>•</w:t>
      </w:r>
      <w:r>
        <w:rPr>
          <w:rFonts w:eastAsia="Times New Roman"/>
          <w:i/>
          <w:iCs/>
          <w:color w:val="000000"/>
          <w:sz w:val="20"/>
          <w:szCs w:val="20"/>
        </w:rPr>
        <w:t>Net Interest Income:</w:t>
      </w:r>
      <w:r>
        <w:rPr>
          <w:rFonts w:eastAsia="Times New Roman"/>
          <w:color w:val="000000"/>
          <w:sz w:val="20"/>
          <w:szCs w:val="20"/>
        </w:rPr>
        <w:t xml:space="preserve"> Net interest income in</w:t>
      </w:r>
      <w:r>
        <w:rPr>
          <w:rFonts w:eastAsia="Times New Roman"/>
          <w:color w:val="000000"/>
          <w:sz w:val="20"/>
          <w:szCs w:val="20"/>
        </w:rPr>
        <w:t xml:space="preserve">creased by $308 million to $2.5 billion in 2022 primarily driven by higher average loan balances and yields, partially offset by higher funding costs driven by higher market interest rates and mix of deposits. </w:t>
      </w:r>
    </w:p>
    <w:p w:rsidR="00000000" w:rsidRDefault="0094004B">
      <w:pPr>
        <w:ind w:hanging="360"/>
        <w:jc w:val="both"/>
        <w:divId w:val="90972274"/>
        <w:rPr>
          <w:rFonts w:eastAsia="Times New Roman"/>
        </w:rPr>
      </w:pPr>
      <w:r>
        <w:rPr>
          <w:rFonts w:eastAsia="Times New Roman"/>
          <w:i/>
          <w:iCs/>
          <w:color w:val="000000"/>
          <w:sz w:val="18"/>
          <w:szCs w:val="18"/>
        </w:rPr>
        <w:t>•</w:t>
      </w:r>
      <w:r>
        <w:rPr>
          <w:rFonts w:eastAsia="Times New Roman"/>
          <w:i/>
          <w:iCs/>
          <w:color w:val="000000"/>
          <w:sz w:val="20"/>
          <w:szCs w:val="20"/>
        </w:rPr>
        <w:t xml:space="preserve">Non-Interest Income: </w:t>
      </w:r>
      <w:r>
        <w:rPr>
          <w:rFonts w:eastAsia="Times New Roman"/>
          <w:color w:val="000000"/>
          <w:sz w:val="20"/>
          <w:szCs w:val="20"/>
        </w:rPr>
        <w:t>Non-interest income rem</w:t>
      </w:r>
      <w:r>
        <w:rPr>
          <w:rFonts w:eastAsia="Times New Roman"/>
          <w:color w:val="000000"/>
          <w:sz w:val="20"/>
          <w:szCs w:val="20"/>
        </w:rPr>
        <w:t>ained substantially flat at $1.1 billion in 2022.</w:t>
      </w:r>
    </w:p>
    <w:p w:rsidR="00000000" w:rsidRDefault="0094004B">
      <w:pPr>
        <w:ind w:hanging="360"/>
        <w:jc w:val="both"/>
        <w:divId w:val="1194806981"/>
        <w:rPr>
          <w:rFonts w:eastAsia="Times New Roman"/>
        </w:rPr>
      </w:pPr>
      <w:r>
        <w:rPr>
          <w:rFonts w:eastAsia="Times New Roman"/>
          <w:i/>
          <w:iCs/>
          <w:color w:val="000000"/>
          <w:sz w:val="18"/>
          <w:szCs w:val="18"/>
        </w:rPr>
        <w:t>•</w:t>
      </w:r>
      <w:r>
        <w:rPr>
          <w:rFonts w:eastAsia="Times New Roman"/>
          <w:i/>
          <w:iCs/>
          <w:color w:val="000000"/>
          <w:sz w:val="20"/>
          <w:szCs w:val="20"/>
        </w:rPr>
        <w:t>Provision for Credit Losses:</w:t>
      </w:r>
      <w:r>
        <w:rPr>
          <w:rFonts w:eastAsia="Times New Roman"/>
          <w:color w:val="000000"/>
          <w:sz w:val="20"/>
          <w:szCs w:val="20"/>
        </w:rPr>
        <w:t xml:space="preserve"> </w:t>
      </w:r>
      <w:r>
        <w:rPr>
          <w:rFonts w:eastAsia="Times New Roman"/>
          <w:color w:val="000000"/>
          <w:sz w:val="20"/>
          <w:szCs w:val="20"/>
        </w:rPr>
        <w:t>Provision for credit losses increased by $934 million to $415 million in 2022 primarily driven by a net allowance build due to a modestly worse economic outlook and loan growth, compared to a net allowance release in 2021.</w:t>
      </w:r>
    </w:p>
    <w:p w:rsidR="00000000" w:rsidRDefault="0094004B">
      <w:pPr>
        <w:ind w:hanging="360"/>
        <w:jc w:val="both"/>
        <w:divId w:val="2052413488"/>
        <w:rPr>
          <w:rFonts w:eastAsia="Times New Roman"/>
        </w:rPr>
      </w:pPr>
      <w:r>
        <w:rPr>
          <w:rFonts w:eastAsia="Times New Roman"/>
          <w:i/>
          <w:iCs/>
          <w:color w:val="000000"/>
          <w:sz w:val="18"/>
          <w:szCs w:val="18"/>
        </w:rPr>
        <w:t>•</w:t>
      </w:r>
      <w:r>
        <w:rPr>
          <w:rFonts w:eastAsia="Times New Roman"/>
          <w:i/>
          <w:iCs/>
          <w:color w:val="000000"/>
          <w:sz w:val="20"/>
          <w:szCs w:val="20"/>
        </w:rPr>
        <w:t xml:space="preserve">Non-Interest Expense: </w:t>
      </w:r>
      <w:r>
        <w:rPr>
          <w:rFonts w:eastAsia="Times New Roman"/>
          <w:color w:val="000000"/>
          <w:sz w:val="20"/>
          <w:szCs w:val="20"/>
        </w:rPr>
        <w:t>Non-intere</w:t>
      </w:r>
      <w:r>
        <w:rPr>
          <w:rFonts w:eastAsia="Times New Roman"/>
          <w:color w:val="000000"/>
          <w:sz w:val="20"/>
          <w:szCs w:val="20"/>
        </w:rPr>
        <w:t>st expense increased by $255 million to $2.1 billion in 2022 primarily driven by continued investment in growth and technology.</w:t>
      </w:r>
    </w:p>
    <w:p w:rsidR="00000000" w:rsidRDefault="0094004B">
      <w:pPr>
        <w:jc w:val="both"/>
        <w:divId w:val="1219897424"/>
        <w:rPr>
          <w:rFonts w:eastAsia="Times New Roman"/>
        </w:rPr>
      </w:pPr>
      <w:r>
        <w:rPr>
          <w:rFonts w:eastAsia="Times New Roman"/>
          <w:i/>
          <w:iCs/>
          <w:color w:val="000000"/>
          <w:sz w:val="20"/>
          <w:szCs w:val="20"/>
        </w:rPr>
        <w:t>Loans Held for Investment:</w:t>
      </w:r>
      <w:r>
        <w:rPr>
          <w:rFonts w:eastAsia="Times New Roman"/>
          <w:color w:val="000000"/>
          <w:sz w:val="20"/>
          <w:szCs w:val="20"/>
        </w:rPr>
        <w:t xml:space="preserve"> </w:t>
      </w:r>
    </w:p>
    <w:p w:rsidR="00000000" w:rsidRDefault="0094004B">
      <w:pPr>
        <w:ind w:hanging="360"/>
        <w:jc w:val="both"/>
        <w:divId w:val="481311583"/>
        <w:rPr>
          <w:rFonts w:eastAsia="Times New Roman"/>
        </w:rPr>
      </w:pPr>
      <w:r>
        <w:rPr>
          <w:rFonts w:eastAsia="Times New Roman"/>
          <w:i/>
          <w:iCs/>
          <w:color w:val="000000"/>
          <w:sz w:val="18"/>
          <w:szCs w:val="18"/>
        </w:rPr>
        <w:t>•</w:t>
      </w:r>
      <w:r>
        <w:rPr>
          <w:rFonts w:eastAsia="Times New Roman"/>
          <w:color w:val="000000"/>
          <w:sz w:val="20"/>
          <w:szCs w:val="20"/>
        </w:rPr>
        <w:t xml:space="preserve">Period-end loans held for investment increased by $9.8 billion to $94.7 billion as of December 31, </w:t>
      </w:r>
      <w:r>
        <w:rPr>
          <w:rFonts w:eastAsia="Times New Roman"/>
          <w:color w:val="000000"/>
          <w:sz w:val="20"/>
          <w:szCs w:val="20"/>
        </w:rPr>
        <w:t>2022 from December 31, 2021 and average loans held for investment increased by $15.3 billion to $91.4 billion in 2022 compared to 2021 primarily driven by growth across our loan portfolio.</w:t>
      </w:r>
    </w:p>
    <w:p w:rsidR="00000000" w:rsidRDefault="0094004B">
      <w:pPr>
        <w:jc w:val="both"/>
        <w:divId w:val="954557747"/>
        <w:rPr>
          <w:rFonts w:eastAsia="Times New Roman"/>
        </w:rPr>
      </w:pPr>
      <w:r>
        <w:rPr>
          <w:rFonts w:eastAsia="Times New Roman"/>
          <w:i/>
          <w:iCs/>
          <w:color w:val="000000"/>
          <w:sz w:val="20"/>
          <w:szCs w:val="20"/>
        </w:rPr>
        <w:t>Deposits:</w:t>
      </w:r>
      <w:r>
        <w:rPr>
          <w:rFonts w:eastAsia="Times New Roman"/>
          <w:color w:val="000000"/>
          <w:sz w:val="20"/>
          <w:szCs w:val="20"/>
        </w:rPr>
        <w:t xml:space="preserve"> </w:t>
      </w:r>
    </w:p>
    <w:p w:rsidR="00000000" w:rsidRDefault="0094004B">
      <w:pPr>
        <w:ind w:hanging="360"/>
        <w:jc w:val="both"/>
        <w:divId w:val="2138179357"/>
        <w:rPr>
          <w:rFonts w:eastAsia="Times New Roman"/>
        </w:rPr>
      </w:pPr>
      <w:r>
        <w:rPr>
          <w:rFonts w:eastAsia="Times New Roman"/>
          <w:color w:val="000000"/>
          <w:sz w:val="20"/>
          <w:szCs w:val="20"/>
        </w:rPr>
        <w:t xml:space="preserve">•Period-end deposits decreased by $4.0 billion to $40.8 </w:t>
      </w:r>
      <w:r>
        <w:rPr>
          <w:rFonts w:eastAsia="Times New Roman"/>
          <w:color w:val="000000"/>
          <w:sz w:val="20"/>
          <w:szCs w:val="20"/>
        </w:rPr>
        <w:t>billion as of December 31, 2022 from December 31, 2021 primarily driven by the transfer of deposits to our retail banking portfolio in the second quarter of 2022.</w:t>
      </w:r>
    </w:p>
    <w:p w:rsidR="00000000" w:rsidRDefault="0094004B">
      <w:pPr>
        <w:jc w:val="both"/>
        <w:divId w:val="2060006477"/>
        <w:rPr>
          <w:rFonts w:eastAsia="Times New Roman"/>
        </w:rPr>
      </w:pPr>
      <w:r>
        <w:rPr>
          <w:rFonts w:eastAsia="Times New Roman"/>
          <w:i/>
          <w:iCs/>
          <w:color w:val="000000"/>
          <w:sz w:val="20"/>
          <w:szCs w:val="20"/>
        </w:rPr>
        <w:t>Net Charge-Off and Nonperforming Metrics:</w:t>
      </w:r>
      <w:r>
        <w:rPr>
          <w:rFonts w:eastAsia="Times New Roman"/>
          <w:color w:val="000000"/>
          <w:sz w:val="20"/>
          <w:szCs w:val="20"/>
        </w:rPr>
        <w:t xml:space="preserve"> </w:t>
      </w:r>
    </w:p>
    <w:p w:rsidR="00000000" w:rsidRDefault="0094004B">
      <w:pPr>
        <w:ind w:hanging="360"/>
        <w:jc w:val="both"/>
        <w:divId w:val="2103406594"/>
        <w:rPr>
          <w:rFonts w:eastAsia="Times New Roman"/>
        </w:rPr>
      </w:pPr>
      <w:r>
        <w:rPr>
          <w:rFonts w:eastAsia="Times New Roman"/>
          <w:i/>
          <w:iCs/>
          <w:color w:val="000000"/>
          <w:sz w:val="18"/>
          <w:szCs w:val="18"/>
        </w:rPr>
        <w:t>•</w:t>
      </w:r>
      <w:r>
        <w:rPr>
          <w:rFonts w:eastAsia="Times New Roman"/>
          <w:color w:val="000000"/>
          <w:sz w:val="20"/>
          <w:szCs w:val="20"/>
        </w:rPr>
        <w:t>The net charge-off rate increased by 8 basis poin</w:t>
      </w:r>
      <w:r>
        <w:rPr>
          <w:rFonts w:eastAsia="Times New Roman"/>
          <w:color w:val="000000"/>
          <w:sz w:val="20"/>
          <w:szCs w:val="20"/>
        </w:rPr>
        <w:t>ts to 0.08% in 2022 primarily driven by isolated charge offs in our commercial and industrial loan portfolio.</w:t>
      </w:r>
    </w:p>
    <w:p w:rsidR="00000000" w:rsidRDefault="0094004B">
      <w:pPr>
        <w:ind w:hanging="360"/>
        <w:jc w:val="both"/>
        <w:divId w:val="477578760"/>
        <w:rPr>
          <w:rFonts w:eastAsia="Times New Roman"/>
        </w:rPr>
      </w:pPr>
      <w:r>
        <w:rPr>
          <w:rFonts w:eastAsia="Times New Roman"/>
          <w:i/>
          <w:iCs/>
          <w:color w:val="000000"/>
          <w:sz w:val="18"/>
          <w:szCs w:val="18"/>
        </w:rPr>
        <w:t>•</w:t>
      </w:r>
      <w:r>
        <w:rPr>
          <w:rFonts w:eastAsia="Times New Roman"/>
          <w:color w:val="000000"/>
          <w:sz w:val="20"/>
          <w:szCs w:val="20"/>
        </w:rPr>
        <w:t>The nonperforming loan rate decreased by 8 basis points to 0.74% as of December 31, 2022 compared to December 31, 2021 primarily driven by higher</w:t>
      </w:r>
      <w:r>
        <w:rPr>
          <w:rFonts w:eastAsia="Times New Roman"/>
          <w:color w:val="000000"/>
          <w:sz w:val="20"/>
          <w:szCs w:val="20"/>
        </w:rPr>
        <w:t xml:space="preserve"> ending loan balances.</w:t>
      </w:r>
    </w:p>
    <w:p w:rsidR="00000000" w:rsidRDefault="0094004B">
      <w:pPr>
        <w:divId w:val="1031881552"/>
        <w:rPr>
          <w:rFonts w:eastAsia="Times New Roman"/>
        </w:rPr>
      </w:pPr>
      <w:r>
        <w:rPr>
          <w:rFonts w:eastAsia="Times New Roman"/>
          <w:b/>
          <w:bCs/>
          <w:color w:val="000000"/>
          <w:sz w:val="20"/>
          <w:szCs w:val="20"/>
        </w:rPr>
        <w:t>Other Category</w:t>
      </w:r>
    </w:p>
    <w:p w:rsidR="00000000" w:rsidRDefault="0094004B">
      <w:pPr>
        <w:jc w:val="both"/>
        <w:divId w:val="1758675617"/>
        <w:rPr>
          <w:rFonts w:eastAsia="Times New Roman"/>
        </w:rPr>
      </w:pPr>
      <w:r>
        <w:rPr>
          <w:rFonts w:eastAsia="Times New Roman"/>
          <w:color w:val="000000"/>
          <w:sz w:val="20"/>
          <w:szCs w:val="20"/>
        </w:rPr>
        <w:t>Other includes unallocated amounts related to our centralized Corporate Treasury group activities, such as management of our corporate investment securities portfolio, asset/liability management and oversight of our fu</w:t>
      </w:r>
      <w:r>
        <w:rPr>
          <w:rFonts w:eastAsia="Times New Roman"/>
          <w:color w:val="000000"/>
          <w:sz w:val="20"/>
          <w:szCs w:val="20"/>
        </w:rPr>
        <w:t>nds transfer pricing process. Other also includes:</w:t>
      </w:r>
    </w:p>
    <w:p w:rsidR="00000000" w:rsidRDefault="0094004B">
      <w:pPr>
        <w:ind w:hanging="360"/>
        <w:jc w:val="both"/>
        <w:divId w:val="846284460"/>
        <w:rPr>
          <w:rFonts w:eastAsia="Times New Roman"/>
        </w:rPr>
      </w:pPr>
      <w:r>
        <w:rPr>
          <w:rFonts w:eastAsia="Times New Roman"/>
          <w:color w:val="000000"/>
          <w:sz w:val="20"/>
          <w:szCs w:val="20"/>
        </w:rPr>
        <w:t xml:space="preserve">•unallocated corporate revenue and expenses that do not directly support the operations of the business segments or for which the business segments are not considered financially accountable in evaluating </w:t>
      </w:r>
      <w:r>
        <w:rPr>
          <w:rFonts w:eastAsia="Times New Roman"/>
          <w:color w:val="000000"/>
          <w:sz w:val="20"/>
          <w:szCs w:val="20"/>
        </w:rPr>
        <w:t>their performance, such as certain restructuring charges;</w:t>
      </w:r>
    </w:p>
    <w:p w:rsidR="00000000" w:rsidRDefault="0094004B">
      <w:pPr>
        <w:ind w:hanging="360"/>
        <w:jc w:val="both"/>
        <w:divId w:val="1087654887"/>
        <w:rPr>
          <w:rFonts w:eastAsia="Times New Roman"/>
        </w:rPr>
      </w:pPr>
      <w:r>
        <w:rPr>
          <w:rFonts w:eastAsia="Times New Roman"/>
          <w:color w:val="000000"/>
          <w:sz w:val="20"/>
          <w:szCs w:val="20"/>
        </w:rPr>
        <w:t>•offsets related to certain line-item reclassifications;</w:t>
      </w:r>
    </w:p>
    <w:p w:rsidR="00000000" w:rsidRDefault="0094004B">
      <w:pPr>
        <w:ind w:hanging="360"/>
        <w:jc w:val="both"/>
        <w:divId w:val="1940603617"/>
        <w:rPr>
          <w:rFonts w:eastAsia="Times New Roman"/>
        </w:rPr>
      </w:pPr>
      <w:r>
        <w:rPr>
          <w:rFonts w:eastAsia="Times New Roman"/>
          <w:i/>
          <w:iCs/>
          <w:color w:val="000000"/>
          <w:sz w:val="20"/>
          <w:szCs w:val="20"/>
        </w:rPr>
        <w:t>•</w:t>
      </w:r>
      <w:r>
        <w:rPr>
          <w:rFonts w:eastAsia="Times New Roman"/>
          <w:color w:val="000000"/>
          <w:sz w:val="20"/>
          <w:szCs w:val="20"/>
        </w:rPr>
        <w:t>residual tax expense or benefit to arrive at the consolidated effective tax rate that is not assessed to our primary business segments; and</w:t>
      </w:r>
    </w:p>
    <w:p w:rsidR="00000000" w:rsidRDefault="0094004B">
      <w:pPr>
        <w:ind w:hanging="360"/>
        <w:jc w:val="both"/>
        <w:divId w:val="1061441462"/>
        <w:rPr>
          <w:rFonts w:eastAsia="Times New Roman"/>
        </w:rPr>
      </w:pPr>
      <w:r>
        <w:rPr>
          <w:rFonts w:eastAsia="Times New Roman"/>
          <w:color w:val="000000"/>
          <w:sz w:val="20"/>
          <w:szCs w:val="20"/>
        </w:rPr>
        <w:t>•foreign exchange-rate fluctuations on foreign currency-denominated balances.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868372913"/>
          <w:jc w:val="center"/>
        </w:trPr>
        <w:tc>
          <w:tcPr>
            <w:tcW w:w="50" w:type="pct"/>
            <w:vAlign w:val="center"/>
            <w:hideMark/>
          </w:tcPr>
          <w:p w:rsidR="00000000" w:rsidRDefault="0094004B">
            <w:pPr>
              <w:ind w:hanging="360"/>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868372913"/>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868372913"/>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64</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090" style="width:0;height:1.5pt" o:hralign="center" o:hrstd="t" o:hr="t" fillcolor="#a0a0a0" stroked="f"/>
        </w:pict>
      </w:r>
    </w:p>
    <w:p w:rsidR="00000000" w:rsidRDefault="0094004B">
      <w:pPr>
        <w:ind w:hanging="360"/>
        <w:jc w:val="both"/>
        <w:divId w:val="1143354241"/>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both"/>
        <w:divId w:val="447117370"/>
        <w:rPr>
          <w:rFonts w:eastAsia="Times New Roman"/>
        </w:rPr>
      </w:pPr>
      <w:r>
        <w:rPr>
          <w:rFonts w:eastAsia="Times New Roman"/>
          <w:color w:val="000000"/>
          <w:sz w:val="20"/>
          <w:szCs w:val="20"/>
        </w:rPr>
        <w:t>Table 11 summarizes the financial results of our Other category for the periods indicated.</w:t>
      </w:r>
    </w:p>
    <w:p w:rsidR="00000000" w:rsidRDefault="0094004B">
      <w:pPr>
        <w:divId w:val="1776897409"/>
        <w:rPr>
          <w:rFonts w:eastAsia="Times New Roman"/>
        </w:rPr>
      </w:pPr>
      <w:r>
        <w:rPr>
          <w:rFonts w:eastAsia="Times New Roman"/>
          <w:b/>
          <w:bCs/>
          <w:color w:val="000000"/>
          <w:sz w:val="18"/>
          <w:szCs w:val="18"/>
        </w:rPr>
        <w:t>Table 11: Other Category Results</w:t>
      </w:r>
    </w:p>
    <w:tbl>
      <w:tblPr>
        <w:tblW w:w="5000" w:type="pct"/>
        <w:tblCellMar>
          <w:top w:w="15" w:type="dxa"/>
          <w:left w:w="15" w:type="dxa"/>
          <w:bottom w:w="15" w:type="dxa"/>
          <w:right w:w="15" w:type="dxa"/>
        </w:tblCellMar>
        <w:tblLook w:val="04A0" w:firstRow="1" w:lastRow="0" w:firstColumn="1" w:lastColumn="0" w:noHBand="0" w:noVBand="1"/>
      </w:tblPr>
      <w:tblGrid>
        <w:gridCol w:w="38"/>
        <w:gridCol w:w="3329"/>
        <w:gridCol w:w="37"/>
        <w:gridCol w:w="36"/>
        <w:gridCol w:w="36"/>
        <w:gridCol w:w="46"/>
        <w:gridCol w:w="246"/>
        <w:gridCol w:w="245"/>
        <w:gridCol w:w="245"/>
        <w:gridCol w:w="36"/>
        <w:gridCol w:w="36"/>
        <w:gridCol w:w="36"/>
        <w:gridCol w:w="111"/>
        <w:gridCol w:w="536"/>
        <w:gridCol w:w="36"/>
        <w:gridCol w:w="36"/>
        <w:gridCol w:w="36"/>
        <w:gridCol w:w="36"/>
        <w:gridCol w:w="112"/>
        <w:gridCol w:w="610"/>
        <w:gridCol w:w="37"/>
        <w:gridCol w:w="37"/>
        <w:gridCol w:w="36"/>
        <w:gridCol w:w="36"/>
        <w:gridCol w:w="110"/>
        <w:gridCol w:w="524"/>
        <w:gridCol w:w="36"/>
        <w:gridCol w:w="36"/>
        <w:gridCol w:w="36"/>
        <w:gridCol w:w="36"/>
        <w:gridCol w:w="59"/>
        <w:gridCol w:w="516"/>
        <w:gridCol w:w="38"/>
        <w:gridCol w:w="36"/>
        <w:gridCol w:w="36"/>
        <w:gridCol w:w="36"/>
        <w:gridCol w:w="44"/>
        <w:gridCol w:w="352"/>
        <w:gridCol w:w="170"/>
        <w:gridCol w:w="36"/>
        <w:gridCol w:w="36"/>
        <w:gridCol w:w="36"/>
        <w:gridCol w:w="36"/>
        <w:gridCol w:w="36"/>
        <w:gridCol w:w="36"/>
      </w:tblGrid>
      <w:tr w:rsidR="00000000">
        <w:trPr>
          <w:divId w:val="238250190"/>
        </w:trPr>
        <w:tc>
          <w:tcPr>
            <w:tcW w:w="50" w:type="pct"/>
            <w:vAlign w:val="center"/>
            <w:hideMark/>
          </w:tcPr>
          <w:p w:rsidR="00000000" w:rsidRDefault="0094004B">
            <w:pPr>
              <w:rPr>
                <w:rFonts w:eastAsia="Times New Roman"/>
              </w:rPr>
            </w:pPr>
          </w:p>
        </w:tc>
        <w:tc>
          <w:tcPr>
            <w:tcW w:w="234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4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4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0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4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0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238250190"/>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 </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rPr>
              <w:t>Year Ended December 31,</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rPr>
              <w:t>Change</w:t>
            </w:r>
          </w:p>
        </w:tc>
        <w:tc>
          <w:tcPr>
            <w:tcW w:w="0" w:type="auto"/>
            <w:gridSpan w:val="3"/>
            <w:vAlign w:val="center"/>
            <w:hideMark/>
          </w:tcPr>
          <w:p w:rsidR="00000000" w:rsidRDefault="0094004B">
            <w:pPr>
              <w:spacing w:after="100"/>
              <w:jc w:val="center"/>
              <w:rPr>
                <w:rFonts w:eastAsia="Times New Roman"/>
              </w:rPr>
            </w:pPr>
          </w:p>
        </w:tc>
        <w:tc>
          <w:tcPr>
            <w:tcW w:w="0" w:type="auto"/>
            <w:gridSpan w:val="3"/>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238250190"/>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8"/>
                <w:szCs w:val="18"/>
              </w:rPr>
              <w:t>(Dollars in millions)</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rPr>
              <w:t>2022 vs.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rPr>
              <w:t>2021 vs. 2020</w:t>
            </w:r>
          </w:p>
        </w:tc>
        <w:tc>
          <w:tcPr>
            <w:tcW w:w="0" w:type="auto"/>
            <w:gridSpan w:val="3"/>
            <w:vAlign w:val="center"/>
            <w:hideMark/>
          </w:tcPr>
          <w:p w:rsidR="00000000" w:rsidRDefault="0094004B">
            <w:pPr>
              <w:spacing w:after="100"/>
              <w:jc w:val="center"/>
              <w:rPr>
                <w:rFonts w:eastAsia="Times New Roman"/>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238250190"/>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18"/>
                <w:szCs w:val="18"/>
              </w:rPr>
              <w:t>Selected income statement data:</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238250190"/>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Net interest loss</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(896)</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(504)</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(149)</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78%</w:t>
            </w:r>
          </w:p>
        </w:tc>
        <w:tc>
          <w:tcPr>
            <w:tcW w:w="0" w:type="auto"/>
            <w:gridSpan w:val="3"/>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238250190"/>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Non-interest income (loss)</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(233)</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(244)</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398</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(5)</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238250190"/>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divId w:val="1597517980"/>
              <w:rPr>
                <w:rFonts w:eastAsia="Times New Roman"/>
              </w:rPr>
            </w:pPr>
            <w:r>
              <w:rPr>
                <w:rFonts w:eastAsia="Times New Roman"/>
                <w:color w:val="000000"/>
                <w:sz w:val="18"/>
                <w:szCs w:val="18"/>
              </w:rPr>
              <w:t>Total net revenue (loss</w:t>
            </w:r>
            <w:r>
              <w:rPr>
                <w:rFonts w:eastAsia="Times New Roman"/>
                <w:color w:val="000000"/>
                <w:sz w:val="18"/>
                <w:szCs w:val="18"/>
              </w:rPr>
              <w:t>)</w:t>
            </w:r>
            <w:r>
              <w:rPr>
                <w:rFonts w:eastAsia="Times New Roman"/>
                <w:color w:val="000000"/>
                <w:sz w:val="12"/>
                <w:szCs w:val="12"/>
              </w:rPr>
              <w:t>(1</w:t>
            </w:r>
            <w:r>
              <w:rPr>
                <w:rFonts w:eastAsia="Times New Roman"/>
                <w:color w:val="000000"/>
                <w:sz w:val="12"/>
                <w:szCs w:val="12"/>
              </w:rPr>
              <w:t>)</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(1,129)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(748)</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249</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51</w:t>
            </w:r>
          </w:p>
        </w:tc>
        <w:tc>
          <w:tcPr>
            <w:tcW w:w="0" w:type="auto"/>
            <w:gridSpan w:val="3"/>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238250190"/>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Provision (benefit) for credit losses</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(6)</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(2)</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3</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238250190"/>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Non-interest expense</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154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423</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700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(64)</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(40)</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238250190"/>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Loss from continuing operations before income taxes</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(1,277)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(1,169)</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(454)</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9</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157 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238250190"/>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Income tax benefit</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(617)</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(597)</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(378)</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3</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58 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238250190"/>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Loss from continuing operations, net of tax</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(660)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(572)</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(76)</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15</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rPr>
                <w:rFonts w:eastAsia="Times New Roman"/>
                <w:sz w:val="20"/>
                <w:szCs w:val="20"/>
              </w:rPr>
            </w:pPr>
          </w:p>
        </w:tc>
      </w:tr>
    </w:tbl>
    <w:p w:rsidR="00000000" w:rsidRDefault="0094004B">
      <w:pPr>
        <w:divId w:val="238250190"/>
        <w:rPr>
          <w:rFonts w:eastAsia="Times New Roman"/>
        </w:rPr>
      </w:pPr>
      <w:r>
        <w:rPr>
          <w:rFonts w:eastAsia="Times New Roman"/>
          <w:color w:val="000000"/>
          <w:sz w:val="20"/>
          <w:szCs w:val="20"/>
        </w:rPr>
        <w:t>__________</w:t>
      </w:r>
    </w:p>
    <w:p w:rsidR="00000000" w:rsidRDefault="0094004B">
      <w:pPr>
        <w:ind w:hanging="360"/>
        <w:jc w:val="both"/>
        <w:divId w:val="1338918233"/>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Some of our commercial investments generate tax-exempt income, tax credits or other tax benefits. Accordingly, we present our Commercial Banking revenue and yields on a taxable-equivalent basis, calculated usin</w:t>
      </w:r>
      <w:r>
        <w:rPr>
          <w:rFonts w:eastAsia="Times New Roman"/>
          <w:color w:val="000000"/>
          <w:sz w:val="16"/>
          <w:szCs w:val="16"/>
        </w:rPr>
        <w:t>g the federal statutory tax rate of 21% and state taxes where applicable, with offsetting reductions to the Other category.</w:t>
      </w:r>
    </w:p>
    <w:p w:rsidR="00000000" w:rsidRDefault="0094004B">
      <w:pPr>
        <w:ind w:hanging="360"/>
        <w:jc w:val="both"/>
        <w:divId w:val="307708003"/>
        <w:rPr>
          <w:rFonts w:eastAsia="Times New Roman"/>
        </w:rPr>
      </w:pPr>
      <w:r>
        <w:rPr>
          <w:rFonts w:eastAsia="Times New Roman"/>
          <w:color w:val="000000"/>
          <w:sz w:val="16"/>
          <w:szCs w:val="16"/>
        </w:rPr>
        <w:t>**    Not meaningful.</w:t>
      </w:r>
    </w:p>
    <w:p w:rsidR="00000000" w:rsidRDefault="0094004B">
      <w:pPr>
        <w:jc w:val="both"/>
        <w:divId w:val="1143619348"/>
        <w:rPr>
          <w:rFonts w:eastAsia="Times New Roman"/>
        </w:rPr>
      </w:pPr>
      <w:r>
        <w:rPr>
          <w:rFonts w:eastAsia="Times New Roman"/>
          <w:color w:val="000000"/>
          <w:sz w:val="20"/>
          <w:szCs w:val="20"/>
        </w:rPr>
        <w:t>Loss from continuing operations increased by $88 million to a loss of $660 million in 2022 compared to 2021 pr</w:t>
      </w:r>
      <w:r>
        <w:rPr>
          <w:rFonts w:eastAsia="Times New Roman"/>
          <w:color w:val="000000"/>
          <w:sz w:val="20"/>
          <w:szCs w:val="20"/>
        </w:rPr>
        <w:t>imarily driven by higher net interest losses due to higher funding costs driven by higher market interest rates, partially offset by insurance recoveries on previously incurred expenses in non-interest expense.</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804588590"/>
        </w:trPr>
        <w:tc>
          <w:tcPr>
            <w:tcW w:w="50" w:type="pct"/>
            <w:vAlign w:val="center"/>
            <w:hideMark/>
          </w:tcPr>
          <w:p w:rsidR="00000000" w:rsidRDefault="0094004B">
            <w:pPr>
              <w:jc w:val="both"/>
              <w:rPr>
                <w:rFonts w:eastAsia="Times New Roman"/>
              </w:rPr>
            </w:pPr>
          </w:p>
        </w:tc>
        <w:tc>
          <w:tcPr>
            <w:tcW w:w="494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804588590"/>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20"/>
                <w:szCs w:val="20"/>
              </w:rPr>
              <w:t>CRITICAL ACCOUNTING POLICIES AND ESTIMATE</w:t>
            </w:r>
            <w:r>
              <w:rPr>
                <w:rFonts w:eastAsia="Times New Roman"/>
                <w:b/>
                <w:bCs/>
                <w:color w:val="000000"/>
                <w:sz w:val="20"/>
                <w:szCs w:val="20"/>
              </w:rPr>
              <w:t>S</w:t>
            </w:r>
          </w:p>
        </w:tc>
      </w:tr>
    </w:tbl>
    <w:p w:rsidR="00000000" w:rsidRDefault="0094004B">
      <w:pPr>
        <w:jc w:val="both"/>
        <w:divId w:val="1220631356"/>
        <w:rPr>
          <w:rFonts w:eastAsia="Times New Roman"/>
        </w:rPr>
      </w:pPr>
      <w:r>
        <w:rPr>
          <w:rFonts w:eastAsia="Times New Roman"/>
          <w:color w:val="000000"/>
          <w:sz w:val="20"/>
          <w:szCs w:val="20"/>
        </w:rPr>
        <w:t>The preparation of financial statements in accordance with U.S. GAAP requires management to make a number of judgments, estimates and assumptions that affect the amount of assets, liabilities, income and expenses on the consolidated financial statements. U</w:t>
      </w:r>
      <w:r>
        <w:rPr>
          <w:rFonts w:eastAsia="Times New Roman"/>
          <w:color w:val="000000"/>
          <w:sz w:val="20"/>
          <w:szCs w:val="20"/>
        </w:rPr>
        <w:t xml:space="preserve">nderstanding our accounting policies and the extent to which we use management judgment and estimates in applying these policies is integral to understanding our financial statements. We provide a summary of our significant accounting policies under “Part </w:t>
      </w:r>
      <w:r>
        <w:rPr>
          <w:rFonts w:eastAsia="Times New Roman"/>
          <w:color w:val="000000"/>
          <w:sz w:val="20"/>
          <w:szCs w:val="20"/>
        </w:rPr>
        <w:t>II—Item 8. Financial Statements and Supplementary Data—Note 1—Summary of Significant Accounting Policies.”</w:t>
      </w:r>
    </w:p>
    <w:p w:rsidR="00000000" w:rsidRDefault="0094004B">
      <w:pPr>
        <w:jc w:val="both"/>
        <w:divId w:val="796141282"/>
        <w:rPr>
          <w:rFonts w:eastAsia="Times New Roman"/>
        </w:rPr>
      </w:pPr>
      <w:r>
        <w:rPr>
          <w:rFonts w:eastAsia="Times New Roman"/>
          <w:color w:val="000000"/>
          <w:sz w:val="20"/>
          <w:szCs w:val="20"/>
        </w:rPr>
        <w:t>We have identified the following accounting estimates as critical because they require significant judgments and assumptions about highly complex and</w:t>
      </w:r>
      <w:r>
        <w:rPr>
          <w:rFonts w:eastAsia="Times New Roman"/>
          <w:color w:val="000000"/>
          <w:sz w:val="20"/>
          <w:szCs w:val="20"/>
        </w:rPr>
        <w:t xml:space="preserve"> inherently uncertain matters and the use of reasonably different estimates and assumptions could have a material impact on our results of operations or financial condition. Our critical accounting policies and estimates are as follows:</w:t>
      </w:r>
    </w:p>
    <w:p w:rsidR="00000000" w:rsidRDefault="0094004B">
      <w:pPr>
        <w:ind w:hanging="360"/>
        <w:divId w:val="1003313220"/>
        <w:rPr>
          <w:rFonts w:eastAsia="Times New Roman"/>
        </w:rPr>
      </w:pPr>
      <w:r>
        <w:rPr>
          <w:rFonts w:eastAsia="Times New Roman"/>
          <w:color w:val="000000"/>
          <w:sz w:val="20"/>
          <w:szCs w:val="20"/>
        </w:rPr>
        <w:t>•Loan loss reserves</w:t>
      </w:r>
    </w:p>
    <w:p w:rsidR="00000000" w:rsidRDefault="0094004B">
      <w:pPr>
        <w:ind w:hanging="360"/>
        <w:divId w:val="977145995"/>
        <w:rPr>
          <w:rFonts w:eastAsia="Times New Roman"/>
        </w:rPr>
      </w:pPr>
      <w:r>
        <w:rPr>
          <w:rFonts w:eastAsia="Times New Roman"/>
          <w:color w:val="000000"/>
          <w:sz w:val="20"/>
          <w:szCs w:val="20"/>
        </w:rPr>
        <w:t>•Goodwill</w:t>
      </w:r>
    </w:p>
    <w:p w:rsidR="00000000" w:rsidRDefault="0094004B">
      <w:pPr>
        <w:ind w:hanging="360"/>
        <w:divId w:val="688416090"/>
        <w:rPr>
          <w:rFonts w:eastAsia="Times New Roman"/>
        </w:rPr>
      </w:pPr>
      <w:r>
        <w:rPr>
          <w:rFonts w:eastAsia="Times New Roman"/>
          <w:color w:val="000000"/>
          <w:sz w:val="20"/>
          <w:szCs w:val="20"/>
        </w:rPr>
        <w:t>•Fair value</w:t>
      </w:r>
    </w:p>
    <w:p w:rsidR="00000000" w:rsidRDefault="0094004B">
      <w:pPr>
        <w:ind w:hanging="360"/>
        <w:divId w:val="1128815265"/>
        <w:rPr>
          <w:rFonts w:eastAsia="Times New Roman"/>
        </w:rPr>
      </w:pPr>
      <w:r>
        <w:rPr>
          <w:rFonts w:eastAsia="Times New Roman"/>
          <w:color w:val="000000"/>
          <w:sz w:val="20"/>
          <w:szCs w:val="20"/>
        </w:rPr>
        <w:t>•Customer rewards reserve</w:t>
      </w:r>
    </w:p>
    <w:p w:rsidR="00000000" w:rsidRDefault="0094004B">
      <w:pPr>
        <w:jc w:val="both"/>
        <w:divId w:val="35588376"/>
        <w:rPr>
          <w:rFonts w:eastAsia="Times New Roman"/>
        </w:rPr>
      </w:pPr>
      <w:r>
        <w:rPr>
          <w:rFonts w:eastAsia="Times New Roman"/>
          <w:color w:val="000000"/>
          <w:sz w:val="20"/>
          <w:szCs w:val="20"/>
        </w:rPr>
        <w:t>We evaluate our critical accounting estimates and judgments on an ongoing basis and update them as necessary, based on changing conditions.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040323749"/>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040323749"/>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040323749"/>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65</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091" style="width:0;height:1.5pt" o:hralign="center" o:hrstd="t" o:hr="t" fillcolor="#a0a0a0" stroked="f"/>
        </w:pict>
      </w:r>
    </w:p>
    <w:p w:rsidR="00000000" w:rsidRDefault="0094004B">
      <w:pPr>
        <w:ind w:hanging="360"/>
        <w:jc w:val="both"/>
        <w:divId w:val="1788156152"/>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divId w:val="1194076012"/>
        <w:rPr>
          <w:rFonts w:eastAsia="Times New Roman"/>
        </w:rPr>
      </w:pPr>
      <w:r>
        <w:rPr>
          <w:rFonts w:eastAsia="Times New Roman"/>
          <w:b/>
          <w:bCs/>
          <w:color w:val="000000"/>
          <w:sz w:val="20"/>
          <w:szCs w:val="20"/>
        </w:rPr>
        <w:t>Loan Loss Reserves</w:t>
      </w:r>
    </w:p>
    <w:p w:rsidR="00000000" w:rsidRDefault="0094004B">
      <w:pPr>
        <w:jc w:val="both"/>
        <w:rPr>
          <w:rFonts w:eastAsia="Times New Roman"/>
        </w:rPr>
      </w:pPr>
      <w:r>
        <w:rPr>
          <w:rFonts w:eastAsia="Times New Roman"/>
          <w:color w:val="000000"/>
          <w:sz w:val="20"/>
          <w:szCs w:val="20"/>
        </w:rPr>
        <w:t>We maintain an allowance for credit losses that represents management’s current estimate of expected credit losses inherent in our credit card, consumer banking and commercial banking loans held for investment portfolios as of each balance sheet date. We a</w:t>
      </w:r>
      <w:r>
        <w:rPr>
          <w:rFonts w:eastAsia="Times New Roman"/>
          <w:color w:val="000000"/>
          <w:sz w:val="20"/>
          <w:szCs w:val="20"/>
        </w:rPr>
        <w:t xml:space="preserve">lso reserve for the uncollectible portion of finance charges and fees related to credit card loan receivables in the allowance for credit losses consistent with the methodology we use to estimate the allowance for credit losses on the principal portion of </w:t>
      </w:r>
      <w:r>
        <w:rPr>
          <w:rFonts w:eastAsia="Times New Roman"/>
          <w:color w:val="000000"/>
          <w:sz w:val="20"/>
          <w:szCs w:val="20"/>
        </w:rPr>
        <w:t>our credit card loan receivables. We also separately reserve for unfunded lending commitments that are not unconditionally cancellable. We build our allowance for credit losses and reserve for unfunded lending commitments through the provision for credit l</w:t>
      </w:r>
      <w:r>
        <w:rPr>
          <w:rFonts w:eastAsia="Times New Roman"/>
          <w:color w:val="000000"/>
          <w:sz w:val="20"/>
          <w:szCs w:val="20"/>
        </w:rPr>
        <w:t>osses, which is driven by charge-offs, changes in the allowance for credit losses and changes in the reserve for unfunded lending commitments. The allowance for credit losses was $13.2 billion as of December 31, 2022, compared to $11.4 billion as of Decemb</w:t>
      </w:r>
      <w:r>
        <w:rPr>
          <w:rFonts w:eastAsia="Times New Roman"/>
          <w:color w:val="000000"/>
          <w:sz w:val="20"/>
          <w:szCs w:val="20"/>
        </w:rPr>
        <w:t>er 31, 2021.</w:t>
      </w:r>
    </w:p>
    <w:p w:rsidR="00000000" w:rsidRDefault="0094004B">
      <w:pPr>
        <w:jc w:val="both"/>
        <w:rPr>
          <w:rFonts w:eastAsia="Times New Roman"/>
        </w:rPr>
      </w:pPr>
    </w:p>
    <w:p w:rsidR="00000000" w:rsidRDefault="0094004B">
      <w:pPr>
        <w:jc w:val="both"/>
        <w:rPr>
          <w:rFonts w:eastAsia="Times New Roman"/>
        </w:rPr>
      </w:pPr>
      <w:r>
        <w:rPr>
          <w:rFonts w:eastAsia="Times New Roman"/>
          <w:color w:val="000000"/>
          <w:sz w:val="20"/>
          <w:szCs w:val="20"/>
        </w:rPr>
        <w:t>Our allowance for credit losses and reserve for unfunded lending commitments utilize models to derive a quantitative estimate of credit losses that is supplemented with additional qualitative considerations to capture risks and uncertainties</w:t>
      </w:r>
      <w:r>
        <w:rPr>
          <w:rFonts w:eastAsia="Times New Roman"/>
          <w:color w:val="000000"/>
          <w:sz w:val="20"/>
          <w:szCs w:val="20"/>
        </w:rPr>
        <w:t xml:space="preserve"> not included in the quantitative result. Our estimate of expected credit losses, for all loan and unfunded lending commitments, includes a reasonable and supportable forecast period of one year and then reverts over a one-year period to historical losses </w:t>
      </w:r>
      <w:r>
        <w:rPr>
          <w:rFonts w:eastAsia="Times New Roman"/>
          <w:color w:val="000000"/>
          <w:sz w:val="20"/>
          <w:szCs w:val="20"/>
        </w:rPr>
        <w:t>at each relevant loss component of the estimate. We use externally produced consensus estimates as inputs for our forward-looking macroeconomic forecast and consider other forecasts and sources of uncertainty to develop the quantitative component. This qua</w:t>
      </w:r>
      <w:r>
        <w:rPr>
          <w:rFonts w:eastAsia="Times New Roman"/>
          <w:color w:val="000000"/>
          <w:sz w:val="20"/>
          <w:szCs w:val="20"/>
        </w:rPr>
        <w:t>ntitative result is then supplemented qualitatively by management for economic uncertainty, including the consideration of alternative macroeconomic scenarios, changes and trends in loan portfolios that may not be captured in the quantitative component. Th</w:t>
      </w:r>
      <w:r>
        <w:rPr>
          <w:rFonts w:eastAsia="Times New Roman"/>
          <w:color w:val="000000"/>
          <w:sz w:val="20"/>
          <w:szCs w:val="20"/>
        </w:rPr>
        <w:t xml:space="preserve">ese adjustments represent management’s judgment of the imprecision and risks inherent in the processes and assumptions used in establishing the allowance for credit losses. </w:t>
      </w:r>
    </w:p>
    <w:p w:rsidR="00000000" w:rsidRDefault="0094004B">
      <w:pPr>
        <w:jc w:val="both"/>
        <w:divId w:val="1574120904"/>
        <w:rPr>
          <w:rFonts w:eastAsia="Times New Roman"/>
        </w:rPr>
      </w:pPr>
      <w:r>
        <w:rPr>
          <w:rFonts w:eastAsia="Times New Roman"/>
          <w:color w:val="000000"/>
          <w:sz w:val="20"/>
          <w:szCs w:val="20"/>
        </w:rPr>
        <w:t>We have an established process, using analytical tools and management judgment, to</w:t>
      </w:r>
      <w:r>
        <w:rPr>
          <w:rFonts w:eastAsia="Times New Roman"/>
          <w:color w:val="000000"/>
          <w:sz w:val="20"/>
          <w:szCs w:val="20"/>
        </w:rPr>
        <w:t xml:space="preserve"> determine our allowance for credit losses. Significant management judgment is required to determine the relevant information and estimation methods used to arrive at our best estimate of lifetime credit losses. Establishing the allowance on a quarterly ba</w:t>
      </w:r>
      <w:r>
        <w:rPr>
          <w:rFonts w:eastAsia="Times New Roman"/>
          <w:color w:val="000000"/>
          <w:sz w:val="20"/>
          <w:szCs w:val="20"/>
        </w:rPr>
        <w:t>sis involves evaluating and forecasting both credit and macroeconomic variables. The macroeconomic forecast used to inform both quantitative and qualitative components of our allowance for credit losses estimate is sensitive to variables that may impact bo</w:t>
      </w:r>
      <w:r>
        <w:rPr>
          <w:rFonts w:eastAsia="Times New Roman"/>
          <w:color w:val="000000"/>
          <w:sz w:val="20"/>
          <w:szCs w:val="20"/>
        </w:rPr>
        <w:t>rrowers’ ability to pay, such as the U.S. Unemployment Rate, and the U.S. Real Gross Domestic Product (“U.S. Real GDP”) Rate assumptions. Our December 31, 2022 allowance assumes that the average unemployment rate gradually increases to approximately 5.0% b</w:t>
      </w:r>
      <w:r>
        <w:rPr>
          <w:rFonts w:eastAsia="Times New Roman"/>
          <w:color w:val="000000"/>
          <w:sz w:val="20"/>
          <w:szCs w:val="20"/>
        </w:rPr>
        <w:t>y the fourth quarter of 2023 and annualized U.S. Real GDP decreases 0.3% in 2023.</w:t>
      </w:r>
    </w:p>
    <w:p w:rsidR="00000000" w:rsidRDefault="0094004B">
      <w:pPr>
        <w:jc w:val="both"/>
        <w:divId w:val="1503665359"/>
        <w:rPr>
          <w:rFonts w:eastAsia="Times New Roman"/>
        </w:rPr>
      </w:pPr>
      <w:r>
        <w:rPr>
          <w:rFonts w:eastAsia="Times New Roman"/>
          <w:color w:val="000000"/>
          <w:sz w:val="20"/>
          <w:szCs w:val="20"/>
        </w:rPr>
        <w:t>In addition to macroeconomic factors, many credit factors inform our allowance for credit losses, including, but not limited to, historical loss and recovery experience, rece</w:t>
      </w:r>
      <w:r>
        <w:rPr>
          <w:rFonts w:eastAsia="Times New Roman"/>
          <w:color w:val="000000"/>
          <w:sz w:val="20"/>
          <w:szCs w:val="20"/>
        </w:rPr>
        <w:t>nt trends in delinquencies and charge-offs, risk ratings, the impact of bankruptcy filings, the value of collateral underlying secured loans, account seasoning, changes in our credit evaluation, underwriting and collection management policies, seasonality,</w:t>
      </w:r>
      <w:r>
        <w:rPr>
          <w:rFonts w:eastAsia="Times New Roman"/>
          <w:color w:val="000000"/>
          <w:sz w:val="20"/>
          <w:szCs w:val="20"/>
        </w:rPr>
        <w:t xml:space="preserve"> credit bureau scores, current general economic conditions, changes in the legal and regulatory environment and uncertainties in forecasting and modeling techniques used in estimating our allowance for credit losses. </w:t>
      </w:r>
    </w:p>
    <w:p w:rsidR="00000000" w:rsidRDefault="0094004B">
      <w:pPr>
        <w:jc w:val="both"/>
        <w:divId w:val="1325547933"/>
        <w:rPr>
          <w:rFonts w:eastAsia="Times New Roman"/>
        </w:rPr>
      </w:pPr>
      <w:r>
        <w:rPr>
          <w:rFonts w:eastAsia="Times New Roman"/>
          <w:color w:val="000000"/>
          <w:sz w:val="20"/>
          <w:szCs w:val="20"/>
        </w:rPr>
        <w:t>We have a governance framework support</w:t>
      </w:r>
      <w:r>
        <w:rPr>
          <w:rFonts w:eastAsia="Times New Roman"/>
          <w:color w:val="000000"/>
          <w:sz w:val="20"/>
          <w:szCs w:val="20"/>
        </w:rPr>
        <w:t>ed by processes and controls intended to ensure that our estimate of the allowance for credit losses is appropriate. Our governance framework provides for oversight of methods, models, qualitative adjustments, process controls and results. At least quarter</w:t>
      </w:r>
      <w:r>
        <w:rPr>
          <w:rFonts w:eastAsia="Times New Roman"/>
          <w:color w:val="000000"/>
          <w:sz w:val="20"/>
          <w:szCs w:val="20"/>
        </w:rPr>
        <w:t xml:space="preserve">ly, representatives from the Finance and Risk Management organizations review and assess our allowance methodologies, key assumptions and the appropriateness of the allowance for credit losses. Groups independent of our estimation functions participate in </w:t>
      </w:r>
      <w:r>
        <w:rPr>
          <w:rFonts w:eastAsia="Times New Roman"/>
          <w:color w:val="000000"/>
          <w:sz w:val="20"/>
          <w:szCs w:val="20"/>
        </w:rPr>
        <w:t>the review and validation process. Tasks performed by these groups include periodic review of the rationale for and quantification of inputs requiring judgment as well as adjustments to results.</w:t>
      </w:r>
    </w:p>
    <w:p w:rsidR="00000000" w:rsidRDefault="0094004B">
      <w:pPr>
        <w:jc w:val="both"/>
        <w:divId w:val="1259751103"/>
        <w:rPr>
          <w:rFonts w:eastAsia="Times New Roman"/>
        </w:rPr>
      </w:pPr>
      <w:r>
        <w:rPr>
          <w:rFonts w:eastAsia="Times New Roman"/>
          <w:color w:val="000000"/>
          <w:sz w:val="20"/>
          <w:szCs w:val="20"/>
        </w:rPr>
        <w:t>We have a model policy, established by an independent Model R</w:t>
      </w:r>
      <w:r>
        <w:rPr>
          <w:rFonts w:eastAsia="Times New Roman"/>
          <w:color w:val="000000"/>
          <w:sz w:val="20"/>
          <w:szCs w:val="20"/>
        </w:rPr>
        <w:t>isk Office, which governs the validation of models and related supporting documentation to ensure the appropriate use of models for estimating credit losses. The Model Risk Office validates all models and requires ongoing monitoring of their performance.</w:t>
      </w:r>
    </w:p>
    <w:p w:rsidR="00000000" w:rsidRDefault="0094004B">
      <w:pPr>
        <w:jc w:val="both"/>
        <w:divId w:val="442844737"/>
        <w:rPr>
          <w:rFonts w:eastAsia="Times New Roman"/>
        </w:rPr>
      </w:pPr>
      <w:r>
        <w:rPr>
          <w:rFonts w:eastAsia="Times New Roman"/>
          <w:color w:val="000000"/>
          <w:sz w:val="20"/>
          <w:szCs w:val="20"/>
        </w:rPr>
        <w:t>I</w:t>
      </w:r>
      <w:r>
        <w:rPr>
          <w:rFonts w:eastAsia="Times New Roman"/>
          <w:color w:val="000000"/>
          <w:sz w:val="20"/>
          <w:szCs w:val="20"/>
        </w:rPr>
        <w:t>n addition to the allowance for credit losses, on a quarterly basis, we review and assess our estimate of expected losses related to unfunded lending commitments that are not unconditionally cancellable which are generally in our Commercial Banking busines</w:t>
      </w:r>
      <w:r>
        <w:rPr>
          <w:rFonts w:eastAsia="Times New Roman"/>
          <w:color w:val="000000"/>
          <w:sz w:val="20"/>
          <w:szCs w:val="20"/>
        </w:rPr>
        <w:t xml:space="preserve">s. The factors impacting our assessment generally align with those considered in our evaluation of the allowance for credit losses for the Commercial Banking business. The reserve for losses on unfunded lending commitments is included in other liabilities </w:t>
      </w:r>
      <w:r>
        <w:rPr>
          <w:rFonts w:eastAsia="Times New Roman"/>
          <w:color w:val="000000"/>
          <w:sz w:val="20"/>
          <w:szCs w:val="20"/>
        </w:rPr>
        <w:t>on the consolidated balance sheets and changes to it are recorded through the provision for credit losses in the consolidated statements of income.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989242209"/>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989242209"/>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989242209"/>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66</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092" style="width:0;height:1.5pt" o:hralign="center" o:hrstd="t" o:hr="t" fillcolor="#a0a0a0" stroked="f"/>
        </w:pict>
      </w:r>
    </w:p>
    <w:p w:rsidR="00000000" w:rsidRDefault="0094004B">
      <w:pPr>
        <w:ind w:hanging="360"/>
        <w:jc w:val="both"/>
        <w:divId w:val="539515590"/>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both"/>
        <w:divId w:val="1726677416"/>
        <w:rPr>
          <w:rFonts w:eastAsia="Times New Roman"/>
        </w:rPr>
      </w:pPr>
      <w:r>
        <w:rPr>
          <w:rFonts w:eastAsia="Times New Roman"/>
          <w:color w:val="000000"/>
          <w:sz w:val="20"/>
          <w:szCs w:val="20"/>
        </w:rPr>
        <w:t>Although we examine a variety of externally available data, as well as our internal loan performance data, to determine our allowance for credit losses and reserve for unfunded lending commitments, our estimation process is subject to risks and uncertainti</w:t>
      </w:r>
      <w:r>
        <w:rPr>
          <w:rFonts w:eastAsia="Times New Roman"/>
          <w:color w:val="000000"/>
          <w:sz w:val="20"/>
          <w:szCs w:val="20"/>
        </w:rPr>
        <w:t>es, including a reliance on historical loss and trend information that may not be representative of current conditions and indicative of future performance as well as economic forecasts that may not align with actual future economic conditions. Accordingly</w:t>
      </w:r>
      <w:r>
        <w:rPr>
          <w:rFonts w:eastAsia="Times New Roman"/>
          <w:color w:val="000000"/>
          <w:sz w:val="20"/>
          <w:szCs w:val="20"/>
        </w:rPr>
        <w:t>, our actual credit loss experience may not be in line with our expectations. We provide additional information on the methodologies and key assumptions used in determining our allowance for credit losses for each of our loan portfolio segments in “Part II</w:t>
      </w:r>
      <w:r>
        <w:rPr>
          <w:rFonts w:eastAsia="Times New Roman"/>
          <w:color w:val="000000"/>
          <w:sz w:val="20"/>
          <w:szCs w:val="20"/>
        </w:rPr>
        <w:t>—Item 8. Financial Statements and Supplementary Data—Note 1—Summary of Significant Accounting Policies.” We provide information on the components of our allowance, disaggregated by operating segment, and changes in our allowance in “Part II—Item 8. Financi</w:t>
      </w:r>
      <w:r>
        <w:rPr>
          <w:rFonts w:eastAsia="Times New Roman"/>
          <w:color w:val="000000"/>
          <w:sz w:val="20"/>
          <w:szCs w:val="20"/>
        </w:rPr>
        <w:t>al Statements and Supplementary Data—Note 4—Allowance for Credit Losses and Reserve for Unfunded Lending Commitments.”</w:t>
      </w:r>
    </w:p>
    <w:p w:rsidR="00000000" w:rsidRDefault="0094004B">
      <w:pPr>
        <w:divId w:val="288123202"/>
        <w:rPr>
          <w:rFonts w:eastAsia="Times New Roman"/>
        </w:rPr>
      </w:pPr>
      <w:r>
        <w:rPr>
          <w:rFonts w:eastAsia="Times New Roman"/>
          <w:b/>
          <w:bCs/>
          <w:color w:val="000000"/>
          <w:sz w:val="20"/>
          <w:szCs w:val="20"/>
        </w:rPr>
        <w:t xml:space="preserve">Goodwill </w:t>
      </w:r>
    </w:p>
    <w:p w:rsidR="00000000" w:rsidRDefault="0094004B">
      <w:pPr>
        <w:jc w:val="both"/>
        <w:divId w:val="1068453428"/>
        <w:rPr>
          <w:rFonts w:eastAsia="Times New Roman"/>
        </w:rPr>
      </w:pPr>
      <w:r>
        <w:rPr>
          <w:rFonts w:eastAsia="Times New Roman"/>
          <w:color w:val="000000"/>
          <w:sz w:val="20"/>
          <w:szCs w:val="20"/>
        </w:rPr>
        <w:t>Goodwill represents the excess of the fair value of the consideration transferred, plus the fair value of any non-controlling i</w:t>
      </w:r>
      <w:r>
        <w:rPr>
          <w:rFonts w:eastAsia="Times New Roman"/>
          <w:color w:val="000000"/>
          <w:sz w:val="20"/>
          <w:szCs w:val="20"/>
        </w:rPr>
        <w:t xml:space="preserve">nterests in the acquiree, over the fair value of the net assets acquired and liabilities assumed as of the acquisition date. </w:t>
      </w:r>
    </w:p>
    <w:p w:rsidR="00000000" w:rsidRDefault="0094004B">
      <w:pPr>
        <w:divId w:val="836766265"/>
        <w:rPr>
          <w:rFonts w:eastAsia="Times New Roman"/>
        </w:rPr>
      </w:pPr>
      <w:r>
        <w:rPr>
          <w:rFonts w:eastAsia="Times New Roman"/>
          <w:color w:val="000000"/>
          <w:sz w:val="20"/>
          <w:szCs w:val="20"/>
        </w:rPr>
        <w:t>Goodwill totaled $14.8 billion as of both December 31, 2022 and 2021.</w:t>
      </w:r>
      <w:r>
        <w:rPr>
          <w:rFonts w:eastAsia="Times New Roman"/>
          <w:color w:val="000000"/>
          <w:sz w:val="20"/>
          <w:szCs w:val="20"/>
          <w:shd w:val="clear" w:color="auto" w:fill="FFFFFF"/>
        </w:rPr>
        <w:t xml:space="preserve"> We did not recognize any goodwill impairment in 2022 </w:t>
      </w:r>
      <w:r>
        <w:rPr>
          <w:rFonts w:eastAsia="Times New Roman"/>
          <w:color w:val="000000"/>
          <w:sz w:val="20"/>
          <w:szCs w:val="20"/>
        </w:rPr>
        <w:t>or 2021</w:t>
      </w:r>
      <w:r>
        <w:rPr>
          <w:rFonts w:eastAsia="Times New Roman"/>
          <w:color w:val="000000"/>
          <w:sz w:val="20"/>
          <w:szCs w:val="20"/>
        </w:rPr>
        <w:t>. See “Part II—Item 8. Financial Statements and Supplementary Data—Note 6—Goodwill and Other Intangible Assets” for additional information.</w:t>
      </w:r>
    </w:p>
    <w:p w:rsidR="00000000" w:rsidRDefault="0094004B">
      <w:pPr>
        <w:jc w:val="both"/>
        <w:divId w:val="880246157"/>
        <w:rPr>
          <w:rFonts w:eastAsia="Times New Roman"/>
        </w:rPr>
      </w:pPr>
      <w:r>
        <w:rPr>
          <w:rFonts w:eastAsia="Times New Roman"/>
          <w:color w:val="000000"/>
          <w:sz w:val="20"/>
          <w:szCs w:val="20"/>
        </w:rPr>
        <w:t>We perform our goodwill impairment test annually on October 1 at a reporting unit level. We are also required to tes</w:t>
      </w:r>
      <w:r>
        <w:rPr>
          <w:rFonts w:eastAsia="Times New Roman"/>
          <w:color w:val="000000"/>
          <w:sz w:val="20"/>
          <w:szCs w:val="20"/>
        </w:rPr>
        <w:t>t goodwill for impairment whenever events or circumstances indicate it is more-likely-than-not that an impairment may have occurred. An impairment of a reporting unit’s goodwill is determined based on the amount by which the reporting unit’s carrying value</w:t>
      </w:r>
      <w:r>
        <w:rPr>
          <w:rFonts w:eastAsia="Times New Roman"/>
          <w:color w:val="000000"/>
          <w:sz w:val="20"/>
          <w:szCs w:val="20"/>
        </w:rPr>
        <w:t xml:space="preserve"> exceeds its fair value, limited to the amount of goodwill allocated to the reporting unit. We have four reporting units: Credit Card, Auto Finance, Other Consumer Banking and Commercial Banking. </w:t>
      </w:r>
    </w:p>
    <w:p w:rsidR="00000000" w:rsidRDefault="0094004B">
      <w:pPr>
        <w:jc w:val="both"/>
        <w:divId w:val="1234701368"/>
        <w:rPr>
          <w:rFonts w:eastAsia="Times New Roman"/>
        </w:rPr>
      </w:pPr>
      <w:r>
        <w:rPr>
          <w:rFonts w:eastAsia="Times New Roman"/>
          <w:color w:val="000000"/>
          <w:sz w:val="20"/>
          <w:szCs w:val="20"/>
        </w:rPr>
        <w:t>For the purpose of our goodwill impairment testing, we calc</w:t>
      </w:r>
      <w:r>
        <w:rPr>
          <w:rFonts w:eastAsia="Times New Roman"/>
          <w:color w:val="000000"/>
          <w:sz w:val="20"/>
          <w:szCs w:val="20"/>
        </w:rPr>
        <w:t>ulate the carrying amount of a reporting unit using an allocated capital approach based on each reporting unit’s specific regulatory capital requirements, economic capital requirements and underlying risks. The carrying amount for a reporting unit is the s</w:t>
      </w:r>
      <w:r>
        <w:rPr>
          <w:rFonts w:eastAsia="Times New Roman"/>
          <w:color w:val="000000"/>
          <w:sz w:val="20"/>
          <w:szCs w:val="20"/>
        </w:rPr>
        <w:t>um of its respective capital requirements, goodwill and other intangibles balances. Known future capital needs, such as dividends, share buybacks or other strategic initiatives, are assumed distributed to equity holders in future periods and are not alloca</w:t>
      </w:r>
      <w:r>
        <w:rPr>
          <w:rFonts w:eastAsia="Times New Roman"/>
          <w:color w:val="000000"/>
          <w:sz w:val="20"/>
          <w:szCs w:val="20"/>
        </w:rPr>
        <w:t>ted to the reporting units or the Other category.</w:t>
      </w:r>
    </w:p>
    <w:p w:rsidR="00000000" w:rsidRDefault="0094004B">
      <w:pPr>
        <w:jc w:val="both"/>
        <w:divId w:val="1466584173"/>
        <w:rPr>
          <w:rFonts w:eastAsia="Times New Roman"/>
        </w:rPr>
      </w:pPr>
      <w:r>
        <w:rPr>
          <w:rFonts w:eastAsia="Times New Roman"/>
          <w:color w:val="000000"/>
          <w:sz w:val="20"/>
          <w:szCs w:val="20"/>
        </w:rPr>
        <w:t>Determining the fair value of a reporting unit is a subjective process that requires the use of estimates and the exercise of significant judgment. We calculate the fair value of our reporting units using a</w:t>
      </w:r>
      <w:r>
        <w:rPr>
          <w:rFonts w:eastAsia="Times New Roman"/>
          <w:color w:val="000000"/>
          <w:sz w:val="20"/>
          <w:szCs w:val="20"/>
        </w:rPr>
        <w:t xml:space="preserve"> discounted cash flow (“DCF”) calculation, a form of the income approach. This DCF calculation uses projected cash flows based on each reporting unit’s internal forecast and the perpetuity growth method to calculate terminal values. Our DCF calculation req</w:t>
      </w:r>
      <w:r>
        <w:rPr>
          <w:rFonts w:eastAsia="Times New Roman"/>
          <w:color w:val="000000"/>
          <w:sz w:val="20"/>
          <w:szCs w:val="20"/>
        </w:rPr>
        <w:t>uires management to make estimates about future loan, deposit and revenue growth, as well as credit losses and capital rates. These cash flows and terminal values are then discounted using discount rates based on our external cost of capital with adjustmen</w:t>
      </w:r>
      <w:r>
        <w:rPr>
          <w:rFonts w:eastAsia="Times New Roman"/>
          <w:color w:val="000000"/>
          <w:sz w:val="20"/>
          <w:szCs w:val="20"/>
        </w:rPr>
        <w:t>ts for the risk inherent in each reporting unit</w:t>
      </w:r>
      <w:r>
        <w:rPr>
          <w:rFonts w:eastAsia="Times New Roman"/>
          <w:color w:val="000000"/>
          <w:sz w:val="20"/>
          <w:szCs w:val="20"/>
          <w:shd w:val="clear" w:color="auto" w:fill="FFFFFF"/>
        </w:rPr>
        <w:t xml:space="preserve">. Discount rates used for our reporting units ranged from 8.4% to 12.2%, and we applied a terminal year long-term growth rate of 3.7% to all reporting units. </w:t>
      </w:r>
      <w:r>
        <w:rPr>
          <w:rFonts w:eastAsia="Times New Roman"/>
          <w:color w:val="000000"/>
          <w:sz w:val="20"/>
          <w:szCs w:val="20"/>
        </w:rPr>
        <w:t>The reasonableness of our DCF calculation is a</w:t>
      </w:r>
      <w:r>
        <w:rPr>
          <w:rFonts w:eastAsia="Times New Roman"/>
          <w:color w:val="000000"/>
          <w:sz w:val="20"/>
          <w:szCs w:val="20"/>
          <w:shd w:val="clear" w:color="auto" w:fill="FFFFFF"/>
        </w:rPr>
        <w:t>ssess</w:t>
      </w:r>
      <w:r>
        <w:rPr>
          <w:rFonts w:eastAsia="Times New Roman"/>
          <w:color w:val="000000"/>
          <w:sz w:val="20"/>
          <w:szCs w:val="20"/>
          <w:shd w:val="clear" w:color="auto" w:fill="FFFFFF"/>
        </w:rPr>
        <w:t>ed by reference to a market-based approach using comparable market multiples and recent market transactions where available. The results of the 2022 annual impairment test for the reporting units indicated that the estimated fair values of the Commercial B</w:t>
      </w:r>
      <w:r>
        <w:rPr>
          <w:rFonts w:eastAsia="Times New Roman"/>
          <w:color w:val="000000"/>
          <w:sz w:val="20"/>
          <w:szCs w:val="20"/>
          <w:shd w:val="clear" w:color="auto" w:fill="FFFFFF"/>
        </w:rPr>
        <w:t>anking, Credit Card, Auto Finance, and Other Consumer Banking reporting units exceeded their carrying amounts by between 17% and 72%.</w:t>
      </w:r>
    </w:p>
    <w:p w:rsidR="00000000" w:rsidRDefault="0094004B">
      <w:pPr>
        <w:jc w:val="both"/>
        <w:divId w:val="497618370"/>
        <w:rPr>
          <w:rFonts w:eastAsia="Times New Roman"/>
        </w:rPr>
      </w:pPr>
      <w:r>
        <w:rPr>
          <w:rFonts w:eastAsia="Times New Roman"/>
          <w:color w:val="000000"/>
          <w:sz w:val="20"/>
          <w:szCs w:val="20"/>
        </w:rPr>
        <w:t>Assumptions used in estimating the fair value of a reporting unit are judgmental and inherently uncertain. A change in the</w:t>
      </w:r>
      <w:r>
        <w:rPr>
          <w:rFonts w:eastAsia="Times New Roman"/>
          <w:color w:val="000000"/>
          <w:sz w:val="20"/>
          <w:szCs w:val="20"/>
        </w:rPr>
        <w:t xml:space="preserve"> economic conditions of a reporting unit, such as declines in business performance as a result of industry or macroeconomic trends or changes in our strategy, adverse impacts to loan or deposit growth trends, decreases in revenue, increases in expenses, in</w:t>
      </w:r>
      <w:r>
        <w:rPr>
          <w:rFonts w:eastAsia="Times New Roman"/>
          <w:color w:val="000000"/>
          <w:sz w:val="20"/>
          <w:szCs w:val="20"/>
        </w:rPr>
        <w:t>creases in credit losses, increases in capital requirements, deterioration of market conditions, declines in long-term growth expectations, adverse impacts of regulatory or legislative changes or increases in the estimated cost of capital, including if the</w:t>
      </w:r>
      <w:r>
        <w:rPr>
          <w:rFonts w:eastAsia="Times New Roman"/>
          <w:color w:val="000000"/>
          <w:sz w:val="20"/>
          <w:szCs w:val="20"/>
        </w:rPr>
        <w:t>se conditions are merely forecasted to occur in future periods, could cause the estimated fair values of our reporting units to decline in the future, and increase the risk of a goodwill impairment in a future period.</w:t>
      </w:r>
    </w:p>
    <w:p w:rsidR="00000000" w:rsidRDefault="0094004B">
      <w:pPr>
        <w:jc w:val="both"/>
        <w:rPr>
          <w:rFonts w:eastAsia="Times New Roman"/>
        </w:rPr>
      </w:pPr>
      <w:r>
        <w:rPr>
          <w:rFonts w:eastAsia="Times New Roman"/>
          <w:color w:val="000000"/>
          <w:sz w:val="20"/>
          <w:szCs w:val="20"/>
        </w:rPr>
        <w:t>We have a governance framework support</w:t>
      </w:r>
      <w:r>
        <w:rPr>
          <w:rFonts w:eastAsia="Times New Roman"/>
          <w:color w:val="000000"/>
          <w:sz w:val="20"/>
          <w:szCs w:val="20"/>
        </w:rPr>
        <w:t xml:space="preserve">ed by processes and controls intended to ensure that the accounting and disclosure for goodwill is appropriate. Our governance framework provides for oversight of assumptions, forecast inputs, methods, process controls and results.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809857758"/>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809857758"/>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809857758"/>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67</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093" style="width:0;height:1.5pt" o:hralign="center" o:hrstd="t" o:hr="t" fillcolor="#a0a0a0" stroked="f"/>
        </w:pict>
      </w:r>
    </w:p>
    <w:p w:rsidR="00000000" w:rsidRDefault="0094004B">
      <w:pPr>
        <w:ind w:hanging="360"/>
        <w:jc w:val="both"/>
        <w:divId w:val="768694319"/>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divId w:val="873544947"/>
        <w:rPr>
          <w:rFonts w:eastAsia="Times New Roman"/>
        </w:rPr>
      </w:pPr>
      <w:r>
        <w:rPr>
          <w:rFonts w:eastAsia="Times New Roman"/>
          <w:b/>
          <w:bCs/>
          <w:color w:val="000000"/>
          <w:sz w:val="20"/>
          <w:szCs w:val="20"/>
        </w:rPr>
        <w:t>Fair Value</w:t>
      </w:r>
    </w:p>
    <w:p w:rsidR="00000000" w:rsidRDefault="0094004B">
      <w:pPr>
        <w:jc w:val="both"/>
        <w:divId w:val="1075589479"/>
        <w:rPr>
          <w:rFonts w:eastAsia="Times New Roman"/>
        </w:rPr>
      </w:pPr>
      <w:r>
        <w:rPr>
          <w:rFonts w:eastAsia="Times New Roman"/>
          <w:color w:val="000000"/>
          <w:sz w:val="20"/>
          <w:szCs w:val="20"/>
        </w:rPr>
        <w:t>Fair value, also referred to as an exit price, is defined as the price that would be received for an asset or paid to transfer a liability in an orderly transaction between market participants on the measurement date. The fair value accounting guidance pro</w:t>
      </w:r>
      <w:r>
        <w:rPr>
          <w:rFonts w:eastAsia="Times New Roman"/>
          <w:color w:val="000000"/>
          <w:sz w:val="20"/>
          <w:szCs w:val="20"/>
        </w:rPr>
        <w:t xml:space="preserve">vides a three-level fair value hierarchy for classifying financial instruments. This hierarchy is based on the markets in which the assets or liabilities trade and whether the inputs to the valuation techniques used to measure fair value are observable or </w:t>
      </w:r>
      <w:r>
        <w:rPr>
          <w:rFonts w:eastAsia="Times New Roman"/>
          <w:color w:val="000000"/>
          <w:sz w:val="20"/>
          <w:szCs w:val="20"/>
        </w:rPr>
        <w:t>unobservable. The fair value measurement of a financial asset or liability is assigned a level based on the lowest level of any input that is significant to the fair value measurement in its entirety. The three levels of the fair value hierarchy are descri</w:t>
      </w:r>
      <w:r>
        <w:rPr>
          <w:rFonts w:eastAsia="Times New Roman"/>
          <w:color w:val="000000"/>
          <w:sz w:val="20"/>
          <w:szCs w:val="20"/>
        </w:rPr>
        <w:t>bed below:</w:t>
      </w:r>
    </w:p>
    <w:p w:rsidR="00000000" w:rsidRDefault="0094004B">
      <w:pPr>
        <w:ind w:firstLine="450"/>
        <w:jc w:val="both"/>
        <w:divId w:val="1176262411"/>
        <w:rPr>
          <w:rFonts w:eastAsia="Times New Roman"/>
        </w:rPr>
      </w:pPr>
      <w:r>
        <w:rPr>
          <w:rFonts w:eastAsia="Times New Roman"/>
          <w:color w:val="000000"/>
          <w:sz w:val="20"/>
          <w:szCs w:val="20"/>
        </w:rPr>
        <w:t xml:space="preserve">Level 1: Valuation is based on quoted prices (unadjusted) in active markets for identical assets or liabilities. </w:t>
      </w:r>
    </w:p>
    <w:p w:rsidR="00000000" w:rsidRDefault="0094004B">
      <w:pPr>
        <w:jc w:val="both"/>
        <w:divId w:val="1421567079"/>
        <w:rPr>
          <w:rFonts w:eastAsia="Times New Roman"/>
        </w:rPr>
      </w:pPr>
      <w:r>
        <w:rPr>
          <w:rFonts w:eastAsia="Times New Roman"/>
          <w:color w:val="000000"/>
          <w:sz w:val="20"/>
          <w:szCs w:val="20"/>
        </w:rPr>
        <w:t>Level 2: Valuation is based on observable market-based inputs other than Level 1 prices, such as quoted prices for similar assets o</w:t>
      </w:r>
      <w:r>
        <w:rPr>
          <w:rFonts w:eastAsia="Times New Roman"/>
          <w:color w:val="000000"/>
          <w:sz w:val="20"/>
          <w:szCs w:val="20"/>
        </w:rPr>
        <w:t xml:space="preserve">r liabilities, quoted prices in markets that are not active, or other inputs that are observable or can be corroborated by observable market data for substantially the full term of the assets or liabilities. </w:t>
      </w:r>
    </w:p>
    <w:p w:rsidR="00000000" w:rsidRDefault="0094004B">
      <w:pPr>
        <w:jc w:val="both"/>
        <w:divId w:val="1857650163"/>
        <w:rPr>
          <w:rFonts w:eastAsia="Times New Roman"/>
        </w:rPr>
      </w:pPr>
      <w:r>
        <w:rPr>
          <w:rFonts w:eastAsia="Times New Roman"/>
          <w:color w:val="000000"/>
          <w:sz w:val="20"/>
          <w:szCs w:val="20"/>
        </w:rPr>
        <w:t>Level 3: Valuation is generated from techniques</w:t>
      </w:r>
      <w:r>
        <w:rPr>
          <w:rFonts w:eastAsia="Times New Roman"/>
          <w:color w:val="000000"/>
          <w:sz w:val="20"/>
          <w:szCs w:val="20"/>
        </w:rPr>
        <w:t xml:space="preserve"> that use significant assumptions not observable in the market. Valuation techniques include pricing models, discounted cash flow methodologies or similar techniques. </w:t>
      </w:r>
    </w:p>
    <w:p w:rsidR="00000000" w:rsidRDefault="0094004B">
      <w:pPr>
        <w:jc w:val="both"/>
        <w:divId w:val="1880389606"/>
        <w:rPr>
          <w:rFonts w:eastAsia="Times New Roman"/>
        </w:rPr>
      </w:pPr>
      <w:r>
        <w:rPr>
          <w:rFonts w:eastAsia="Times New Roman"/>
          <w:color w:val="000000"/>
          <w:sz w:val="20"/>
          <w:szCs w:val="20"/>
        </w:rPr>
        <w:t xml:space="preserve">The degree of management judgment involved in determining the fair value of a financial </w:t>
      </w:r>
      <w:r>
        <w:rPr>
          <w:rFonts w:eastAsia="Times New Roman"/>
          <w:color w:val="000000"/>
          <w:sz w:val="20"/>
          <w:szCs w:val="20"/>
        </w:rPr>
        <w:t>instrument is dependent upon the availability of quoted prices in active markets or observable market parameters. When quoted prices and observable data in active markets are not fully available, management judgment is necessary to estimate fair value. Cha</w:t>
      </w:r>
      <w:r>
        <w:rPr>
          <w:rFonts w:eastAsia="Times New Roman"/>
          <w:color w:val="000000"/>
          <w:sz w:val="20"/>
          <w:szCs w:val="20"/>
        </w:rPr>
        <w:t>nges in market conditions, such as reduced liquidity in the capital markets or changes in secondary market activities, may reduce the availability and reliability of quoted prices or observable data used to determine fair value.</w:t>
      </w:r>
    </w:p>
    <w:p w:rsidR="00000000" w:rsidRDefault="0094004B">
      <w:pPr>
        <w:jc w:val="both"/>
        <w:divId w:val="1666476942"/>
        <w:rPr>
          <w:rFonts w:eastAsia="Times New Roman"/>
        </w:rPr>
      </w:pPr>
      <w:r>
        <w:rPr>
          <w:rFonts w:eastAsia="Times New Roman"/>
          <w:color w:val="000000"/>
          <w:sz w:val="20"/>
          <w:szCs w:val="20"/>
        </w:rPr>
        <w:t xml:space="preserve">We have developed policies </w:t>
      </w:r>
      <w:r>
        <w:rPr>
          <w:rFonts w:eastAsia="Times New Roman"/>
          <w:color w:val="000000"/>
          <w:sz w:val="20"/>
          <w:szCs w:val="20"/>
        </w:rPr>
        <w:t xml:space="preserve">and procedures to determine when markets for our financial assets and liabilities are inactive if the level and volume of activity has declined significantly relative to normal conditions. If markets are determined to be inactive, it may be appropriate to </w:t>
      </w:r>
      <w:r>
        <w:rPr>
          <w:rFonts w:eastAsia="Times New Roman"/>
          <w:color w:val="000000"/>
          <w:sz w:val="20"/>
          <w:szCs w:val="20"/>
        </w:rPr>
        <w:t>adjust price quotes received. When significant adjustments are required to price quotes or inputs, it may be appropriate to utilize an estimate based primarily on unobservable inputs.</w:t>
      </w:r>
    </w:p>
    <w:p w:rsidR="00000000" w:rsidRDefault="0094004B">
      <w:pPr>
        <w:jc w:val="both"/>
        <w:divId w:val="1480419135"/>
        <w:rPr>
          <w:rFonts w:eastAsia="Times New Roman"/>
        </w:rPr>
      </w:pPr>
      <w:r>
        <w:rPr>
          <w:rFonts w:eastAsia="Times New Roman"/>
          <w:color w:val="000000"/>
          <w:sz w:val="20"/>
          <w:szCs w:val="20"/>
        </w:rPr>
        <w:t>Significant judgment may be required to determine whether certain financ</w:t>
      </w:r>
      <w:r>
        <w:rPr>
          <w:rFonts w:eastAsia="Times New Roman"/>
          <w:color w:val="000000"/>
          <w:sz w:val="20"/>
          <w:szCs w:val="20"/>
        </w:rPr>
        <w:t>ial instruments measured at fair value are classified as Level 2 or Level 3. In making this determination, we consider all available information that market participants use to measure the fair value of the financial instrument, including observable market</w:t>
      </w:r>
      <w:r>
        <w:rPr>
          <w:rFonts w:eastAsia="Times New Roman"/>
          <w:color w:val="000000"/>
          <w:sz w:val="20"/>
          <w:szCs w:val="20"/>
        </w:rPr>
        <w:t xml:space="preserve"> data, indications of market liquidity and orderliness, and our understanding of the valuation techniques and significant inputs used. Based upon the specific facts and circumstances of each instrument or instrument category, judgments are made regarding t</w:t>
      </w:r>
      <w:r>
        <w:rPr>
          <w:rFonts w:eastAsia="Times New Roman"/>
          <w:color w:val="000000"/>
          <w:sz w:val="20"/>
          <w:szCs w:val="20"/>
        </w:rPr>
        <w:t>he significance of the Level 3 inputs to the instruments’ fair value measurement in its entirety. If Level 3 inputs are considered significant, the instrument is classified as Level 3. The process for determining fair value using unobservable inputs is gen</w:t>
      </w:r>
      <w:r>
        <w:rPr>
          <w:rFonts w:eastAsia="Times New Roman"/>
          <w:color w:val="000000"/>
          <w:sz w:val="20"/>
          <w:szCs w:val="20"/>
        </w:rPr>
        <w:t>erally more subjective and involves a high degree of management judgment and assumptions. We discuss changes in the valuation inputs and assumptions used in determining the fair value of our financial instruments, including the extent to which we have reli</w:t>
      </w:r>
      <w:r>
        <w:rPr>
          <w:rFonts w:eastAsia="Times New Roman"/>
          <w:color w:val="000000"/>
          <w:sz w:val="20"/>
          <w:szCs w:val="20"/>
        </w:rPr>
        <w:t>ed on significant unobservable inputs to estimate fair value and our process for corroborating these inputs, in “Part II—Item 8. Financial Statements and Supplementary Data—Note 16—Fair Value Measurement.”</w:t>
      </w:r>
    </w:p>
    <w:p w:rsidR="00000000" w:rsidRDefault="0094004B">
      <w:pPr>
        <w:jc w:val="both"/>
        <w:divId w:val="2135556587"/>
        <w:rPr>
          <w:rFonts w:eastAsia="Times New Roman"/>
        </w:rPr>
      </w:pPr>
      <w:r>
        <w:rPr>
          <w:rFonts w:eastAsia="Times New Roman"/>
          <w:color w:val="000000"/>
          <w:sz w:val="20"/>
          <w:szCs w:val="20"/>
        </w:rPr>
        <w:t>We have a governance framework and a number of key</w:t>
      </w:r>
      <w:r>
        <w:rPr>
          <w:rFonts w:eastAsia="Times New Roman"/>
          <w:color w:val="000000"/>
          <w:sz w:val="20"/>
          <w:szCs w:val="20"/>
        </w:rPr>
        <w:t xml:space="preserve"> controls that are intended to ensure that our fair value measurements are appropriate and reliable. Our governance framework provides for independent oversight and segregation of duties. Our control processes include review and approval of new transaction</w:t>
      </w:r>
      <w:r>
        <w:rPr>
          <w:rFonts w:eastAsia="Times New Roman"/>
          <w:color w:val="000000"/>
          <w:sz w:val="20"/>
          <w:szCs w:val="20"/>
        </w:rPr>
        <w:t xml:space="preserve"> types, price verification, and review of valuation judgments, methods, models, process controls and results.</w:t>
      </w:r>
    </w:p>
    <w:p w:rsidR="00000000" w:rsidRDefault="0094004B">
      <w:pPr>
        <w:jc w:val="both"/>
        <w:divId w:val="496968213"/>
        <w:rPr>
          <w:rFonts w:eastAsia="Times New Roman"/>
        </w:rPr>
      </w:pPr>
      <w:r>
        <w:rPr>
          <w:rFonts w:eastAsia="Times New Roman"/>
          <w:color w:val="000000"/>
          <w:sz w:val="20"/>
          <w:szCs w:val="20"/>
        </w:rPr>
        <w:t>Groups independent of our trading and investing functions participate in the review and validation process. Tasks performed by these groups include periodic verification of fair value measurements to determine if assigned fair values are reasonable, includ</w:t>
      </w:r>
      <w:r>
        <w:rPr>
          <w:rFonts w:eastAsia="Times New Roman"/>
          <w:color w:val="000000"/>
          <w:sz w:val="20"/>
          <w:szCs w:val="20"/>
        </w:rPr>
        <w:t>ing comparing prices from vendor pricing services to other available market information.</w:t>
      </w:r>
    </w:p>
    <w:p w:rsidR="00000000" w:rsidRDefault="0094004B">
      <w:pPr>
        <w:jc w:val="both"/>
        <w:divId w:val="332951418"/>
        <w:rPr>
          <w:rFonts w:eastAsia="Times New Roman"/>
        </w:rPr>
      </w:pPr>
      <w:r>
        <w:rPr>
          <w:rFonts w:eastAsia="Times New Roman"/>
          <w:color w:val="000000"/>
          <w:sz w:val="20"/>
          <w:szCs w:val="20"/>
        </w:rPr>
        <w:t>Our Fair Value Committee (“FVC”), which includes representation from business areas, Risk Management and Finance, provides guidance and oversight to ensure an appropri</w:t>
      </w:r>
      <w:r>
        <w:rPr>
          <w:rFonts w:eastAsia="Times New Roman"/>
          <w:color w:val="000000"/>
          <w:sz w:val="20"/>
          <w:szCs w:val="20"/>
        </w:rPr>
        <w:t>ate valuation control environment. The FVC regularly reviews and approves our fair valuations to ensure that our valuation practices are consistent with industry standards and adhere to regulatory and accounting guidance.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768036285"/>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768036285"/>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768036285"/>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68</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094" style="width:0;height:1.5pt" o:hralign="center" o:hrstd="t" o:hr="t" fillcolor="#a0a0a0" stroked="f"/>
        </w:pict>
      </w:r>
    </w:p>
    <w:p w:rsidR="00000000" w:rsidRDefault="0094004B">
      <w:pPr>
        <w:ind w:hanging="360"/>
        <w:jc w:val="both"/>
        <w:divId w:val="134224999"/>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both"/>
        <w:divId w:val="858545479"/>
        <w:rPr>
          <w:rFonts w:eastAsia="Times New Roman"/>
        </w:rPr>
      </w:pPr>
      <w:r>
        <w:rPr>
          <w:rFonts w:eastAsia="Times New Roman"/>
          <w:color w:val="000000"/>
          <w:sz w:val="20"/>
          <w:szCs w:val="20"/>
        </w:rPr>
        <w:t>We have a model policy, established by an independent Model Risk Office, which governs the validation of models and related supporting document</w:t>
      </w:r>
      <w:r>
        <w:rPr>
          <w:rFonts w:eastAsia="Times New Roman"/>
          <w:color w:val="000000"/>
          <w:sz w:val="20"/>
          <w:szCs w:val="20"/>
        </w:rPr>
        <w:t>ation to ensure the appropriate use of models for pricing and fair value measurements. The Model Risk Office validates all models and requires ongoing monitoring of their performance.</w:t>
      </w:r>
    </w:p>
    <w:p w:rsidR="00000000" w:rsidRDefault="0094004B">
      <w:pPr>
        <w:jc w:val="both"/>
        <w:divId w:val="179442221"/>
        <w:rPr>
          <w:rFonts w:eastAsia="Times New Roman"/>
        </w:rPr>
      </w:pPr>
      <w:r>
        <w:rPr>
          <w:rFonts w:eastAsia="Times New Roman"/>
          <w:color w:val="000000"/>
          <w:sz w:val="20"/>
          <w:szCs w:val="20"/>
        </w:rPr>
        <w:t xml:space="preserve">The fair value governance process is set up in a manner that allows the </w:t>
      </w:r>
      <w:r>
        <w:rPr>
          <w:rFonts w:eastAsia="Times New Roman"/>
          <w:color w:val="000000"/>
          <w:sz w:val="20"/>
          <w:szCs w:val="20"/>
        </w:rPr>
        <w:t>Chairperson of the FVC to escalate valuation disputes that cannot be resolved by the FVC to a more senior committee called the Valuations Advisory Committee (“VAC”) for resolution. The VAC is chaired by the Chief Financial Officer and includes other member</w:t>
      </w:r>
      <w:r>
        <w:rPr>
          <w:rFonts w:eastAsia="Times New Roman"/>
          <w:color w:val="000000"/>
          <w:sz w:val="20"/>
          <w:szCs w:val="20"/>
        </w:rPr>
        <w:t>s of senior manageme</w:t>
      </w:r>
      <w:r>
        <w:rPr>
          <w:rFonts w:eastAsia="Times New Roman"/>
          <w:color w:val="000000"/>
          <w:sz w:val="20"/>
          <w:szCs w:val="20"/>
          <w:shd w:val="clear" w:color="auto" w:fill="FFFFFF"/>
        </w:rPr>
        <w:t>nt. .</w:t>
      </w:r>
      <w:r>
        <w:rPr>
          <w:rFonts w:eastAsia="Times New Roman"/>
          <w:color w:val="000000"/>
          <w:sz w:val="20"/>
          <w:szCs w:val="20"/>
        </w:rPr>
        <w:t xml:space="preserve"> There were no disputes escalated to the VAC for the years ended December 31, 2022 and 2021.</w:t>
      </w:r>
    </w:p>
    <w:p w:rsidR="00000000" w:rsidRDefault="0094004B">
      <w:pPr>
        <w:divId w:val="1629582449"/>
        <w:rPr>
          <w:rFonts w:eastAsia="Times New Roman"/>
        </w:rPr>
      </w:pPr>
      <w:r>
        <w:rPr>
          <w:rFonts w:eastAsia="Times New Roman"/>
          <w:b/>
          <w:bCs/>
          <w:color w:val="000000"/>
          <w:sz w:val="20"/>
          <w:szCs w:val="20"/>
        </w:rPr>
        <w:t>Customer Rewards Reserve</w:t>
      </w:r>
    </w:p>
    <w:p w:rsidR="00000000" w:rsidRDefault="0094004B">
      <w:pPr>
        <w:jc w:val="both"/>
        <w:divId w:val="1020163759"/>
        <w:rPr>
          <w:rFonts w:eastAsia="Times New Roman"/>
        </w:rPr>
      </w:pPr>
      <w:r>
        <w:rPr>
          <w:rFonts w:eastAsia="Times New Roman"/>
          <w:color w:val="000000"/>
          <w:sz w:val="20"/>
          <w:szCs w:val="20"/>
        </w:rPr>
        <w:t>We offer products, primarily credit cards, which include programs that allow members to earn rewards based on acc</w:t>
      </w:r>
      <w:r>
        <w:rPr>
          <w:rFonts w:eastAsia="Times New Roman"/>
          <w:color w:val="000000"/>
          <w:sz w:val="20"/>
          <w:szCs w:val="20"/>
        </w:rPr>
        <w:t>ount activity that can be redeemed for cash (primarily in the form of statement credits), gift cards, travel, or covering eligible charges. The amount of rewards that a customer earns varies based on the terms and conditions of the rewards program and prod</w:t>
      </w:r>
      <w:r>
        <w:rPr>
          <w:rFonts w:eastAsia="Times New Roman"/>
          <w:color w:val="000000"/>
          <w:sz w:val="20"/>
          <w:szCs w:val="20"/>
        </w:rPr>
        <w:t>uct. The majority of our rewards do not expire and there is no limit on the amount of rewards an eligible card member can earn. Customer rewards costs, which we generally record as an offset to interchange income, are driven by various factors such as card</w:t>
      </w:r>
      <w:r>
        <w:rPr>
          <w:rFonts w:eastAsia="Times New Roman"/>
          <w:color w:val="000000"/>
          <w:sz w:val="20"/>
          <w:szCs w:val="20"/>
        </w:rPr>
        <w:t xml:space="preserve"> member purchase volume, the terms and conditions of the rewards program and rewards redemption cost. We establish a customer rewards reserve that reflects management’s judgment regarding rewards earned that are expected to be redeemed and the estimated re</w:t>
      </w:r>
      <w:r>
        <w:rPr>
          <w:rFonts w:eastAsia="Times New Roman"/>
          <w:color w:val="000000"/>
          <w:sz w:val="20"/>
          <w:szCs w:val="20"/>
        </w:rPr>
        <w:t>demption cost.</w:t>
      </w:r>
    </w:p>
    <w:p w:rsidR="00000000" w:rsidRDefault="0094004B">
      <w:pPr>
        <w:jc w:val="both"/>
        <w:divId w:val="1104575351"/>
        <w:rPr>
          <w:rFonts w:eastAsia="Times New Roman"/>
        </w:rPr>
      </w:pPr>
      <w:r>
        <w:rPr>
          <w:rFonts w:eastAsia="Times New Roman"/>
          <w:color w:val="000000"/>
          <w:sz w:val="20"/>
          <w:szCs w:val="20"/>
        </w:rPr>
        <w:t>We use financial models to estimate ultimate redemption rates of rewards earned to date by current card members based on historical redemption trends, current enrollee redemption behavior, card product type, year of program enrollment, enrol</w:t>
      </w:r>
      <w:r>
        <w:rPr>
          <w:rFonts w:eastAsia="Times New Roman"/>
          <w:color w:val="000000"/>
          <w:sz w:val="20"/>
          <w:szCs w:val="20"/>
        </w:rPr>
        <w:t>lment tenure and card spend levels. Our current assumption is that the vast majority of all rewards earned will eventually be redeemed. We use the weighted-average redemption cost during the previous twelve months, adjusted as appropriate for recent change</w:t>
      </w:r>
      <w:r>
        <w:rPr>
          <w:rFonts w:eastAsia="Times New Roman"/>
          <w:color w:val="000000"/>
          <w:sz w:val="20"/>
          <w:szCs w:val="20"/>
        </w:rPr>
        <w:t>s in redemption costs, including changes related to the mix of rewards redeemed, to estimate future redemption costs. We continually evaluate our reserve and assumptions based on developments in redemption patterns, changes to the terms and conditions of t</w:t>
      </w:r>
      <w:r>
        <w:rPr>
          <w:rFonts w:eastAsia="Times New Roman"/>
          <w:color w:val="000000"/>
          <w:sz w:val="20"/>
          <w:szCs w:val="20"/>
        </w:rPr>
        <w:t>he rewards program and other factors. While the rewards liability is sensitive to changes in assumptions for redemption rates and costs and involves management judgment, we believe portfolio characteristics and historical performance are the best indicatio</w:t>
      </w:r>
      <w:r>
        <w:rPr>
          <w:rFonts w:eastAsia="Times New Roman"/>
          <w:color w:val="000000"/>
          <w:sz w:val="20"/>
          <w:szCs w:val="20"/>
        </w:rPr>
        <w:t>n of future reward redemption behavior and are the primary basis for our estimate. We recognized customer rewards expense of $7.6 billion, $6.4 billion and $4.9 billion in 2022, 2021</w:t>
      </w:r>
      <w:r>
        <w:rPr>
          <w:rFonts w:eastAsia="Times New Roman"/>
          <w:color w:val="000000"/>
          <w:sz w:val="16"/>
          <w:szCs w:val="16"/>
        </w:rPr>
        <w:t xml:space="preserve"> </w:t>
      </w:r>
      <w:r>
        <w:rPr>
          <w:rFonts w:eastAsia="Times New Roman"/>
          <w:color w:val="000000"/>
          <w:sz w:val="20"/>
          <w:szCs w:val="20"/>
        </w:rPr>
        <w:t>and 2020, respectively. Our customer rewards reserve, which is included i</w:t>
      </w:r>
      <w:r>
        <w:rPr>
          <w:rFonts w:eastAsia="Times New Roman"/>
          <w:color w:val="000000"/>
          <w:sz w:val="20"/>
          <w:szCs w:val="20"/>
        </w:rPr>
        <w:t>n other liabilities on our consolidated balance sheets, totaled $6.8 billion and $6.2 billion as of December 31, 2022 and 2021, respectively.</w:t>
      </w:r>
    </w:p>
    <w:p w:rsidR="00000000" w:rsidRDefault="0094004B">
      <w:pPr>
        <w:jc w:val="both"/>
        <w:divId w:val="832335949"/>
        <w:rPr>
          <w:rFonts w:eastAsia="Times New Roman"/>
        </w:rPr>
      </w:pPr>
      <w:r>
        <w:rPr>
          <w:rFonts w:eastAsia="Times New Roman"/>
          <w:color w:val="000000"/>
          <w:sz w:val="20"/>
          <w:szCs w:val="20"/>
        </w:rPr>
        <w:t>We have a governance framework supported by processes and controls that are intended to ensure that our rewards li</w:t>
      </w:r>
      <w:r>
        <w:rPr>
          <w:rFonts w:eastAsia="Times New Roman"/>
          <w:color w:val="000000"/>
          <w:sz w:val="20"/>
          <w:szCs w:val="20"/>
        </w:rPr>
        <w:t>ability estimate is appropriate and reliable. Our governance framework provides for oversight of assumptions, inputs, methods, process controls and results. Additional controls are performed to ensure all underlying data used to derive the rewards liabilit</w:t>
      </w:r>
      <w:r>
        <w:rPr>
          <w:rFonts w:eastAsia="Times New Roman"/>
          <w:color w:val="000000"/>
          <w:sz w:val="20"/>
          <w:szCs w:val="20"/>
        </w:rPr>
        <w:t xml:space="preserve">y is complete and accurate. </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422070575"/>
        </w:trPr>
        <w:tc>
          <w:tcPr>
            <w:tcW w:w="50" w:type="pct"/>
            <w:vAlign w:val="center"/>
            <w:hideMark/>
          </w:tcPr>
          <w:p w:rsidR="00000000" w:rsidRDefault="0094004B">
            <w:pPr>
              <w:jc w:val="both"/>
              <w:rPr>
                <w:rFonts w:eastAsia="Times New Roman"/>
              </w:rPr>
            </w:pPr>
          </w:p>
        </w:tc>
        <w:tc>
          <w:tcPr>
            <w:tcW w:w="494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422070575"/>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20"/>
                <w:szCs w:val="20"/>
              </w:rPr>
              <w:t>ACCOUNTING CHANGES AND DEVELOPMENTS</w:t>
            </w:r>
          </w:p>
        </w:tc>
      </w:tr>
    </w:tbl>
    <w:p w:rsidR="00000000" w:rsidRDefault="0094004B">
      <w:pPr>
        <w:divId w:val="162741508"/>
        <w:rPr>
          <w:rFonts w:eastAsia="Times New Roman"/>
        </w:rPr>
      </w:pPr>
      <w:r>
        <w:rPr>
          <w:rFonts w:eastAsia="Times New Roman"/>
          <w:b/>
          <w:bCs/>
          <w:color w:val="000000"/>
          <w:sz w:val="20"/>
          <w:szCs w:val="20"/>
        </w:rPr>
        <w:t xml:space="preserve">Accounting Standards Issued but Not Adopted as of December 31, 2022 </w:t>
      </w:r>
    </w:p>
    <w:tbl>
      <w:tblPr>
        <w:tblW w:w="4970" w:type="pct"/>
        <w:jc w:val="center"/>
        <w:tblCellMar>
          <w:top w:w="15" w:type="dxa"/>
          <w:left w:w="15" w:type="dxa"/>
          <w:bottom w:w="15" w:type="dxa"/>
          <w:right w:w="15" w:type="dxa"/>
        </w:tblCellMar>
        <w:tblLook w:val="04A0" w:firstRow="1" w:lastRow="0" w:firstColumn="1" w:lastColumn="0" w:noHBand="0" w:noVBand="1"/>
      </w:tblPr>
      <w:tblGrid>
        <w:gridCol w:w="58"/>
        <w:gridCol w:w="2592"/>
        <w:gridCol w:w="36"/>
        <w:gridCol w:w="36"/>
        <w:gridCol w:w="36"/>
        <w:gridCol w:w="36"/>
        <w:gridCol w:w="40"/>
        <w:gridCol w:w="2593"/>
        <w:gridCol w:w="36"/>
        <w:gridCol w:w="36"/>
        <w:gridCol w:w="36"/>
        <w:gridCol w:w="36"/>
        <w:gridCol w:w="42"/>
        <w:gridCol w:w="2606"/>
        <w:gridCol w:w="37"/>
      </w:tblGrid>
      <w:tr w:rsidR="00000000">
        <w:trPr>
          <w:divId w:val="164102380"/>
          <w:jc w:val="center"/>
        </w:trPr>
        <w:tc>
          <w:tcPr>
            <w:tcW w:w="50" w:type="pct"/>
            <w:vAlign w:val="center"/>
            <w:hideMark/>
          </w:tcPr>
          <w:p w:rsidR="00000000" w:rsidRDefault="0094004B">
            <w:pPr>
              <w:rPr>
                <w:rFonts w:eastAsia="Times New Roman"/>
              </w:rPr>
            </w:pPr>
          </w:p>
        </w:tc>
        <w:tc>
          <w:tcPr>
            <w:tcW w:w="158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58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59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64102380"/>
          <w:jc w:val="center"/>
        </w:trPr>
        <w:tc>
          <w:tcPr>
            <w:tcW w:w="0" w:type="auto"/>
            <w:gridSpan w:val="3"/>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b/>
                <w:bCs/>
                <w:color w:val="000000"/>
                <w:sz w:val="16"/>
                <w:szCs w:val="16"/>
              </w:rPr>
              <w:t>Standard</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b/>
                <w:bCs/>
                <w:color w:val="000000"/>
                <w:sz w:val="16"/>
                <w:szCs w:val="16"/>
              </w:rPr>
              <w:t>Guidance</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b/>
                <w:bCs/>
                <w:color w:val="000000"/>
                <w:sz w:val="16"/>
                <w:szCs w:val="16"/>
              </w:rPr>
              <w:t>Adoption Timing and Financial Statement Impacts</w:t>
            </w:r>
          </w:p>
        </w:tc>
      </w:tr>
      <w:tr w:rsidR="00000000">
        <w:trPr>
          <w:divId w:val="164102380"/>
          <w:jc w:val="center"/>
        </w:trPr>
        <w:tc>
          <w:tcPr>
            <w:tcW w:w="0" w:type="auto"/>
            <w:gridSpan w:val="3"/>
            <w:vAlign w:val="center"/>
            <w:hideMark/>
          </w:tcPr>
          <w:p w:rsidR="00000000" w:rsidRDefault="0094004B">
            <w:pPr>
              <w:spacing w:after="100"/>
              <w:jc w:val="center"/>
              <w:rPr>
                <w:rFonts w:eastAsia="Times New Roman"/>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64102380"/>
          <w:jc w:val="center"/>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64102380"/>
          <w:jc w:val="center"/>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64102380"/>
          <w:jc w:val="center"/>
        </w:trPr>
        <w:tc>
          <w:tcPr>
            <w:tcW w:w="0" w:type="auto"/>
            <w:gridSpan w:val="3"/>
            <w:tcBorders>
              <w:top w:val="single" w:sz="8" w:space="0" w:color="000000"/>
            </w:tcBorders>
            <w:tcMar>
              <w:top w:w="30" w:type="dxa"/>
              <w:left w:w="20" w:type="dxa"/>
              <w:bottom w:w="30" w:type="dxa"/>
              <w:right w:w="20" w:type="dxa"/>
            </w:tcMar>
            <w:hideMark/>
          </w:tcPr>
          <w:p w:rsidR="00000000" w:rsidRDefault="0094004B">
            <w:pPr>
              <w:spacing w:after="100"/>
              <w:divId w:val="1802724103"/>
              <w:rPr>
                <w:rFonts w:eastAsia="Times New Roman"/>
              </w:rPr>
            </w:pPr>
            <w:r>
              <w:rPr>
                <w:rFonts w:eastAsia="Times New Roman"/>
                <w:b/>
                <w:bCs/>
                <w:color w:val="000000"/>
                <w:sz w:val="18"/>
                <w:szCs w:val="18"/>
              </w:rPr>
              <w:t>TDR and Vintage Disclosures</w:t>
            </w:r>
          </w:p>
          <w:p w:rsidR="00000000" w:rsidRDefault="0094004B">
            <w:pPr>
              <w:spacing w:after="100"/>
              <w:divId w:val="529998693"/>
              <w:rPr>
                <w:rFonts w:eastAsia="Times New Roman"/>
              </w:rPr>
            </w:pPr>
            <w:r>
              <w:rPr>
                <w:rFonts w:eastAsia="Times New Roman"/>
                <w:color w:val="000000"/>
                <w:sz w:val="18"/>
                <w:szCs w:val="18"/>
              </w:rPr>
              <w:t xml:space="preserve">ASU No. 2022-02, Financial Instruments - Credit Losses (Topic 326): </w:t>
            </w:r>
            <w:r>
              <w:rPr>
                <w:rFonts w:eastAsia="Times New Roman"/>
                <w:i/>
                <w:iCs/>
                <w:color w:val="000000"/>
                <w:sz w:val="18"/>
                <w:szCs w:val="18"/>
              </w:rPr>
              <w:t>Troubled Debt Restructuring and Vintage Disclosures</w:t>
            </w:r>
          </w:p>
          <w:p w:rsidR="00000000" w:rsidRDefault="0094004B">
            <w:pPr>
              <w:spacing w:after="100"/>
              <w:divId w:val="1857184665"/>
              <w:rPr>
                <w:rFonts w:eastAsia="Times New Roman"/>
              </w:rPr>
            </w:pPr>
            <w:r>
              <w:rPr>
                <w:rFonts w:eastAsia="Times New Roman"/>
                <w:i/>
                <w:iCs/>
                <w:color w:val="000000"/>
                <w:sz w:val="18"/>
                <w:szCs w:val="18"/>
              </w:rPr>
              <w:t>Issued March 2022</w:t>
            </w:r>
          </w:p>
          <w:p w:rsidR="00000000" w:rsidRDefault="0094004B">
            <w:pPr>
              <w:spacing w:after="100"/>
              <w:divId w:val="315108855"/>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94004B">
            <w:pPr>
              <w:spacing w:after="100"/>
              <w:divId w:val="1721511151"/>
              <w:rPr>
                <w:rFonts w:eastAsia="Times New Roman"/>
              </w:rPr>
            </w:pPr>
            <w:r>
              <w:rPr>
                <w:rFonts w:eastAsia="Times New Roman"/>
                <w:color w:val="000000"/>
                <w:sz w:val="18"/>
                <w:szCs w:val="18"/>
              </w:rPr>
              <w:t>The amendments in this update eliminate the accounting guidance for Troubled Debt Restructurings, while enhanci</w:t>
            </w:r>
            <w:r>
              <w:rPr>
                <w:rFonts w:eastAsia="Times New Roman"/>
                <w:color w:val="000000"/>
                <w:sz w:val="18"/>
                <w:szCs w:val="18"/>
              </w:rPr>
              <w:t xml:space="preserve">ng disclosure requirements for certain loan refinancings and restructurings for borrowers experiencing financial difficulty. The amendments also require public entities to disclose current-period gross charge offs by year of origination for loans held for </w:t>
            </w:r>
            <w:r>
              <w:rPr>
                <w:rFonts w:eastAsia="Times New Roman"/>
                <w:color w:val="000000"/>
                <w:sz w:val="18"/>
                <w:szCs w:val="18"/>
              </w:rPr>
              <w:t>investment.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94004B">
            <w:pPr>
              <w:spacing w:after="100"/>
              <w:rPr>
                <w:rFonts w:eastAsia="Times New Roman"/>
              </w:rPr>
            </w:pPr>
            <w:r>
              <w:rPr>
                <w:rFonts w:eastAsia="Times New Roman"/>
                <w:color w:val="000000"/>
                <w:sz w:val="18"/>
                <w:szCs w:val="18"/>
              </w:rPr>
              <w:t>This ASU became effective for us on January 1, 2023.</w:t>
            </w:r>
            <w:r>
              <w:rPr>
                <w:rFonts w:eastAsia="Times New Roman"/>
                <w:color w:val="000000"/>
                <w:sz w:val="18"/>
                <w:szCs w:val="18"/>
              </w:rPr>
              <w:br/>
            </w:r>
            <w:r>
              <w:rPr>
                <w:rFonts w:eastAsia="Times New Roman"/>
                <w:sz w:val="18"/>
                <w:szCs w:val="18"/>
              </w:rPr>
              <w:br/>
            </w:r>
            <w:r>
              <w:rPr>
                <w:rFonts w:eastAsia="Times New Roman"/>
                <w:sz w:val="18"/>
                <w:szCs w:val="18"/>
              </w:rPr>
              <w:br/>
            </w:r>
            <w:r>
              <w:rPr>
                <w:rFonts w:eastAsia="Times New Roman"/>
                <w:color w:val="000000"/>
                <w:sz w:val="18"/>
                <w:szCs w:val="18"/>
              </w:rPr>
              <w:t>We adopted this guidance in the first quarter of 2023 using the modified retrospective method. Adoption of this standard did not have a material impact on our consolidated financial st</w:t>
            </w:r>
            <w:r>
              <w:rPr>
                <w:rFonts w:eastAsia="Times New Roman"/>
                <w:color w:val="000000"/>
                <w:sz w:val="18"/>
                <w:szCs w:val="18"/>
              </w:rPr>
              <w:t>atements.</w:t>
            </w: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94004B">
            <w:pPr>
              <w:jc w:val="center"/>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69</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095" style="width:0;height:1.5pt" o:hralign="center" o:hrstd="t" o:hr="t" fillcolor="#a0a0a0" stroked="f"/>
        </w:pict>
      </w:r>
    </w:p>
    <w:p w:rsidR="00000000" w:rsidRDefault="0094004B">
      <w:pPr>
        <w:ind w:hanging="360"/>
        <w:jc w:val="both"/>
        <w:divId w:val="456532025"/>
        <w:rPr>
          <w:rFonts w:eastAsia="Times New Roman"/>
        </w:rPr>
      </w:pPr>
      <w:hyperlink w:anchor="ia820611622d9441b977884dac00e0ebd_16"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976111433"/>
        </w:trPr>
        <w:tc>
          <w:tcPr>
            <w:tcW w:w="50" w:type="pct"/>
            <w:vAlign w:val="center"/>
            <w:hideMark/>
          </w:tcPr>
          <w:p w:rsidR="00000000" w:rsidRDefault="0094004B">
            <w:pPr>
              <w:ind w:hanging="360"/>
              <w:jc w:val="both"/>
              <w:rPr>
                <w:rFonts w:eastAsia="Times New Roman"/>
              </w:rPr>
            </w:pPr>
          </w:p>
        </w:tc>
        <w:tc>
          <w:tcPr>
            <w:tcW w:w="494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976111433"/>
        </w:trPr>
        <w:tc>
          <w:tcPr>
            <w:tcW w:w="0" w:type="auto"/>
            <w:gridSpan w:val="3"/>
            <w:tcBorders>
              <w:top w:val="single" w:sz="18" w:space="0" w:color="000000"/>
              <w:bottom w:val="single" w:sz="18" w:space="0" w:color="000000"/>
            </w:tcBorders>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20"/>
                <w:szCs w:val="20"/>
              </w:rPr>
              <w:t>CAPITAL MANAGEMENT</w:t>
            </w:r>
          </w:p>
        </w:tc>
      </w:tr>
    </w:tbl>
    <w:p w:rsidR="00000000" w:rsidRDefault="0094004B">
      <w:pPr>
        <w:jc w:val="both"/>
        <w:divId w:val="1356228918"/>
        <w:rPr>
          <w:rFonts w:eastAsia="Times New Roman"/>
        </w:rPr>
      </w:pPr>
      <w:r>
        <w:rPr>
          <w:rFonts w:eastAsia="Times New Roman"/>
          <w:color w:val="000000"/>
          <w:sz w:val="20"/>
          <w:szCs w:val="20"/>
        </w:rPr>
        <w:t>The level and composition of our capital are determined by multiple factors, including our consolidated regulatory capital requirements as described in more detail below and internal risk-based capital assessments such as internal stress testing. The level</w:t>
      </w:r>
      <w:r>
        <w:rPr>
          <w:rFonts w:eastAsia="Times New Roman"/>
          <w:color w:val="000000"/>
          <w:sz w:val="20"/>
          <w:szCs w:val="20"/>
        </w:rPr>
        <w:t xml:space="preserve"> and composition of our capital may also be influenced by rating agency guidelines, subsidiary capital requirements, business environment, conditions in the financial markets and assessments of potential future losses due to adverse changes in our business</w:t>
      </w:r>
      <w:r>
        <w:rPr>
          <w:rFonts w:eastAsia="Times New Roman"/>
          <w:color w:val="000000"/>
          <w:sz w:val="20"/>
          <w:szCs w:val="20"/>
        </w:rPr>
        <w:t xml:space="preserve"> and market environments.</w:t>
      </w:r>
    </w:p>
    <w:p w:rsidR="00000000" w:rsidRDefault="0094004B">
      <w:pPr>
        <w:divId w:val="1712459097"/>
        <w:rPr>
          <w:rFonts w:eastAsia="Times New Roman"/>
        </w:rPr>
      </w:pPr>
      <w:r>
        <w:rPr>
          <w:rFonts w:eastAsia="Times New Roman"/>
          <w:b/>
          <w:bCs/>
          <w:color w:val="000000"/>
          <w:sz w:val="20"/>
          <w:szCs w:val="20"/>
        </w:rPr>
        <w:t>Capital Standards and Prompt Corrective Action</w:t>
      </w:r>
    </w:p>
    <w:p w:rsidR="00000000" w:rsidRDefault="0094004B">
      <w:pPr>
        <w:jc w:val="both"/>
        <w:divId w:val="311756250"/>
        <w:rPr>
          <w:rFonts w:eastAsia="Times New Roman"/>
        </w:rPr>
      </w:pPr>
      <w:r>
        <w:rPr>
          <w:rFonts w:eastAsia="Times New Roman"/>
          <w:color w:val="000000"/>
          <w:sz w:val="20"/>
          <w:szCs w:val="20"/>
        </w:rPr>
        <w:t xml:space="preserve">The Company and the Bank are subject to the Basel III Capital Rules. The Basel III Capital Rules implement certain capital requirements published by the Basel Committee, along with certain provisions of the Dodd-Frank Act and other capital provisions. </w:t>
      </w:r>
    </w:p>
    <w:p w:rsidR="00000000" w:rsidRDefault="0094004B">
      <w:pPr>
        <w:jc w:val="both"/>
        <w:divId w:val="410736375"/>
        <w:rPr>
          <w:rFonts w:eastAsia="Times New Roman"/>
        </w:rPr>
      </w:pPr>
      <w:r>
        <w:rPr>
          <w:rFonts w:eastAsia="Times New Roman"/>
          <w:color w:val="000000"/>
          <w:sz w:val="20"/>
          <w:szCs w:val="20"/>
        </w:rPr>
        <w:t xml:space="preserve">As </w:t>
      </w:r>
      <w:r>
        <w:rPr>
          <w:rFonts w:eastAsia="Times New Roman"/>
          <w:color w:val="000000"/>
          <w:sz w:val="20"/>
          <w:szCs w:val="20"/>
        </w:rPr>
        <w:t>a BHC with total consolidated assets of at least $250 billion but less than $700 billion and not exceeding any of the applicable risk-based thresholds, the Company is a Category III institution under the Basel III Capital Rules.</w:t>
      </w:r>
    </w:p>
    <w:p w:rsidR="00000000" w:rsidRDefault="0094004B">
      <w:pPr>
        <w:jc w:val="both"/>
        <w:divId w:val="1873886057"/>
        <w:rPr>
          <w:rFonts w:eastAsia="Times New Roman"/>
        </w:rPr>
      </w:pPr>
      <w:r>
        <w:rPr>
          <w:rFonts w:eastAsia="Times New Roman"/>
          <w:color w:val="000000"/>
          <w:sz w:val="20"/>
          <w:szCs w:val="20"/>
        </w:rPr>
        <w:t>The Bank, as a subsidiary o</w:t>
      </w:r>
      <w:r>
        <w:rPr>
          <w:rFonts w:eastAsia="Times New Roman"/>
          <w:color w:val="000000"/>
          <w:sz w:val="20"/>
          <w:szCs w:val="20"/>
        </w:rPr>
        <w:t>f a Category III institution, is a Category III bank. Moreover, the Bank, as an insured depository institution, is subject to PCA capital regulations.</w:t>
      </w:r>
    </w:p>
    <w:p w:rsidR="00000000" w:rsidRDefault="0094004B">
      <w:pPr>
        <w:jc w:val="both"/>
        <w:divId w:val="1095633422"/>
        <w:rPr>
          <w:rFonts w:eastAsia="Times New Roman"/>
        </w:rPr>
      </w:pPr>
      <w:r>
        <w:rPr>
          <w:rFonts w:eastAsia="Times New Roman"/>
          <w:b/>
          <w:bCs/>
          <w:i/>
          <w:iCs/>
          <w:color w:val="000000"/>
          <w:sz w:val="20"/>
          <w:szCs w:val="20"/>
        </w:rPr>
        <w:t>Basel III and United States Capital Rules</w:t>
      </w:r>
    </w:p>
    <w:p w:rsidR="00000000" w:rsidRDefault="0094004B">
      <w:pPr>
        <w:jc w:val="both"/>
        <w:divId w:val="1151795874"/>
        <w:rPr>
          <w:rFonts w:eastAsia="Times New Roman"/>
        </w:rPr>
      </w:pPr>
      <w:r>
        <w:rPr>
          <w:rFonts w:eastAsia="Times New Roman"/>
          <w:color w:val="000000"/>
          <w:sz w:val="20"/>
          <w:szCs w:val="20"/>
        </w:rPr>
        <w:t>Under the Basel III Capital Rules, we must maintain a minimum C</w:t>
      </w:r>
      <w:r>
        <w:rPr>
          <w:rFonts w:eastAsia="Times New Roman"/>
          <w:color w:val="000000"/>
          <w:sz w:val="20"/>
          <w:szCs w:val="20"/>
        </w:rPr>
        <w:t>ET1 capital ratio of 4.5%, a Tier 1 capital ratio of 6.0% and a total capital ratio of 8.0%, in each case in relation to risk-weighted assets. In addition, we must maintain a minimum leverage ratio of 4.0% and a minimum supplementary leverage ratio of 3.0%</w:t>
      </w:r>
      <w:r>
        <w:rPr>
          <w:rFonts w:eastAsia="Times New Roman"/>
          <w:color w:val="000000"/>
          <w:sz w:val="20"/>
          <w:szCs w:val="20"/>
        </w:rPr>
        <w:t xml:space="preserve">. We are also subject to the capital conservation buffer requirement and countercyclical capital buffer requirement as described below. Our capital and leverage ratios are calculated based on the Basel III standardized approach framework. </w:t>
      </w:r>
    </w:p>
    <w:p w:rsidR="00000000" w:rsidRDefault="0094004B">
      <w:pPr>
        <w:jc w:val="both"/>
        <w:divId w:val="80152835"/>
        <w:rPr>
          <w:rFonts w:eastAsia="Times New Roman"/>
        </w:rPr>
      </w:pPr>
      <w:r>
        <w:rPr>
          <w:rFonts w:eastAsia="Times New Roman"/>
          <w:color w:val="000000"/>
          <w:sz w:val="20"/>
          <w:szCs w:val="20"/>
        </w:rPr>
        <w:t xml:space="preserve">We have elected to exclude certain elements of AOCI from our regulatory capital as permitted for a Category III institution. </w:t>
      </w:r>
    </w:p>
    <w:p w:rsidR="00000000" w:rsidRDefault="0094004B">
      <w:pPr>
        <w:jc w:val="both"/>
        <w:divId w:val="1214929022"/>
        <w:rPr>
          <w:rFonts w:eastAsia="Times New Roman"/>
        </w:rPr>
      </w:pPr>
      <w:r>
        <w:rPr>
          <w:rFonts w:eastAsia="Times New Roman"/>
          <w:color w:val="000000"/>
          <w:sz w:val="20"/>
          <w:szCs w:val="20"/>
        </w:rPr>
        <w:t>G-SIBs that are based in the U.S. are subject to an additional CET1 capital requirement known as the “G-SIB Surcharge.” We are not</w:t>
      </w:r>
      <w:r>
        <w:rPr>
          <w:rFonts w:eastAsia="Times New Roman"/>
          <w:color w:val="000000"/>
          <w:sz w:val="20"/>
          <w:szCs w:val="20"/>
        </w:rPr>
        <w:t xml:space="preserve"> a G-SIB based on the most recent available data and thus we are not subject to a G-SIB Surcharge.</w:t>
      </w:r>
    </w:p>
    <w:p w:rsidR="00000000" w:rsidRDefault="0094004B">
      <w:pPr>
        <w:jc w:val="both"/>
        <w:divId w:val="1908494496"/>
        <w:rPr>
          <w:rFonts w:eastAsia="Times New Roman"/>
        </w:rPr>
      </w:pPr>
      <w:r>
        <w:rPr>
          <w:rFonts w:eastAsia="Times New Roman"/>
          <w:b/>
          <w:bCs/>
          <w:i/>
          <w:iCs/>
          <w:color w:val="000000"/>
          <w:sz w:val="20"/>
          <w:szCs w:val="20"/>
        </w:rPr>
        <w:t>Stress Capital Buffer Rule</w:t>
      </w:r>
    </w:p>
    <w:p w:rsidR="00000000" w:rsidRDefault="0094004B">
      <w:pPr>
        <w:jc w:val="both"/>
        <w:divId w:val="478887645"/>
        <w:rPr>
          <w:rFonts w:eastAsia="Times New Roman"/>
        </w:rPr>
      </w:pPr>
      <w:r>
        <w:rPr>
          <w:rFonts w:eastAsia="Times New Roman"/>
          <w:color w:val="000000"/>
          <w:sz w:val="20"/>
          <w:szCs w:val="20"/>
        </w:rPr>
        <w:t>The Basel III Capital Rules require banking institutions to maintain a capital conservation buffer, composed of CET1 capital, abov</w:t>
      </w:r>
      <w:r>
        <w:rPr>
          <w:rFonts w:eastAsia="Times New Roman"/>
          <w:color w:val="000000"/>
          <w:sz w:val="20"/>
          <w:szCs w:val="20"/>
        </w:rPr>
        <w:t>e the regulatory minimum ratios. Under the Stress Capital Buffer Rule, the Company’s “standardized approach capital conservation buffer” includes its stress capital buffer requirement (as described below), any G-SIB Surcharge (which is not applicable to us</w:t>
      </w:r>
      <w:r>
        <w:rPr>
          <w:rFonts w:eastAsia="Times New Roman"/>
          <w:color w:val="000000"/>
          <w:sz w:val="20"/>
          <w:szCs w:val="20"/>
        </w:rPr>
        <w:t xml:space="preserve">) and the countercyclical capital buffer requirement (which is currently set at 0%). Any determination to increase the countercyclical capital buffer generally would be effective twelve months after the announcement of such an increase, unless the Federal </w:t>
      </w:r>
      <w:r>
        <w:rPr>
          <w:rFonts w:eastAsia="Times New Roman"/>
          <w:color w:val="000000"/>
          <w:sz w:val="20"/>
          <w:szCs w:val="20"/>
        </w:rPr>
        <w:t>Banking Agencies set an earlier effective date.</w:t>
      </w:r>
    </w:p>
    <w:p w:rsidR="00000000" w:rsidRDefault="0094004B">
      <w:pPr>
        <w:jc w:val="both"/>
        <w:divId w:val="1367363913"/>
        <w:rPr>
          <w:rFonts w:eastAsia="Times New Roman"/>
        </w:rPr>
      </w:pPr>
      <w:r>
        <w:rPr>
          <w:rFonts w:eastAsia="Times New Roman"/>
          <w:color w:val="000000"/>
          <w:sz w:val="20"/>
          <w:szCs w:val="20"/>
        </w:rPr>
        <w:t>The Company’s stress capital buffer requirement is recalibrated every year based on the Company’s supervisory stress test results. In particular, the Company’s stress capital buffer requirement equals, subjec</w:t>
      </w:r>
      <w:r>
        <w:rPr>
          <w:rFonts w:eastAsia="Times New Roman"/>
          <w:color w:val="000000"/>
          <w:sz w:val="20"/>
          <w:szCs w:val="20"/>
        </w:rPr>
        <w:t>t to a floor of 2.5%, the sum of (i) the difference between the Company’s starting CET1 capital ratio and its lowest projected CET1 capital ratio under the severely adverse scenario of the Federal Reserve’s supervisory stress test plus (ii) the ratio of th</w:t>
      </w:r>
      <w:r>
        <w:rPr>
          <w:rFonts w:eastAsia="Times New Roman"/>
          <w:color w:val="000000"/>
          <w:sz w:val="20"/>
          <w:szCs w:val="20"/>
        </w:rPr>
        <w:t>e Company’s projected four quarters of common stock dividends (for the fourth to seventh quarters of the planning horizon) to the projected risk-weighted assets for the quarter in which the Company’s projected CET1 capital ratio reaches its minimum under t</w:t>
      </w:r>
      <w:r>
        <w:rPr>
          <w:rFonts w:eastAsia="Times New Roman"/>
          <w:color w:val="000000"/>
          <w:sz w:val="20"/>
          <w:szCs w:val="20"/>
        </w:rPr>
        <w:t>he supervisory stress test.</w:t>
      </w:r>
    </w:p>
    <w:p w:rsidR="00000000" w:rsidRDefault="0094004B">
      <w:pPr>
        <w:jc w:val="both"/>
        <w:divId w:val="56711572"/>
        <w:rPr>
          <w:rFonts w:eastAsia="Times New Roman"/>
        </w:rPr>
      </w:pPr>
      <w:r>
        <w:rPr>
          <w:rFonts w:eastAsia="Times New Roman"/>
          <w:color w:val="000000"/>
          <w:sz w:val="20"/>
          <w:szCs w:val="20"/>
          <w:shd w:val="clear" w:color="auto" w:fill="FFFFFF"/>
        </w:rPr>
        <w:t>Based on the Company’s 2021 supervisory stress test results, the Company’s stress capital buffer requirement for the period beginning on October 1, 2021 through September 30, 2022 was 2.5%. Therefore, the Company’s minimum capit</w:t>
      </w:r>
      <w:r>
        <w:rPr>
          <w:rFonts w:eastAsia="Times New Roman"/>
          <w:color w:val="000000"/>
          <w:sz w:val="20"/>
          <w:szCs w:val="20"/>
          <w:shd w:val="clear" w:color="auto" w:fill="FFFFFF"/>
        </w:rPr>
        <w:t>al requirements plus the standardized approach capital conservation buffer for CET1 capital, Tier 1 capital and total capital ratios under the stress capital buffer framework were 7.0%, 8.5% and 10.5%, respectively, for the period from October 1, 2021 thro</w:t>
      </w:r>
      <w:r>
        <w:rPr>
          <w:rFonts w:eastAsia="Times New Roman"/>
          <w:color w:val="000000"/>
          <w:sz w:val="20"/>
          <w:szCs w:val="20"/>
          <w:shd w:val="clear" w:color="auto" w:fill="FFFFFF"/>
        </w:rPr>
        <w:t>ugh September 30, 2022.</w:t>
      </w:r>
    </w:p>
    <w:p w:rsidR="00000000" w:rsidRDefault="0094004B">
      <w:pPr>
        <w:jc w:val="both"/>
        <w:divId w:val="449471963"/>
        <w:rPr>
          <w:rFonts w:eastAsia="Times New Roman"/>
        </w:rPr>
      </w:pPr>
      <w:r>
        <w:rPr>
          <w:rFonts w:eastAsia="Times New Roman"/>
          <w:color w:val="000000"/>
          <w:sz w:val="20"/>
          <w:szCs w:val="20"/>
          <w:shd w:val="clear" w:color="auto" w:fill="FFFFFF"/>
        </w:rPr>
        <w:t>Based on the Company’s 2022 supervisory stress test results, the Company’s stress capital buffer requirement for the period beginning on October 1, 2022 through September 30, 2023 is 3.1%. Therefore, the Company’s minimum capital re</w:t>
      </w:r>
      <w:r>
        <w:rPr>
          <w:rFonts w:eastAsia="Times New Roman"/>
          <w:color w:val="000000"/>
          <w:sz w:val="20"/>
          <w:szCs w:val="20"/>
          <w:shd w:val="clear" w:color="auto" w:fill="FFFFFF"/>
        </w:rPr>
        <w:t xml:space="preserve">quirements plus the standardized approach capital conservation buffer for CET1 capital, Tier 1 capital and total capital ratios under the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233245283"/>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233245283"/>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233245283"/>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70</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096" style="width:0;height:1.5pt" o:hralign="center" o:hrstd="t" o:hr="t" fillcolor="#a0a0a0" stroked="f"/>
        </w:pict>
      </w:r>
    </w:p>
    <w:p w:rsidR="00000000" w:rsidRDefault="0094004B">
      <w:pPr>
        <w:ind w:hanging="360"/>
        <w:jc w:val="both"/>
        <w:divId w:val="1735740048"/>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both"/>
        <w:divId w:val="2146046366"/>
        <w:rPr>
          <w:rFonts w:eastAsia="Times New Roman"/>
        </w:rPr>
      </w:pPr>
      <w:r>
        <w:rPr>
          <w:rFonts w:eastAsia="Times New Roman"/>
          <w:color w:val="000000"/>
          <w:sz w:val="20"/>
          <w:szCs w:val="20"/>
          <w:shd w:val="clear" w:color="auto" w:fill="FFFFFF"/>
        </w:rPr>
        <w:t>stress capital buffer framework are 7.6%, 9.1% and 11.1%, respectively, for the period from October 1, 2022 through September 30, 2023</w:t>
      </w:r>
      <w:r>
        <w:rPr>
          <w:rFonts w:eastAsia="Times New Roman"/>
          <w:color w:val="000000"/>
          <w:sz w:val="20"/>
          <w:szCs w:val="20"/>
        </w:rPr>
        <w:t>.</w:t>
      </w:r>
    </w:p>
    <w:p w:rsidR="00000000" w:rsidRDefault="0094004B">
      <w:pPr>
        <w:jc w:val="both"/>
        <w:divId w:val="1738937932"/>
        <w:rPr>
          <w:rFonts w:eastAsia="Times New Roman"/>
        </w:rPr>
      </w:pPr>
      <w:r>
        <w:rPr>
          <w:rFonts w:eastAsia="Times New Roman"/>
          <w:color w:val="000000"/>
          <w:sz w:val="20"/>
          <w:szCs w:val="20"/>
        </w:rPr>
        <w:t>The Str</w:t>
      </w:r>
      <w:r>
        <w:rPr>
          <w:rFonts w:eastAsia="Times New Roman"/>
          <w:color w:val="000000"/>
          <w:sz w:val="20"/>
          <w:szCs w:val="20"/>
        </w:rPr>
        <w:t>ess Capital Buffer Rule does not apply to the Bank. The capital conservation buffer for the Bank continues to be fixed at 2.5%. Accordingly, the Bank’s minimum capital requirements plus its capital conservation buffer for CET1 capital, Tier 1 capital and t</w:t>
      </w:r>
      <w:r>
        <w:rPr>
          <w:rFonts w:eastAsia="Times New Roman"/>
          <w:color w:val="000000"/>
          <w:sz w:val="20"/>
          <w:szCs w:val="20"/>
        </w:rPr>
        <w:t>otal capital ratios are 7.0%, 8.5% and 10.5% respectively.</w:t>
      </w:r>
    </w:p>
    <w:p w:rsidR="00000000" w:rsidRDefault="0094004B">
      <w:pPr>
        <w:jc w:val="both"/>
        <w:divId w:val="38824156"/>
        <w:rPr>
          <w:rFonts w:eastAsia="Times New Roman"/>
        </w:rPr>
      </w:pPr>
      <w:r>
        <w:rPr>
          <w:rFonts w:eastAsia="Times New Roman"/>
          <w:color w:val="000000"/>
          <w:sz w:val="20"/>
          <w:szCs w:val="20"/>
        </w:rPr>
        <w:t>If the Company or the Bank fails to maintain its capital ratios above the minimum capital requirements plus the applicable capital conservation buffer requirements, it will face increasingly strict</w:t>
      </w:r>
      <w:r>
        <w:rPr>
          <w:rFonts w:eastAsia="Times New Roman"/>
          <w:color w:val="000000"/>
          <w:sz w:val="20"/>
          <w:szCs w:val="20"/>
        </w:rPr>
        <w:t xml:space="preserve"> automatic limitations on capital distributions and discretionary bonus payments to certain executive officers.</w:t>
      </w:r>
    </w:p>
    <w:p w:rsidR="00000000" w:rsidRDefault="0094004B">
      <w:pPr>
        <w:jc w:val="both"/>
        <w:divId w:val="1895772837"/>
        <w:rPr>
          <w:rFonts w:eastAsia="Times New Roman"/>
        </w:rPr>
      </w:pPr>
      <w:r>
        <w:rPr>
          <w:rFonts w:eastAsia="Times New Roman"/>
          <w:color w:val="000000"/>
          <w:sz w:val="20"/>
          <w:szCs w:val="20"/>
        </w:rPr>
        <w:t>As of December 31, 2022 and 2021, respectively, the Company and the Bank each exceeded the minimum capital requirements and the capital conservation buffer requirements applicable to them, and the Company and the Bank were each “well-capitalized.” The “wel</w:t>
      </w:r>
      <w:r>
        <w:rPr>
          <w:rFonts w:eastAsia="Times New Roman"/>
          <w:color w:val="000000"/>
          <w:sz w:val="20"/>
          <w:szCs w:val="20"/>
        </w:rPr>
        <w:t>l-capitalized” standards applicable to the Company are established in the Federal Reserve’s regulations, and the “well-capitalized” standards applicable to the Bank are established in the OCC’s PCA capital requirements.</w:t>
      </w:r>
    </w:p>
    <w:p w:rsidR="00000000" w:rsidRDefault="0094004B">
      <w:pPr>
        <w:jc w:val="both"/>
        <w:divId w:val="1865745088"/>
        <w:rPr>
          <w:rFonts w:eastAsia="Times New Roman"/>
        </w:rPr>
      </w:pPr>
      <w:r>
        <w:rPr>
          <w:rFonts w:eastAsia="Times New Roman"/>
          <w:b/>
          <w:bCs/>
          <w:i/>
          <w:iCs/>
          <w:color w:val="000000"/>
          <w:sz w:val="20"/>
          <w:szCs w:val="20"/>
        </w:rPr>
        <w:t>Market Risk Rule</w:t>
      </w:r>
    </w:p>
    <w:p w:rsidR="00000000" w:rsidRDefault="0094004B">
      <w:pPr>
        <w:jc w:val="both"/>
        <w:divId w:val="298539188"/>
        <w:rPr>
          <w:rFonts w:eastAsia="Times New Roman"/>
        </w:rPr>
      </w:pPr>
      <w:r>
        <w:rPr>
          <w:rFonts w:eastAsia="Times New Roman"/>
          <w:color w:val="000000"/>
          <w:sz w:val="20"/>
          <w:szCs w:val="20"/>
        </w:rPr>
        <w:t>The “Market Risk Ru</w:t>
      </w:r>
      <w:r>
        <w:rPr>
          <w:rFonts w:eastAsia="Times New Roman"/>
          <w:color w:val="000000"/>
          <w:sz w:val="20"/>
          <w:szCs w:val="20"/>
        </w:rPr>
        <w:t>le” supplements the Basel III Capital Rules by requiring institutions subject to the rule to adjust their risk-based capital ratios to reflect the market risk in their trading book. The Market Risk Rule generally applies to institutions with aggregate trad</w:t>
      </w:r>
      <w:r>
        <w:rPr>
          <w:rFonts w:eastAsia="Times New Roman"/>
          <w:color w:val="000000"/>
          <w:sz w:val="20"/>
          <w:szCs w:val="20"/>
        </w:rPr>
        <w:t xml:space="preserve">ing assets and liabilities equal to 10% or more of total assets or $1 billion or more. As of December 31, 2022, the Company and CONA are subject to the Market Risk Rule. See “Market Risk Profile” below for additional information. </w:t>
      </w:r>
    </w:p>
    <w:p w:rsidR="00000000" w:rsidRDefault="0094004B">
      <w:pPr>
        <w:jc w:val="both"/>
        <w:divId w:val="593320082"/>
        <w:rPr>
          <w:rFonts w:eastAsia="Times New Roman"/>
        </w:rPr>
      </w:pPr>
      <w:r>
        <w:rPr>
          <w:rFonts w:eastAsia="Times New Roman"/>
          <w:b/>
          <w:bCs/>
          <w:i/>
          <w:iCs/>
          <w:color w:val="000000"/>
          <w:sz w:val="20"/>
          <w:szCs w:val="20"/>
          <w:shd w:val="clear" w:color="auto" w:fill="FFFFFF"/>
        </w:rPr>
        <w:t>CECL Transition Rule</w:t>
      </w:r>
    </w:p>
    <w:p w:rsidR="00000000" w:rsidRDefault="0094004B">
      <w:pPr>
        <w:jc w:val="both"/>
        <w:divId w:val="8994811"/>
        <w:rPr>
          <w:rFonts w:eastAsia="Times New Roman"/>
        </w:rPr>
      </w:pPr>
      <w:r>
        <w:rPr>
          <w:rFonts w:eastAsia="Times New Roman"/>
          <w:color w:val="000000"/>
          <w:sz w:val="20"/>
          <w:szCs w:val="20"/>
        </w:rPr>
        <w:t xml:space="preserve">The </w:t>
      </w:r>
      <w:r>
        <w:rPr>
          <w:rFonts w:eastAsia="Times New Roman"/>
          <w:color w:val="000000"/>
          <w:sz w:val="20"/>
          <w:szCs w:val="20"/>
        </w:rPr>
        <w:t xml:space="preserve">Federal Banking Agencies adopted the CECL Transition Rule that provides banking institutions an optional five-year transition period to phase in the impact of the CECL standard on their regulatory capital, the CECL Transition Election. We adopted the CECL </w:t>
      </w:r>
      <w:r>
        <w:rPr>
          <w:rFonts w:eastAsia="Times New Roman"/>
          <w:color w:val="000000"/>
          <w:sz w:val="20"/>
          <w:szCs w:val="20"/>
        </w:rPr>
        <w:t>standard (for accounting purposes) as of January 1, 2020, and made the CECL Transition Election (for regulatory capital purposes) in the first quarter of 2020. Therefore, the applicable amounts presented in this Report reflect such election.</w:t>
      </w:r>
    </w:p>
    <w:p w:rsidR="00000000" w:rsidRDefault="0094004B">
      <w:pPr>
        <w:jc w:val="both"/>
        <w:divId w:val="395669368"/>
        <w:rPr>
          <w:rFonts w:eastAsia="Times New Roman"/>
        </w:rPr>
      </w:pPr>
      <w:r>
        <w:rPr>
          <w:rFonts w:eastAsia="Times New Roman"/>
          <w:color w:val="000000"/>
          <w:sz w:val="20"/>
          <w:szCs w:val="20"/>
        </w:rPr>
        <w:t>Pursuant to th</w:t>
      </w:r>
      <w:r>
        <w:rPr>
          <w:rFonts w:eastAsia="Times New Roman"/>
          <w:color w:val="000000"/>
          <w:sz w:val="20"/>
          <w:szCs w:val="20"/>
        </w:rPr>
        <w:t>e CECL Transition Rule, a banking institution could elect to delay the estimated impact of adopting CECL on its regulatory capital through December 31, 2021 and then phase in the estimated cumulative impact from January 1, 2022 through December 31, 2024. F</w:t>
      </w:r>
      <w:r>
        <w:rPr>
          <w:rFonts w:eastAsia="Times New Roman"/>
          <w:color w:val="000000"/>
          <w:sz w:val="20"/>
          <w:szCs w:val="20"/>
        </w:rPr>
        <w:t>or the “day 2” ongoing impact of CECL during the initial two years, the Federal Banking Agencies used a uniform “scaling factor” of 25% as an approximation of the increase in the allowance under the CECL standard compared to the prior incurred loss methodo</w:t>
      </w:r>
      <w:r>
        <w:rPr>
          <w:rFonts w:eastAsia="Times New Roman"/>
          <w:color w:val="000000"/>
          <w:sz w:val="20"/>
          <w:szCs w:val="20"/>
        </w:rPr>
        <w:t xml:space="preserve">logy. Accordingly, from January 1, 2020 through December 31, 2021, electing banking institutions were permitted to add back to their regulatory capital an amount equal to the sum of the after-tax “day 1” CECL adoption impact and 25% of the increase in the </w:t>
      </w:r>
      <w:r>
        <w:rPr>
          <w:rFonts w:eastAsia="Times New Roman"/>
          <w:color w:val="000000"/>
          <w:sz w:val="20"/>
          <w:szCs w:val="20"/>
        </w:rPr>
        <w:t>allowance since the adoption of the CECL standard. From January 1, 2022 through December 31, 2024, the after-tax “day 1” CECL adoption impact and the cumulative “day 2” ongoing impact are being phased in to regulatory capital at 25% per year. The following</w:t>
      </w:r>
      <w:r>
        <w:rPr>
          <w:rFonts w:eastAsia="Times New Roman"/>
          <w:color w:val="000000"/>
          <w:sz w:val="20"/>
          <w:szCs w:val="20"/>
        </w:rPr>
        <w:t xml:space="preserve"> table summarizes the capital impact delay and phase in period on our regulatory capital from years 2020 to 2025.</w:t>
      </w:r>
    </w:p>
    <w:tbl>
      <w:tblPr>
        <w:tblW w:w="4963" w:type="pct"/>
        <w:tblCellMar>
          <w:top w:w="15" w:type="dxa"/>
          <w:left w:w="15" w:type="dxa"/>
          <w:bottom w:w="15" w:type="dxa"/>
          <w:right w:w="15" w:type="dxa"/>
        </w:tblCellMar>
        <w:tblLook w:val="04A0" w:firstRow="1" w:lastRow="0" w:firstColumn="1" w:lastColumn="0" w:noHBand="0" w:noVBand="1"/>
      </w:tblPr>
      <w:tblGrid>
        <w:gridCol w:w="53"/>
        <w:gridCol w:w="2299"/>
        <w:gridCol w:w="37"/>
        <w:gridCol w:w="36"/>
        <w:gridCol w:w="36"/>
        <w:gridCol w:w="36"/>
        <w:gridCol w:w="48"/>
        <w:gridCol w:w="775"/>
        <w:gridCol w:w="39"/>
        <w:gridCol w:w="38"/>
        <w:gridCol w:w="38"/>
        <w:gridCol w:w="38"/>
        <w:gridCol w:w="48"/>
        <w:gridCol w:w="773"/>
        <w:gridCol w:w="38"/>
        <w:gridCol w:w="36"/>
        <w:gridCol w:w="36"/>
        <w:gridCol w:w="36"/>
        <w:gridCol w:w="50"/>
        <w:gridCol w:w="775"/>
        <w:gridCol w:w="36"/>
        <w:gridCol w:w="36"/>
        <w:gridCol w:w="36"/>
        <w:gridCol w:w="36"/>
        <w:gridCol w:w="50"/>
        <w:gridCol w:w="776"/>
        <w:gridCol w:w="36"/>
        <w:gridCol w:w="36"/>
        <w:gridCol w:w="36"/>
        <w:gridCol w:w="36"/>
        <w:gridCol w:w="50"/>
        <w:gridCol w:w="789"/>
        <w:gridCol w:w="36"/>
        <w:gridCol w:w="36"/>
        <w:gridCol w:w="36"/>
        <w:gridCol w:w="36"/>
        <w:gridCol w:w="54"/>
        <w:gridCol w:w="793"/>
        <w:gridCol w:w="36"/>
      </w:tblGrid>
      <w:tr w:rsidR="00000000">
        <w:trPr>
          <w:divId w:val="1050958158"/>
        </w:trPr>
        <w:tc>
          <w:tcPr>
            <w:tcW w:w="50" w:type="pct"/>
            <w:vAlign w:val="center"/>
            <w:hideMark/>
          </w:tcPr>
          <w:p w:rsidR="00000000" w:rsidRDefault="0094004B">
            <w:pPr>
              <w:jc w:val="both"/>
              <w:rPr>
                <w:rFonts w:eastAsia="Times New Roman"/>
              </w:rPr>
            </w:pPr>
          </w:p>
        </w:tc>
        <w:tc>
          <w:tcPr>
            <w:tcW w:w="1410"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9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9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9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9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3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9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1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9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050958158"/>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rPr>
              <w:t>Capital Impact Delayed</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21"/>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rPr>
              <w:t>Phase In Period</w:t>
            </w:r>
          </w:p>
        </w:tc>
      </w:tr>
      <w:tr w:rsidR="00000000">
        <w:trPr>
          <w:divId w:val="1050958158"/>
        </w:trPr>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rP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rPr>
              <w:t>2024</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rPr>
              <w:t>2025</w:t>
            </w:r>
          </w:p>
        </w:tc>
      </w:tr>
      <w:tr w:rsidR="00000000">
        <w:trPr>
          <w:divId w:val="1050958158"/>
          <w:trHeight w:val="480"/>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“Day 1” CECL adoption impact</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9"/>
            <w:tcBorders>
              <w:top w:val="single" w:sz="8" w:space="0" w:color="000000"/>
              <w:bottom w:val="single" w:sz="8" w:space="0" w:color="000000"/>
            </w:tcBorders>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color w:val="000000"/>
                <w:sz w:val="18"/>
                <w:szCs w:val="18"/>
              </w:rPr>
              <w:t>Capital impact delayed to 2022</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color w:val="000000"/>
                <w:sz w:val="18"/>
                <w:szCs w:val="18"/>
              </w:rPr>
              <w:t>25% Phased In</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color w:val="000000"/>
                <w:sz w:val="18"/>
                <w:szCs w:val="18"/>
              </w:rPr>
              <w:t>50% Phased In</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color w:val="000000"/>
                <w:sz w:val="18"/>
                <w:szCs w:val="18"/>
              </w:rPr>
              <w:t>75% Phased In</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color w:val="000000"/>
                <w:sz w:val="18"/>
                <w:szCs w:val="18"/>
              </w:rPr>
              <w:t>Fully Phased In</w:t>
            </w:r>
          </w:p>
        </w:tc>
      </w:tr>
      <w:tr w:rsidR="00000000">
        <w:trPr>
          <w:divId w:val="1050958158"/>
          <w:trHeight w:val="640"/>
        </w:trPr>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Cumulative “day 2” ongoing impact</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9"/>
            <w:tcBorders>
              <w:top w:val="single" w:sz="8" w:space="0" w:color="000000"/>
              <w:bottom w:val="single" w:sz="8" w:space="0" w:color="000000"/>
            </w:tcBorders>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color w:val="000000"/>
                <w:sz w:val="18"/>
                <w:szCs w:val="18"/>
              </w:rPr>
              <w:t> </w:t>
            </w:r>
            <w:r>
              <w:rPr>
                <w:rFonts w:eastAsia="Times New Roman"/>
                <w:color w:val="000000"/>
                <w:sz w:val="18"/>
                <w:szCs w:val="18"/>
              </w:rPr>
              <w:t>25% scaling factor as an approximation of the increase in allowance under CECL</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vMerge/>
            <w:tcBorders>
              <w:top w:val="single" w:sz="8" w:space="0" w:color="000000"/>
              <w:bottom w:val="single" w:sz="8" w:space="0" w:color="000000"/>
            </w:tcBorders>
            <w:vAlign w:val="center"/>
            <w:hideMark/>
          </w:tcPr>
          <w:p w:rsidR="00000000" w:rsidRDefault="0094004B">
            <w:pPr>
              <w:spacing w:after="100"/>
              <w:rPr>
                <w:rFonts w:eastAsia="Times New Roman"/>
              </w:rPr>
            </w:pP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vMerge/>
            <w:tcBorders>
              <w:top w:val="single" w:sz="8" w:space="0" w:color="000000"/>
              <w:bottom w:val="single" w:sz="8" w:space="0" w:color="000000"/>
            </w:tcBorders>
            <w:vAlign w:val="center"/>
            <w:hideMark/>
          </w:tcPr>
          <w:p w:rsidR="00000000" w:rsidRDefault="0094004B">
            <w:pPr>
              <w:spacing w:after="100"/>
              <w:rPr>
                <w:rFonts w:eastAsia="Times New Roman"/>
              </w:rPr>
            </w:pP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vMerge/>
            <w:tcBorders>
              <w:top w:val="single" w:sz="8" w:space="0" w:color="000000"/>
              <w:bottom w:val="single" w:sz="8" w:space="0" w:color="000000"/>
            </w:tcBorders>
            <w:vAlign w:val="center"/>
            <w:hideMark/>
          </w:tcPr>
          <w:p w:rsidR="00000000" w:rsidRDefault="0094004B">
            <w:pPr>
              <w:spacing w:after="100"/>
              <w:rPr>
                <w:rFonts w:eastAsia="Times New Roman"/>
              </w:rPr>
            </w:pP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vMerge/>
            <w:tcBorders>
              <w:top w:val="single" w:sz="8" w:space="0" w:color="000000"/>
              <w:bottom w:val="single" w:sz="8" w:space="0" w:color="000000"/>
            </w:tcBorders>
            <w:vAlign w:val="center"/>
            <w:hideMark/>
          </w:tcPr>
          <w:p w:rsidR="00000000" w:rsidRDefault="0094004B">
            <w:pPr>
              <w:spacing w:after="100"/>
              <w:rPr>
                <w:rFonts w:eastAsia="Times New Roman"/>
              </w:rPr>
            </w:pPr>
          </w:p>
        </w:tc>
      </w:tr>
    </w:tbl>
    <w:p w:rsidR="00000000" w:rsidRDefault="0094004B">
      <w:pPr>
        <w:jc w:val="both"/>
        <w:divId w:val="656761427"/>
        <w:rPr>
          <w:rFonts w:eastAsia="Times New Roman"/>
        </w:rPr>
      </w:pPr>
      <w:r>
        <w:rPr>
          <w:rFonts w:eastAsia="Times New Roman"/>
          <w:color w:val="000000"/>
          <w:sz w:val="20"/>
          <w:szCs w:val="20"/>
        </w:rPr>
        <w:t xml:space="preserve">As of December 31, 2021, we added back an aggregate amount of $2.4 billion to our regulatory capital pursuant to the CECL Transition Rule. Consistent with the rule, we phased in 25% of this amount, or $599 million, on January 1, 2022, leaving $1.8 billion </w:t>
      </w:r>
      <w:r>
        <w:rPr>
          <w:rFonts w:eastAsia="Times New Roman"/>
          <w:color w:val="000000"/>
          <w:sz w:val="20"/>
          <w:szCs w:val="20"/>
        </w:rPr>
        <w:t>to be phased in over 2023-2025. As of December 31, 2022, the Company’s CET1 capital ratio, reflecting the CECL Transition Rule, was 12.5% and would have been 12.0% excluding the impact of the CECL Transition Rule (or “on a fully phased-in basis”).</w:t>
      </w:r>
    </w:p>
    <w:p w:rsidR="00000000" w:rsidRDefault="0094004B">
      <w:pPr>
        <w:jc w:val="both"/>
        <w:divId w:val="629745743"/>
        <w:rPr>
          <w:rFonts w:eastAsia="Times New Roman"/>
        </w:rPr>
      </w:pPr>
      <w:r>
        <w:rPr>
          <w:rFonts w:eastAsia="Times New Roman"/>
          <w:color w:val="000000"/>
          <w:sz w:val="20"/>
          <w:szCs w:val="20"/>
        </w:rPr>
        <w:t xml:space="preserve">For the </w:t>
      </w:r>
      <w:r>
        <w:rPr>
          <w:rFonts w:eastAsia="Times New Roman"/>
          <w:color w:val="000000"/>
          <w:sz w:val="20"/>
          <w:szCs w:val="20"/>
        </w:rPr>
        <w:t>description of the regulatory capital rules to which we are subject, see “Part I—Item 1. Business—Supervision and Regulation.”</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840000654"/>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840000654"/>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840000654"/>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71</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097" style="width:0;height:1.5pt" o:hralign="center" o:hrstd="t" o:hr="t" fillcolor="#a0a0a0" stroked="f"/>
        </w:pict>
      </w:r>
    </w:p>
    <w:p w:rsidR="00000000" w:rsidRDefault="0094004B">
      <w:pPr>
        <w:ind w:hanging="360"/>
        <w:jc w:val="both"/>
        <w:divId w:val="395978686"/>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both"/>
        <w:divId w:val="576286254"/>
        <w:rPr>
          <w:rFonts w:eastAsia="Times New Roman"/>
        </w:rPr>
      </w:pPr>
      <w:r>
        <w:rPr>
          <w:rFonts w:eastAsia="Times New Roman"/>
          <w:color w:val="000000"/>
          <w:sz w:val="20"/>
          <w:szCs w:val="20"/>
        </w:rPr>
        <w:t>Table 12 provides a comparison of our regulatory capital ratios under the Basel III standardized approach, the regulatory minimum capital adequ</w:t>
      </w:r>
      <w:r>
        <w:rPr>
          <w:rFonts w:eastAsia="Times New Roman"/>
          <w:color w:val="000000"/>
          <w:sz w:val="20"/>
          <w:szCs w:val="20"/>
        </w:rPr>
        <w:t xml:space="preserve">acy ratios and the applicable well-capitalized standards as of December 31, 2022 and 2021. </w:t>
      </w:r>
    </w:p>
    <w:p w:rsidR="00000000" w:rsidRDefault="0094004B">
      <w:pPr>
        <w:divId w:val="168758315"/>
        <w:rPr>
          <w:rFonts w:eastAsia="Times New Roman"/>
        </w:rPr>
      </w:pPr>
      <w:r>
        <w:rPr>
          <w:rFonts w:eastAsia="Times New Roman"/>
          <w:b/>
          <w:bCs/>
          <w:color w:val="000000"/>
          <w:sz w:val="18"/>
          <w:szCs w:val="18"/>
        </w:rPr>
        <w:t>Table 12: Capital Ratios Under Basel II</w:t>
      </w:r>
      <w:r>
        <w:rPr>
          <w:rFonts w:eastAsia="Times New Roman"/>
          <w:b/>
          <w:bCs/>
          <w:color w:val="000000"/>
          <w:sz w:val="18"/>
          <w:szCs w:val="18"/>
        </w:rPr>
        <w:t>I</w:t>
      </w:r>
      <w:r>
        <w:rPr>
          <w:rFonts w:eastAsia="Times New Roman"/>
          <w:b/>
          <w:bCs/>
          <w:color w:val="000000"/>
          <w:sz w:val="12"/>
          <w:szCs w:val="12"/>
        </w:rPr>
        <w:t>(1</w:t>
      </w:r>
      <w:r>
        <w:rPr>
          <w:rFonts w:eastAsia="Times New Roman"/>
          <w:b/>
          <w:bCs/>
          <w:color w:val="000000"/>
          <w:sz w:val="12"/>
          <w:szCs w:val="12"/>
        </w:rPr>
        <w:t>)</w:t>
      </w:r>
    </w:p>
    <w:tbl>
      <w:tblPr>
        <w:tblW w:w="5000" w:type="pct"/>
        <w:tblCellMar>
          <w:top w:w="15" w:type="dxa"/>
          <w:left w:w="15" w:type="dxa"/>
          <w:bottom w:w="15" w:type="dxa"/>
          <w:right w:w="15" w:type="dxa"/>
        </w:tblCellMar>
        <w:tblLook w:val="04A0" w:firstRow="1" w:lastRow="0" w:firstColumn="1" w:lastColumn="0" w:noHBand="0" w:noVBand="1"/>
      </w:tblPr>
      <w:tblGrid>
        <w:gridCol w:w="38"/>
        <w:gridCol w:w="2585"/>
        <w:gridCol w:w="37"/>
        <w:gridCol w:w="36"/>
        <w:gridCol w:w="36"/>
        <w:gridCol w:w="36"/>
        <w:gridCol w:w="49"/>
        <w:gridCol w:w="361"/>
        <w:gridCol w:w="200"/>
        <w:gridCol w:w="36"/>
        <w:gridCol w:w="36"/>
        <w:gridCol w:w="36"/>
        <w:gridCol w:w="77"/>
        <w:gridCol w:w="641"/>
        <w:gridCol w:w="200"/>
        <w:gridCol w:w="36"/>
        <w:gridCol w:w="36"/>
        <w:gridCol w:w="36"/>
        <w:gridCol w:w="78"/>
        <w:gridCol w:w="738"/>
        <w:gridCol w:w="200"/>
        <w:gridCol w:w="36"/>
        <w:gridCol w:w="36"/>
        <w:gridCol w:w="36"/>
        <w:gridCol w:w="49"/>
        <w:gridCol w:w="361"/>
        <w:gridCol w:w="170"/>
        <w:gridCol w:w="36"/>
        <w:gridCol w:w="36"/>
        <w:gridCol w:w="36"/>
        <w:gridCol w:w="77"/>
        <w:gridCol w:w="641"/>
        <w:gridCol w:w="170"/>
        <w:gridCol w:w="36"/>
        <w:gridCol w:w="36"/>
        <w:gridCol w:w="36"/>
        <w:gridCol w:w="78"/>
        <w:gridCol w:w="738"/>
        <w:gridCol w:w="170"/>
      </w:tblGrid>
      <w:tr w:rsidR="00000000">
        <w:trPr>
          <w:divId w:val="205486031"/>
        </w:trPr>
        <w:tc>
          <w:tcPr>
            <w:tcW w:w="50" w:type="pct"/>
            <w:vAlign w:val="center"/>
            <w:hideMark/>
          </w:tcPr>
          <w:p w:rsidR="00000000" w:rsidRDefault="0094004B">
            <w:pPr>
              <w:rPr>
                <w:rFonts w:eastAsia="Times New Roman"/>
              </w:rPr>
            </w:pPr>
          </w:p>
        </w:tc>
        <w:tc>
          <w:tcPr>
            <w:tcW w:w="1860"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68"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20"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78"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68"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20"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7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205486031"/>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December 31, 2022</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December 31, 2021</w:t>
            </w:r>
          </w:p>
        </w:tc>
      </w:tr>
      <w:tr w:rsidR="00000000">
        <w:trPr>
          <w:divId w:val="205486031"/>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Ratio</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Minimum</w:t>
            </w:r>
            <w:r>
              <w:rPr>
                <w:rFonts w:eastAsia="Times New Roman"/>
                <w:b/>
                <w:bCs/>
                <w:color w:val="000000"/>
                <w:sz w:val="16"/>
                <w:szCs w:val="16"/>
              </w:rPr>
              <w:br/>
              <w:t>Capital</w:t>
            </w:r>
            <w:r>
              <w:rPr>
                <w:rFonts w:eastAsia="Times New Roman"/>
                <w:b/>
                <w:bCs/>
                <w:color w:val="000000"/>
                <w:sz w:val="16"/>
                <w:szCs w:val="16"/>
              </w:rPr>
              <w:br/>
              <w:t>Adequacy</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Well-</w:t>
            </w:r>
            <w:r>
              <w:rPr>
                <w:rFonts w:eastAsia="Times New Roman"/>
                <w:b/>
                <w:bCs/>
                <w:color w:val="000000"/>
                <w:sz w:val="16"/>
                <w:szCs w:val="16"/>
              </w:rPr>
              <w:br/>
              <w:t>Capitalized</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Ratio</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Minimum</w:t>
            </w:r>
            <w:r>
              <w:rPr>
                <w:rFonts w:eastAsia="Times New Roman"/>
                <w:b/>
                <w:bCs/>
                <w:color w:val="000000"/>
                <w:sz w:val="16"/>
                <w:szCs w:val="16"/>
              </w:rPr>
              <w:br/>
              <w:t>Capital</w:t>
            </w:r>
            <w:r>
              <w:rPr>
                <w:rFonts w:eastAsia="Times New Roman"/>
                <w:b/>
                <w:bCs/>
                <w:color w:val="000000"/>
                <w:sz w:val="16"/>
                <w:szCs w:val="16"/>
              </w:rPr>
              <w:br/>
              <w:t>Adequacy</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Well-</w:t>
            </w:r>
            <w:r>
              <w:rPr>
                <w:rFonts w:eastAsia="Times New Roman"/>
                <w:b/>
                <w:bCs/>
                <w:color w:val="000000"/>
                <w:sz w:val="16"/>
                <w:szCs w:val="16"/>
              </w:rPr>
              <w:br/>
              <w:t>Capitalized</w:t>
            </w:r>
          </w:p>
        </w:tc>
      </w:tr>
      <w:tr w:rsidR="00000000">
        <w:trPr>
          <w:divId w:val="205486031"/>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Capital One Financial Corp:</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205486031"/>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divId w:val="1522233505"/>
              <w:rPr>
                <w:rFonts w:eastAsia="Times New Roman"/>
              </w:rPr>
            </w:pPr>
            <w:r>
              <w:rPr>
                <w:rFonts w:eastAsia="Times New Roman"/>
                <w:color w:val="000000"/>
                <w:sz w:val="18"/>
                <w:szCs w:val="18"/>
              </w:rPr>
              <w:t>Common equity Tier 1 capita</w:t>
            </w:r>
            <w:r>
              <w:rPr>
                <w:rFonts w:eastAsia="Times New Roman"/>
                <w:color w:val="000000"/>
                <w:sz w:val="18"/>
                <w:szCs w:val="18"/>
              </w:rPr>
              <w:t>l</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12.5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4.5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13.1 </w:t>
            </w:r>
          </w:p>
        </w:tc>
        <w:tc>
          <w:tcPr>
            <w:tcW w:w="0" w:type="auto"/>
            <w:shd w:val="clear" w:color="auto" w:fill="FFFFFF"/>
            <w:tcMar>
              <w:top w:w="30" w:type="dxa"/>
              <w:left w:w="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4.5 </w:t>
            </w:r>
          </w:p>
        </w:tc>
        <w:tc>
          <w:tcPr>
            <w:tcW w:w="0" w:type="auto"/>
            <w:shd w:val="clear" w:color="auto" w:fill="FFFFFF"/>
            <w:tcMar>
              <w:top w:w="30" w:type="dxa"/>
              <w:left w:w="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18"/>
                <w:szCs w:val="18"/>
              </w:rPr>
              <w:t>N/A</w:t>
            </w:r>
          </w:p>
        </w:tc>
      </w:tr>
      <w:tr w:rsidR="00000000">
        <w:trPr>
          <w:divId w:val="205486031"/>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divId w:val="2113935569"/>
              <w:rPr>
                <w:rFonts w:eastAsia="Times New Roman"/>
              </w:rPr>
            </w:pPr>
            <w:r>
              <w:rPr>
                <w:rFonts w:eastAsia="Times New Roman"/>
                <w:color w:val="000000"/>
                <w:sz w:val="18"/>
                <w:szCs w:val="18"/>
              </w:rPr>
              <w:t>Tier 1 capita</w:t>
            </w:r>
            <w:r>
              <w:rPr>
                <w:rFonts w:eastAsia="Times New Roman"/>
                <w:color w:val="000000"/>
                <w:sz w:val="18"/>
                <w:szCs w:val="18"/>
              </w:rPr>
              <w:t>l</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13.9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6.0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6.0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14.5 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6.0 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6.0 </w:t>
            </w:r>
          </w:p>
        </w:tc>
        <w:tc>
          <w:tcPr>
            <w:tcW w:w="0" w:type="auto"/>
            <w:shd w:val="clear" w:color="auto" w:fill="CCEEFF"/>
            <w:tcMar>
              <w:top w:w="30" w:type="dxa"/>
              <w:left w:w="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w:t>
            </w:r>
          </w:p>
        </w:tc>
      </w:tr>
      <w:tr w:rsidR="00000000">
        <w:trPr>
          <w:divId w:val="205486031"/>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divId w:val="572156702"/>
              <w:rPr>
                <w:rFonts w:eastAsia="Times New Roman"/>
              </w:rPr>
            </w:pPr>
            <w:r>
              <w:rPr>
                <w:rFonts w:eastAsia="Times New Roman"/>
                <w:color w:val="000000"/>
                <w:sz w:val="18"/>
                <w:szCs w:val="18"/>
              </w:rPr>
              <w:t>Total capita</w:t>
            </w:r>
            <w:r>
              <w:rPr>
                <w:rFonts w:eastAsia="Times New Roman"/>
                <w:color w:val="000000"/>
                <w:sz w:val="18"/>
                <w:szCs w:val="18"/>
              </w:rPr>
              <w:t>l</w:t>
            </w:r>
            <w:r>
              <w:rPr>
                <w:rFonts w:eastAsia="Times New Roman"/>
                <w:color w:val="000000"/>
                <w:sz w:val="12"/>
                <w:szCs w:val="12"/>
              </w:rPr>
              <w:t>(4</w:t>
            </w:r>
            <w:r>
              <w:rPr>
                <w:rFonts w:eastAsia="Times New Roman"/>
                <w:color w:val="000000"/>
                <w:sz w:val="12"/>
                <w:szCs w:val="12"/>
              </w:rPr>
              <w:t>)</w:t>
            </w:r>
            <w:r>
              <w:rPr>
                <w:rFonts w:eastAsia="Times New Roman"/>
                <w:color w:val="000000"/>
                <w:sz w:val="18"/>
                <w:szCs w:val="18"/>
              </w:rPr>
              <w:t xml:space="preserve"> </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15.8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8.0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16.9 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8.0 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18"/>
                <w:szCs w:val="18"/>
              </w:rPr>
              <w:t>10.0</w:t>
            </w:r>
          </w:p>
        </w:tc>
      </w:tr>
      <w:tr w:rsidR="00000000">
        <w:trPr>
          <w:divId w:val="205486031"/>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divId w:val="330641937"/>
              <w:rPr>
                <w:rFonts w:eastAsia="Times New Roman"/>
              </w:rPr>
            </w:pPr>
            <w:r>
              <w:rPr>
                <w:rFonts w:eastAsia="Times New Roman"/>
                <w:color w:val="000000"/>
                <w:sz w:val="18"/>
                <w:szCs w:val="18"/>
              </w:rPr>
              <w:t>Tier 1 leverag</w:t>
            </w:r>
            <w:r>
              <w:rPr>
                <w:rFonts w:eastAsia="Times New Roman"/>
                <w:color w:val="000000"/>
                <w:sz w:val="18"/>
                <w:szCs w:val="18"/>
              </w:rPr>
              <w:t>e</w:t>
            </w:r>
            <w:r>
              <w:rPr>
                <w:rFonts w:eastAsia="Times New Roman"/>
                <w:color w:val="000000"/>
                <w:sz w:val="12"/>
                <w:szCs w:val="12"/>
              </w:rPr>
              <w:t>(5</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11.1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4.0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18"/>
                <w:szCs w:val="18"/>
              </w:rPr>
              <w:t>N/A</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11.6 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18"/>
                <w:szCs w:val="18"/>
              </w:rPr>
              <w:t>N/A</w:t>
            </w:r>
          </w:p>
        </w:tc>
      </w:tr>
      <w:tr w:rsidR="00000000">
        <w:trPr>
          <w:divId w:val="205486031"/>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divId w:val="1403674537"/>
              <w:rPr>
                <w:rFonts w:eastAsia="Times New Roman"/>
              </w:rPr>
            </w:pPr>
            <w:r>
              <w:rPr>
                <w:rFonts w:eastAsia="Times New Roman"/>
                <w:color w:val="000000"/>
                <w:sz w:val="18"/>
                <w:szCs w:val="18"/>
              </w:rPr>
              <w:t>Supplementary leverag</w:t>
            </w:r>
            <w:r>
              <w:rPr>
                <w:rFonts w:eastAsia="Times New Roman"/>
                <w:color w:val="000000"/>
                <w:sz w:val="18"/>
                <w:szCs w:val="18"/>
              </w:rPr>
              <w:t>e</w:t>
            </w:r>
            <w:r>
              <w:rPr>
                <w:rFonts w:eastAsia="Times New Roman"/>
                <w:color w:val="000000"/>
                <w:sz w:val="12"/>
                <w:szCs w:val="12"/>
              </w:rPr>
              <w:t>(6</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9.5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9.9 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18"/>
                <w:szCs w:val="18"/>
              </w:rPr>
              <w:t>N/A</w:t>
            </w:r>
          </w:p>
        </w:tc>
      </w:tr>
      <w:tr w:rsidR="00000000">
        <w:trPr>
          <w:divId w:val="205486031"/>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CONA:</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205486031"/>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divId w:val="2130928557"/>
              <w:rPr>
                <w:rFonts w:eastAsia="Times New Roman"/>
              </w:rPr>
            </w:pPr>
            <w:r>
              <w:rPr>
                <w:rFonts w:eastAsia="Times New Roman"/>
                <w:color w:val="000000"/>
                <w:sz w:val="18"/>
                <w:szCs w:val="18"/>
              </w:rPr>
              <w:t>Common equity Tier 1 capita</w:t>
            </w:r>
            <w:r>
              <w:rPr>
                <w:rFonts w:eastAsia="Times New Roman"/>
                <w:color w:val="000000"/>
                <w:sz w:val="18"/>
                <w:szCs w:val="18"/>
              </w:rPr>
              <w:t>l</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13.1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4.5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6.5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11.1 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4.5 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18"/>
                <w:szCs w:val="18"/>
              </w:rPr>
              <w:t>6.5</w:t>
            </w:r>
          </w:p>
        </w:tc>
      </w:tr>
      <w:tr w:rsidR="00000000">
        <w:trPr>
          <w:divId w:val="205486031"/>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divId w:val="34623177"/>
              <w:rPr>
                <w:rFonts w:eastAsia="Times New Roman"/>
              </w:rPr>
            </w:pPr>
            <w:r>
              <w:rPr>
                <w:rFonts w:eastAsia="Times New Roman"/>
                <w:color w:val="000000"/>
                <w:sz w:val="18"/>
                <w:szCs w:val="18"/>
              </w:rPr>
              <w:t>Tier 1 capita</w:t>
            </w:r>
            <w:r>
              <w:rPr>
                <w:rFonts w:eastAsia="Times New Roman"/>
                <w:color w:val="000000"/>
                <w:sz w:val="18"/>
                <w:szCs w:val="18"/>
              </w:rPr>
              <w:t>l</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13.1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6.0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8.0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11.1 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6.0 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18"/>
                <w:szCs w:val="18"/>
              </w:rPr>
              <w:t>8.0</w:t>
            </w:r>
          </w:p>
        </w:tc>
      </w:tr>
      <w:tr w:rsidR="00000000">
        <w:trPr>
          <w:divId w:val="205486031"/>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divId w:val="533691965"/>
              <w:rPr>
                <w:rFonts w:eastAsia="Times New Roman"/>
              </w:rPr>
            </w:pPr>
            <w:r>
              <w:rPr>
                <w:rFonts w:eastAsia="Times New Roman"/>
                <w:color w:val="000000"/>
                <w:sz w:val="18"/>
                <w:szCs w:val="18"/>
              </w:rPr>
              <w:t>Total capita</w:t>
            </w:r>
            <w:r>
              <w:rPr>
                <w:rFonts w:eastAsia="Times New Roman"/>
                <w:color w:val="000000"/>
                <w:sz w:val="18"/>
                <w:szCs w:val="18"/>
              </w:rPr>
              <w:t>l</w:t>
            </w:r>
            <w:r>
              <w:rPr>
                <w:rFonts w:eastAsia="Times New Roman"/>
                <w:color w:val="000000"/>
                <w:sz w:val="12"/>
                <w:szCs w:val="12"/>
              </w:rPr>
              <w:t>(4</w:t>
            </w:r>
            <w:r>
              <w:rPr>
                <w:rFonts w:eastAsia="Times New Roman"/>
                <w:color w:val="000000"/>
                <w:sz w:val="12"/>
                <w:szCs w:val="12"/>
              </w:rPr>
              <w:t>)</w:t>
            </w:r>
            <w:r>
              <w:rPr>
                <w:rFonts w:eastAsia="Times New Roman"/>
                <w:color w:val="000000"/>
                <w:sz w:val="18"/>
                <w:szCs w:val="18"/>
              </w:rPr>
              <w:t xml:space="preserve"> </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14.4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8.0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12.2 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8.0 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18"/>
                <w:szCs w:val="18"/>
              </w:rPr>
              <w:t>10.0</w:t>
            </w:r>
          </w:p>
        </w:tc>
      </w:tr>
      <w:tr w:rsidR="00000000">
        <w:trPr>
          <w:divId w:val="205486031"/>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divId w:val="700936613"/>
              <w:rPr>
                <w:rFonts w:eastAsia="Times New Roman"/>
              </w:rPr>
            </w:pPr>
            <w:r>
              <w:rPr>
                <w:rFonts w:eastAsia="Times New Roman"/>
                <w:color w:val="000000"/>
                <w:sz w:val="18"/>
                <w:szCs w:val="18"/>
              </w:rPr>
              <w:t>Tier 1 leverag</w:t>
            </w:r>
            <w:r>
              <w:rPr>
                <w:rFonts w:eastAsia="Times New Roman"/>
                <w:color w:val="000000"/>
                <w:sz w:val="18"/>
                <w:szCs w:val="18"/>
              </w:rPr>
              <w:t>e</w:t>
            </w:r>
            <w:r>
              <w:rPr>
                <w:rFonts w:eastAsia="Times New Roman"/>
                <w:color w:val="000000"/>
                <w:sz w:val="12"/>
                <w:szCs w:val="12"/>
              </w:rPr>
              <w:t>(5</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10.5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4.0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5.0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7.4 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18"/>
                <w:szCs w:val="18"/>
              </w:rPr>
              <w:t>5.0</w:t>
            </w:r>
          </w:p>
        </w:tc>
      </w:tr>
      <w:tr w:rsidR="00000000">
        <w:trPr>
          <w:divId w:val="205486031"/>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divId w:val="1989824888"/>
              <w:rPr>
                <w:rFonts w:eastAsia="Times New Roman"/>
              </w:rPr>
            </w:pPr>
            <w:r>
              <w:rPr>
                <w:rFonts w:eastAsia="Times New Roman"/>
                <w:color w:val="000000"/>
                <w:sz w:val="18"/>
                <w:szCs w:val="18"/>
              </w:rPr>
              <w:t>Supplementary leverag</w:t>
            </w:r>
            <w:r>
              <w:rPr>
                <w:rFonts w:eastAsia="Times New Roman"/>
                <w:color w:val="000000"/>
                <w:sz w:val="18"/>
                <w:szCs w:val="18"/>
              </w:rPr>
              <w:t>e</w:t>
            </w:r>
            <w:r>
              <w:rPr>
                <w:rFonts w:eastAsia="Times New Roman"/>
                <w:color w:val="000000"/>
                <w:sz w:val="12"/>
                <w:szCs w:val="12"/>
              </w:rPr>
              <w:t>(6</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9.0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6.6 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18"/>
                <w:szCs w:val="18"/>
              </w:rPr>
              <w:t>N/A</w:t>
            </w:r>
          </w:p>
        </w:tc>
      </w:tr>
    </w:tbl>
    <w:p w:rsidR="00000000" w:rsidRDefault="0094004B">
      <w:pPr>
        <w:divId w:val="205486031"/>
        <w:rPr>
          <w:rFonts w:eastAsia="Times New Roman"/>
        </w:rPr>
      </w:pPr>
      <w:r>
        <w:rPr>
          <w:rFonts w:eastAsia="Times New Roman"/>
          <w:color w:val="000000"/>
          <w:sz w:val="20"/>
          <w:szCs w:val="20"/>
        </w:rPr>
        <w:t>__________</w:t>
      </w:r>
    </w:p>
    <w:p w:rsidR="00000000" w:rsidRDefault="0094004B">
      <w:pPr>
        <w:ind w:hanging="360"/>
        <w:jc w:val="both"/>
        <w:divId w:val="2018652182"/>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Capital requirements that are not applicable are denoted by “N/A.”</w:t>
      </w:r>
    </w:p>
    <w:p w:rsidR="00000000" w:rsidRDefault="0094004B">
      <w:pPr>
        <w:ind w:hanging="360"/>
        <w:jc w:val="both"/>
        <w:divId w:val="1347752308"/>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Common equity Tier 1 capital ratio is a regulatory capital measure calculated based on common equity Tier 1 capital divided by risk-weighted assets.</w:t>
      </w:r>
    </w:p>
    <w:p w:rsidR="00000000" w:rsidRDefault="0094004B">
      <w:pPr>
        <w:ind w:hanging="360"/>
        <w:jc w:val="both"/>
        <w:divId w:val="710809014"/>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Tier 1 capital</w:t>
      </w:r>
      <w:r>
        <w:rPr>
          <w:rFonts w:eastAsia="Times New Roman"/>
          <w:color w:val="000000"/>
          <w:sz w:val="16"/>
          <w:szCs w:val="16"/>
        </w:rPr>
        <w:t xml:space="preserve"> ratio is a regulatory capital measure calculated based on Tier 1 capital divided by risk-weighted assets.</w:t>
      </w:r>
    </w:p>
    <w:p w:rsidR="00000000" w:rsidRDefault="0094004B">
      <w:pPr>
        <w:ind w:hanging="360"/>
        <w:jc w:val="both"/>
        <w:divId w:val="126705000"/>
        <w:rPr>
          <w:rFonts w:eastAsia="Times New Roman"/>
        </w:rPr>
      </w:pPr>
      <w:r>
        <w:rPr>
          <w:rFonts w:eastAsia="Times New Roman"/>
          <w:color w:val="000000"/>
          <w:sz w:val="10"/>
          <w:szCs w:val="10"/>
        </w:rPr>
        <w:t>(4</w:t>
      </w:r>
      <w:r>
        <w:rPr>
          <w:rFonts w:eastAsia="Times New Roman"/>
          <w:color w:val="000000"/>
          <w:sz w:val="10"/>
          <w:szCs w:val="10"/>
        </w:rPr>
        <w:t>)</w:t>
      </w:r>
      <w:r>
        <w:rPr>
          <w:rFonts w:eastAsia="Times New Roman"/>
          <w:color w:val="000000"/>
          <w:sz w:val="16"/>
          <w:szCs w:val="16"/>
        </w:rPr>
        <w:t>Total capital ratio is a regulatory capital measure calculated based on total capital divided by risk-weighted assets.</w:t>
      </w:r>
    </w:p>
    <w:p w:rsidR="00000000" w:rsidRDefault="0094004B">
      <w:pPr>
        <w:ind w:hanging="360"/>
        <w:jc w:val="both"/>
        <w:divId w:val="344064637"/>
        <w:rPr>
          <w:rFonts w:eastAsia="Times New Roman"/>
        </w:rPr>
      </w:pPr>
      <w:r>
        <w:rPr>
          <w:rFonts w:eastAsia="Times New Roman"/>
          <w:color w:val="000000"/>
          <w:sz w:val="10"/>
          <w:szCs w:val="10"/>
        </w:rPr>
        <w:t>(5</w:t>
      </w:r>
      <w:r>
        <w:rPr>
          <w:rFonts w:eastAsia="Times New Roman"/>
          <w:color w:val="000000"/>
          <w:sz w:val="10"/>
          <w:szCs w:val="10"/>
        </w:rPr>
        <w:t>)</w:t>
      </w:r>
      <w:r>
        <w:rPr>
          <w:rFonts w:eastAsia="Times New Roman"/>
          <w:color w:val="000000"/>
          <w:sz w:val="16"/>
          <w:szCs w:val="16"/>
        </w:rPr>
        <w:t>Tier 1 leverage ratio is</w:t>
      </w:r>
      <w:r>
        <w:rPr>
          <w:rFonts w:eastAsia="Times New Roman"/>
          <w:color w:val="000000"/>
          <w:sz w:val="16"/>
          <w:szCs w:val="16"/>
        </w:rPr>
        <w:t xml:space="preserve"> a regulatory capital measure calculated based on Tier 1 capital divided by adjusted average assets.</w:t>
      </w:r>
    </w:p>
    <w:p w:rsidR="00000000" w:rsidRDefault="0094004B">
      <w:pPr>
        <w:ind w:hanging="360"/>
        <w:jc w:val="both"/>
        <w:divId w:val="1929192795"/>
        <w:rPr>
          <w:rFonts w:eastAsia="Times New Roman"/>
        </w:rPr>
      </w:pPr>
      <w:r>
        <w:rPr>
          <w:rFonts w:eastAsia="Times New Roman"/>
          <w:color w:val="000000"/>
          <w:sz w:val="10"/>
          <w:szCs w:val="10"/>
        </w:rPr>
        <w:t>(6</w:t>
      </w:r>
      <w:r>
        <w:rPr>
          <w:rFonts w:eastAsia="Times New Roman"/>
          <w:color w:val="000000"/>
          <w:sz w:val="10"/>
          <w:szCs w:val="10"/>
        </w:rPr>
        <w:t>)</w:t>
      </w:r>
      <w:r>
        <w:rPr>
          <w:rFonts w:eastAsia="Times New Roman"/>
          <w:color w:val="000000"/>
          <w:sz w:val="16"/>
          <w:szCs w:val="16"/>
        </w:rPr>
        <w:t>Supplementary leverage ratio is a regulatory capital measure calculated based on Tier 1 capital divided by total leverage exposure.</w:t>
      </w:r>
    </w:p>
    <w:p w:rsidR="00000000" w:rsidRDefault="0094004B">
      <w:pPr>
        <w:ind w:firstLine="360"/>
        <w:jc w:val="both"/>
        <w:divId w:val="661784842"/>
        <w:rPr>
          <w:rFonts w:eastAsia="Times New Roman"/>
        </w:rPr>
      </w:pPr>
    </w:p>
    <w:p w:rsidR="00000000" w:rsidRDefault="0094004B">
      <w:pPr>
        <w:jc w:val="both"/>
        <w:divId w:val="1100293452"/>
        <w:rPr>
          <w:rFonts w:eastAsia="Times New Roman"/>
        </w:rPr>
      </w:pPr>
      <w:r>
        <w:rPr>
          <w:rFonts w:eastAsia="Times New Roman"/>
          <w:color w:val="000000"/>
          <w:sz w:val="20"/>
          <w:szCs w:val="20"/>
        </w:rPr>
        <w:t>On October 1, 2022</w:t>
      </w:r>
      <w:r>
        <w:rPr>
          <w:rFonts w:eastAsia="Times New Roman"/>
          <w:color w:val="000000"/>
          <w:sz w:val="20"/>
          <w:szCs w:val="20"/>
        </w:rPr>
        <w:t xml:space="preserve">, COBNA merged with and into CONA, with CONA as the surviving entity. The capital ratios of COBNA immediately prior to the Bank Merger were higher than those of CONA, therefore increasing the capital ratios of CONA immediately after the Bank Merger and as </w:t>
      </w:r>
      <w:r>
        <w:rPr>
          <w:rFonts w:eastAsia="Times New Roman"/>
          <w:color w:val="000000"/>
          <w:sz w:val="20"/>
          <w:szCs w:val="20"/>
        </w:rPr>
        <w:t>of December 31, 2022. See “Part I—Item 1. Business—Overview” of this Report for additional information on the Bank Merger.</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573702328"/>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573702328"/>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573702328"/>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72</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098" style="width:0;height:1.5pt" o:hralign="center" o:hrstd="t" o:hr="t" fillcolor="#a0a0a0" stroked="f"/>
        </w:pict>
      </w:r>
    </w:p>
    <w:p w:rsidR="00000000" w:rsidRDefault="0094004B">
      <w:pPr>
        <w:ind w:hanging="360"/>
        <w:jc w:val="both"/>
        <w:divId w:val="1709143547"/>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both"/>
        <w:divId w:val="528104080"/>
        <w:rPr>
          <w:rFonts w:eastAsia="Times New Roman"/>
        </w:rPr>
      </w:pPr>
      <w:r>
        <w:rPr>
          <w:rFonts w:eastAsia="Times New Roman"/>
          <w:color w:val="000000"/>
          <w:sz w:val="20"/>
          <w:szCs w:val="20"/>
        </w:rPr>
        <w:t>Table 13 presents regulatory capital under the Basel III standardized approach and regulatory capital metrics as of December 31, 2022 and 2021.</w:t>
      </w:r>
    </w:p>
    <w:p w:rsidR="00000000" w:rsidRDefault="0094004B">
      <w:pPr>
        <w:divId w:val="1178230654"/>
        <w:rPr>
          <w:rFonts w:eastAsia="Times New Roman"/>
        </w:rPr>
      </w:pPr>
      <w:r>
        <w:rPr>
          <w:rFonts w:eastAsia="Times New Roman"/>
          <w:b/>
          <w:bCs/>
          <w:color w:val="000000"/>
          <w:sz w:val="18"/>
          <w:szCs w:val="18"/>
        </w:rPr>
        <w:t>Table 13: Regulatory Risk-Based Capital Components and Regulatory Capital Metrics</w:t>
      </w:r>
    </w:p>
    <w:tbl>
      <w:tblPr>
        <w:tblW w:w="4985" w:type="pct"/>
        <w:tblCellMar>
          <w:top w:w="15" w:type="dxa"/>
          <w:left w:w="15" w:type="dxa"/>
          <w:bottom w:w="15" w:type="dxa"/>
          <w:right w:w="15" w:type="dxa"/>
        </w:tblCellMar>
        <w:tblLook w:val="04A0" w:firstRow="1" w:lastRow="0" w:firstColumn="1" w:lastColumn="0" w:noHBand="0" w:noVBand="1"/>
      </w:tblPr>
      <w:tblGrid>
        <w:gridCol w:w="38"/>
        <w:gridCol w:w="5596"/>
        <w:gridCol w:w="37"/>
        <w:gridCol w:w="36"/>
        <w:gridCol w:w="36"/>
        <w:gridCol w:w="36"/>
        <w:gridCol w:w="110"/>
        <w:gridCol w:w="1072"/>
        <w:gridCol w:w="36"/>
        <w:gridCol w:w="36"/>
        <w:gridCol w:w="36"/>
        <w:gridCol w:w="36"/>
        <w:gridCol w:w="110"/>
        <w:gridCol w:w="1029"/>
        <w:gridCol w:w="37"/>
      </w:tblGrid>
      <w:tr w:rsidR="00000000">
        <w:trPr>
          <w:divId w:val="891889813"/>
        </w:trPr>
        <w:tc>
          <w:tcPr>
            <w:tcW w:w="50" w:type="pct"/>
            <w:vAlign w:val="center"/>
            <w:hideMark/>
          </w:tcPr>
          <w:p w:rsidR="00000000" w:rsidRDefault="0094004B">
            <w:pPr>
              <w:rPr>
                <w:rFonts w:eastAsia="Times New Roman"/>
              </w:rPr>
            </w:pPr>
          </w:p>
        </w:tc>
        <w:tc>
          <w:tcPr>
            <w:tcW w:w="341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1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678"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678"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891889813"/>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(Dollars in millions)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b/>
                <w:bCs/>
                <w:color w:val="000000"/>
                <w:sz w:val="16"/>
                <w:szCs w:val="16"/>
              </w:rPr>
              <w:t>December 31, 2022</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b/>
                <w:bCs/>
                <w:color w:val="000000"/>
                <w:sz w:val="16"/>
                <w:szCs w:val="16"/>
              </w:rPr>
              <w:t>December 31, 2021</w:t>
            </w:r>
          </w:p>
        </w:tc>
      </w:tr>
      <w:tr w:rsidR="00000000">
        <w:trPr>
          <w:divId w:val="891889813"/>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18"/>
                <w:szCs w:val="18"/>
              </w:rPr>
              <w:t>Regulatory capital under Basel III standardized approach</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891889813"/>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Common equity excluding AOCI</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59,450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58,206</w:t>
            </w:r>
          </w:p>
        </w:tc>
      </w:tr>
      <w:tr w:rsidR="00000000">
        <w:trPr>
          <w:divId w:val="891889813"/>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Adjustments and deductions: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891889813"/>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divId w:val="2107379585"/>
              <w:rPr>
                <w:rFonts w:eastAsia="Times New Roman"/>
              </w:rPr>
            </w:pPr>
            <w:r>
              <w:rPr>
                <w:rFonts w:eastAsia="Times New Roman"/>
                <w:color w:val="000000"/>
                <w:sz w:val="18"/>
                <w:szCs w:val="18"/>
              </w:rPr>
              <w:t>AOCI, net of ta</w:t>
            </w:r>
            <w:r>
              <w:rPr>
                <w:rFonts w:eastAsia="Times New Roman"/>
                <w:color w:val="000000"/>
                <w:sz w:val="18"/>
                <w:szCs w:val="18"/>
              </w:rPr>
              <w:t>x</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(17)</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(23)</w:t>
            </w:r>
          </w:p>
        </w:tc>
      </w:tr>
      <w:tr w:rsidR="00000000">
        <w:trPr>
          <w:divId w:val="891889813"/>
        </w:trPr>
        <w:tc>
          <w:tcPr>
            <w:tcW w:w="0" w:type="auto"/>
            <w:gridSpan w:val="3"/>
            <w:shd w:val="clear" w:color="auto" w:fill="CCEEFF"/>
            <w:tcMar>
              <w:top w:w="30" w:type="dxa"/>
              <w:left w:w="245"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Goodwill, net of related deferred tax liabilities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(14,540)</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(14,562)</w:t>
            </w:r>
          </w:p>
        </w:tc>
      </w:tr>
      <w:tr w:rsidR="00000000">
        <w:trPr>
          <w:divId w:val="891889813"/>
        </w:trPr>
        <w:tc>
          <w:tcPr>
            <w:tcW w:w="0" w:type="auto"/>
            <w:gridSpan w:val="3"/>
            <w:shd w:val="clear" w:color="auto" w:fill="FFFFFF"/>
            <w:tcMar>
              <w:top w:w="30" w:type="dxa"/>
              <w:left w:w="245"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Other intangible and deferred tax assets, net of deferred tax liabilities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(162)</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(120)</w:t>
            </w:r>
          </w:p>
        </w:tc>
      </w:tr>
      <w:tr w:rsidR="00000000">
        <w:trPr>
          <w:divId w:val="891889813"/>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Common equity Tier 1 capital</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44,731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43,501</w:t>
            </w:r>
          </w:p>
        </w:tc>
      </w:tr>
      <w:tr w:rsidR="00000000">
        <w:trPr>
          <w:divId w:val="891889813"/>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Tier 1 capital instruments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4,845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4,845</w:t>
            </w:r>
          </w:p>
        </w:tc>
      </w:tr>
      <w:tr w:rsidR="00000000">
        <w:trPr>
          <w:divId w:val="891889813"/>
        </w:trPr>
        <w:tc>
          <w:tcPr>
            <w:tcW w:w="0" w:type="auto"/>
            <w:gridSpan w:val="3"/>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891889813"/>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Tier 1 capital</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49,576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48,346</w:t>
            </w:r>
          </w:p>
        </w:tc>
      </w:tr>
      <w:tr w:rsidR="00000000">
        <w:trPr>
          <w:divId w:val="891889813"/>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Tier 2 capital instruments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2,585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3,532</w:t>
            </w:r>
          </w:p>
        </w:tc>
      </w:tr>
      <w:tr w:rsidR="00000000">
        <w:trPr>
          <w:divId w:val="891889813"/>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Qualifying allowance for credit losses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4,553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4,211</w:t>
            </w:r>
          </w:p>
        </w:tc>
      </w:tr>
      <w:tr w:rsidR="00000000">
        <w:trPr>
          <w:divId w:val="891889813"/>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Tier 2 capital</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7,138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7,743</w:t>
            </w:r>
          </w:p>
        </w:tc>
      </w:tr>
      <w:tr w:rsidR="00000000">
        <w:trPr>
          <w:divId w:val="891889813"/>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Total capital</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56,714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gridSpan w:val="2"/>
            <w:tcBorders>
              <w:top w:val="single" w:sz="8" w:space="0" w:color="000000"/>
            </w:tcBorders>
            <w:shd w:val="clear" w:color="auto" w:fill="CCEEFF"/>
            <w:tcMar>
              <w:top w:w="30" w:type="dxa"/>
              <w:left w:w="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56,089</w:t>
            </w:r>
          </w:p>
        </w:tc>
      </w:tr>
      <w:tr w:rsidR="00000000">
        <w:trPr>
          <w:divId w:val="891889813"/>
          <w:trHeight w:val="240"/>
        </w:trPr>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891889813"/>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18"/>
                <w:szCs w:val="18"/>
              </w:rPr>
              <w:t>Regulatory capital metrics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891889813"/>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Risk-weighted assets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357,920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332,673</w:t>
            </w:r>
          </w:p>
        </w:tc>
      </w:tr>
      <w:tr w:rsidR="00000000">
        <w:trPr>
          <w:divId w:val="891889813"/>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Adjusted average assets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444,704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415,141</w:t>
            </w:r>
          </w:p>
        </w:tc>
      </w:tr>
      <w:tr w:rsidR="00000000">
        <w:trPr>
          <w:divId w:val="891889813"/>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Total leverage exposure</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522,136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486,405</w:t>
            </w:r>
          </w:p>
        </w:tc>
      </w:tr>
    </w:tbl>
    <w:p w:rsidR="00000000" w:rsidRDefault="0094004B">
      <w:pPr>
        <w:jc w:val="both"/>
        <w:divId w:val="891889813"/>
        <w:rPr>
          <w:rFonts w:eastAsia="Times New Roman"/>
        </w:rPr>
      </w:pPr>
      <w:r>
        <w:rPr>
          <w:rFonts w:eastAsia="Times New Roman"/>
          <w:color w:val="000000"/>
          <w:sz w:val="20"/>
          <w:szCs w:val="20"/>
        </w:rPr>
        <w:t>__________</w:t>
      </w:r>
    </w:p>
    <w:p w:rsidR="00000000" w:rsidRDefault="0094004B">
      <w:pPr>
        <w:ind w:hanging="360"/>
        <w:jc w:val="both"/>
        <w:divId w:val="1568607375"/>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Excludes certain components of AOCI in accordance with rules applicable to Category III institutions. See </w:t>
      </w:r>
      <w:r>
        <w:rPr>
          <w:rFonts w:eastAsia="Times New Roman"/>
          <w:color w:val="000000"/>
          <w:sz w:val="20"/>
          <w:szCs w:val="20"/>
        </w:rPr>
        <w:t>“</w:t>
      </w:r>
      <w:r>
        <w:rPr>
          <w:rFonts w:eastAsia="Times New Roman"/>
          <w:color w:val="000000"/>
          <w:sz w:val="16"/>
          <w:szCs w:val="16"/>
        </w:rPr>
        <w:t>Part I—Item 1. Business—Supervision and Regulation” in this Report.</w:t>
      </w:r>
    </w:p>
    <w:p w:rsidR="00000000" w:rsidRDefault="0094004B">
      <w:pPr>
        <w:divId w:val="1662730091"/>
        <w:rPr>
          <w:rFonts w:eastAsia="Times New Roman"/>
        </w:rPr>
      </w:pPr>
      <w:r>
        <w:rPr>
          <w:rFonts w:eastAsia="Times New Roman"/>
          <w:b/>
          <w:bCs/>
          <w:color w:val="000000"/>
          <w:sz w:val="20"/>
          <w:szCs w:val="20"/>
        </w:rPr>
        <w:t>Capital Planning and Regulatory Stress Testing</w:t>
      </w:r>
    </w:p>
    <w:p w:rsidR="00000000" w:rsidRDefault="0094004B">
      <w:pPr>
        <w:jc w:val="both"/>
        <w:divId w:val="332219496"/>
        <w:rPr>
          <w:rFonts w:eastAsia="Times New Roman"/>
        </w:rPr>
      </w:pPr>
      <w:r>
        <w:rPr>
          <w:rFonts w:eastAsia="Times New Roman"/>
          <w:color w:val="000000"/>
          <w:sz w:val="20"/>
          <w:szCs w:val="20"/>
        </w:rPr>
        <w:t>In January 2022, our Board of Dire</w:t>
      </w:r>
      <w:r>
        <w:rPr>
          <w:rFonts w:eastAsia="Times New Roman"/>
          <w:color w:val="000000"/>
          <w:sz w:val="20"/>
          <w:szCs w:val="20"/>
        </w:rPr>
        <w:t>ctors authorized the repurchase of up to $5.0 billion of shares of our common stock. In Apr</w:t>
      </w:r>
      <w:r>
        <w:rPr>
          <w:rFonts w:eastAsia="Times New Roman"/>
          <w:color w:val="000000"/>
          <w:sz w:val="20"/>
          <w:szCs w:val="20"/>
          <w:shd w:val="clear" w:color="auto" w:fill="FFFFFF"/>
        </w:rPr>
        <w:t>il 2022, our Board of Directors authorized the repurchase of up to an additional $5.0 billion of shares of our common stock. For the year ended December 31, 2022, we</w:t>
      </w:r>
      <w:r>
        <w:rPr>
          <w:rFonts w:eastAsia="Times New Roman"/>
          <w:color w:val="000000"/>
          <w:sz w:val="20"/>
          <w:szCs w:val="20"/>
          <w:shd w:val="clear" w:color="auto" w:fill="FFFFFF"/>
        </w:rPr>
        <w:t xml:space="preserve"> repurchased $4.8 billion of shares of our common stock.</w:t>
      </w:r>
      <w:r>
        <w:rPr>
          <w:rFonts w:eastAsia="Times New Roman"/>
          <w:color w:val="000000"/>
          <w:sz w:val="20"/>
          <w:szCs w:val="20"/>
        </w:rPr>
        <w:t xml:space="preserve"> </w:t>
      </w:r>
    </w:p>
    <w:p w:rsidR="00000000" w:rsidRDefault="0094004B">
      <w:pPr>
        <w:jc w:val="both"/>
        <w:rPr>
          <w:rFonts w:eastAsia="Times New Roman"/>
        </w:rPr>
      </w:pPr>
      <w:r>
        <w:rPr>
          <w:rFonts w:eastAsia="Times New Roman"/>
          <w:color w:val="000000"/>
          <w:sz w:val="20"/>
          <w:szCs w:val="20"/>
          <w:shd w:val="clear" w:color="auto" w:fill="FFFFFF"/>
        </w:rPr>
        <w:t xml:space="preserve">On June 23, 2022, the Federal Reserve released the supervisory stress test results for the 2022 CCAR cycle. Based on the Company’s 2022 supervisory stress test results, the Company’s stress capital </w:t>
      </w:r>
      <w:r>
        <w:rPr>
          <w:rFonts w:eastAsia="Times New Roman"/>
          <w:color w:val="000000"/>
          <w:sz w:val="20"/>
          <w:szCs w:val="20"/>
          <w:shd w:val="clear" w:color="auto" w:fill="FFFFFF"/>
        </w:rPr>
        <w:t>buffer requirement for the period beginning on October 1, 2022 through September 30, 2023 is 3.1%. Therefore, the Company’s minimum capital requirements plus the standardized approach capital conservation buffer for CET1 capital, Tier 1 capital and total c</w:t>
      </w:r>
      <w:r>
        <w:rPr>
          <w:rFonts w:eastAsia="Times New Roman"/>
          <w:color w:val="000000"/>
          <w:sz w:val="20"/>
          <w:szCs w:val="20"/>
          <w:shd w:val="clear" w:color="auto" w:fill="FFFFFF"/>
        </w:rPr>
        <w:t>apital ratios under the stress capital buffer framework are 7.6%, 9.1% and 11.1%, respectively, for the period from October 1, 2022 through September 30, 2023.</w:t>
      </w:r>
    </w:p>
    <w:p w:rsidR="00000000" w:rsidRDefault="0094004B">
      <w:pPr>
        <w:jc w:val="both"/>
        <w:divId w:val="1972663213"/>
        <w:rPr>
          <w:rFonts w:eastAsia="Times New Roman"/>
        </w:rPr>
      </w:pPr>
      <w:r>
        <w:rPr>
          <w:rFonts w:eastAsia="Times New Roman"/>
          <w:color w:val="000000"/>
          <w:sz w:val="20"/>
          <w:szCs w:val="20"/>
        </w:rPr>
        <w:t xml:space="preserve">For the description of the regulatory capital planning rules and stress testing requirements to </w:t>
      </w:r>
      <w:r>
        <w:rPr>
          <w:rFonts w:eastAsia="Times New Roman"/>
          <w:color w:val="000000"/>
          <w:sz w:val="20"/>
          <w:szCs w:val="20"/>
        </w:rPr>
        <w:t>which we are subject, see “Part I—Item 1. Business—Supervision and Regulation.”</w:t>
      </w:r>
    </w:p>
    <w:p w:rsidR="00000000" w:rsidRDefault="0094004B">
      <w:pPr>
        <w:jc w:val="both"/>
        <w:divId w:val="1331762107"/>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578756644"/>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578756644"/>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578756644"/>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73</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099" style="width:0;height:1.5pt" o:hralign="center" o:hrstd="t" o:hr="t" fillcolor="#a0a0a0" stroked="f"/>
        </w:pict>
      </w:r>
    </w:p>
    <w:p w:rsidR="00000000" w:rsidRDefault="0094004B">
      <w:pPr>
        <w:ind w:hanging="360"/>
        <w:jc w:val="both"/>
        <w:divId w:val="296572163"/>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divId w:val="1473059779"/>
        <w:rPr>
          <w:rFonts w:eastAsia="Times New Roman"/>
        </w:rPr>
      </w:pPr>
      <w:r>
        <w:rPr>
          <w:rFonts w:eastAsia="Times New Roman"/>
          <w:b/>
          <w:bCs/>
          <w:color w:val="000000"/>
          <w:sz w:val="20"/>
          <w:szCs w:val="20"/>
        </w:rPr>
        <w:t xml:space="preserve">Dividend Policy and Stock Purchases </w:t>
      </w:r>
    </w:p>
    <w:p w:rsidR="00000000" w:rsidRDefault="0094004B">
      <w:pPr>
        <w:jc w:val="both"/>
        <w:divId w:val="603999111"/>
        <w:rPr>
          <w:rFonts w:eastAsia="Times New Roman"/>
        </w:rPr>
      </w:pPr>
      <w:r>
        <w:rPr>
          <w:rFonts w:eastAsia="Times New Roman"/>
          <w:color w:val="000000"/>
          <w:sz w:val="20"/>
          <w:szCs w:val="20"/>
        </w:rPr>
        <w:t>For the year ended December 31, 2022</w:t>
      </w:r>
      <w:r>
        <w:rPr>
          <w:rFonts w:eastAsia="Times New Roman"/>
          <w:color w:val="000000"/>
          <w:sz w:val="20"/>
          <w:szCs w:val="20"/>
          <w:shd w:val="clear" w:color="auto" w:fill="FFFFFF"/>
        </w:rPr>
        <w:t>,</w:t>
      </w:r>
      <w:r>
        <w:rPr>
          <w:rFonts w:eastAsia="Times New Roman"/>
          <w:color w:val="000000"/>
          <w:sz w:val="20"/>
          <w:szCs w:val="20"/>
        </w:rPr>
        <w:t xml:space="preserve"> </w:t>
      </w:r>
      <w:r>
        <w:rPr>
          <w:rFonts w:eastAsia="Times New Roman"/>
          <w:color w:val="000000"/>
          <w:sz w:val="20"/>
          <w:szCs w:val="20"/>
        </w:rPr>
        <w:t>we declared and paid common stock dividends of $954 million</w:t>
      </w:r>
      <w:r>
        <w:rPr>
          <w:rFonts w:eastAsia="Times New Roman"/>
          <w:color w:val="000000"/>
          <w:sz w:val="20"/>
          <w:szCs w:val="20"/>
          <w:shd w:val="clear" w:color="auto" w:fill="FFFFFF"/>
        </w:rPr>
        <w:t>,</w:t>
      </w:r>
      <w:r>
        <w:rPr>
          <w:rFonts w:eastAsia="Times New Roman"/>
          <w:color w:val="000000"/>
          <w:sz w:val="20"/>
          <w:szCs w:val="20"/>
        </w:rPr>
        <w:t xml:space="preserve"> or $2.40 per share, and preferred stock dividends of $228 million</w:t>
      </w:r>
      <w:r>
        <w:rPr>
          <w:rFonts w:eastAsia="Times New Roman"/>
          <w:color w:val="000000"/>
          <w:sz w:val="20"/>
          <w:szCs w:val="20"/>
          <w:shd w:val="clear" w:color="auto" w:fill="FFFFFF"/>
        </w:rPr>
        <w:t>.</w:t>
      </w:r>
      <w:r>
        <w:rPr>
          <w:rFonts w:eastAsia="Times New Roman"/>
          <w:color w:val="000000"/>
          <w:sz w:val="20"/>
          <w:szCs w:val="20"/>
        </w:rPr>
        <w:t xml:space="preserve"> The following table summarizes the dividends paid per share on our various preferred stock series in each quarter of 2022.</w:t>
      </w:r>
    </w:p>
    <w:p w:rsidR="00000000" w:rsidRDefault="0094004B">
      <w:pPr>
        <w:divId w:val="449782904"/>
        <w:rPr>
          <w:rFonts w:eastAsia="Times New Roman"/>
        </w:rPr>
      </w:pPr>
      <w:r>
        <w:rPr>
          <w:rFonts w:eastAsia="Times New Roman"/>
          <w:b/>
          <w:bCs/>
          <w:color w:val="000000"/>
          <w:sz w:val="18"/>
          <w:szCs w:val="18"/>
        </w:rPr>
        <w:t>Table</w:t>
      </w:r>
      <w:r>
        <w:rPr>
          <w:rFonts w:eastAsia="Times New Roman"/>
          <w:b/>
          <w:bCs/>
          <w:color w:val="000000"/>
          <w:sz w:val="18"/>
          <w:szCs w:val="18"/>
        </w:rPr>
        <w:t xml:space="preserve"> 14: Preferred Stock Dividends Paid Per Share </w:t>
      </w:r>
    </w:p>
    <w:tbl>
      <w:tblPr>
        <w:tblW w:w="5000" w:type="pct"/>
        <w:tblCellMar>
          <w:top w:w="15" w:type="dxa"/>
          <w:left w:w="15" w:type="dxa"/>
          <w:bottom w:w="15" w:type="dxa"/>
          <w:right w:w="15" w:type="dxa"/>
        </w:tblCellMar>
        <w:tblLook w:val="04A0" w:firstRow="1" w:lastRow="0" w:firstColumn="1" w:lastColumn="0" w:noHBand="0" w:noVBand="1"/>
      </w:tblPr>
      <w:tblGrid>
        <w:gridCol w:w="67"/>
        <w:gridCol w:w="506"/>
        <w:gridCol w:w="36"/>
        <w:gridCol w:w="36"/>
        <w:gridCol w:w="36"/>
        <w:gridCol w:w="36"/>
        <w:gridCol w:w="72"/>
        <w:gridCol w:w="980"/>
        <w:gridCol w:w="36"/>
        <w:gridCol w:w="36"/>
        <w:gridCol w:w="36"/>
        <w:gridCol w:w="36"/>
        <w:gridCol w:w="57"/>
        <w:gridCol w:w="1105"/>
        <w:gridCol w:w="37"/>
        <w:gridCol w:w="36"/>
        <w:gridCol w:w="36"/>
        <w:gridCol w:w="36"/>
        <w:gridCol w:w="72"/>
        <w:gridCol w:w="911"/>
        <w:gridCol w:w="37"/>
        <w:gridCol w:w="36"/>
        <w:gridCol w:w="36"/>
        <w:gridCol w:w="36"/>
        <w:gridCol w:w="91"/>
        <w:gridCol w:w="851"/>
        <w:gridCol w:w="36"/>
        <w:gridCol w:w="36"/>
        <w:gridCol w:w="36"/>
        <w:gridCol w:w="36"/>
        <w:gridCol w:w="74"/>
        <w:gridCol w:w="509"/>
        <w:gridCol w:w="36"/>
        <w:gridCol w:w="36"/>
        <w:gridCol w:w="36"/>
        <w:gridCol w:w="36"/>
        <w:gridCol w:w="74"/>
        <w:gridCol w:w="509"/>
        <w:gridCol w:w="36"/>
        <w:gridCol w:w="36"/>
        <w:gridCol w:w="36"/>
        <w:gridCol w:w="36"/>
        <w:gridCol w:w="75"/>
        <w:gridCol w:w="508"/>
        <w:gridCol w:w="36"/>
        <w:gridCol w:w="36"/>
        <w:gridCol w:w="36"/>
        <w:gridCol w:w="36"/>
        <w:gridCol w:w="78"/>
        <w:gridCol w:w="505"/>
        <w:gridCol w:w="36"/>
        <w:gridCol w:w="36"/>
        <w:gridCol w:w="36"/>
      </w:tblGrid>
      <w:tr w:rsidR="00000000">
        <w:trPr>
          <w:divId w:val="2039507083"/>
        </w:trPr>
        <w:tc>
          <w:tcPr>
            <w:tcW w:w="50" w:type="pct"/>
            <w:vAlign w:val="center"/>
            <w:hideMark/>
          </w:tcPr>
          <w:p w:rsidR="00000000" w:rsidRDefault="0094004B">
            <w:pPr>
              <w:rPr>
                <w:rFonts w:eastAsia="Times New Roman"/>
              </w:rPr>
            </w:pPr>
          </w:p>
        </w:tc>
        <w:tc>
          <w:tcPr>
            <w:tcW w:w="361"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668"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73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62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71"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4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4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3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1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2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2039507083"/>
          <w:trHeight w:val="280"/>
        </w:trPr>
        <w:tc>
          <w:tcPr>
            <w:tcW w:w="0" w:type="auto"/>
            <w:gridSpan w:val="3"/>
            <w:vMerge w:val="restart"/>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Series</w:t>
            </w:r>
          </w:p>
        </w:tc>
        <w:tc>
          <w:tcPr>
            <w:tcW w:w="0" w:type="auto"/>
            <w:gridSpan w:val="3"/>
            <w:vMerge w:val="restart"/>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Description</w:t>
            </w:r>
          </w:p>
        </w:tc>
        <w:tc>
          <w:tcPr>
            <w:tcW w:w="0" w:type="auto"/>
            <w:gridSpan w:val="3"/>
            <w:vMerge w:val="restart"/>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Issuance Date</w:t>
            </w:r>
          </w:p>
        </w:tc>
        <w:tc>
          <w:tcPr>
            <w:tcW w:w="0" w:type="auto"/>
            <w:gridSpan w:val="3"/>
            <w:vMerge w:val="restart"/>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 xml:space="preserve">Per Annum </w:t>
            </w:r>
            <w:r>
              <w:rPr>
                <w:rFonts w:eastAsia="Times New Roman"/>
                <w:b/>
                <w:bCs/>
                <w:color w:val="000000"/>
                <w:sz w:val="20"/>
                <w:szCs w:val="20"/>
              </w:rPr>
              <w:br/>
              <w:t>Dividend Rate</w:t>
            </w:r>
          </w:p>
        </w:tc>
        <w:tc>
          <w:tcPr>
            <w:tcW w:w="0" w:type="auto"/>
            <w:gridSpan w:val="3"/>
            <w:vMerge w:val="restart"/>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Dividend Frequency</w:t>
            </w:r>
          </w:p>
        </w:tc>
        <w:tc>
          <w:tcPr>
            <w:tcW w:w="0" w:type="auto"/>
            <w:gridSpan w:val="3"/>
            <w:vMerge w:val="restart"/>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21"/>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2022</w:t>
            </w:r>
          </w:p>
        </w:tc>
        <w:tc>
          <w:tcPr>
            <w:tcW w:w="0" w:type="auto"/>
            <w:vAlign w:val="center"/>
            <w:hideMark/>
          </w:tcPr>
          <w:p w:rsidR="00000000" w:rsidRDefault="0094004B">
            <w:pPr>
              <w:spacing w:after="100"/>
              <w:jc w:val="center"/>
              <w:rPr>
                <w:rFonts w:eastAsia="Times New Roman"/>
              </w:rPr>
            </w:pPr>
          </w:p>
        </w:tc>
        <w:tc>
          <w:tcPr>
            <w:tcW w:w="0" w:type="auto"/>
            <w:vAlign w:val="center"/>
            <w:hideMark/>
          </w:tcPr>
          <w:p w:rsidR="00000000" w:rsidRDefault="0094004B">
            <w:pPr>
              <w:spacing w:after="100"/>
              <w:rPr>
                <w:rFonts w:eastAsia="Times New Roman"/>
                <w:sz w:val="20"/>
                <w:szCs w:val="20"/>
              </w:rPr>
            </w:pPr>
          </w:p>
        </w:tc>
      </w:tr>
      <w:tr w:rsidR="00000000">
        <w:trPr>
          <w:divId w:val="2039507083"/>
          <w:trHeight w:val="280"/>
        </w:trPr>
        <w:tc>
          <w:tcPr>
            <w:tcW w:w="0" w:type="auto"/>
            <w:gridSpan w:val="3"/>
            <w:vMerge/>
            <w:vAlign w:val="center"/>
            <w:hideMark/>
          </w:tcPr>
          <w:p w:rsidR="00000000" w:rsidRDefault="0094004B">
            <w:pPr>
              <w:spacing w:after="100"/>
              <w:rPr>
                <w:rFonts w:eastAsia="Times New Roman"/>
              </w:rPr>
            </w:pPr>
          </w:p>
        </w:tc>
        <w:tc>
          <w:tcPr>
            <w:tcW w:w="0" w:type="auto"/>
            <w:gridSpan w:val="3"/>
            <w:vMerge/>
            <w:vAlign w:val="center"/>
            <w:hideMark/>
          </w:tcPr>
          <w:p w:rsidR="00000000" w:rsidRDefault="0094004B">
            <w:pPr>
              <w:spacing w:after="100"/>
              <w:rPr>
                <w:rFonts w:eastAsia="Times New Roman"/>
              </w:rPr>
            </w:pPr>
          </w:p>
        </w:tc>
        <w:tc>
          <w:tcPr>
            <w:tcW w:w="0" w:type="auto"/>
            <w:gridSpan w:val="3"/>
            <w:vMerge/>
            <w:vAlign w:val="center"/>
            <w:hideMark/>
          </w:tcPr>
          <w:p w:rsidR="00000000" w:rsidRDefault="0094004B">
            <w:pPr>
              <w:spacing w:after="100"/>
              <w:rPr>
                <w:rFonts w:eastAsia="Times New Roman"/>
              </w:rPr>
            </w:pPr>
          </w:p>
        </w:tc>
        <w:tc>
          <w:tcPr>
            <w:tcW w:w="0" w:type="auto"/>
            <w:gridSpan w:val="3"/>
            <w:vMerge/>
            <w:vAlign w:val="center"/>
            <w:hideMark/>
          </w:tcPr>
          <w:p w:rsidR="00000000" w:rsidRDefault="0094004B">
            <w:pPr>
              <w:spacing w:after="100"/>
              <w:rPr>
                <w:rFonts w:eastAsia="Times New Roman"/>
              </w:rPr>
            </w:pPr>
          </w:p>
        </w:tc>
        <w:tc>
          <w:tcPr>
            <w:tcW w:w="0" w:type="auto"/>
            <w:gridSpan w:val="3"/>
            <w:vMerge/>
            <w:vAlign w:val="center"/>
            <w:hideMark/>
          </w:tcPr>
          <w:p w:rsidR="00000000" w:rsidRDefault="0094004B">
            <w:pPr>
              <w:spacing w:after="100"/>
              <w:rPr>
                <w:rFonts w:eastAsia="Times New Roman"/>
              </w:rPr>
            </w:pPr>
          </w:p>
        </w:tc>
        <w:tc>
          <w:tcPr>
            <w:tcW w:w="0" w:type="auto"/>
            <w:gridSpan w:val="3"/>
            <w:vMerge/>
            <w:vAlign w:val="center"/>
            <w:hideMark/>
          </w:tcPr>
          <w:p w:rsidR="00000000" w:rsidRDefault="0094004B">
            <w:pPr>
              <w:spacing w:after="100"/>
              <w:rPr>
                <w:rFonts w:eastAsia="Times New Roman"/>
              </w:rPr>
            </w:pPr>
          </w:p>
        </w:tc>
        <w:tc>
          <w:tcPr>
            <w:tcW w:w="0" w:type="auto"/>
            <w:gridSpan w:val="3"/>
            <w:vMerge/>
            <w:vAlign w:val="center"/>
            <w:hideMark/>
          </w:tcPr>
          <w:p w:rsidR="00000000" w:rsidRDefault="0094004B">
            <w:pPr>
              <w:spacing w:after="100"/>
              <w:rPr>
                <w:rFonts w:eastAsia="Times New Roman"/>
              </w:rPr>
            </w:pPr>
          </w:p>
        </w:tc>
        <w:tc>
          <w:tcPr>
            <w:tcW w:w="0" w:type="auto"/>
            <w:gridSpan w:val="3"/>
            <w:vMerge/>
            <w:vAlign w:val="center"/>
            <w:hideMark/>
          </w:tcPr>
          <w:p w:rsidR="00000000" w:rsidRDefault="0094004B">
            <w:pPr>
              <w:spacing w:after="100"/>
              <w:rPr>
                <w:rFonts w:eastAsia="Times New Roman"/>
              </w:rPr>
            </w:pPr>
          </w:p>
        </w:tc>
        <w:tc>
          <w:tcPr>
            <w:tcW w:w="0" w:type="auto"/>
            <w:gridSpan w:val="3"/>
            <w:vMerge/>
            <w:vAlign w:val="center"/>
            <w:hideMark/>
          </w:tcPr>
          <w:p w:rsidR="00000000" w:rsidRDefault="0094004B">
            <w:pPr>
              <w:spacing w:after="100"/>
              <w:rPr>
                <w:rFonts w:eastAsia="Times New Roman"/>
              </w:rPr>
            </w:pPr>
          </w:p>
        </w:tc>
        <w:tc>
          <w:tcPr>
            <w:tcW w:w="0" w:type="auto"/>
            <w:gridSpan w:val="3"/>
            <w:vMerge/>
            <w:vAlign w:val="center"/>
            <w:hideMark/>
          </w:tcPr>
          <w:p w:rsidR="00000000" w:rsidRDefault="0094004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Q4</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Q3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Q2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Q1</w:t>
            </w:r>
          </w:p>
        </w:tc>
        <w:tc>
          <w:tcPr>
            <w:tcW w:w="0" w:type="auto"/>
            <w:vAlign w:val="center"/>
            <w:hideMark/>
          </w:tcPr>
          <w:p w:rsidR="00000000" w:rsidRDefault="0094004B">
            <w:pPr>
              <w:spacing w:after="100"/>
              <w:jc w:val="center"/>
              <w:rPr>
                <w:rFonts w:eastAsia="Times New Roman"/>
              </w:rPr>
            </w:pPr>
          </w:p>
        </w:tc>
        <w:tc>
          <w:tcPr>
            <w:tcW w:w="0" w:type="auto"/>
            <w:vAlign w:val="center"/>
            <w:hideMark/>
          </w:tcPr>
          <w:p w:rsidR="00000000" w:rsidRDefault="0094004B">
            <w:pPr>
              <w:spacing w:after="100"/>
              <w:rPr>
                <w:rFonts w:eastAsia="Times New Roman"/>
                <w:sz w:val="20"/>
                <w:szCs w:val="20"/>
              </w:rPr>
            </w:pPr>
          </w:p>
        </w:tc>
      </w:tr>
      <w:tr w:rsidR="00000000">
        <w:trPr>
          <w:divId w:val="2039507083"/>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2039507083"/>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2039507083"/>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2039507083"/>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94004B">
            <w:pPr>
              <w:spacing w:after="100"/>
              <w:rPr>
                <w:rFonts w:eastAsia="Times New Roman"/>
              </w:rPr>
            </w:pPr>
            <w:r>
              <w:rPr>
                <w:rFonts w:eastAsia="Times New Roman"/>
                <w:b/>
                <w:bCs/>
                <w:color w:val="000000"/>
                <w:sz w:val="20"/>
                <w:szCs w:val="20"/>
              </w:rPr>
              <w:t>Series I</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20"/>
                <w:szCs w:val="20"/>
              </w:rPr>
              <w:t xml:space="preserve">5.000% </w:t>
            </w:r>
            <w:r>
              <w:rPr>
                <w:rFonts w:eastAsia="Times New Roman"/>
                <w:color w:val="000000"/>
                <w:sz w:val="20"/>
                <w:szCs w:val="20"/>
              </w:rPr>
              <w:br/>
            </w:r>
            <w:r>
              <w:rPr>
                <w:rFonts w:eastAsia="Times New Roman"/>
                <w:color w:val="000000"/>
                <w:sz w:val="20"/>
                <w:szCs w:val="20"/>
              </w:rPr>
              <w:t>Non-Cumulative</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20"/>
                <w:szCs w:val="20"/>
              </w:rPr>
              <w:t>September 11, 2019</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20"/>
                <w:szCs w:val="20"/>
              </w:rPr>
              <w:t>5.000%</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20"/>
                <w:szCs w:val="20"/>
              </w:rPr>
              <w:t>Quarterly</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b/>
                <w:bCs/>
                <w:color w:val="000000"/>
                <w:sz w:val="20"/>
                <w:szCs w:val="20"/>
              </w:rPr>
              <w:t>$12.50</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20"/>
                <w:szCs w:val="20"/>
              </w:rPr>
              <w:t>$12.50</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20"/>
                <w:szCs w:val="20"/>
              </w:rPr>
              <w:t>$12.50</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20"/>
                <w:szCs w:val="20"/>
              </w:rPr>
              <w:t>$12.50</w:t>
            </w:r>
          </w:p>
        </w:tc>
        <w:tc>
          <w:tcPr>
            <w:tcW w:w="0" w:type="auto"/>
            <w:vAlign w:val="center"/>
            <w:hideMark/>
          </w:tcPr>
          <w:p w:rsidR="00000000" w:rsidRDefault="0094004B">
            <w:pPr>
              <w:spacing w:after="100"/>
              <w:jc w:val="center"/>
              <w:rPr>
                <w:rFonts w:eastAsia="Times New Roman"/>
              </w:rPr>
            </w:pPr>
          </w:p>
        </w:tc>
        <w:tc>
          <w:tcPr>
            <w:tcW w:w="0" w:type="auto"/>
            <w:vAlign w:val="center"/>
            <w:hideMark/>
          </w:tcPr>
          <w:p w:rsidR="00000000" w:rsidRDefault="0094004B">
            <w:pPr>
              <w:spacing w:after="100"/>
              <w:rPr>
                <w:rFonts w:eastAsia="Times New Roman"/>
                <w:sz w:val="20"/>
                <w:szCs w:val="20"/>
              </w:rPr>
            </w:pPr>
          </w:p>
        </w:tc>
      </w:tr>
      <w:tr w:rsidR="00000000">
        <w:trPr>
          <w:divId w:val="2039507083"/>
        </w:trPr>
        <w:tc>
          <w:tcPr>
            <w:tcW w:w="0" w:type="auto"/>
            <w:gridSpan w:val="3"/>
            <w:shd w:val="clear" w:color="auto" w:fill="FFFFFF"/>
            <w:tcMar>
              <w:top w:w="30" w:type="dxa"/>
              <w:left w:w="20" w:type="dxa"/>
              <w:bottom w:w="30" w:type="dxa"/>
              <w:right w:w="20" w:type="dxa"/>
            </w:tcMar>
            <w:hideMark/>
          </w:tcPr>
          <w:p w:rsidR="00000000" w:rsidRDefault="0094004B">
            <w:pPr>
              <w:spacing w:after="100"/>
              <w:rPr>
                <w:rFonts w:eastAsia="Times New Roman"/>
              </w:rPr>
            </w:pPr>
            <w:r>
              <w:rPr>
                <w:rFonts w:eastAsia="Times New Roman"/>
                <w:b/>
                <w:bCs/>
                <w:color w:val="000000"/>
                <w:sz w:val="20"/>
                <w:szCs w:val="20"/>
              </w:rPr>
              <w:t>Series J</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20"/>
                <w:szCs w:val="20"/>
              </w:rPr>
              <w:t xml:space="preserve">4.800% </w:t>
            </w:r>
            <w:r>
              <w:rPr>
                <w:rFonts w:eastAsia="Times New Roman"/>
                <w:color w:val="000000"/>
                <w:sz w:val="20"/>
                <w:szCs w:val="20"/>
              </w:rPr>
              <w:br/>
              <w:t>Non-Cumulative</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20"/>
                <w:szCs w:val="20"/>
              </w:rPr>
              <w:t>January 31, 2020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20"/>
                <w:szCs w:val="20"/>
              </w:rPr>
              <w:t>4.800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20"/>
                <w:szCs w:val="20"/>
              </w:rPr>
              <w:t>Quarterly</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b/>
                <w:bCs/>
                <w:color w:val="000000"/>
                <w:sz w:val="20"/>
                <w:szCs w:val="20"/>
              </w:rPr>
              <w:t>12.00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20"/>
                <w:szCs w:val="20"/>
              </w:rPr>
              <w:t>12.00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20"/>
                <w:szCs w:val="20"/>
              </w:rPr>
              <w:t>12.00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20"/>
                <w:szCs w:val="20"/>
              </w:rPr>
              <w:t>12.00</w:t>
            </w:r>
          </w:p>
        </w:tc>
        <w:tc>
          <w:tcPr>
            <w:tcW w:w="0" w:type="auto"/>
            <w:vAlign w:val="center"/>
            <w:hideMark/>
          </w:tcPr>
          <w:p w:rsidR="00000000" w:rsidRDefault="0094004B">
            <w:pPr>
              <w:spacing w:after="100"/>
              <w:jc w:val="center"/>
              <w:rPr>
                <w:rFonts w:eastAsia="Times New Roman"/>
              </w:rPr>
            </w:pPr>
          </w:p>
        </w:tc>
        <w:tc>
          <w:tcPr>
            <w:tcW w:w="0" w:type="auto"/>
            <w:vAlign w:val="center"/>
            <w:hideMark/>
          </w:tcPr>
          <w:p w:rsidR="00000000" w:rsidRDefault="0094004B">
            <w:pPr>
              <w:spacing w:after="100"/>
              <w:rPr>
                <w:rFonts w:eastAsia="Times New Roman"/>
                <w:sz w:val="20"/>
                <w:szCs w:val="20"/>
              </w:rPr>
            </w:pPr>
          </w:p>
        </w:tc>
      </w:tr>
      <w:tr w:rsidR="00000000">
        <w:trPr>
          <w:divId w:val="2039507083"/>
        </w:trPr>
        <w:tc>
          <w:tcPr>
            <w:tcW w:w="0" w:type="auto"/>
            <w:gridSpan w:val="3"/>
            <w:shd w:val="clear" w:color="auto" w:fill="CCEEFF"/>
            <w:tcMar>
              <w:top w:w="30" w:type="dxa"/>
              <w:left w:w="20" w:type="dxa"/>
              <w:bottom w:w="30" w:type="dxa"/>
              <w:right w:w="20" w:type="dxa"/>
            </w:tcMar>
            <w:hideMark/>
          </w:tcPr>
          <w:p w:rsidR="00000000" w:rsidRDefault="0094004B">
            <w:pPr>
              <w:spacing w:after="100"/>
              <w:rPr>
                <w:rFonts w:eastAsia="Times New Roman"/>
              </w:rPr>
            </w:pPr>
            <w:r>
              <w:rPr>
                <w:rFonts w:eastAsia="Times New Roman"/>
                <w:b/>
                <w:bCs/>
                <w:color w:val="000000"/>
                <w:sz w:val="20"/>
                <w:szCs w:val="20"/>
              </w:rPr>
              <w:t>Series K</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20"/>
                <w:szCs w:val="20"/>
              </w:rPr>
              <w:t>4.625%</w:t>
            </w:r>
            <w:r>
              <w:rPr>
                <w:rFonts w:eastAsia="Times New Roman"/>
                <w:color w:val="000000"/>
                <w:sz w:val="20"/>
                <w:szCs w:val="20"/>
              </w:rPr>
              <w:br/>
              <w:t>Non-Cumulative</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20"/>
                <w:szCs w:val="20"/>
              </w:rPr>
              <w:t>September 17, 2020</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20"/>
                <w:szCs w:val="20"/>
              </w:rPr>
              <w:t>4.625</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20"/>
                <w:szCs w:val="20"/>
              </w:rPr>
              <w:t>Quarterly</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b/>
                <w:bCs/>
                <w:color w:val="000000"/>
                <w:sz w:val="20"/>
                <w:szCs w:val="20"/>
              </w:rPr>
              <w:t>11.56</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20"/>
                <w:szCs w:val="20"/>
              </w:rPr>
              <w:t>11.56</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20"/>
                <w:szCs w:val="20"/>
              </w:rPr>
              <w:t>11.56</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20"/>
                <w:szCs w:val="20"/>
              </w:rPr>
              <w:t>11.56</w:t>
            </w:r>
          </w:p>
        </w:tc>
        <w:tc>
          <w:tcPr>
            <w:tcW w:w="0" w:type="auto"/>
            <w:vAlign w:val="center"/>
            <w:hideMark/>
          </w:tcPr>
          <w:p w:rsidR="00000000" w:rsidRDefault="0094004B">
            <w:pPr>
              <w:spacing w:after="100"/>
              <w:jc w:val="center"/>
              <w:rPr>
                <w:rFonts w:eastAsia="Times New Roman"/>
              </w:rPr>
            </w:pPr>
          </w:p>
        </w:tc>
        <w:tc>
          <w:tcPr>
            <w:tcW w:w="0" w:type="auto"/>
            <w:vAlign w:val="center"/>
            <w:hideMark/>
          </w:tcPr>
          <w:p w:rsidR="00000000" w:rsidRDefault="0094004B">
            <w:pPr>
              <w:spacing w:after="100"/>
              <w:rPr>
                <w:rFonts w:eastAsia="Times New Roman"/>
                <w:sz w:val="20"/>
                <w:szCs w:val="20"/>
              </w:rPr>
            </w:pPr>
          </w:p>
        </w:tc>
      </w:tr>
      <w:tr w:rsidR="00000000">
        <w:trPr>
          <w:divId w:val="2039507083"/>
        </w:trPr>
        <w:tc>
          <w:tcPr>
            <w:tcW w:w="0" w:type="auto"/>
            <w:gridSpan w:val="3"/>
            <w:shd w:val="clear" w:color="auto" w:fill="FFFFFF"/>
            <w:tcMar>
              <w:top w:w="30" w:type="dxa"/>
              <w:left w:w="20" w:type="dxa"/>
              <w:bottom w:w="30" w:type="dxa"/>
              <w:right w:w="20" w:type="dxa"/>
            </w:tcMar>
            <w:hideMark/>
          </w:tcPr>
          <w:p w:rsidR="00000000" w:rsidRDefault="0094004B">
            <w:pPr>
              <w:spacing w:after="100"/>
              <w:rPr>
                <w:rFonts w:eastAsia="Times New Roman"/>
              </w:rPr>
            </w:pPr>
            <w:r>
              <w:rPr>
                <w:rFonts w:eastAsia="Times New Roman"/>
                <w:b/>
                <w:bCs/>
                <w:color w:val="000000"/>
                <w:sz w:val="20"/>
                <w:szCs w:val="20"/>
              </w:rPr>
              <w:t>Series L</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20"/>
                <w:szCs w:val="20"/>
              </w:rPr>
              <w:t>4.375%</w:t>
            </w:r>
            <w:r>
              <w:rPr>
                <w:rFonts w:eastAsia="Times New Roman"/>
                <w:color w:val="000000"/>
                <w:sz w:val="20"/>
                <w:szCs w:val="20"/>
              </w:rPr>
              <w:br/>
              <w:t>Non-Cumulative</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20"/>
                <w:szCs w:val="20"/>
              </w:rPr>
              <w:t>May 4, 2021</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20"/>
                <w:szCs w:val="20"/>
              </w:rPr>
              <w:t>4.375</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20"/>
                <w:szCs w:val="20"/>
              </w:rPr>
              <w:t>Quarterly</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b/>
                <w:bCs/>
                <w:color w:val="000000"/>
                <w:sz w:val="20"/>
                <w:szCs w:val="20"/>
              </w:rPr>
              <w:t>10.94</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20"/>
                <w:szCs w:val="20"/>
              </w:rPr>
              <w:t>10.94</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20"/>
                <w:szCs w:val="20"/>
              </w:rPr>
              <w:t>10.94</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20"/>
                <w:szCs w:val="20"/>
              </w:rPr>
              <w:t>10.94</w:t>
            </w:r>
          </w:p>
        </w:tc>
        <w:tc>
          <w:tcPr>
            <w:tcW w:w="0" w:type="auto"/>
            <w:vAlign w:val="center"/>
            <w:hideMark/>
          </w:tcPr>
          <w:p w:rsidR="00000000" w:rsidRDefault="0094004B">
            <w:pPr>
              <w:spacing w:after="100"/>
              <w:jc w:val="center"/>
              <w:rPr>
                <w:rFonts w:eastAsia="Times New Roman"/>
              </w:rPr>
            </w:pPr>
          </w:p>
        </w:tc>
        <w:tc>
          <w:tcPr>
            <w:tcW w:w="0" w:type="auto"/>
            <w:vAlign w:val="center"/>
            <w:hideMark/>
          </w:tcPr>
          <w:p w:rsidR="00000000" w:rsidRDefault="0094004B">
            <w:pPr>
              <w:spacing w:after="100"/>
              <w:rPr>
                <w:rFonts w:eastAsia="Times New Roman"/>
                <w:sz w:val="20"/>
                <w:szCs w:val="20"/>
              </w:rPr>
            </w:pPr>
          </w:p>
        </w:tc>
      </w:tr>
      <w:tr w:rsidR="00000000">
        <w:trPr>
          <w:divId w:val="2039507083"/>
        </w:trPr>
        <w:tc>
          <w:tcPr>
            <w:tcW w:w="0" w:type="auto"/>
            <w:gridSpan w:val="3"/>
            <w:shd w:val="clear" w:color="auto" w:fill="CCEEFF"/>
            <w:tcMar>
              <w:top w:w="30" w:type="dxa"/>
              <w:left w:w="20" w:type="dxa"/>
              <w:bottom w:w="30" w:type="dxa"/>
              <w:right w:w="20" w:type="dxa"/>
            </w:tcMar>
            <w:hideMark/>
          </w:tcPr>
          <w:p w:rsidR="00000000" w:rsidRDefault="0094004B">
            <w:pPr>
              <w:spacing w:after="100"/>
              <w:rPr>
                <w:rFonts w:eastAsia="Times New Roman"/>
              </w:rPr>
            </w:pPr>
            <w:r>
              <w:rPr>
                <w:rFonts w:eastAsia="Times New Roman"/>
                <w:b/>
                <w:bCs/>
                <w:color w:val="000000"/>
                <w:sz w:val="20"/>
                <w:szCs w:val="20"/>
              </w:rPr>
              <w:t>Series M</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20"/>
                <w:szCs w:val="20"/>
              </w:rPr>
              <w:t>3.950% Fixed Rate Reset</w:t>
            </w:r>
            <w:r>
              <w:rPr>
                <w:rFonts w:eastAsia="Times New Roman"/>
                <w:color w:val="000000"/>
                <w:sz w:val="20"/>
                <w:szCs w:val="20"/>
              </w:rPr>
              <w:br/>
              <w:t>Non-Cumulative</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20"/>
                <w:szCs w:val="20"/>
              </w:rPr>
              <w:t>June 10, 2021</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20"/>
                <w:szCs w:val="20"/>
              </w:rPr>
              <w:t>3.950% through 8/31/2026; resets 9/1/2026 and every subsequent 5 year anniversary at 5-Year Treasury Rate +3.157%</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20"/>
                <w:szCs w:val="20"/>
              </w:rPr>
              <w:t>Quarterly</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b/>
                <w:bCs/>
                <w:color w:val="000000"/>
                <w:sz w:val="20"/>
                <w:szCs w:val="20"/>
              </w:rPr>
              <w:t>9.88</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20"/>
                <w:szCs w:val="20"/>
              </w:rPr>
              <w:t>9.88</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20"/>
                <w:szCs w:val="20"/>
              </w:rPr>
              <w:t>9.88</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20"/>
                <w:szCs w:val="20"/>
              </w:rPr>
              <w:t>9.88</w:t>
            </w:r>
          </w:p>
        </w:tc>
        <w:tc>
          <w:tcPr>
            <w:tcW w:w="0" w:type="auto"/>
            <w:vAlign w:val="center"/>
            <w:hideMark/>
          </w:tcPr>
          <w:p w:rsidR="00000000" w:rsidRDefault="0094004B">
            <w:pPr>
              <w:spacing w:after="100"/>
              <w:jc w:val="center"/>
              <w:rPr>
                <w:rFonts w:eastAsia="Times New Roman"/>
              </w:rPr>
            </w:pPr>
          </w:p>
        </w:tc>
        <w:tc>
          <w:tcPr>
            <w:tcW w:w="0" w:type="auto"/>
            <w:vAlign w:val="center"/>
            <w:hideMark/>
          </w:tcPr>
          <w:p w:rsidR="00000000" w:rsidRDefault="0094004B">
            <w:pPr>
              <w:spacing w:after="100"/>
              <w:rPr>
                <w:rFonts w:eastAsia="Times New Roman"/>
                <w:sz w:val="20"/>
                <w:szCs w:val="20"/>
              </w:rPr>
            </w:pPr>
          </w:p>
        </w:tc>
      </w:tr>
      <w:tr w:rsidR="00000000">
        <w:trPr>
          <w:divId w:val="2039507083"/>
        </w:trPr>
        <w:tc>
          <w:tcPr>
            <w:tcW w:w="0" w:type="auto"/>
            <w:gridSpan w:val="3"/>
            <w:shd w:val="clear" w:color="auto" w:fill="FFFFFF"/>
            <w:tcMar>
              <w:top w:w="30" w:type="dxa"/>
              <w:left w:w="20" w:type="dxa"/>
              <w:bottom w:w="30" w:type="dxa"/>
              <w:right w:w="20" w:type="dxa"/>
            </w:tcMar>
            <w:hideMark/>
          </w:tcPr>
          <w:p w:rsidR="00000000" w:rsidRDefault="0094004B">
            <w:pPr>
              <w:spacing w:after="100"/>
              <w:rPr>
                <w:rFonts w:eastAsia="Times New Roman"/>
              </w:rPr>
            </w:pPr>
            <w:r>
              <w:rPr>
                <w:rFonts w:eastAsia="Times New Roman"/>
                <w:b/>
                <w:bCs/>
                <w:color w:val="000000"/>
                <w:sz w:val="20"/>
                <w:szCs w:val="20"/>
              </w:rPr>
              <w:t>Series N</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20"/>
                <w:szCs w:val="20"/>
              </w:rPr>
              <w:t>4.250%</w:t>
            </w:r>
            <w:r>
              <w:rPr>
                <w:rFonts w:eastAsia="Times New Roman"/>
                <w:color w:val="000000"/>
                <w:sz w:val="20"/>
                <w:szCs w:val="20"/>
              </w:rPr>
              <w:br/>
              <w:t>Non-Cumulative</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20"/>
                <w:szCs w:val="20"/>
              </w:rPr>
              <w:t>July 29, 2021</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20"/>
                <w:szCs w:val="20"/>
              </w:rPr>
              <w:t>4.250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20"/>
                <w:szCs w:val="20"/>
              </w:rPr>
              <w:t>Quarterly</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b/>
                <w:bCs/>
                <w:color w:val="000000"/>
                <w:sz w:val="20"/>
                <w:szCs w:val="20"/>
              </w:rPr>
              <w:t>10.63</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20"/>
                <w:szCs w:val="20"/>
              </w:rPr>
              <w:t>10.63</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20"/>
                <w:szCs w:val="20"/>
              </w:rPr>
              <w:t>10.63</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20"/>
                <w:szCs w:val="20"/>
              </w:rPr>
              <w:t>10.63</w:t>
            </w:r>
          </w:p>
        </w:tc>
        <w:tc>
          <w:tcPr>
            <w:tcW w:w="0" w:type="auto"/>
            <w:vAlign w:val="center"/>
            <w:hideMark/>
          </w:tcPr>
          <w:p w:rsidR="00000000" w:rsidRDefault="0094004B">
            <w:pPr>
              <w:spacing w:after="100"/>
              <w:jc w:val="center"/>
              <w:rPr>
                <w:rFonts w:eastAsia="Times New Roman"/>
              </w:rPr>
            </w:pPr>
          </w:p>
        </w:tc>
        <w:tc>
          <w:tcPr>
            <w:tcW w:w="0" w:type="auto"/>
            <w:vAlign w:val="center"/>
            <w:hideMark/>
          </w:tcPr>
          <w:p w:rsidR="00000000" w:rsidRDefault="0094004B">
            <w:pPr>
              <w:spacing w:after="100"/>
              <w:rPr>
                <w:rFonts w:eastAsia="Times New Roman"/>
                <w:sz w:val="20"/>
                <w:szCs w:val="20"/>
              </w:rPr>
            </w:pPr>
          </w:p>
        </w:tc>
      </w:tr>
    </w:tbl>
    <w:p w:rsidR="00000000" w:rsidRDefault="0094004B">
      <w:pPr>
        <w:jc w:val="both"/>
        <w:divId w:val="846403252"/>
        <w:rPr>
          <w:rFonts w:eastAsia="Times New Roman"/>
        </w:rPr>
      </w:pPr>
      <w:r>
        <w:rPr>
          <w:rFonts w:eastAsia="Times New Roman"/>
          <w:color w:val="000000"/>
          <w:sz w:val="20"/>
          <w:szCs w:val="20"/>
        </w:rPr>
        <w:t xml:space="preserve">The declaration and payment of dividends to our stockholders, as well </w:t>
      </w:r>
      <w:r>
        <w:rPr>
          <w:rFonts w:eastAsia="Times New Roman"/>
          <w:color w:val="000000"/>
          <w:sz w:val="20"/>
          <w:szCs w:val="20"/>
        </w:rPr>
        <w:t>as the amount thereof, are subject to the discretion of our Board of Directors and depend upon our results of operations, financial condition, capital levels, cash requirements, future prospects, regulatory requirements and other factors deemed relevant by</w:t>
      </w:r>
      <w:r>
        <w:rPr>
          <w:rFonts w:eastAsia="Times New Roman"/>
          <w:color w:val="000000"/>
          <w:sz w:val="20"/>
          <w:szCs w:val="20"/>
        </w:rPr>
        <w:t xml:space="preserve"> the Board of Directors. As a BHC, our ability to pay dividends is largely dependent upon the receipt of dividends or other payments from our subsidiaries. The Bank is subject to regulatory restrictions that limit its ability to transfer funds to our BHC. </w:t>
      </w:r>
      <w:r>
        <w:rPr>
          <w:rFonts w:eastAsia="Times New Roman"/>
          <w:color w:val="000000"/>
          <w:sz w:val="20"/>
          <w:szCs w:val="20"/>
        </w:rPr>
        <w:t xml:space="preserve">As of December 31, 2022, funds available for dividend payments from the Bank were $3.2 billion. There can be no assurance that we will declare and pay any dividends to stockholders. </w:t>
      </w:r>
    </w:p>
    <w:p w:rsidR="00000000" w:rsidRDefault="0094004B">
      <w:pPr>
        <w:jc w:val="both"/>
        <w:divId w:val="182329000"/>
        <w:rPr>
          <w:rFonts w:eastAsia="Times New Roman"/>
        </w:rPr>
      </w:pPr>
      <w:r>
        <w:rPr>
          <w:rFonts w:eastAsia="Times New Roman"/>
          <w:color w:val="000000"/>
          <w:sz w:val="20"/>
          <w:szCs w:val="20"/>
        </w:rPr>
        <w:t>In January 2022, our Board of Directors authorized the repurchase of up t</w:t>
      </w:r>
      <w:r>
        <w:rPr>
          <w:rFonts w:eastAsia="Times New Roman"/>
          <w:color w:val="000000"/>
          <w:sz w:val="20"/>
          <w:szCs w:val="20"/>
        </w:rPr>
        <w:t>o $5.0 billion of shares of our common stock. In Apr</w:t>
      </w:r>
      <w:r>
        <w:rPr>
          <w:rFonts w:eastAsia="Times New Roman"/>
          <w:color w:val="000000"/>
          <w:sz w:val="20"/>
          <w:szCs w:val="20"/>
          <w:shd w:val="clear" w:color="auto" w:fill="FFFFFF"/>
        </w:rPr>
        <w:t xml:space="preserve">il 2022, our Board of Directors authorized the repurchase of up to an additional $5.0 billion of shares of our common stock. For the year ended December 31, 2022, we repurchased $4.8 billion of shares of </w:t>
      </w:r>
      <w:r>
        <w:rPr>
          <w:rFonts w:eastAsia="Times New Roman"/>
          <w:color w:val="000000"/>
          <w:sz w:val="20"/>
          <w:szCs w:val="20"/>
          <w:shd w:val="clear" w:color="auto" w:fill="FFFFFF"/>
        </w:rPr>
        <w:t>our common stock.</w:t>
      </w:r>
      <w:r>
        <w:rPr>
          <w:rFonts w:eastAsia="Times New Roman"/>
          <w:color w:val="000000"/>
          <w:sz w:val="20"/>
          <w:szCs w:val="20"/>
        </w:rPr>
        <w:t xml:space="preserve"> </w:t>
      </w:r>
    </w:p>
    <w:p w:rsidR="00000000" w:rsidRDefault="0094004B">
      <w:pPr>
        <w:jc w:val="both"/>
        <w:divId w:val="461000696"/>
        <w:rPr>
          <w:rFonts w:eastAsia="Times New Roman"/>
        </w:rPr>
      </w:pPr>
      <w:r>
        <w:rPr>
          <w:rFonts w:eastAsia="Times New Roman"/>
          <w:color w:val="000000"/>
          <w:sz w:val="20"/>
          <w:szCs w:val="20"/>
        </w:rPr>
        <w:t xml:space="preserve">The timing and exact amount of any future common stock repurchases will depend on various factors, including regulatory approval, market conditions, opportunities for growth, our capital position and the amount of retained earnings. The </w:t>
      </w:r>
      <w:r>
        <w:rPr>
          <w:rFonts w:eastAsia="Times New Roman"/>
          <w:color w:val="000000"/>
          <w:sz w:val="20"/>
          <w:szCs w:val="20"/>
        </w:rPr>
        <w:t>Board authorized stock repurchase program does not include specific price targets, may be executed through open market purchases, tender offers, or privately negotiated transactions, including utilizing Rule 10b5-1 programs, and may be suspended at any tim</w:t>
      </w:r>
      <w:r>
        <w:rPr>
          <w:rFonts w:eastAsia="Times New Roman"/>
          <w:color w:val="000000"/>
          <w:sz w:val="20"/>
          <w:szCs w:val="20"/>
        </w:rPr>
        <w:t>e. For additional information on dividends and stock repurchases, see “Capital Management—Capital Planning and Regulatory Stress Testing” and “Part I—Item 1. Business—Supervision and Regulation—Dividends, Stock Repurchases and Transfers of Funds.”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776442306"/>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776442306"/>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776442306"/>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74</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00" style="width:0;height:1.5pt" o:hralign="center" o:hrstd="t" o:hr="t" fillcolor="#a0a0a0" stroked="f"/>
        </w:pict>
      </w:r>
    </w:p>
    <w:p w:rsidR="00000000" w:rsidRDefault="0094004B">
      <w:pPr>
        <w:ind w:hanging="360"/>
        <w:jc w:val="both"/>
        <w:divId w:val="2006854485"/>
        <w:rPr>
          <w:rFonts w:eastAsia="Times New Roman"/>
        </w:rPr>
      </w:pPr>
      <w:hyperlink w:anchor="ia820611622d9441b977884dac00e0ebd_16"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380058995"/>
        </w:trPr>
        <w:tc>
          <w:tcPr>
            <w:tcW w:w="50" w:type="pct"/>
            <w:vAlign w:val="center"/>
            <w:hideMark/>
          </w:tcPr>
          <w:p w:rsidR="00000000" w:rsidRDefault="0094004B">
            <w:pPr>
              <w:ind w:hanging="360"/>
              <w:jc w:val="both"/>
              <w:rPr>
                <w:rFonts w:eastAsia="Times New Roman"/>
              </w:rPr>
            </w:pPr>
          </w:p>
        </w:tc>
        <w:tc>
          <w:tcPr>
            <w:tcW w:w="494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380058995"/>
        </w:trPr>
        <w:tc>
          <w:tcPr>
            <w:tcW w:w="0" w:type="auto"/>
            <w:gridSpan w:val="3"/>
            <w:tcBorders>
              <w:top w:val="single" w:sz="18" w:space="0" w:color="000000"/>
              <w:bottom w:val="single" w:sz="18" w:space="0" w:color="000000"/>
            </w:tcBorders>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20"/>
                <w:szCs w:val="20"/>
              </w:rPr>
              <w:t>RISK MANAGEMENT</w:t>
            </w:r>
          </w:p>
        </w:tc>
      </w:tr>
    </w:tbl>
    <w:p w:rsidR="00000000" w:rsidRDefault="0094004B">
      <w:pPr>
        <w:divId w:val="70467997"/>
        <w:rPr>
          <w:rFonts w:eastAsia="Times New Roman"/>
        </w:rPr>
      </w:pPr>
      <w:r>
        <w:rPr>
          <w:rFonts w:eastAsia="Times New Roman"/>
          <w:b/>
          <w:bCs/>
          <w:color w:val="000000"/>
          <w:sz w:val="20"/>
          <w:szCs w:val="20"/>
        </w:rPr>
        <w:t>Risk Management Framework</w:t>
      </w:r>
    </w:p>
    <w:p w:rsidR="00000000" w:rsidRDefault="0094004B">
      <w:pPr>
        <w:jc w:val="both"/>
        <w:divId w:val="876698939"/>
        <w:rPr>
          <w:rFonts w:eastAsia="Times New Roman"/>
        </w:rPr>
      </w:pPr>
      <w:r>
        <w:rPr>
          <w:rFonts w:eastAsia="Times New Roman"/>
          <w:color w:val="000000"/>
          <w:sz w:val="20"/>
          <w:szCs w:val="20"/>
        </w:rPr>
        <w:t>Our Framework ( sets consistent expectations for risk management across the Company. It also sets expectations for our “Three Lines of Defense” model, which defines the roles, responsibilities and accountabilities for taking and managing risk across the Co</w:t>
      </w:r>
      <w:r>
        <w:rPr>
          <w:rFonts w:eastAsia="Times New Roman"/>
          <w:color w:val="000000"/>
          <w:sz w:val="20"/>
          <w:szCs w:val="20"/>
        </w:rPr>
        <w:t>mpany. Accountability for overseeing an effective Framework resides with our Board of Directors either directly or through its committees.</w:t>
      </w:r>
    </w:p>
    <w:p w:rsidR="00000000" w:rsidRDefault="0094004B">
      <w:pPr>
        <w:jc w:val="both"/>
        <w:divId w:val="1131628046"/>
        <w:rPr>
          <w:rFonts w:eastAsia="Times New Roman"/>
        </w:rPr>
      </w:pPr>
      <w:r>
        <w:rPr>
          <w:rFonts w:eastAsia="Times New Roman"/>
          <w:color w:val="000000"/>
          <w:sz w:val="20"/>
          <w:szCs w:val="20"/>
        </w:rPr>
        <w:t>The Framework also sets expectations for our “Three Lines of Defense” model, which defines the roles, responsibilitie</w:t>
      </w:r>
      <w:r>
        <w:rPr>
          <w:rFonts w:eastAsia="Times New Roman"/>
          <w:color w:val="000000"/>
          <w:sz w:val="20"/>
          <w:szCs w:val="20"/>
        </w:rPr>
        <w:t xml:space="preserve">s and accountabilities for taking and managing risk across the Company. </w:t>
      </w:r>
    </w:p>
    <w:tbl>
      <w:tblPr>
        <w:tblW w:w="5000" w:type="pct"/>
        <w:tblCellMar>
          <w:top w:w="15" w:type="dxa"/>
          <w:left w:w="15" w:type="dxa"/>
          <w:bottom w:w="15" w:type="dxa"/>
          <w:right w:w="15" w:type="dxa"/>
        </w:tblCellMar>
        <w:tblLook w:val="04A0" w:firstRow="1" w:lastRow="0" w:firstColumn="1" w:lastColumn="0" w:noHBand="0" w:noVBand="1"/>
      </w:tblPr>
      <w:tblGrid>
        <w:gridCol w:w="74"/>
        <w:gridCol w:w="1279"/>
        <w:gridCol w:w="36"/>
        <w:gridCol w:w="60"/>
        <w:gridCol w:w="2097"/>
        <w:gridCol w:w="37"/>
        <w:gridCol w:w="36"/>
        <w:gridCol w:w="93"/>
        <w:gridCol w:w="36"/>
        <w:gridCol w:w="61"/>
        <w:gridCol w:w="2098"/>
        <w:gridCol w:w="38"/>
        <w:gridCol w:w="36"/>
        <w:gridCol w:w="94"/>
        <w:gridCol w:w="36"/>
        <w:gridCol w:w="61"/>
        <w:gridCol w:w="2098"/>
        <w:gridCol w:w="36"/>
      </w:tblGrid>
      <w:tr w:rsidR="00000000">
        <w:trPr>
          <w:divId w:val="420493999"/>
        </w:trPr>
        <w:tc>
          <w:tcPr>
            <w:tcW w:w="50" w:type="pct"/>
            <w:vAlign w:val="center"/>
            <w:hideMark/>
          </w:tcPr>
          <w:p w:rsidR="00000000" w:rsidRDefault="0094004B">
            <w:pPr>
              <w:jc w:val="both"/>
              <w:rPr>
                <w:rFonts w:eastAsia="Times New Roman"/>
              </w:rPr>
            </w:pPr>
          </w:p>
        </w:tc>
        <w:tc>
          <w:tcPr>
            <w:tcW w:w="79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27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70"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27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70"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27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420493999"/>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004977"/>
            <w:tcMar>
              <w:top w:w="30" w:type="dxa"/>
              <w:left w:w="20" w:type="dxa"/>
              <w:bottom w:w="30" w:type="dxa"/>
              <w:right w:w="20" w:type="dxa"/>
            </w:tcMar>
            <w:vAlign w:val="center"/>
            <w:hideMark/>
          </w:tcPr>
          <w:p w:rsidR="00000000" w:rsidRDefault="0094004B">
            <w:pPr>
              <w:spacing w:after="100"/>
              <w:divId w:val="471949258"/>
              <w:rPr>
                <w:rFonts w:eastAsia="Times New Roman"/>
              </w:rPr>
            </w:pPr>
            <w:r>
              <w:rPr>
                <w:rFonts w:eastAsia="Times New Roman"/>
                <w:b/>
                <w:bCs/>
                <w:color w:val="FFFFFF"/>
                <w:sz w:val="18"/>
                <w:szCs w:val="18"/>
              </w:rPr>
              <w:t>First Line</w:t>
            </w:r>
          </w:p>
          <w:p w:rsidR="00000000" w:rsidRDefault="0094004B">
            <w:pPr>
              <w:spacing w:after="100"/>
              <w:divId w:val="1555702204"/>
              <w:rPr>
                <w:rFonts w:eastAsia="Times New Roman"/>
              </w:rPr>
            </w:pPr>
          </w:p>
          <w:p w:rsidR="00000000" w:rsidRDefault="0094004B">
            <w:pPr>
              <w:spacing w:after="100"/>
              <w:divId w:val="897132055"/>
              <w:rPr>
                <w:rFonts w:eastAsia="Times New Roman"/>
              </w:rPr>
            </w:pPr>
            <w:r>
              <w:rPr>
                <w:rFonts w:eastAsia="Times New Roman"/>
                <w:color w:val="FFFFFF"/>
                <w:sz w:val="18"/>
                <w:szCs w:val="18"/>
              </w:rPr>
              <w:t>Identifies and Owns Risk</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004977"/>
            <w:tcMar>
              <w:top w:w="30" w:type="dxa"/>
              <w:left w:w="20" w:type="dxa"/>
              <w:bottom w:w="30" w:type="dxa"/>
              <w:right w:w="20" w:type="dxa"/>
            </w:tcMar>
            <w:vAlign w:val="center"/>
            <w:hideMark/>
          </w:tcPr>
          <w:p w:rsidR="00000000" w:rsidRDefault="0094004B">
            <w:pPr>
              <w:spacing w:after="100"/>
              <w:divId w:val="1710228605"/>
              <w:rPr>
                <w:rFonts w:eastAsia="Times New Roman"/>
              </w:rPr>
            </w:pPr>
            <w:r>
              <w:rPr>
                <w:rFonts w:eastAsia="Times New Roman"/>
                <w:b/>
                <w:bCs/>
                <w:color w:val="FFFFFF"/>
                <w:sz w:val="18"/>
                <w:szCs w:val="18"/>
              </w:rPr>
              <w:t>Second Line</w:t>
            </w:r>
          </w:p>
          <w:p w:rsidR="00000000" w:rsidRDefault="0094004B">
            <w:pPr>
              <w:spacing w:after="100"/>
              <w:divId w:val="1261334735"/>
              <w:rPr>
                <w:rFonts w:eastAsia="Times New Roman"/>
              </w:rPr>
            </w:pPr>
          </w:p>
          <w:p w:rsidR="00000000" w:rsidRDefault="0094004B">
            <w:pPr>
              <w:spacing w:after="100"/>
              <w:divId w:val="1444810120"/>
              <w:rPr>
                <w:rFonts w:eastAsia="Times New Roman"/>
              </w:rPr>
            </w:pPr>
            <w:r>
              <w:rPr>
                <w:rFonts w:eastAsia="Times New Roman"/>
                <w:color w:val="FFFFFF"/>
                <w:sz w:val="18"/>
                <w:szCs w:val="18"/>
              </w:rPr>
              <w:t>Advises &amp; Challenges First Line</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004977"/>
            <w:tcMar>
              <w:top w:w="30" w:type="dxa"/>
              <w:left w:w="20" w:type="dxa"/>
              <w:bottom w:w="30" w:type="dxa"/>
              <w:right w:w="20" w:type="dxa"/>
            </w:tcMar>
            <w:vAlign w:val="center"/>
            <w:hideMark/>
          </w:tcPr>
          <w:p w:rsidR="00000000" w:rsidRDefault="0094004B">
            <w:pPr>
              <w:spacing w:after="100"/>
              <w:divId w:val="821392732"/>
              <w:rPr>
                <w:rFonts w:eastAsia="Times New Roman"/>
              </w:rPr>
            </w:pPr>
            <w:r>
              <w:rPr>
                <w:rFonts w:eastAsia="Times New Roman"/>
                <w:b/>
                <w:bCs/>
                <w:color w:val="FFFFFF"/>
                <w:sz w:val="18"/>
                <w:szCs w:val="18"/>
              </w:rPr>
              <w:t>Third Line</w:t>
            </w:r>
          </w:p>
          <w:p w:rsidR="00000000" w:rsidRDefault="0094004B">
            <w:pPr>
              <w:spacing w:after="100"/>
              <w:divId w:val="1880125616"/>
              <w:rPr>
                <w:rFonts w:eastAsia="Times New Roman"/>
              </w:rPr>
            </w:pPr>
          </w:p>
          <w:p w:rsidR="00000000" w:rsidRDefault="0094004B">
            <w:pPr>
              <w:spacing w:after="100"/>
              <w:divId w:val="684525712"/>
              <w:rPr>
                <w:rFonts w:eastAsia="Times New Roman"/>
              </w:rPr>
            </w:pPr>
            <w:r>
              <w:rPr>
                <w:rFonts w:eastAsia="Times New Roman"/>
                <w:color w:val="FFFFFF"/>
                <w:sz w:val="18"/>
                <w:szCs w:val="18"/>
              </w:rPr>
              <w:t>Provides Independent Assurance</w:t>
            </w:r>
          </w:p>
        </w:tc>
      </w:tr>
      <w:tr w:rsidR="00000000">
        <w:trPr>
          <w:divId w:val="420493999"/>
          <w:trHeight w:val="60"/>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420493999"/>
        </w:trPr>
        <w:tc>
          <w:tcPr>
            <w:tcW w:w="0" w:type="auto"/>
            <w:gridSpan w:val="3"/>
            <w:tcBorders>
              <w:top w:val="single" w:sz="8" w:space="0" w:color="F4F4F4"/>
            </w:tcBorders>
            <w:tcMar>
              <w:top w:w="30" w:type="dxa"/>
              <w:left w:w="20" w:type="dxa"/>
              <w:bottom w:w="30" w:type="dxa"/>
              <w:right w:w="20" w:type="dxa"/>
            </w:tcMar>
            <w:hideMark/>
          </w:tcPr>
          <w:p w:rsidR="00000000" w:rsidRDefault="0094004B">
            <w:pPr>
              <w:spacing w:after="100"/>
              <w:rPr>
                <w:rFonts w:eastAsia="Times New Roman"/>
              </w:rPr>
            </w:pPr>
            <w:r>
              <w:rPr>
                <w:rFonts w:eastAsia="Times New Roman"/>
                <w:b/>
                <w:bCs/>
                <w:color w:val="131313"/>
                <w:sz w:val="18"/>
                <w:szCs w:val="18"/>
              </w:rPr>
              <w:t>Definition</w:t>
            </w:r>
          </w:p>
        </w:tc>
        <w:tc>
          <w:tcPr>
            <w:tcW w:w="0" w:type="auto"/>
            <w:gridSpan w:val="3"/>
            <w:shd w:val="clear" w:color="auto" w:fill="F4F4F4"/>
            <w:tcMar>
              <w:top w:w="30" w:type="dxa"/>
              <w:left w:w="20" w:type="dxa"/>
              <w:bottom w:w="30" w:type="dxa"/>
              <w:right w:w="20" w:type="dxa"/>
            </w:tcMar>
            <w:hideMark/>
          </w:tcPr>
          <w:p w:rsidR="00000000" w:rsidRDefault="0094004B">
            <w:pPr>
              <w:spacing w:after="100"/>
              <w:rPr>
                <w:rFonts w:eastAsia="Times New Roman"/>
              </w:rPr>
            </w:pPr>
            <w:r>
              <w:rPr>
                <w:rFonts w:eastAsia="Times New Roman"/>
                <w:color w:val="131313"/>
                <w:sz w:val="18"/>
                <w:szCs w:val="18"/>
              </w:rPr>
              <w:t>Business areas that are accountable for risk and responsible for: i) generating revenue or reducing expenses; ii) supporting the business to provide products or services to customers; or iii) providing technology services for the first line.</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4F4F4"/>
            <w:tcMar>
              <w:top w:w="30" w:type="dxa"/>
              <w:left w:w="20" w:type="dxa"/>
              <w:bottom w:w="30" w:type="dxa"/>
              <w:right w:w="20" w:type="dxa"/>
            </w:tcMar>
            <w:hideMark/>
          </w:tcPr>
          <w:p w:rsidR="00000000" w:rsidRDefault="0094004B">
            <w:pPr>
              <w:spacing w:after="100"/>
              <w:rPr>
                <w:rFonts w:eastAsia="Times New Roman"/>
              </w:rPr>
            </w:pPr>
            <w:r>
              <w:rPr>
                <w:rFonts w:eastAsia="Times New Roman"/>
                <w:color w:val="131313"/>
                <w:sz w:val="18"/>
                <w:szCs w:val="18"/>
              </w:rPr>
              <w:t xml:space="preserve">Independent Risk Management (“IRM”) and Support Functions (e.g., Human Resources, Accounting, Legal) that provide support services to the Company. </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4F4F4"/>
            <w:tcMar>
              <w:top w:w="30" w:type="dxa"/>
              <w:left w:w="20" w:type="dxa"/>
              <w:bottom w:w="30" w:type="dxa"/>
              <w:right w:w="20" w:type="dxa"/>
            </w:tcMar>
            <w:hideMark/>
          </w:tcPr>
          <w:p w:rsidR="00000000" w:rsidRDefault="0094004B">
            <w:pPr>
              <w:spacing w:after="100"/>
              <w:rPr>
                <w:rFonts w:eastAsia="Times New Roman"/>
              </w:rPr>
            </w:pPr>
            <w:r>
              <w:rPr>
                <w:rFonts w:eastAsia="Times New Roman"/>
                <w:color w:val="131313"/>
                <w:sz w:val="18"/>
                <w:szCs w:val="18"/>
              </w:rPr>
              <w:t>Internal Audit and Credit Review</w:t>
            </w:r>
          </w:p>
        </w:tc>
      </w:tr>
      <w:tr w:rsidR="00000000">
        <w:trPr>
          <w:divId w:val="420493999"/>
          <w:trHeight w:val="60"/>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420493999"/>
        </w:trPr>
        <w:tc>
          <w:tcPr>
            <w:tcW w:w="0" w:type="auto"/>
            <w:gridSpan w:val="3"/>
            <w:tcBorders>
              <w:top w:val="single" w:sz="8" w:space="0" w:color="F4F4F4"/>
            </w:tcBorders>
            <w:tcMar>
              <w:top w:w="30" w:type="dxa"/>
              <w:left w:w="20" w:type="dxa"/>
              <w:bottom w:w="30" w:type="dxa"/>
              <w:right w:w="20" w:type="dxa"/>
            </w:tcMar>
            <w:hideMark/>
          </w:tcPr>
          <w:p w:rsidR="00000000" w:rsidRDefault="0094004B">
            <w:pPr>
              <w:spacing w:after="100"/>
              <w:rPr>
                <w:rFonts w:eastAsia="Times New Roman"/>
              </w:rPr>
            </w:pPr>
            <w:r>
              <w:rPr>
                <w:rFonts w:eastAsia="Times New Roman"/>
                <w:b/>
                <w:bCs/>
                <w:color w:val="131313"/>
                <w:sz w:val="18"/>
                <w:szCs w:val="18"/>
              </w:rPr>
              <w:t>Key Responsibilities</w:t>
            </w:r>
          </w:p>
        </w:tc>
        <w:tc>
          <w:tcPr>
            <w:tcW w:w="0" w:type="auto"/>
            <w:gridSpan w:val="3"/>
            <w:shd w:val="clear" w:color="auto" w:fill="F4F4F4"/>
            <w:tcMar>
              <w:top w:w="30" w:type="dxa"/>
              <w:left w:w="20" w:type="dxa"/>
              <w:bottom w:w="30" w:type="dxa"/>
              <w:right w:w="20" w:type="dxa"/>
            </w:tcMar>
            <w:hideMark/>
          </w:tcPr>
          <w:p w:rsidR="00000000" w:rsidRDefault="0094004B">
            <w:pPr>
              <w:spacing w:after="100"/>
              <w:rPr>
                <w:rFonts w:eastAsia="Times New Roman"/>
              </w:rPr>
            </w:pPr>
            <w:r>
              <w:rPr>
                <w:rFonts w:eastAsia="Times New Roman"/>
                <w:color w:val="131313"/>
                <w:sz w:val="18"/>
                <w:szCs w:val="18"/>
              </w:rPr>
              <w:t>Identify, assess, measure, monitor, control, and report the risks associated with their business.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4F4F4"/>
            <w:tcMar>
              <w:top w:w="30" w:type="dxa"/>
              <w:left w:w="20" w:type="dxa"/>
              <w:bottom w:w="30" w:type="dxa"/>
              <w:right w:w="20" w:type="dxa"/>
            </w:tcMar>
            <w:hideMark/>
          </w:tcPr>
          <w:p w:rsidR="00000000" w:rsidRDefault="0094004B">
            <w:pPr>
              <w:spacing w:after="100"/>
              <w:rPr>
                <w:rFonts w:eastAsia="Times New Roman"/>
              </w:rPr>
            </w:pPr>
            <w:r>
              <w:rPr>
                <w:rFonts w:eastAsia="Times New Roman"/>
                <w:color w:val="131313"/>
                <w:sz w:val="18"/>
                <w:szCs w:val="18"/>
              </w:rPr>
              <w:t>Independent Risk Management (IRM): Independently oversees and assesses risk taking activities for the first line of defense.</w:t>
            </w:r>
            <w:r>
              <w:rPr>
                <w:rFonts w:eastAsia="Times New Roman"/>
                <w:color w:val="131313"/>
                <w:sz w:val="18"/>
                <w:szCs w:val="18"/>
              </w:rPr>
              <w:br/>
            </w:r>
            <w:r>
              <w:rPr>
                <w:rFonts w:eastAsia="Times New Roman"/>
                <w:sz w:val="18"/>
                <w:szCs w:val="18"/>
              </w:rPr>
              <w:br/>
            </w:r>
            <w:r>
              <w:rPr>
                <w:rFonts w:eastAsia="Times New Roman"/>
                <w:color w:val="131313"/>
                <w:sz w:val="18"/>
                <w:szCs w:val="18"/>
              </w:rPr>
              <w:t xml:space="preserve">Support Functions: Centers </w:t>
            </w:r>
            <w:r>
              <w:rPr>
                <w:rFonts w:eastAsia="Times New Roman"/>
                <w:color w:val="131313"/>
                <w:sz w:val="18"/>
                <w:szCs w:val="18"/>
              </w:rPr>
              <w:t>of specialized expertise that provide support services to the enterprise.</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4F4F4"/>
            <w:tcMar>
              <w:top w:w="30" w:type="dxa"/>
              <w:left w:w="20" w:type="dxa"/>
              <w:bottom w:w="30" w:type="dxa"/>
              <w:right w:w="20" w:type="dxa"/>
            </w:tcMar>
            <w:hideMark/>
          </w:tcPr>
          <w:p w:rsidR="00000000" w:rsidRDefault="0094004B">
            <w:pPr>
              <w:spacing w:after="100"/>
              <w:rPr>
                <w:rFonts w:eastAsia="Times New Roman"/>
              </w:rPr>
            </w:pPr>
            <w:r>
              <w:rPr>
                <w:rFonts w:eastAsia="Times New Roman"/>
                <w:color w:val="131313"/>
                <w:sz w:val="18"/>
                <w:szCs w:val="18"/>
              </w:rPr>
              <w:t>Provides independent and objective assurance to the Board of Directors and senior management that that systems and governance processes are designed and working as intended.</w:t>
            </w: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75</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01" style="width:0;height:1.5pt" o:hralign="center" o:hrstd="t" o:hr="t" fillcolor="#a0a0a0" stroked="f"/>
        </w:pict>
      </w:r>
    </w:p>
    <w:p w:rsidR="00000000" w:rsidRDefault="0094004B">
      <w:pPr>
        <w:ind w:hanging="360"/>
        <w:jc w:val="both"/>
        <w:divId w:val="875391189"/>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both"/>
        <w:divId w:val="1439448941"/>
        <w:rPr>
          <w:rFonts w:eastAsia="Times New Roman"/>
        </w:rPr>
      </w:pPr>
      <w:r>
        <w:rPr>
          <w:rFonts w:eastAsia="Times New Roman"/>
          <w:color w:val="000000"/>
          <w:sz w:val="20"/>
          <w:szCs w:val="20"/>
        </w:rPr>
        <w:t xml:space="preserve">Our Framework sets consistent expectations for risk management across the Company and consists of the following nine elements: </w:t>
      </w:r>
    </w:p>
    <w:tbl>
      <w:tblPr>
        <w:tblW w:w="4992" w:type="pct"/>
        <w:tblCellMar>
          <w:top w:w="15" w:type="dxa"/>
          <w:left w:w="15" w:type="dxa"/>
          <w:bottom w:w="15" w:type="dxa"/>
          <w:right w:w="15" w:type="dxa"/>
        </w:tblCellMar>
        <w:tblLook w:val="04A0" w:firstRow="1" w:lastRow="0" w:firstColumn="1" w:lastColumn="0" w:noHBand="0" w:noVBand="1"/>
      </w:tblPr>
      <w:tblGrid>
        <w:gridCol w:w="57"/>
        <w:gridCol w:w="1911"/>
        <w:gridCol w:w="37"/>
        <w:gridCol w:w="37"/>
        <w:gridCol w:w="37"/>
        <w:gridCol w:w="37"/>
        <w:gridCol w:w="46"/>
        <w:gridCol w:w="1903"/>
        <w:gridCol w:w="36"/>
        <w:gridCol w:w="36"/>
        <w:gridCol w:w="36"/>
        <w:gridCol w:w="36"/>
        <w:gridCol w:w="40"/>
        <w:gridCol w:w="1912"/>
        <w:gridCol w:w="36"/>
        <w:gridCol w:w="36"/>
        <w:gridCol w:w="36"/>
        <w:gridCol w:w="36"/>
        <w:gridCol w:w="43"/>
        <w:gridCol w:w="1909"/>
        <w:gridCol w:w="36"/>
      </w:tblGrid>
      <w:tr w:rsidR="00000000">
        <w:trPr>
          <w:divId w:val="1190416071"/>
        </w:trPr>
        <w:tc>
          <w:tcPr>
            <w:tcW w:w="50" w:type="pct"/>
            <w:vAlign w:val="center"/>
            <w:hideMark/>
          </w:tcPr>
          <w:p w:rsidR="00000000" w:rsidRDefault="0094004B">
            <w:pPr>
              <w:jc w:val="both"/>
              <w:rPr>
                <w:rFonts w:eastAsia="Times New Roman"/>
              </w:rPr>
            </w:pPr>
          </w:p>
        </w:tc>
        <w:tc>
          <w:tcPr>
            <w:tcW w:w="116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16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16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16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190416071"/>
        </w:trPr>
        <w:tc>
          <w:tcPr>
            <w:tcW w:w="0" w:type="auto"/>
            <w:gridSpan w:val="21"/>
            <w:shd w:val="clear" w:color="auto" w:fill="004977"/>
            <w:tcMar>
              <w:top w:w="30" w:type="dxa"/>
              <w:left w:w="20" w:type="dxa"/>
              <w:bottom w:w="30" w:type="dxa"/>
              <w:right w:w="20" w:type="dxa"/>
            </w:tcMar>
            <w:vAlign w:val="center"/>
            <w:hideMark/>
          </w:tcPr>
          <w:p w:rsidR="00000000" w:rsidRDefault="0094004B">
            <w:pPr>
              <w:spacing w:after="100"/>
              <w:jc w:val="center"/>
              <w:rPr>
                <w:rFonts w:eastAsia="Times New Roman"/>
              </w:rPr>
            </w:pPr>
          </w:p>
          <w:p w:rsidR="00000000" w:rsidRDefault="0094004B">
            <w:pPr>
              <w:spacing w:after="100"/>
              <w:jc w:val="center"/>
              <w:rPr>
                <w:rFonts w:eastAsia="Times New Roman"/>
              </w:rPr>
            </w:pPr>
            <w:r>
              <w:rPr>
                <w:rFonts w:eastAsia="Times New Roman"/>
                <w:b/>
                <w:bCs/>
                <w:color w:val="FFFFFF"/>
                <w:sz w:val="18"/>
                <w:szCs w:val="18"/>
              </w:rPr>
              <w:t> Governance and Accountability</w:t>
            </w:r>
          </w:p>
          <w:p w:rsidR="00000000" w:rsidRDefault="0094004B">
            <w:pPr>
              <w:spacing w:after="100"/>
              <w:jc w:val="center"/>
              <w:rPr>
                <w:rFonts w:eastAsia="Times New Roman"/>
              </w:rPr>
            </w:pPr>
          </w:p>
        </w:tc>
      </w:tr>
      <w:tr w:rsidR="00000000">
        <w:trPr>
          <w:divId w:val="1190416071"/>
          <w:trHeight w:val="60"/>
        </w:trPr>
        <w:tc>
          <w:tcPr>
            <w:tcW w:w="0" w:type="auto"/>
            <w:gridSpan w:val="21"/>
            <w:tcMar>
              <w:top w:w="0" w:type="dxa"/>
              <w:left w:w="20" w:type="dxa"/>
              <w:bottom w:w="0" w:type="dxa"/>
              <w:right w:w="20" w:type="dxa"/>
            </w:tcMar>
            <w:vAlign w:val="center"/>
            <w:hideMark/>
          </w:tcPr>
          <w:p w:rsidR="00000000" w:rsidRDefault="0094004B">
            <w:pPr>
              <w:spacing w:after="100"/>
              <w:jc w:val="center"/>
              <w:rPr>
                <w:rFonts w:eastAsia="Times New Roman"/>
              </w:rPr>
            </w:pPr>
          </w:p>
        </w:tc>
      </w:tr>
      <w:tr w:rsidR="00000000">
        <w:trPr>
          <w:divId w:val="1190416071"/>
        </w:trPr>
        <w:tc>
          <w:tcPr>
            <w:tcW w:w="0" w:type="auto"/>
            <w:gridSpan w:val="21"/>
            <w:shd w:val="clear" w:color="auto" w:fill="004977"/>
            <w:tcMar>
              <w:top w:w="30" w:type="dxa"/>
              <w:left w:w="20" w:type="dxa"/>
              <w:bottom w:w="30" w:type="dxa"/>
              <w:right w:w="20" w:type="dxa"/>
            </w:tcMar>
            <w:vAlign w:val="center"/>
            <w:hideMark/>
          </w:tcPr>
          <w:p w:rsidR="00000000" w:rsidRDefault="0094004B">
            <w:pPr>
              <w:spacing w:after="100"/>
              <w:jc w:val="center"/>
              <w:rPr>
                <w:rFonts w:eastAsia="Times New Roman"/>
              </w:rPr>
            </w:pPr>
          </w:p>
          <w:p w:rsidR="00000000" w:rsidRDefault="0094004B">
            <w:pPr>
              <w:spacing w:after="100"/>
              <w:jc w:val="center"/>
              <w:rPr>
                <w:rFonts w:eastAsia="Times New Roman"/>
              </w:rPr>
            </w:pPr>
            <w:r>
              <w:rPr>
                <w:rFonts w:eastAsia="Times New Roman"/>
                <w:b/>
                <w:bCs/>
                <w:color w:val="FFFFFF"/>
                <w:sz w:val="18"/>
                <w:szCs w:val="18"/>
              </w:rPr>
              <w:t>Strategy and Risk Alignment</w:t>
            </w:r>
          </w:p>
          <w:p w:rsidR="00000000" w:rsidRDefault="0094004B">
            <w:pPr>
              <w:spacing w:after="100"/>
              <w:jc w:val="center"/>
              <w:rPr>
                <w:rFonts w:eastAsia="Times New Roman"/>
              </w:rPr>
            </w:pPr>
          </w:p>
        </w:tc>
      </w:tr>
      <w:tr w:rsidR="00000000">
        <w:trPr>
          <w:divId w:val="1190416071"/>
          <w:trHeight w:val="60"/>
        </w:trPr>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190416071"/>
        </w:trPr>
        <w:tc>
          <w:tcPr>
            <w:tcW w:w="0" w:type="auto"/>
            <w:gridSpan w:val="3"/>
            <w:shd w:val="clear" w:color="auto" w:fill="004977"/>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b/>
                <w:bCs/>
                <w:sz w:val="18"/>
                <w:szCs w:val="18"/>
              </w:rPr>
              <w:br/>
            </w:r>
            <w:r>
              <w:rPr>
                <w:rFonts w:eastAsia="Times New Roman"/>
                <w:b/>
                <w:bCs/>
                <w:color w:val="FFFFFF"/>
                <w:sz w:val="18"/>
                <w:szCs w:val="18"/>
              </w:rPr>
              <w:t>Risk Identification</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shd w:val="clear" w:color="auto" w:fill="004977"/>
            <w:tcMar>
              <w:top w:w="30" w:type="dxa"/>
              <w:left w:w="20" w:type="dxa"/>
              <w:bottom w:w="30" w:type="dxa"/>
              <w:right w:w="20" w:type="dxa"/>
            </w:tcMar>
            <w:vAlign w:val="center"/>
            <w:hideMark/>
          </w:tcPr>
          <w:p w:rsidR="00000000" w:rsidRDefault="0094004B">
            <w:pPr>
              <w:spacing w:after="100"/>
              <w:jc w:val="center"/>
              <w:rPr>
                <w:rFonts w:eastAsia="Times New Roman"/>
              </w:rPr>
            </w:pPr>
          </w:p>
          <w:p w:rsidR="00000000" w:rsidRDefault="0094004B">
            <w:pPr>
              <w:spacing w:after="100"/>
              <w:jc w:val="center"/>
              <w:rPr>
                <w:rFonts w:eastAsia="Times New Roman"/>
              </w:rPr>
            </w:pPr>
            <w:r>
              <w:rPr>
                <w:rFonts w:eastAsia="Times New Roman"/>
                <w:b/>
                <w:bCs/>
                <w:color w:val="FFFFFF"/>
                <w:sz w:val="18"/>
                <w:szCs w:val="18"/>
              </w:rPr>
              <w:t>Assessment, Measurement</w:t>
            </w:r>
          </w:p>
          <w:p w:rsidR="00000000" w:rsidRDefault="0094004B">
            <w:pPr>
              <w:spacing w:after="100"/>
              <w:jc w:val="center"/>
              <w:rPr>
                <w:rFonts w:eastAsia="Times New Roman"/>
              </w:rPr>
            </w:pPr>
            <w:r>
              <w:rPr>
                <w:rFonts w:eastAsia="Times New Roman"/>
                <w:b/>
                <w:bCs/>
                <w:color w:val="FFFFFF"/>
                <w:sz w:val="18"/>
                <w:szCs w:val="18"/>
              </w:rPr>
              <w:t>and Response</w:t>
            </w:r>
          </w:p>
          <w:p w:rsidR="00000000" w:rsidRDefault="0094004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shd w:val="clear" w:color="auto" w:fill="004977"/>
            <w:tcMar>
              <w:top w:w="30" w:type="dxa"/>
              <w:left w:w="20" w:type="dxa"/>
              <w:bottom w:w="30" w:type="dxa"/>
              <w:right w:w="20" w:type="dxa"/>
            </w:tcMar>
            <w:vAlign w:val="center"/>
            <w:hideMark/>
          </w:tcPr>
          <w:p w:rsidR="00000000" w:rsidRDefault="0094004B">
            <w:pPr>
              <w:spacing w:after="100"/>
              <w:jc w:val="center"/>
              <w:rPr>
                <w:rFonts w:eastAsia="Times New Roman"/>
              </w:rPr>
            </w:pPr>
          </w:p>
          <w:p w:rsidR="00000000" w:rsidRDefault="0094004B">
            <w:pPr>
              <w:spacing w:after="100"/>
              <w:jc w:val="center"/>
              <w:rPr>
                <w:rFonts w:eastAsia="Times New Roman"/>
              </w:rPr>
            </w:pPr>
            <w:r>
              <w:rPr>
                <w:rFonts w:eastAsia="Times New Roman"/>
                <w:b/>
                <w:bCs/>
                <w:color w:val="FFFFFF"/>
                <w:sz w:val="18"/>
                <w:szCs w:val="18"/>
              </w:rPr>
              <w:t>Monitoring and Testing</w:t>
            </w:r>
          </w:p>
          <w:p w:rsidR="00000000" w:rsidRDefault="0094004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shd w:val="clear" w:color="auto" w:fill="004977"/>
            <w:tcMar>
              <w:top w:w="30" w:type="dxa"/>
              <w:left w:w="20" w:type="dxa"/>
              <w:bottom w:w="30" w:type="dxa"/>
              <w:right w:w="20" w:type="dxa"/>
            </w:tcMar>
            <w:vAlign w:val="center"/>
            <w:hideMark/>
          </w:tcPr>
          <w:p w:rsidR="00000000" w:rsidRDefault="0094004B">
            <w:pPr>
              <w:spacing w:after="100"/>
              <w:jc w:val="center"/>
              <w:rPr>
                <w:rFonts w:eastAsia="Times New Roman"/>
              </w:rPr>
            </w:pPr>
          </w:p>
          <w:p w:rsidR="00000000" w:rsidRDefault="0094004B">
            <w:pPr>
              <w:spacing w:after="100"/>
              <w:jc w:val="center"/>
              <w:rPr>
                <w:rFonts w:eastAsia="Times New Roman"/>
              </w:rPr>
            </w:pPr>
            <w:r>
              <w:rPr>
                <w:rFonts w:eastAsia="Times New Roman"/>
                <w:b/>
                <w:bCs/>
                <w:color w:val="FFFFFF"/>
                <w:sz w:val="18"/>
                <w:szCs w:val="18"/>
              </w:rPr>
              <w:t>Aggregation, Reporting and Escalation</w:t>
            </w:r>
          </w:p>
          <w:p w:rsidR="00000000" w:rsidRDefault="0094004B">
            <w:pPr>
              <w:spacing w:after="100"/>
              <w:jc w:val="center"/>
              <w:rPr>
                <w:rFonts w:eastAsia="Times New Roman"/>
              </w:rPr>
            </w:pPr>
          </w:p>
        </w:tc>
      </w:tr>
      <w:tr w:rsidR="00000000">
        <w:trPr>
          <w:divId w:val="1190416071"/>
          <w:trHeight w:val="60"/>
        </w:trPr>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190416071"/>
        </w:trPr>
        <w:tc>
          <w:tcPr>
            <w:tcW w:w="0" w:type="auto"/>
            <w:gridSpan w:val="21"/>
            <w:shd w:val="clear" w:color="auto" w:fill="004977"/>
            <w:tcMar>
              <w:top w:w="30" w:type="dxa"/>
              <w:left w:w="20" w:type="dxa"/>
              <w:bottom w:w="30" w:type="dxa"/>
              <w:right w:w="20" w:type="dxa"/>
            </w:tcMar>
            <w:vAlign w:val="center"/>
            <w:hideMark/>
          </w:tcPr>
          <w:p w:rsidR="00000000" w:rsidRDefault="0094004B">
            <w:pPr>
              <w:spacing w:after="100"/>
              <w:jc w:val="center"/>
              <w:rPr>
                <w:rFonts w:eastAsia="Times New Roman"/>
              </w:rPr>
            </w:pPr>
          </w:p>
          <w:p w:rsidR="00000000" w:rsidRDefault="0094004B">
            <w:pPr>
              <w:spacing w:after="100"/>
              <w:jc w:val="center"/>
              <w:rPr>
                <w:rFonts w:eastAsia="Times New Roman"/>
              </w:rPr>
            </w:pPr>
            <w:r>
              <w:rPr>
                <w:rFonts w:eastAsia="Times New Roman"/>
                <w:b/>
                <w:bCs/>
                <w:color w:val="FFFFFF"/>
                <w:sz w:val="18"/>
                <w:szCs w:val="18"/>
              </w:rPr>
              <w:t>Capital and Liquidity Management (including Stress Testing)</w:t>
            </w:r>
          </w:p>
          <w:p w:rsidR="00000000" w:rsidRDefault="0094004B">
            <w:pPr>
              <w:spacing w:after="100"/>
              <w:jc w:val="center"/>
              <w:rPr>
                <w:rFonts w:eastAsia="Times New Roman"/>
              </w:rPr>
            </w:pPr>
          </w:p>
        </w:tc>
      </w:tr>
      <w:tr w:rsidR="00000000">
        <w:trPr>
          <w:divId w:val="1190416071"/>
          <w:trHeight w:val="60"/>
        </w:trPr>
        <w:tc>
          <w:tcPr>
            <w:tcW w:w="0" w:type="auto"/>
            <w:gridSpan w:val="21"/>
            <w:tcMar>
              <w:top w:w="0" w:type="dxa"/>
              <w:left w:w="20" w:type="dxa"/>
              <w:bottom w:w="0" w:type="dxa"/>
              <w:right w:w="20" w:type="dxa"/>
            </w:tcMar>
            <w:vAlign w:val="center"/>
            <w:hideMark/>
          </w:tcPr>
          <w:p w:rsidR="00000000" w:rsidRDefault="0094004B">
            <w:pPr>
              <w:spacing w:after="100"/>
              <w:jc w:val="center"/>
              <w:rPr>
                <w:rFonts w:eastAsia="Times New Roman"/>
              </w:rPr>
            </w:pPr>
          </w:p>
        </w:tc>
      </w:tr>
      <w:tr w:rsidR="00000000">
        <w:trPr>
          <w:divId w:val="1190416071"/>
        </w:trPr>
        <w:tc>
          <w:tcPr>
            <w:tcW w:w="0" w:type="auto"/>
            <w:gridSpan w:val="21"/>
            <w:shd w:val="clear" w:color="auto" w:fill="004977"/>
            <w:tcMar>
              <w:top w:w="30" w:type="dxa"/>
              <w:left w:w="20" w:type="dxa"/>
              <w:bottom w:w="30" w:type="dxa"/>
              <w:right w:w="20" w:type="dxa"/>
            </w:tcMar>
            <w:vAlign w:val="center"/>
            <w:hideMark/>
          </w:tcPr>
          <w:p w:rsidR="00000000" w:rsidRDefault="0094004B">
            <w:pPr>
              <w:spacing w:after="100"/>
              <w:jc w:val="center"/>
              <w:rPr>
                <w:rFonts w:eastAsia="Times New Roman"/>
              </w:rPr>
            </w:pPr>
          </w:p>
          <w:p w:rsidR="00000000" w:rsidRDefault="0094004B">
            <w:pPr>
              <w:spacing w:after="100"/>
              <w:jc w:val="center"/>
              <w:rPr>
                <w:rFonts w:eastAsia="Times New Roman"/>
              </w:rPr>
            </w:pPr>
            <w:r>
              <w:rPr>
                <w:rFonts w:eastAsia="Times New Roman"/>
                <w:b/>
                <w:bCs/>
                <w:color w:val="FFFFFF"/>
                <w:sz w:val="18"/>
                <w:szCs w:val="18"/>
              </w:rPr>
              <w:t>Risk Data and Enabling Technology</w:t>
            </w:r>
          </w:p>
          <w:p w:rsidR="00000000" w:rsidRDefault="0094004B">
            <w:pPr>
              <w:spacing w:after="100"/>
              <w:jc w:val="center"/>
              <w:rPr>
                <w:rFonts w:eastAsia="Times New Roman"/>
              </w:rPr>
            </w:pPr>
          </w:p>
        </w:tc>
      </w:tr>
      <w:tr w:rsidR="00000000">
        <w:trPr>
          <w:divId w:val="1190416071"/>
          <w:trHeight w:val="60"/>
        </w:trPr>
        <w:tc>
          <w:tcPr>
            <w:tcW w:w="0" w:type="auto"/>
            <w:gridSpan w:val="21"/>
            <w:tcMar>
              <w:top w:w="0" w:type="dxa"/>
              <w:left w:w="20" w:type="dxa"/>
              <w:bottom w:w="0" w:type="dxa"/>
              <w:right w:w="20" w:type="dxa"/>
            </w:tcMar>
            <w:vAlign w:val="center"/>
            <w:hideMark/>
          </w:tcPr>
          <w:p w:rsidR="00000000" w:rsidRDefault="0094004B">
            <w:pPr>
              <w:spacing w:after="100"/>
              <w:jc w:val="center"/>
              <w:rPr>
                <w:rFonts w:eastAsia="Times New Roman"/>
              </w:rPr>
            </w:pPr>
          </w:p>
        </w:tc>
      </w:tr>
      <w:tr w:rsidR="00000000">
        <w:trPr>
          <w:divId w:val="1190416071"/>
        </w:trPr>
        <w:tc>
          <w:tcPr>
            <w:tcW w:w="0" w:type="auto"/>
            <w:gridSpan w:val="21"/>
            <w:shd w:val="clear" w:color="auto" w:fill="004977"/>
            <w:tcMar>
              <w:top w:w="30" w:type="dxa"/>
              <w:left w:w="20" w:type="dxa"/>
              <w:bottom w:w="30" w:type="dxa"/>
              <w:right w:w="20" w:type="dxa"/>
            </w:tcMar>
            <w:vAlign w:val="center"/>
            <w:hideMark/>
          </w:tcPr>
          <w:p w:rsidR="00000000" w:rsidRDefault="0094004B">
            <w:pPr>
              <w:spacing w:after="100"/>
              <w:jc w:val="center"/>
              <w:rPr>
                <w:rFonts w:eastAsia="Times New Roman"/>
              </w:rPr>
            </w:pPr>
          </w:p>
          <w:p w:rsidR="00000000" w:rsidRDefault="0094004B">
            <w:pPr>
              <w:spacing w:after="100"/>
              <w:jc w:val="center"/>
              <w:rPr>
                <w:rFonts w:eastAsia="Times New Roman"/>
              </w:rPr>
            </w:pPr>
            <w:r>
              <w:rPr>
                <w:rFonts w:eastAsia="Times New Roman"/>
                <w:b/>
                <w:bCs/>
                <w:color w:val="FFFFFF"/>
                <w:sz w:val="18"/>
                <w:szCs w:val="18"/>
              </w:rPr>
              <w:t>Culture and Talent Management</w:t>
            </w:r>
          </w:p>
          <w:p w:rsidR="00000000" w:rsidRDefault="0094004B">
            <w:pPr>
              <w:spacing w:after="100"/>
              <w:jc w:val="center"/>
              <w:rPr>
                <w:rFonts w:eastAsia="Times New Roman"/>
              </w:rPr>
            </w:pPr>
          </w:p>
        </w:tc>
      </w:tr>
    </w:tbl>
    <w:p w:rsidR="00000000" w:rsidRDefault="0094004B">
      <w:pPr>
        <w:divId w:val="923144197"/>
        <w:rPr>
          <w:rFonts w:eastAsia="Times New Roman"/>
        </w:rPr>
      </w:pPr>
      <w:r>
        <w:rPr>
          <w:rFonts w:eastAsia="Times New Roman"/>
          <w:b/>
          <w:bCs/>
          <w:i/>
          <w:iCs/>
          <w:color w:val="000000"/>
          <w:sz w:val="20"/>
          <w:szCs w:val="20"/>
        </w:rPr>
        <w:t>Governance and Accountability</w:t>
      </w:r>
    </w:p>
    <w:p w:rsidR="00000000" w:rsidRDefault="0094004B">
      <w:pPr>
        <w:jc w:val="both"/>
        <w:divId w:val="244146291"/>
        <w:rPr>
          <w:rFonts w:eastAsia="Times New Roman"/>
        </w:rPr>
      </w:pPr>
      <w:r>
        <w:rPr>
          <w:rFonts w:eastAsia="Times New Roman"/>
          <w:color w:val="000000"/>
          <w:sz w:val="20"/>
          <w:szCs w:val="20"/>
        </w:rPr>
        <w:t>This element of the Framework sets the foundation for the methods for governing risk taking and the interactions within and among our three lines of defense.</w:t>
      </w:r>
    </w:p>
    <w:p w:rsidR="00000000" w:rsidRDefault="0094004B">
      <w:pPr>
        <w:jc w:val="both"/>
        <w:divId w:val="1058281807"/>
        <w:rPr>
          <w:rFonts w:eastAsia="Times New Roman"/>
        </w:rPr>
      </w:pPr>
      <w:r>
        <w:rPr>
          <w:rFonts w:eastAsia="Times New Roman"/>
          <w:color w:val="000000"/>
          <w:sz w:val="20"/>
          <w:szCs w:val="20"/>
        </w:rPr>
        <w:t>We established a risk governance structure and accountabilities to effectively and consistently ov</w:t>
      </w:r>
      <w:r>
        <w:rPr>
          <w:rFonts w:eastAsia="Times New Roman"/>
          <w:color w:val="000000"/>
          <w:sz w:val="20"/>
          <w:szCs w:val="20"/>
        </w:rPr>
        <w:t>ersee the management of risks across the Company. Our Board of Directors, Chief Executive Officer and management establish the tone at the top regarding the culture of the Company, including management of risk. Management reinforces expectations at the var</w:t>
      </w:r>
      <w:r>
        <w:rPr>
          <w:rFonts w:eastAsia="Times New Roman"/>
          <w:color w:val="000000"/>
          <w:sz w:val="20"/>
          <w:szCs w:val="20"/>
        </w:rPr>
        <w:t xml:space="preserve">ious levels of the organization. </w:t>
      </w:r>
    </w:p>
    <w:p w:rsidR="00000000" w:rsidRDefault="0094004B">
      <w:pPr>
        <w:jc w:val="both"/>
        <w:divId w:val="1811092170"/>
        <w:rPr>
          <w:rFonts w:eastAsia="Times New Roman"/>
        </w:rPr>
      </w:pPr>
      <w:r>
        <w:rPr>
          <w:rFonts w:eastAsia="Times New Roman"/>
          <w:b/>
          <w:bCs/>
          <w:i/>
          <w:iCs/>
          <w:color w:val="000000"/>
          <w:sz w:val="20"/>
          <w:szCs w:val="20"/>
        </w:rPr>
        <w:t>Strategy and Risk Alignment</w:t>
      </w:r>
    </w:p>
    <w:p w:rsidR="00000000" w:rsidRDefault="0094004B">
      <w:pPr>
        <w:jc w:val="both"/>
        <w:divId w:val="1513061827"/>
        <w:rPr>
          <w:rFonts w:eastAsia="Times New Roman"/>
        </w:rPr>
      </w:pPr>
      <w:r>
        <w:rPr>
          <w:rFonts w:eastAsia="Times New Roman"/>
          <w:color w:val="000000"/>
          <w:sz w:val="20"/>
          <w:szCs w:val="20"/>
        </w:rPr>
        <w:t>Our strategy is informed by and aligned with risk appetite, from development to execution. The Chief Executive Officer develops the strategy with input from the first, second, and third lines of</w:t>
      </w:r>
      <w:r>
        <w:rPr>
          <w:rFonts w:eastAsia="Times New Roman"/>
          <w:color w:val="000000"/>
          <w:sz w:val="20"/>
          <w:szCs w:val="20"/>
        </w:rPr>
        <w:t xml:space="preserve"> defense, as well as the Board of Directors. The strategic planning process considers relevant changes to the Company’s overall risk profile. </w:t>
      </w:r>
    </w:p>
    <w:p w:rsidR="00000000" w:rsidRDefault="0094004B">
      <w:pPr>
        <w:jc w:val="both"/>
        <w:divId w:val="1381974144"/>
        <w:rPr>
          <w:rFonts w:eastAsia="Times New Roman"/>
        </w:rPr>
      </w:pPr>
      <w:r>
        <w:rPr>
          <w:rFonts w:eastAsia="Times New Roman"/>
          <w:color w:val="000000"/>
          <w:sz w:val="20"/>
          <w:szCs w:val="20"/>
        </w:rPr>
        <w:t xml:space="preserve">Our Board of Directors approves a Risk Appetite Statement for the Company to set forth the high-level principles </w:t>
      </w:r>
      <w:r>
        <w:rPr>
          <w:rFonts w:eastAsia="Times New Roman"/>
          <w:color w:val="000000"/>
          <w:sz w:val="20"/>
          <w:szCs w:val="20"/>
        </w:rPr>
        <w:t>that govern risk taking at the Company. The Risk Appetite Statement defines the Board of Directors’ tolerance for certain risk outcomes at an enterprise level and enables senior management to manage and report within these boundaries. This Risk Appetite St</w:t>
      </w:r>
      <w:r>
        <w:rPr>
          <w:rFonts w:eastAsia="Times New Roman"/>
          <w:color w:val="000000"/>
          <w:sz w:val="20"/>
          <w:szCs w:val="20"/>
        </w:rPr>
        <w:t>atement is also supported by risk category specific risk appetite statements as well as metrics and, where appropriate, Board Limits and Board Notification Thresholds.</w:t>
      </w:r>
    </w:p>
    <w:p w:rsidR="00000000" w:rsidRDefault="0094004B">
      <w:pPr>
        <w:jc w:val="both"/>
        <w:divId w:val="303707266"/>
        <w:rPr>
          <w:rFonts w:eastAsia="Times New Roman"/>
        </w:rPr>
      </w:pPr>
      <w:r>
        <w:rPr>
          <w:rFonts w:eastAsia="Times New Roman"/>
          <w:b/>
          <w:bCs/>
          <w:i/>
          <w:iCs/>
          <w:color w:val="000000"/>
          <w:sz w:val="20"/>
          <w:szCs w:val="20"/>
        </w:rPr>
        <w:t>Risk Identification</w:t>
      </w:r>
    </w:p>
    <w:p w:rsidR="00000000" w:rsidRDefault="0094004B">
      <w:pPr>
        <w:jc w:val="both"/>
        <w:divId w:val="1983191286"/>
        <w:rPr>
          <w:rFonts w:eastAsia="Times New Roman"/>
        </w:rPr>
      </w:pPr>
      <w:r>
        <w:rPr>
          <w:rFonts w:eastAsia="Times New Roman"/>
          <w:color w:val="000000"/>
          <w:sz w:val="20"/>
          <w:szCs w:val="20"/>
        </w:rPr>
        <w:t>The first line of defense and certain Support Functions identify new</w:t>
      </w:r>
      <w:r>
        <w:rPr>
          <w:rFonts w:eastAsia="Times New Roman"/>
          <w:color w:val="000000"/>
          <w:sz w:val="20"/>
          <w:szCs w:val="20"/>
        </w:rPr>
        <w:t xml:space="preserve"> and emerging risks, including concentration of risk, across the relevant risk categories associated with their business activities and objectives, in consultation with IRM. Risk identification also must be informed by major changes in infrastructure or or</w:t>
      </w:r>
      <w:r>
        <w:rPr>
          <w:rFonts w:eastAsia="Times New Roman"/>
          <w:color w:val="000000"/>
          <w:sz w:val="20"/>
          <w:szCs w:val="20"/>
        </w:rPr>
        <w:t>ganization, introduction of new products and services, acquisitions of businesses, or substantial changes in the internal or external environment.</w:t>
      </w:r>
    </w:p>
    <w:p w:rsidR="00000000" w:rsidRDefault="0094004B">
      <w:pPr>
        <w:jc w:val="both"/>
        <w:divId w:val="893278890"/>
        <w:rPr>
          <w:rFonts w:eastAsia="Times New Roman"/>
        </w:rPr>
      </w:pPr>
      <w:r>
        <w:rPr>
          <w:rFonts w:eastAsia="Times New Roman"/>
          <w:color w:val="000000"/>
          <w:sz w:val="20"/>
          <w:szCs w:val="20"/>
        </w:rPr>
        <w:t xml:space="preserve">IRM and certain Support Functions, where appropriate, provide effective challenge in the risk identification </w:t>
      </w:r>
      <w:r>
        <w:rPr>
          <w:rFonts w:eastAsia="Times New Roman"/>
          <w:color w:val="000000"/>
          <w:sz w:val="20"/>
          <w:szCs w:val="20"/>
        </w:rPr>
        <w:t>process. IRM is also responsible for identifying our material aggregate risks on an ongoing basis.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296302227"/>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296302227"/>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296302227"/>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76</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02" style="width:0;height:1.5pt" o:hralign="center" o:hrstd="t" o:hr="t" fillcolor="#a0a0a0" stroked="f"/>
        </w:pict>
      </w:r>
    </w:p>
    <w:p w:rsidR="00000000" w:rsidRDefault="0094004B">
      <w:pPr>
        <w:ind w:hanging="360"/>
        <w:jc w:val="both"/>
        <w:divId w:val="679158836"/>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both"/>
        <w:divId w:val="1536650024"/>
        <w:rPr>
          <w:rFonts w:eastAsia="Times New Roman"/>
        </w:rPr>
      </w:pPr>
      <w:r>
        <w:rPr>
          <w:rFonts w:eastAsia="Times New Roman"/>
          <w:b/>
          <w:bCs/>
          <w:i/>
          <w:iCs/>
          <w:color w:val="000000"/>
          <w:sz w:val="20"/>
          <w:szCs w:val="20"/>
        </w:rPr>
        <w:t>Assessment, Measurement and Response</w:t>
      </w:r>
    </w:p>
    <w:p w:rsidR="00000000" w:rsidRDefault="0094004B">
      <w:pPr>
        <w:jc w:val="both"/>
        <w:divId w:val="134572109"/>
        <w:rPr>
          <w:rFonts w:eastAsia="Times New Roman"/>
        </w:rPr>
      </w:pPr>
      <w:r>
        <w:rPr>
          <w:rFonts w:eastAsia="Times New Roman"/>
          <w:color w:val="000000"/>
          <w:sz w:val="20"/>
          <w:szCs w:val="20"/>
        </w:rPr>
        <w:t>Management assesses risks associated with our activities. Risks identified are assessed to understand the severity of each risk and likelihood of occurrence under both normal and stressful conditions. Risk severity is measured through modeling and other qu</w:t>
      </w:r>
      <w:r>
        <w:rPr>
          <w:rFonts w:eastAsia="Times New Roman"/>
          <w:color w:val="000000"/>
          <w:sz w:val="20"/>
          <w:szCs w:val="20"/>
        </w:rPr>
        <w:t>antitative estimation approaches, as well as qualitative approaches, based on management judgment. As part of the risk assessment process, the first and second lines of defense also evaluate the effectiveness of the existing control environment and mitigat</w:t>
      </w:r>
      <w:r>
        <w:rPr>
          <w:rFonts w:eastAsia="Times New Roman"/>
          <w:color w:val="000000"/>
          <w:sz w:val="20"/>
          <w:szCs w:val="20"/>
        </w:rPr>
        <w:t>ion strategies.</w:t>
      </w:r>
    </w:p>
    <w:p w:rsidR="00000000" w:rsidRDefault="0094004B">
      <w:pPr>
        <w:jc w:val="both"/>
        <w:divId w:val="193541641"/>
        <w:rPr>
          <w:rFonts w:eastAsia="Times New Roman"/>
        </w:rPr>
      </w:pPr>
      <w:r>
        <w:rPr>
          <w:rFonts w:eastAsia="Times New Roman"/>
          <w:color w:val="000000"/>
          <w:sz w:val="20"/>
          <w:szCs w:val="20"/>
        </w:rPr>
        <w:t>Management determines the appropriate risk response. Risks may be mitigated or accepted. Actions taken to respond to the risk include implementing new controls, enhancing existing controls, developing additional mitigation strategies to red</w:t>
      </w:r>
      <w:r>
        <w:rPr>
          <w:rFonts w:eastAsia="Times New Roman"/>
          <w:color w:val="000000"/>
          <w:sz w:val="20"/>
          <w:szCs w:val="20"/>
        </w:rPr>
        <w:t xml:space="preserve">uce the impact of the risk, and/or monitoring the risk. </w:t>
      </w:r>
    </w:p>
    <w:p w:rsidR="00000000" w:rsidRDefault="0094004B">
      <w:pPr>
        <w:jc w:val="both"/>
        <w:divId w:val="358165829"/>
        <w:rPr>
          <w:rFonts w:eastAsia="Times New Roman"/>
        </w:rPr>
      </w:pPr>
      <w:r>
        <w:rPr>
          <w:rFonts w:eastAsia="Times New Roman"/>
          <w:b/>
          <w:bCs/>
          <w:i/>
          <w:iCs/>
          <w:color w:val="000000"/>
          <w:sz w:val="20"/>
          <w:szCs w:val="20"/>
        </w:rPr>
        <w:t>Monitoring and Testing</w:t>
      </w:r>
    </w:p>
    <w:p w:rsidR="00000000" w:rsidRDefault="0094004B">
      <w:pPr>
        <w:jc w:val="both"/>
        <w:divId w:val="1023288889"/>
        <w:rPr>
          <w:rFonts w:eastAsia="Times New Roman"/>
        </w:rPr>
      </w:pPr>
      <w:r>
        <w:rPr>
          <w:rFonts w:eastAsia="Times New Roman"/>
          <w:color w:val="000000"/>
          <w:sz w:val="20"/>
          <w:szCs w:val="20"/>
        </w:rPr>
        <w:t>Management periodically monitors risks to evaluate and measure how the risk is affecting our strategy and business objectives, in alignment with risk appetite, including establ</w:t>
      </w:r>
      <w:r>
        <w:rPr>
          <w:rFonts w:eastAsia="Times New Roman"/>
          <w:color w:val="000000"/>
          <w:sz w:val="20"/>
          <w:szCs w:val="20"/>
        </w:rPr>
        <w:t>ished concentration risk limits. The scope and frequency of monitoring activities depends on the results of relevant risk assessments, as well as specific business risk operations and activities.</w:t>
      </w:r>
    </w:p>
    <w:p w:rsidR="00000000" w:rsidRDefault="0094004B">
      <w:pPr>
        <w:jc w:val="both"/>
        <w:divId w:val="1508906552"/>
        <w:rPr>
          <w:rFonts w:eastAsia="Times New Roman"/>
        </w:rPr>
      </w:pPr>
      <w:r>
        <w:rPr>
          <w:rFonts w:eastAsia="Times New Roman"/>
          <w:color w:val="000000"/>
          <w:sz w:val="20"/>
          <w:szCs w:val="20"/>
        </w:rPr>
        <w:t>The first line of defense is required to evaluate the effect</w:t>
      </w:r>
      <w:r>
        <w:rPr>
          <w:rFonts w:eastAsia="Times New Roman"/>
          <w:color w:val="000000"/>
          <w:sz w:val="20"/>
          <w:szCs w:val="20"/>
        </w:rPr>
        <w:t>iveness of risk management practices and controls through testing and other activities. IRM and Support Functions, as appropriate, assess the first line of defense’s evaluation of risk management, which may include conducting effective challenge, performin</w:t>
      </w:r>
      <w:r>
        <w:rPr>
          <w:rFonts w:eastAsia="Times New Roman"/>
          <w:color w:val="000000"/>
          <w:sz w:val="20"/>
          <w:szCs w:val="20"/>
        </w:rPr>
        <w:t xml:space="preserve">g independent monitoring, or conducting risk or control validations. The third line of defense provides independent assurance for first and second line risk management practices and controls. </w:t>
      </w:r>
    </w:p>
    <w:p w:rsidR="00000000" w:rsidRDefault="0094004B">
      <w:pPr>
        <w:jc w:val="both"/>
        <w:divId w:val="1912765231"/>
        <w:rPr>
          <w:rFonts w:eastAsia="Times New Roman"/>
        </w:rPr>
      </w:pPr>
      <w:r>
        <w:rPr>
          <w:rFonts w:eastAsia="Times New Roman"/>
          <w:b/>
          <w:bCs/>
          <w:i/>
          <w:iCs/>
          <w:color w:val="000000"/>
          <w:sz w:val="20"/>
          <w:szCs w:val="20"/>
        </w:rPr>
        <w:t>Aggregation, Reporting and Escalation</w:t>
      </w:r>
    </w:p>
    <w:p w:rsidR="00000000" w:rsidRDefault="0094004B">
      <w:pPr>
        <w:jc w:val="both"/>
        <w:divId w:val="1525512574"/>
        <w:rPr>
          <w:rFonts w:eastAsia="Times New Roman"/>
        </w:rPr>
      </w:pPr>
      <w:r>
        <w:rPr>
          <w:rFonts w:eastAsia="Times New Roman"/>
          <w:color w:val="000000"/>
          <w:sz w:val="20"/>
          <w:szCs w:val="20"/>
        </w:rPr>
        <w:t>Risk aggregation supports</w:t>
      </w:r>
      <w:r>
        <w:rPr>
          <w:rFonts w:eastAsia="Times New Roman"/>
          <w:color w:val="000000"/>
          <w:sz w:val="20"/>
          <w:szCs w:val="20"/>
        </w:rPr>
        <w:t xml:space="preserve"> strategic decision making and risk management practices through collectively reporting risks across different levels of the Company and providing a comprehensive view of performance against risk appetite. Capital One’s risk aggregation processes are desig</w:t>
      </w:r>
      <w:r>
        <w:rPr>
          <w:rFonts w:eastAsia="Times New Roman"/>
          <w:color w:val="000000"/>
          <w:sz w:val="20"/>
          <w:szCs w:val="20"/>
        </w:rPr>
        <w:t>ned to aggregate risk information from lower levels of the business hierarchy to high levels and to aggregate risk information to determine material risk themes.</w:t>
      </w:r>
    </w:p>
    <w:p w:rsidR="00000000" w:rsidRDefault="0094004B">
      <w:pPr>
        <w:jc w:val="both"/>
        <w:divId w:val="48506580"/>
        <w:rPr>
          <w:rFonts w:eastAsia="Times New Roman"/>
        </w:rPr>
      </w:pPr>
      <w:r>
        <w:rPr>
          <w:rFonts w:eastAsia="Times New Roman"/>
          <w:color w:val="000000"/>
          <w:sz w:val="20"/>
          <w:szCs w:val="20"/>
        </w:rPr>
        <w:t>Material risks, new or emerging risks, aggregate risks, risk appetite metrics and other measur</w:t>
      </w:r>
      <w:r>
        <w:rPr>
          <w:rFonts w:eastAsia="Times New Roman"/>
          <w:color w:val="000000"/>
          <w:sz w:val="20"/>
          <w:szCs w:val="20"/>
        </w:rPr>
        <w:t>es across all risk categories are reported to the appropriate governance forum no less than quarterly. Material risks are reported to the Board of Directors and senior management committees no less than quarterly.</w:t>
      </w:r>
    </w:p>
    <w:p w:rsidR="00000000" w:rsidRDefault="0094004B">
      <w:pPr>
        <w:jc w:val="both"/>
        <w:divId w:val="684018977"/>
        <w:rPr>
          <w:rFonts w:eastAsia="Times New Roman"/>
        </w:rPr>
      </w:pPr>
      <w:r>
        <w:rPr>
          <w:rFonts w:eastAsia="Times New Roman"/>
          <w:b/>
          <w:bCs/>
          <w:i/>
          <w:iCs/>
          <w:color w:val="000000"/>
          <w:sz w:val="20"/>
          <w:szCs w:val="20"/>
        </w:rPr>
        <w:t>Capital and Liquidity Management (includin</w:t>
      </w:r>
      <w:r>
        <w:rPr>
          <w:rFonts w:eastAsia="Times New Roman"/>
          <w:b/>
          <w:bCs/>
          <w:i/>
          <w:iCs/>
          <w:color w:val="000000"/>
          <w:sz w:val="20"/>
          <w:szCs w:val="20"/>
        </w:rPr>
        <w:t>g Stress Testing)</w:t>
      </w:r>
    </w:p>
    <w:p w:rsidR="00000000" w:rsidRDefault="0094004B">
      <w:pPr>
        <w:jc w:val="both"/>
        <w:divId w:val="187958936"/>
        <w:rPr>
          <w:rFonts w:eastAsia="Times New Roman"/>
        </w:rPr>
      </w:pPr>
      <w:r>
        <w:rPr>
          <w:rFonts w:eastAsia="Times New Roman"/>
          <w:color w:val="000000"/>
          <w:sz w:val="20"/>
          <w:szCs w:val="20"/>
        </w:rPr>
        <w:t>Our capital management processes are linked to its risk management practices, including the enterprise-wide identification, assessment and measurement of risks to ensure that all relevant risks are incorporated in the assessment of the Co</w:t>
      </w:r>
      <w:r>
        <w:rPr>
          <w:rFonts w:eastAsia="Times New Roman"/>
          <w:color w:val="000000"/>
          <w:sz w:val="20"/>
          <w:szCs w:val="20"/>
        </w:rPr>
        <w:t>mpany's capital adequacy. We use identified risks to inform key aspects of the Company’s capital planning, including the development of stress scenarios, the assessment of the adequacy of post-stress capital levels, and the appropriateness of potential cap</w:t>
      </w:r>
      <w:r>
        <w:rPr>
          <w:rFonts w:eastAsia="Times New Roman"/>
          <w:color w:val="000000"/>
          <w:sz w:val="20"/>
          <w:szCs w:val="20"/>
        </w:rPr>
        <w:t>ital actions considering the Company’s capital objectives. We quantify capital needs through stress testing, regulatory capital, economic capital and assessments of market considerations. In assessing its capital adequacy, we identify how and where our mat</w:t>
      </w:r>
      <w:r>
        <w:rPr>
          <w:rFonts w:eastAsia="Times New Roman"/>
          <w:color w:val="000000"/>
          <w:sz w:val="20"/>
          <w:szCs w:val="20"/>
        </w:rPr>
        <w:t xml:space="preserve">erial risks are accounted for within the capital planning process. Monitoring and escalation processes exist for key capital thresholds and metrics to continuously monitor capital adequacy. </w:t>
      </w:r>
    </w:p>
    <w:p w:rsidR="00000000" w:rsidRDefault="0094004B">
      <w:pPr>
        <w:jc w:val="both"/>
        <w:divId w:val="165483635"/>
        <w:rPr>
          <w:rFonts w:eastAsia="Times New Roman"/>
        </w:rPr>
      </w:pPr>
      <w:r>
        <w:rPr>
          <w:rFonts w:eastAsia="Times New Roman"/>
          <w:color w:val="000000"/>
          <w:sz w:val="20"/>
          <w:szCs w:val="20"/>
        </w:rPr>
        <w:t>We manage liquidity risk by applying our Liquidity Adequacy Frame</w:t>
      </w:r>
      <w:r>
        <w:rPr>
          <w:rFonts w:eastAsia="Times New Roman"/>
          <w:color w:val="000000"/>
          <w:sz w:val="20"/>
          <w:szCs w:val="20"/>
        </w:rPr>
        <w:t xml:space="preserve">work (the “Liquidity Framework”). The Liquidity Framework uses internal and regulatory stress testing and the evaluation of other balance sheet metrics to confirm that we maintain a fortified balance sheet that is resilient to uncertainties that may arise </w:t>
      </w:r>
      <w:r>
        <w:rPr>
          <w:rFonts w:eastAsia="Times New Roman"/>
          <w:color w:val="000000"/>
          <w:sz w:val="20"/>
          <w:szCs w:val="20"/>
        </w:rPr>
        <w:t>as a consequence of systemic, idiosyncratic, or combined liquidity events.</w:t>
      </w:r>
    </w:p>
    <w:p w:rsidR="00000000" w:rsidRDefault="0094004B">
      <w:pPr>
        <w:jc w:val="both"/>
        <w:divId w:val="128519238"/>
        <w:rPr>
          <w:rFonts w:eastAsia="Times New Roman"/>
        </w:rPr>
      </w:pPr>
      <w:r>
        <w:rPr>
          <w:rFonts w:eastAsia="Times New Roman"/>
          <w:b/>
          <w:bCs/>
          <w:i/>
          <w:iCs/>
          <w:color w:val="000000"/>
          <w:sz w:val="20"/>
          <w:szCs w:val="20"/>
        </w:rPr>
        <w:t>Risk Data and Enabling Technology</w:t>
      </w:r>
    </w:p>
    <w:p w:rsidR="00000000" w:rsidRDefault="0094004B">
      <w:pPr>
        <w:jc w:val="both"/>
        <w:divId w:val="1455293213"/>
        <w:rPr>
          <w:rFonts w:eastAsia="Times New Roman"/>
        </w:rPr>
      </w:pPr>
      <w:r>
        <w:rPr>
          <w:rFonts w:eastAsia="Times New Roman"/>
          <w:color w:val="000000"/>
          <w:sz w:val="20"/>
          <w:szCs w:val="20"/>
        </w:rPr>
        <w:t>Risk data and technology provides the basis for risk reporting and is used in decision making and to monitor and review changes to our risk profile</w:t>
      </w:r>
      <w:r>
        <w:rPr>
          <w:rFonts w:eastAsia="Times New Roman"/>
          <w:color w:val="000000"/>
          <w:sz w:val="20"/>
          <w:szCs w:val="20"/>
        </w:rPr>
        <w:t>. There is a core Governance, Risk Management and Compliance system which is used as the system of record for risks, controls, issues and events for our risk categories and supports the analysis, aggregation and reporting capabilities across the categories</w:t>
      </w:r>
      <w:r>
        <w:rPr>
          <w:rFonts w:eastAsia="Times New Roman"/>
          <w:color w:val="000000"/>
          <w:sz w:val="20"/>
          <w:szCs w:val="20"/>
        </w:rPr>
        <w:t>.</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477915267"/>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477915267"/>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477915267"/>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77</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03" style="width:0;height:1.5pt" o:hralign="center" o:hrstd="t" o:hr="t" fillcolor="#a0a0a0" stroked="f"/>
        </w:pict>
      </w:r>
    </w:p>
    <w:p w:rsidR="00000000" w:rsidRDefault="0094004B">
      <w:pPr>
        <w:ind w:hanging="360"/>
        <w:jc w:val="both"/>
        <w:divId w:val="457988516"/>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both"/>
        <w:divId w:val="631181178"/>
        <w:rPr>
          <w:rFonts w:eastAsia="Times New Roman"/>
        </w:rPr>
      </w:pPr>
      <w:r>
        <w:rPr>
          <w:rFonts w:eastAsia="Times New Roman"/>
          <w:b/>
          <w:bCs/>
          <w:i/>
          <w:iCs/>
          <w:color w:val="000000"/>
          <w:sz w:val="20"/>
          <w:szCs w:val="20"/>
        </w:rPr>
        <w:t>Culture and Talent Management</w:t>
      </w:r>
    </w:p>
    <w:p w:rsidR="00000000" w:rsidRDefault="0094004B">
      <w:pPr>
        <w:jc w:val="both"/>
        <w:divId w:val="1356733300"/>
        <w:rPr>
          <w:rFonts w:eastAsia="Times New Roman"/>
        </w:rPr>
      </w:pPr>
      <w:r>
        <w:rPr>
          <w:rFonts w:eastAsia="Times New Roman"/>
          <w:color w:val="000000"/>
          <w:sz w:val="20"/>
          <w:szCs w:val="20"/>
        </w:rPr>
        <w:t>The Framework must be supported with the right culture, talent and skills to enable effective risk management acr</w:t>
      </w:r>
      <w:r>
        <w:rPr>
          <w:rFonts w:eastAsia="Times New Roman"/>
          <w:color w:val="000000"/>
          <w:sz w:val="20"/>
          <w:szCs w:val="20"/>
        </w:rPr>
        <w:t xml:space="preserve">oss the Company. </w:t>
      </w:r>
    </w:p>
    <w:p w:rsidR="00000000" w:rsidRDefault="0094004B">
      <w:pPr>
        <w:jc w:val="both"/>
        <w:divId w:val="1002663224"/>
        <w:rPr>
          <w:rFonts w:eastAsia="Times New Roman"/>
        </w:rPr>
      </w:pPr>
      <w:r>
        <w:rPr>
          <w:rFonts w:eastAsia="Times New Roman"/>
          <w:color w:val="000000"/>
          <w:sz w:val="20"/>
          <w:szCs w:val="20"/>
        </w:rPr>
        <w:t>Every associate at the Company is responsible for risk management; however, associates with specific risk management skills and expertise within the first, second and third lines of defense are critical to execute appropriate risk managem</w:t>
      </w:r>
      <w:r>
        <w:rPr>
          <w:rFonts w:eastAsia="Times New Roman"/>
          <w:color w:val="000000"/>
          <w:sz w:val="20"/>
          <w:szCs w:val="20"/>
        </w:rPr>
        <w:t>ent across the enterprise.</w:t>
      </w:r>
    </w:p>
    <w:p w:rsidR="00000000" w:rsidRDefault="0094004B">
      <w:pPr>
        <w:divId w:val="405886335"/>
        <w:rPr>
          <w:rFonts w:eastAsia="Times New Roman"/>
        </w:rPr>
      </w:pPr>
      <w:r>
        <w:rPr>
          <w:rFonts w:eastAsia="Times New Roman"/>
          <w:b/>
          <w:bCs/>
          <w:color w:val="000000"/>
          <w:sz w:val="20"/>
          <w:szCs w:val="20"/>
        </w:rPr>
        <w:t>Risk Categories</w:t>
      </w:r>
    </w:p>
    <w:p w:rsidR="00000000" w:rsidRDefault="0094004B">
      <w:pPr>
        <w:jc w:val="both"/>
        <w:divId w:val="35669914"/>
        <w:rPr>
          <w:rFonts w:eastAsia="Times New Roman"/>
        </w:rPr>
      </w:pPr>
      <w:r>
        <w:rPr>
          <w:rFonts w:eastAsia="Times New Roman"/>
          <w:color w:val="000000"/>
          <w:sz w:val="20"/>
          <w:szCs w:val="20"/>
        </w:rPr>
        <w:t xml:space="preserve">We apply our Framework to protect the Company from the major categories of risk that we are exposed to through our business activities. Our seven major categories of risk are: </w:t>
      </w:r>
    </w:p>
    <w:tbl>
      <w:tblPr>
        <w:tblW w:w="5000" w:type="pct"/>
        <w:tblCellMar>
          <w:top w:w="15" w:type="dxa"/>
          <w:left w:w="15" w:type="dxa"/>
          <w:bottom w:w="15" w:type="dxa"/>
          <w:right w:w="15" w:type="dxa"/>
        </w:tblCellMar>
        <w:tblLook w:val="04A0" w:firstRow="1" w:lastRow="0" w:firstColumn="1" w:lastColumn="0" w:noHBand="0" w:noVBand="1"/>
      </w:tblPr>
      <w:tblGrid>
        <w:gridCol w:w="59"/>
        <w:gridCol w:w="1239"/>
        <w:gridCol w:w="37"/>
        <w:gridCol w:w="37"/>
        <w:gridCol w:w="37"/>
        <w:gridCol w:w="37"/>
        <w:gridCol w:w="38"/>
        <w:gridCol w:w="1909"/>
        <w:gridCol w:w="38"/>
        <w:gridCol w:w="38"/>
        <w:gridCol w:w="38"/>
        <w:gridCol w:w="38"/>
        <w:gridCol w:w="38"/>
        <w:gridCol w:w="1909"/>
        <w:gridCol w:w="37"/>
        <w:gridCol w:w="37"/>
        <w:gridCol w:w="37"/>
        <w:gridCol w:w="37"/>
        <w:gridCol w:w="37"/>
        <w:gridCol w:w="2592"/>
        <w:gridCol w:w="37"/>
      </w:tblGrid>
      <w:tr w:rsidR="00000000">
        <w:trPr>
          <w:divId w:val="1807313366"/>
        </w:trPr>
        <w:tc>
          <w:tcPr>
            <w:tcW w:w="50" w:type="pct"/>
            <w:vAlign w:val="center"/>
            <w:hideMark/>
          </w:tcPr>
          <w:p w:rsidR="00000000" w:rsidRDefault="0094004B">
            <w:pPr>
              <w:jc w:val="both"/>
              <w:rPr>
                <w:rFonts w:eastAsia="Times New Roman"/>
              </w:rPr>
            </w:pPr>
          </w:p>
        </w:tc>
        <w:tc>
          <w:tcPr>
            <w:tcW w:w="76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16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16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57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807313366"/>
        </w:trPr>
        <w:tc>
          <w:tcPr>
            <w:tcW w:w="0" w:type="auto"/>
            <w:gridSpan w:val="21"/>
            <w:shd w:val="clear" w:color="auto" w:fill="004977"/>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b/>
                <w:bCs/>
                <w:sz w:val="18"/>
                <w:szCs w:val="18"/>
              </w:rPr>
              <w:br/>
            </w:r>
            <w:r>
              <w:rPr>
                <w:rFonts w:eastAsia="Times New Roman"/>
                <w:b/>
                <w:bCs/>
                <w:color w:val="FFFFFF"/>
                <w:sz w:val="18"/>
                <w:szCs w:val="18"/>
              </w:rPr>
              <w:t>Major Categories of Risk</w:t>
            </w:r>
          </w:p>
        </w:tc>
      </w:tr>
      <w:tr w:rsidR="00000000">
        <w:trPr>
          <w:divId w:val="1807313366"/>
          <w:trHeight w:val="60"/>
        </w:trPr>
        <w:tc>
          <w:tcPr>
            <w:tcW w:w="0" w:type="auto"/>
            <w:gridSpan w:val="21"/>
            <w:tcMar>
              <w:top w:w="0" w:type="dxa"/>
              <w:left w:w="20" w:type="dxa"/>
              <w:bottom w:w="0" w:type="dxa"/>
              <w:right w:w="20" w:type="dxa"/>
            </w:tcMar>
            <w:vAlign w:val="center"/>
            <w:hideMark/>
          </w:tcPr>
          <w:p w:rsidR="00000000" w:rsidRDefault="0094004B">
            <w:pPr>
              <w:spacing w:after="100"/>
              <w:jc w:val="center"/>
              <w:rPr>
                <w:rFonts w:eastAsia="Times New Roman"/>
              </w:rPr>
            </w:pPr>
          </w:p>
        </w:tc>
      </w:tr>
      <w:tr w:rsidR="00000000">
        <w:trPr>
          <w:divId w:val="1807313366"/>
        </w:trPr>
        <w:tc>
          <w:tcPr>
            <w:tcW w:w="0" w:type="auto"/>
            <w:gridSpan w:val="3"/>
            <w:shd w:val="clear" w:color="auto" w:fill="004977"/>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b/>
                <w:bCs/>
                <w:color w:val="FFFFFF"/>
                <w:sz w:val="18"/>
                <w:szCs w:val="18"/>
              </w:rPr>
              <w:t>Compliance</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15"/>
            <w:shd w:val="clear" w:color="auto" w:fill="004977"/>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FFFFFF"/>
                <w:sz w:val="18"/>
                <w:szCs w:val="18"/>
              </w:rPr>
              <w:t>The risk to current or anticipated earnings or capital arising from violations of laws, rules or regulations. Compliance risk can also arise from nonconformance with prescribed practices, internal policies and procedures, contractual obligations or ethical</w:t>
            </w:r>
            <w:r>
              <w:rPr>
                <w:rFonts w:eastAsia="Times New Roman"/>
                <w:color w:val="FFFFFF"/>
                <w:sz w:val="18"/>
                <w:szCs w:val="18"/>
              </w:rPr>
              <w:t xml:space="preserve"> standards that reinforce those laws, rules or regulations</w:t>
            </w:r>
          </w:p>
        </w:tc>
      </w:tr>
      <w:tr w:rsidR="00000000">
        <w:trPr>
          <w:divId w:val="1807313366"/>
          <w:trHeight w:val="60"/>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807313366"/>
        </w:trPr>
        <w:tc>
          <w:tcPr>
            <w:tcW w:w="0" w:type="auto"/>
            <w:gridSpan w:val="3"/>
            <w:shd w:val="clear" w:color="auto" w:fill="004977"/>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b/>
                <w:bCs/>
                <w:color w:val="FFFFFF"/>
                <w:sz w:val="18"/>
                <w:szCs w:val="18"/>
              </w:rPr>
              <w:t>Credit</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15"/>
            <w:shd w:val="clear" w:color="auto" w:fill="004977"/>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FFFFFF"/>
                <w:sz w:val="18"/>
                <w:szCs w:val="18"/>
              </w:rPr>
              <w:t>The risk to current or projected financial condition and resilience arising from an obligor’s failure to meet the terms of any contract with the Company or otherwise perform as agreed</w:t>
            </w:r>
          </w:p>
        </w:tc>
      </w:tr>
      <w:tr w:rsidR="00000000">
        <w:trPr>
          <w:divId w:val="1807313366"/>
          <w:trHeight w:val="60"/>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807313366"/>
        </w:trPr>
        <w:tc>
          <w:tcPr>
            <w:tcW w:w="0" w:type="auto"/>
            <w:gridSpan w:val="3"/>
            <w:shd w:val="clear" w:color="auto" w:fill="004977"/>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b/>
                <w:bCs/>
                <w:color w:val="FFFFFF"/>
                <w:sz w:val="18"/>
                <w:szCs w:val="18"/>
              </w:rPr>
              <w:t>Liquidity</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15"/>
            <w:shd w:val="clear" w:color="auto" w:fill="004977"/>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FFFFFF"/>
                <w:sz w:val="18"/>
                <w:szCs w:val="18"/>
              </w:rPr>
              <w:t>The risk that the Company will not be able to meet its future financial obligations as they come due, or invest in future asset growth because of an inability to obtain funds at a reasonable price within a reasonable time</w:t>
            </w:r>
          </w:p>
        </w:tc>
      </w:tr>
      <w:tr w:rsidR="00000000">
        <w:trPr>
          <w:divId w:val="1807313366"/>
          <w:trHeight w:val="60"/>
        </w:trPr>
        <w:tc>
          <w:tcPr>
            <w:tcW w:w="0" w:type="auto"/>
            <w:gridSpan w:val="21"/>
            <w:tcMar>
              <w:top w:w="0" w:type="dxa"/>
              <w:left w:w="20" w:type="dxa"/>
              <w:bottom w:w="0" w:type="dxa"/>
              <w:right w:w="20" w:type="dxa"/>
            </w:tcMar>
            <w:vAlign w:val="center"/>
            <w:hideMark/>
          </w:tcPr>
          <w:p w:rsidR="00000000" w:rsidRDefault="0094004B">
            <w:pPr>
              <w:spacing w:after="100"/>
              <w:rPr>
                <w:rFonts w:eastAsia="Times New Roman"/>
              </w:rPr>
            </w:pPr>
          </w:p>
        </w:tc>
      </w:tr>
      <w:tr w:rsidR="00000000">
        <w:trPr>
          <w:divId w:val="1807313366"/>
        </w:trPr>
        <w:tc>
          <w:tcPr>
            <w:tcW w:w="0" w:type="auto"/>
            <w:gridSpan w:val="3"/>
            <w:shd w:val="clear" w:color="auto" w:fill="004977"/>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b/>
                <w:bCs/>
                <w:color w:val="FFFFFF"/>
                <w:sz w:val="18"/>
                <w:szCs w:val="18"/>
              </w:rPr>
              <w:t>Market</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15"/>
            <w:shd w:val="clear" w:color="auto" w:fill="004977"/>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FFFFFF"/>
                <w:sz w:val="18"/>
                <w:szCs w:val="18"/>
              </w:rPr>
              <w:t>The risk that an institution’s earnings or the economic value of equity could be adversely impacted by changes in interest rates, foreign exchange rates or other market factors</w:t>
            </w:r>
          </w:p>
        </w:tc>
      </w:tr>
      <w:tr w:rsidR="00000000">
        <w:trPr>
          <w:divId w:val="1807313366"/>
          <w:trHeight w:val="60"/>
        </w:trPr>
        <w:tc>
          <w:tcPr>
            <w:tcW w:w="0" w:type="auto"/>
            <w:gridSpan w:val="21"/>
            <w:tcMar>
              <w:top w:w="0" w:type="dxa"/>
              <w:left w:w="20" w:type="dxa"/>
              <w:bottom w:w="0" w:type="dxa"/>
              <w:right w:w="20" w:type="dxa"/>
            </w:tcMar>
            <w:vAlign w:val="center"/>
            <w:hideMark/>
          </w:tcPr>
          <w:p w:rsidR="00000000" w:rsidRDefault="0094004B">
            <w:pPr>
              <w:spacing w:after="100"/>
              <w:rPr>
                <w:rFonts w:eastAsia="Times New Roman"/>
              </w:rPr>
            </w:pPr>
          </w:p>
        </w:tc>
      </w:tr>
      <w:tr w:rsidR="00000000">
        <w:trPr>
          <w:divId w:val="1807313366"/>
        </w:trPr>
        <w:tc>
          <w:tcPr>
            <w:tcW w:w="0" w:type="auto"/>
            <w:gridSpan w:val="3"/>
            <w:shd w:val="clear" w:color="auto" w:fill="004977"/>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b/>
                <w:bCs/>
                <w:color w:val="FFFFFF"/>
                <w:sz w:val="18"/>
                <w:szCs w:val="18"/>
              </w:rPr>
              <w:t>Operational</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15"/>
            <w:shd w:val="clear" w:color="auto" w:fill="004977"/>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FFFFFF"/>
                <w:sz w:val="18"/>
                <w:szCs w:val="18"/>
              </w:rPr>
              <w:t>The risk of loss, capital impairment, adverse customer experience or reputational impact resulting from failure to comply with policies and procedures, failed internal processes or systems, or from external events</w:t>
            </w:r>
          </w:p>
        </w:tc>
      </w:tr>
      <w:tr w:rsidR="00000000">
        <w:trPr>
          <w:divId w:val="1807313366"/>
          <w:trHeight w:val="60"/>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807313366"/>
        </w:trPr>
        <w:tc>
          <w:tcPr>
            <w:tcW w:w="0" w:type="auto"/>
            <w:gridSpan w:val="3"/>
            <w:shd w:val="clear" w:color="auto" w:fill="004977"/>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b/>
                <w:bCs/>
                <w:color w:val="FFFFFF"/>
                <w:sz w:val="18"/>
                <w:szCs w:val="18"/>
              </w:rPr>
              <w:t>Reputation</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15"/>
            <w:shd w:val="clear" w:color="auto" w:fill="004977"/>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FFFFFF"/>
                <w:sz w:val="18"/>
                <w:szCs w:val="18"/>
              </w:rPr>
              <w:t>The risk to market value, recruitment and retention of talented associates and maintenance of a loyal customer base due to the negative perceptions of our internal and external constituents regarding our business strategies and activities</w:t>
            </w:r>
          </w:p>
        </w:tc>
      </w:tr>
      <w:tr w:rsidR="00000000">
        <w:trPr>
          <w:divId w:val="1807313366"/>
          <w:trHeight w:val="60"/>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807313366"/>
        </w:trPr>
        <w:tc>
          <w:tcPr>
            <w:tcW w:w="0" w:type="auto"/>
            <w:gridSpan w:val="3"/>
            <w:shd w:val="clear" w:color="auto" w:fill="004977"/>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b/>
                <w:bCs/>
                <w:color w:val="FFFFFF"/>
                <w:sz w:val="18"/>
                <w:szCs w:val="18"/>
              </w:rPr>
              <w:t>Strategic</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15"/>
            <w:shd w:val="clear" w:color="auto" w:fill="004977"/>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FFFFFF"/>
                <w:sz w:val="18"/>
                <w:szCs w:val="18"/>
              </w:rPr>
              <w:t>The risk of a material impact on current or anticipated earnings, capital, franchise or enterprise value arising from the Company’s competitive and market position and evolving forces in the industry that can affect that position; lack of responsiveness to</w:t>
            </w:r>
            <w:r>
              <w:rPr>
                <w:rFonts w:eastAsia="Times New Roman"/>
                <w:color w:val="FFFFFF"/>
                <w:sz w:val="18"/>
                <w:szCs w:val="18"/>
              </w:rPr>
              <w:t xml:space="preserve"> these conditions; strategic decisions to change the Company’s scale, market position or operating model; or, failure to appropriately consider implementation risks inherent in the Company’s strategy</w:t>
            </w:r>
          </w:p>
        </w:tc>
      </w:tr>
      <w:tr w:rsidR="00000000">
        <w:trPr>
          <w:divId w:val="1807313366"/>
        </w:trPr>
        <w:tc>
          <w:tcPr>
            <w:tcW w:w="0" w:type="auto"/>
            <w:gridSpan w:val="3"/>
            <w:vAlign w:val="center"/>
            <w:hideMark/>
          </w:tcPr>
          <w:p w:rsidR="00000000" w:rsidRDefault="0094004B">
            <w:pPr>
              <w:spacing w:after="100"/>
              <w:rPr>
                <w:rFonts w:eastAsia="Times New Roman"/>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bl>
    <w:p w:rsidR="00000000" w:rsidRDefault="0094004B">
      <w:pPr>
        <w:jc w:val="both"/>
        <w:divId w:val="1482503704"/>
        <w:rPr>
          <w:rFonts w:eastAsia="Times New Roman"/>
        </w:rPr>
      </w:pPr>
      <w:r>
        <w:rPr>
          <w:rFonts w:eastAsia="Times New Roman"/>
          <w:color w:val="000000"/>
          <w:sz w:val="20"/>
          <w:szCs w:val="20"/>
        </w:rPr>
        <w:t>We provide an overview of how we manage our seven major categories of risk below.</w:t>
      </w:r>
    </w:p>
    <w:p w:rsidR="00000000" w:rsidRDefault="0094004B">
      <w:pPr>
        <w:jc w:val="both"/>
        <w:divId w:val="1167593729"/>
        <w:rPr>
          <w:rFonts w:eastAsia="Times New Roman"/>
        </w:rPr>
      </w:pPr>
      <w:r>
        <w:rPr>
          <w:rFonts w:eastAsia="Times New Roman"/>
          <w:b/>
          <w:bCs/>
          <w:i/>
          <w:iCs/>
          <w:color w:val="000000"/>
          <w:sz w:val="20"/>
          <w:szCs w:val="20"/>
        </w:rPr>
        <w:t>Compliance Risk Management</w:t>
      </w:r>
    </w:p>
    <w:p w:rsidR="00000000" w:rsidRDefault="0094004B">
      <w:pPr>
        <w:jc w:val="both"/>
        <w:divId w:val="1500076174"/>
        <w:rPr>
          <w:rFonts w:eastAsia="Times New Roman"/>
        </w:rPr>
      </w:pPr>
      <w:r>
        <w:rPr>
          <w:rFonts w:eastAsia="Times New Roman"/>
          <w:color w:val="000000"/>
          <w:sz w:val="20"/>
          <w:szCs w:val="20"/>
        </w:rPr>
        <w:t>We recognize that compliance requirements for financial institutions are increasingly complex and that there are heightened expectations from our r</w:t>
      </w:r>
      <w:r>
        <w:rPr>
          <w:rFonts w:eastAsia="Times New Roman"/>
          <w:color w:val="000000"/>
          <w:sz w:val="20"/>
          <w:szCs w:val="20"/>
        </w:rPr>
        <w:t>egulators and our customers. In response, we continuously evaluate the regulatory environment and proactively adjust our compliance program to fully address these expectations.</w:t>
      </w:r>
    </w:p>
    <w:p w:rsidR="00000000" w:rsidRDefault="0094004B">
      <w:pPr>
        <w:jc w:val="both"/>
        <w:divId w:val="1709720390"/>
        <w:rPr>
          <w:rFonts w:eastAsia="Times New Roman"/>
        </w:rPr>
      </w:pPr>
      <w:r>
        <w:rPr>
          <w:rFonts w:eastAsia="Times New Roman"/>
          <w:color w:val="000000"/>
          <w:sz w:val="20"/>
          <w:szCs w:val="20"/>
        </w:rPr>
        <w:t>Our Compliance Management Program establishes expectations for determining comp</w:t>
      </w:r>
      <w:r>
        <w:rPr>
          <w:rFonts w:eastAsia="Times New Roman"/>
          <w:color w:val="000000"/>
          <w:sz w:val="20"/>
          <w:szCs w:val="20"/>
        </w:rPr>
        <w:t>liance requirements, assessing the risk of new product offerings, creating appropriate controls and training to address requirements, monitoring for control performance, and independently testing for adherence to compliance requirements. The program also e</w:t>
      </w:r>
      <w:r>
        <w:rPr>
          <w:rFonts w:eastAsia="Times New Roman"/>
          <w:color w:val="000000"/>
          <w:sz w:val="20"/>
          <w:szCs w:val="20"/>
        </w:rPr>
        <w:t>stablishes regular compliance reporting to senior business leaders, the executive committee and the Board of Directors.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755391296"/>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755391296"/>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755391296"/>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78</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04" style="width:0;height:1.5pt" o:hralign="center" o:hrstd="t" o:hr="t" fillcolor="#a0a0a0" stroked="f"/>
        </w:pict>
      </w:r>
    </w:p>
    <w:p w:rsidR="00000000" w:rsidRDefault="0094004B">
      <w:pPr>
        <w:ind w:hanging="360"/>
        <w:jc w:val="both"/>
        <w:divId w:val="1021854794"/>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both"/>
        <w:divId w:val="1250313239"/>
        <w:rPr>
          <w:rFonts w:eastAsia="Times New Roman"/>
        </w:rPr>
      </w:pPr>
      <w:r>
        <w:rPr>
          <w:rFonts w:eastAsia="Times New Roman"/>
          <w:color w:val="000000"/>
          <w:sz w:val="20"/>
          <w:szCs w:val="20"/>
        </w:rPr>
        <w:t>The Chief Compliance Officer is responsible for establishing and overseeing our Compliance Management Program. Business areas incorporate compliance requirements and controls into their business policies, standards, processes and procedures. They regularly</w:t>
      </w:r>
      <w:r>
        <w:rPr>
          <w:rFonts w:eastAsia="Times New Roman"/>
          <w:color w:val="000000"/>
          <w:sz w:val="20"/>
          <w:szCs w:val="20"/>
        </w:rPr>
        <w:t xml:space="preserve"> monitor and report on the efficacy of their compliance controls and our Compliance team periodically independently tests to validate the effectiveness of business controls.</w:t>
      </w:r>
    </w:p>
    <w:p w:rsidR="00000000" w:rsidRDefault="0094004B">
      <w:pPr>
        <w:jc w:val="both"/>
        <w:divId w:val="1410733528"/>
        <w:rPr>
          <w:rFonts w:eastAsia="Times New Roman"/>
        </w:rPr>
      </w:pPr>
      <w:r>
        <w:rPr>
          <w:rFonts w:eastAsia="Times New Roman"/>
          <w:b/>
          <w:bCs/>
          <w:i/>
          <w:iCs/>
          <w:color w:val="000000"/>
          <w:sz w:val="20"/>
          <w:szCs w:val="20"/>
        </w:rPr>
        <w:t>Credit Risk Management</w:t>
      </w:r>
    </w:p>
    <w:p w:rsidR="00000000" w:rsidRDefault="0094004B">
      <w:pPr>
        <w:jc w:val="both"/>
        <w:divId w:val="430512226"/>
        <w:rPr>
          <w:rFonts w:eastAsia="Times New Roman"/>
        </w:rPr>
      </w:pPr>
      <w:r>
        <w:rPr>
          <w:rFonts w:eastAsia="Times New Roman"/>
          <w:color w:val="000000"/>
          <w:sz w:val="20"/>
          <w:szCs w:val="20"/>
        </w:rPr>
        <w:t>We recognize that we are exposed to cyclical changes in cre</w:t>
      </w:r>
      <w:r>
        <w:rPr>
          <w:rFonts w:eastAsia="Times New Roman"/>
          <w:color w:val="000000"/>
          <w:sz w:val="20"/>
          <w:szCs w:val="20"/>
        </w:rPr>
        <w:t xml:space="preserve">dit quality. Consequently, we try to ensure our credit portfolio is resilient to economic downturns. Our most important tool in this endeavor is sound underwriting. In unsecured consumer loan underwriting, we generally assume that loans will be subject to </w:t>
      </w:r>
      <w:r>
        <w:rPr>
          <w:rFonts w:eastAsia="Times New Roman"/>
          <w:color w:val="000000"/>
          <w:sz w:val="20"/>
          <w:szCs w:val="20"/>
        </w:rPr>
        <w:t>an environment in which losses are higher than those prevailing at the time of underwriting. In commercial underwriting, we generally require strong cash flow, collateral, covenants, and guarantees. In addition to sound underwriting, we continually monitor</w:t>
      </w:r>
      <w:r>
        <w:rPr>
          <w:rFonts w:eastAsia="Times New Roman"/>
          <w:color w:val="000000"/>
          <w:sz w:val="20"/>
          <w:szCs w:val="20"/>
        </w:rPr>
        <w:t xml:space="preserve"> our portfolio and take steps to collect or work out distressed loans. </w:t>
      </w:r>
    </w:p>
    <w:p w:rsidR="00000000" w:rsidRDefault="0094004B">
      <w:pPr>
        <w:jc w:val="both"/>
        <w:divId w:val="134491212"/>
        <w:rPr>
          <w:rFonts w:eastAsia="Times New Roman"/>
        </w:rPr>
      </w:pPr>
      <w:r>
        <w:rPr>
          <w:rFonts w:eastAsia="Times New Roman"/>
          <w:color w:val="000000"/>
          <w:sz w:val="20"/>
          <w:szCs w:val="20"/>
        </w:rPr>
        <w:t>The Chief Risk Officer, in conjunction with the Consumer and Commercial Chief Credit Officers, is responsible for establishing credit risk policies and procedures, including underwriti</w:t>
      </w:r>
      <w:r>
        <w:rPr>
          <w:rFonts w:eastAsia="Times New Roman"/>
          <w:color w:val="000000"/>
          <w:sz w:val="20"/>
          <w:szCs w:val="20"/>
        </w:rPr>
        <w:t>ng and hold guidelines and credit approval authority, and monitoring credit exposure and performance of our lending related transactions. Our Consumer and Commercial Chief Credit Officers are responsible for evaluating the risk implications of credit strat</w:t>
      </w:r>
      <w:r>
        <w:rPr>
          <w:rFonts w:eastAsia="Times New Roman"/>
          <w:color w:val="000000"/>
          <w:sz w:val="20"/>
          <w:szCs w:val="20"/>
        </w:rPr>
        <w:t>egy and the oversight of credit for both the existing portfolio and any new credit investments. They also have formal approval authority for various types and levels of credit decisions, including individual commercial loan transactions. Division President</w:t>
      </w:r>
      <w:r>
        <w:rPr>
          <w:rFonts w:eastAsia="Times New Roman"/>
          <w:color w:val="000000"/>
          <w:sz w:val="20"/>
          <w:szCs w:val="20"/>
        </w:rPr>
        <w:t>s within each segment are responsible for managing the credit risk within their divisions and maintaining processes to control credit risk and comply with credit policies and guidelines. In addition, the Chief Risk Officer establishes policies, delegates a</w:t>
      </w:r>
      <w:r>
        <w:rPr>
          <w:rFonts w:eastAsia="Times New Roman"/>
          <w:color w:val="000000"/>
          <w:sz w:val="20"/>
          <w:szCs w:val="20"/>
        </w:rPr>
        <w:t xml:space="preserve">pproval authority and monitors performance for non-loan credit exposure entered into with financial counterparties or through the purchase of credit sensitive securities in our investment portfolio. </w:t>
      </w:r>
    </w:p>
    <w:p w:rsidR="00000000" w:rsidRDefault="0094004B">
      <w:pPr>
        <w:jc w:val="both"/>
        <w:divId w:val="1807353872"/>
        <w:rPr>
          <w:rFonts w:eastAsia="Times New Roman"/>
        </w:rPr>
      </w:pPr>
      <w:r>
        <w:rPr>
          <w:rFonts w:eastAsia="Times New Roman"/>
          <w:color w:val="000000"/>
          <w:sz w:val="20"/>
          <w:szCs w:val="20"/>
        </w:rPr>
        <w:t>Our credit policies establish standards in five areas: c</w:t>
      </w:r>
      <w:r>
        <w:rPr>
          <w:rFonts w:eastAsia="Times New Roman"/>
          <w:color w:val="000000"/>
          <w:sz w:val="20"/>
          <w:szCs w:val="20"/>
        </w:rPr>
        <w:t>ustomer selection, underwriting, monitoring, remediation and portfolio management. The standards in each area provide a framework comprising specific objectives and control processes. These standards are supported by detailed policies and procedures for ea</w:t>
      </w:r>
      <w:r>
        <w:rPr>
          <w:rFonts w:eastAsia="Times New Roman"/>
          <w:color w:val="000000"/>
          <w:sz w:val="20"/>
          <w:szCs w:val="20"/>
        </w:rPr>
        <w:t>ch component of the credit process. Starting with customer selection, our goal is to generally provide credit on terms that generate above hurdle returns. We use a number of quantitative and qualitative factors to manage credit risk, including setting cred</w:t>
      </w:r>
      <w:r>
        <w:rPr>
          <w:rFonts w:eastAsia="Times New Roman"/>
          <w:color w:val="000000"/>
          <w:sz w:val="20"/>
          <w:szCs w:val="20"/>
        </w:rPr>
        <w:t xml:space="preserve">it risk limits and guidelines for each of our lines of business. We monitor performance relative to these guidelines and report results and any required mitigating actions to appropriate senior management committees and our Board of Directors. </w:t>
      </w:r>
    </w:p>
    <w:p w:rsidR="00000000" w:rsidRDefault="0094004B">
      <w:pPr>
        <w:jc w:val="both"/>
        <w:divId w:val="1278877315"/>
        <w:rPr>
          <w:rFonts w:eastAsia="Times New Roman"/>
        </w:rPr>
      </w:pPr>
      <w:r>
        <w:rPr>
          <w:rFonts w:eastAsia="Times New Roman"/>
          <w:b/>
          <w:bCs/>
          <w:i/>
          <w:iCs/>
          <w:color w:val="000000"/>
          <w:sz w:val="20"/>
          <w:szCs w:val="20"/>
        </w:rPr>
        <w:t>Liquidity R</w:t>
      </w:r>
      <w:r>
        <w:rPr>
          <w:rFonts w:eastAsia="Times New Roman"/>
          <w:b/>
          <w:bCs/>
          <w:i/>
          <w:iCs/>
          <w:color w:val="000000"/>
          <w:sz w:val="20"/>
          <w:szCs w:val="20"/>
        </w:rPr>
        <w:t>isk Management</w:t>
      </w:r>
    </w:p>
    <w:p w:rsidR="00000000" w:rsidRDefault="0094004B">
      <w:pPr>
        <w:jc w:val="both"/>
        <w:divId w:val="219171615"/>
        <w:rPr>
          <w:rFonts w:eastAsia="Times New Roman"/>
        </w:rPr>
      </w:pPr>
      <w:r>
        <w:rPr>
          <w:rFonts w:eastAsia="Times New Roman"/>
          <w:color w:val="000000"/>
          <w:sz w:val="20"/>
          <w:szCs w:val="20"/>
        </w:rPr>
        <w:t>We manage liquidity risk by applying our Liquidity Adequacy Framework (the “Liquidity Framework”). The Liquidity Framework uses internal and regulatory stress testing and the evaluation of other balance sheet metrics to confirm that we maint</w:t>
      </w:r>
      <w:r>
        <w:rPr>
          <w:rFonts w:eastAsia="Times New Roman"/>
          <w:color w:val="000000"/>
          <w:sz w:val="20"/>
          <w:szCs w:val="20"/>
        </w:rPr>
        <w:t xml:space="preserve">ain a fortified balance sheet that is resilient to uncertainties that may arise as a consequence of systemic, idiosyncratic, or combined liquidity events. We continuously monitor market and economic conditions to evaluate emerging stress conditions and to </w:t>
      </w:r>
      <w:r>
        <w:rPr>
          <w:rFonts w:eastAsia="Times New Roman"/>
          <w:color w:val="000000"/>
          <w:sz w:val="20"/>
          <w:szCs w:val="20"/>
        </w:rPr>
        <w:t>develop appropriate action plans in accordance with our Contingency Funding Plan and our Recovery Plan, which include the Company’s policies, procedures and action plans for managing liquidity stress events. The Liquidity Framework enables us to manage our</w:t>
      </w:r>
      <w:r>
        <w:rPr>
          <w:rFonts w:eastAsia="Times New Roman"/>
          <w:color w:val="000000"/>
          <w:sz w:val="20"/>
          <w:szCs w:val="20"/>
        </w:rPr>
        <w:t xml:space="preserve"> liquidity risk in accordance with regulatory requirements.</w:t>
      </w:r>
    </w:p>
    <w:p w:rsidR="00000000" w:rsidRDefault="0094004B">
      <w:pPr>
        <w:jc w:val="both"/>
        <w:divId w:val="2125924776"/>
        <w:rPr>
          <w:rFonts w:eastAsia="Times New Roman"/>
        </w:rPr>
      </w:pPr>
      <w:r>
        <w:rPr>
          <w:rFonts w:eastAsia="Times New Roman"/>
          <w:color w:val="000000"/>
          <w:sz w:val="20"/>
          <w:szCs w:val="20"/>
        </w:rPr>
        <w:t>Additionally, the Liquidity Framework establishes governing principles that apply to the management of liquidity risk. We use these principles to monitor, measure and report liquidity risk; to dev</w:t>
      </w:r>
      <w:r>
        <w:rPr>
          <w:rFonts w:eastAsia="Times New Roman"/>
          <w:color w:val="000000"/>
          <w:sz w:val="20"/>
          <w:szCs w:val="20"/>
        </w:rPr>
        <w:t>elop funding and investment strategies that enable us to maintain an adequate level of liquidity to support our businesses and satisfy regulatory requirements; and to protect us from a broad range of liquidity events should they arise.</w:t>
      </w:r>
    </w:p>
    <w:p w:rsidR="00000000" w:rsidRDefault="0094004B">
      <w:pPr>
        <w:jc w:val="both"/>
        <w:divId w:val="2035568906"/>
        <w:rPr>
          <w:rFonts w:eastAsia="Times New Roman"/>
        </w:rPr>
      </w:pPr>
      <w:r>
        <w:rPr>
          <w:rFonts w:eastAsia="Times New Roman"/>
          <w:color w:val="000000"/>
          <w:sz w:val="20"/>
          <w:szCs w:val="20"/>
        </w:rPr>
        <w:t>The Chief Risk Offic</w:t>
      </w:r>
      <w:r>
        <w:rPr>
          <w:rFonts w:eastAsia="Times New Roman"/>
          <w:color w:val="000000"/>
          <w:sz w:val="20"/>
          <w:szCs w:val="20"/>
        </w:rPr>
        <w:t>er, in conjunction with the Chief Market and Liquidity Risk Officer, is responsible for the establishment of liquidity risk management policies and standards for governance and monitoring of liquidity risk at a corporate level. We assess liquidity strength</w:t>
      </w:r>
      <w:r>
        <w:rPr>
          <w:rFonts w:eastAsia="Times New Roman"/>
          <w:color w:val="000000"/>
          <w:sz w:val="20"/>
          <w:szCs w:val="20"/>
        </w:rPr>
        <w:t xml:space="preserve"> by evaluating several different balance sheet metrics under severe stress scenarios to ensure we can withstand significant funding degradation through idiosyncratic, systemic and combined liquidity stress scenarios. Management reports liquidity metrics to</w:t>
      </w:r>
      <w:r>
        <w:rPr>
          <w:rFonts w:eastAsia="Times New Roman"/>
          <w:color w:val="000000"/>
          <w:sz w:val="20"/>
          <w:szCs w:val="20"/>
        </w:rPr>
        <w:t xml:space="preserve"> appropriate senior management committees and to our Board of Directors no less than quarterly. </w:t>
      </w:r>
    </w:p>
    <w:p w:rsidR="00000000" w:rsidRDefault="0094004B">
      <w:pPr>
        <w:jc w:val="both"/>
        <w:divId w:val="167716236"/>
        <w:rPr>
          <w:rFonts w:eastAsia="Times New Roman"/>
        </w:rPr>
      </w:pPr>
      <w:r>
        <w:rPr>
          <w:rFonts w:eastAsia="Times New Roman"/>
          <w:color w:val="000000"/>
          <w:sz w:val="20"/>
          <w:szCs w:val="20"/>
        </w:rPr>
        <w:t>We seek to mitigate liquidity risk strategically and tactically. From a strategic perspective, we have acquired and built deposit gathering businesses and actively monitor our funding concentration. From a tactical perspective, we have accumulated a sizabl</w:t>
      </w:r>
      <w:r>
        <w:rPr>
          <w:rFonts w:eastAsia="Times New Roman"/>
          <w:color w:val="000000"/>
          <w:sz w:val="20"/>
          <w:szCs w:val="20"/>
        </w:rPr>
        <w:t xml:space="preserve">e liquidity reserve comprised of cash and cash equivalents, high-quality, unencumbered securities and committed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58424706"/>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58424706"/>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58424706"/>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79</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05" style="width:0;height:1.5pt" o:hralign="center" o:hrstd="t" o:hr="t" fillcolor="#a0a0a0" stroked="f"/>
        </w:pict>
      </w:r>
    </w:p>
    <w:p w:rsidR="00000000" w:rsidRDefault="0094004B">
      <w:pPr>
        <w:ind w:hanging="360"/>
        <w:jc w:val="both"/>
        <w:divId w:val="1624847965"/>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both"/>
        <w:divId w:val="1914898906"/>
        <w:rPr>
          <w:rFonts w:eastAsia="Times New Roman"/>
        </w:rPr>
      </w:pPr>
      <w:r>
        <w:rPr>
          <w:rFonts w:eastAsia="Times New Roman"/>
          <w:color w:val="000000"/>
          <w:sz w:val="20"/>
          <w:szCs w:val="20"/>
        </w:rPr>
        <w:t>collateralized credit lines. We also continue to maintain access to secured and unsecured debt markets through regular issuance. This combinati</w:t>
      </w:r>
      <w:r>
        <w:rPr>
          <w:rFonts w:eastAsia="Times New Roman"/>
          <w:color w:val="000000"/>
          <w:sz w:val="20"/>
          <w:szCs w:val="20"/>
        </w:rPr>
        <w:t>on of stable and diversified funding sources and our stockpile of liquidity reserves enable us to maintain confidence in our liquidity position.</w:t>
      </w:r>
    </w:p>
    <w:p w:rsidR="00000000" w:rsidRDefault="0094004B">
      <w:pPr>
        <w:jc w:val="both"/>
        <w:divId w:val="2030371998"/>
        <w:rPr>
          <w:rFonts w:eastAsia="Times New Roman"/>
        </w:rPr>
      </w:pPr>
      <w:r>
        <w:rPr>
          <w:rFonts w:eastAsia="Times New Roman"/>
          <w:b/>
          <w:bCs/>
          <w:i/>
          <w:iCs/>
          <w:color w:val="000000"/>
          <w:sz w:val="20"/>
          <w:szCs w:val="20"/>
        </w:rPr>
        <w:t>Market Risk Management</w:t>
      </w:r>
    </w:p>
    <w:p w:rsidR="00000000" w:rsidRDefault="0094004B">
      <w:pPr>
        <w:jc w:val="both"/>
        <w:divId w:val="1003700891"/>
        <w:rPr>
          <w:rFonts w:eastAsia="Times New Roman"/>
        </w:rPr>
      </w:pPr>
      <w:r>
        <w:rPr>
          <w:rFonts w:eastAsia="Times New Roman"/>
          <w:color w:val="000000"/>
          <w:sz w:val="20"/>
          <w:szCs w:val="20"/>
        </w:rPr>
        <w:t>The Chief Financial Officer and the Chief Risk Officer are responsible for the establish</w:t>
      </w:r>
      <w:r>
        <w:rPr>
          <w:rFonts w:eastAsia="Times New Roman"/>
          <w:color w:val="000000"/>
          <w:sz w:val="20"/>
          <w:szCs w:val="20"/>
        </w:rPr>
        <w:t>ment of market risk management policies and standards for the governance and monitoring of market risk at a corporate level. Market risk is inherent from the financial instruments associated with our business operations and activities including loans, depo</w:t>
      </w:r>
      <w:r>
        <w:rPr>
          <w:rFonts w:eastAsia="Times New Roman"/>
          <w:color w:val="000000"/>
          <w:sz w:val="20"/>
          <w:szCs w:val="20"/>
        </w:rPr>
        <w:t xml:space="preserve">sits, securities, short-term borrowings, long-term debt and derivatives. We manage market risk exposure, which is principally driven by balance sheet interest rate risk, centrally and establish quantitative risk limits to monitor and control our exposure. </w:t>
      </w:r>
    </w:p>
    <w:p w:rsidR="00000000" w:rsidRDefault="0094004B">
      <w:pPr>
        <w:jc w:val="both"/>
        <w:divId w:val="1078360259"/>
        <w:rPr>
          <w:rFonts w:eastAsia="Times New Roman"/>
        </w:rPr>
      </w:pPr>
      <w:r>
        <w:rPr>
          <w:rFonts w:eastAsia="Times New Roman"/>
          <w:color w:val="000000"/>
          <w:sz w:val="20"/>
          <w:szCs w:val="20"/>
        </w:rPr>
        <w:t>We recognize that interest rate and foreign exchange risk is present in our business due to the nature of our assets and liabilities. In addition to using industry accepted techniques to analyze and measure interest rate and foreign exchange risk, we perf</w:t>
      </w:r>
      <w:r>
        <w:rPr>
          <w:rFonts w:eastAsia="Times New Roman"/>
          <w:color w:val="000000"/>
          <w:sz w:val="20"/>
          <w:szCs w:val="20"/>
        </w:rPr>
        <w:t>orm sensitivity analysis to identify our risk exposures under a broad range of scenarios. Investment securities and derivatives are the main levers for the management of interest rate risk. In addition, we also use derivatives to manage our foreign exchang</w:t>
      </w:r>
      <w:r>
        <w:rPr>
          <w:rFonts w:eastAsia="Times New Roman"/>
          <w:color w:val="000000"/>
          <w:sz w:val="20"/>
          <w:szCs w:val="20"/>
        </w:rPr>
        <w:t>e risk.</w:t>
      </w:r>
    </w:p>
    <w:p w:rsidR="00000000" w:rsidRDefault="0094004B">
      <w:pPr>
        <w:jc w:val="both"/>
        <w:divId w:val="115947861"/>
        <w:rPr>
          <w:rFonts w:eastAsia="Times New Roman"/>
        </w:rPr>
      </w:pPr>
      <w:r>
        <w:rPr>
          <w:rFonts w:eastAsia="Times New Roman"/>
          <w:color w:val="000000"/>
          <w:sz w:val="20"/>
          <w:szCs w:val="20"/>
        </w:rPr>
        <w:t xml:space="preserve">The market risk positions for the Company and the Bank are calculated separately and in aggregate, and analyzed against pre-established limits. Results are reported to the Asset Liability Committee monthly and to the Risk Committee of the Board of </w:t>
      </w:r>
      <w:r>
        <w:rPr>
          <w:rFonts w:eastAsia="Times New Roman"/>
          <w:color w:val="000000"/>
          <w:sz w:val="20"/>
          <w:szCs w:val="20"/>
        </w:rPr>
        <w:t>Directors no less than quarterly. Management is authorized to utilize financial instruments as outlined in our policy to actively manage market risk exposure.</w:t>
      </w:r>
    </w:p>
    <w:p w:rsidR="00000000" w:rsidRDefault="0094004B">
      <w:pPr>
        <w:jc w:val="both"/>
        <w:divId w:val="313414850"/>
        <w:rPr>
          <w:rFonts w:eastAsia="Times New Roman"/>
        </w:rPr>
      </w:pPr>
      <w:r>
        <w:rPr>
          <w:rFonts w:eastAsia="Times New Roman"/>
          <w:b/>
          <w:bCs/>
          <w:i/>
          <w:iCs/>
          <w:color w:val="000000"/>
          <w:sz w:val="20"/>
          <w:szCs w:val="20"/>
        </w:rPr>
        <w:t>Operational Risk Management</w:t>
      </w:r>
    </w:p>
    <w:p w:rsidR="00000000" w:rsidRDefault="0094004B">
      <w:pPr>
        <w:jc w:val="both"/>
        <w:divId w:val="1017999289"/>
        <w:rPr>
          <w:rFonts w:eastAsia="Times New Roman"/>
        </w:rPr>
      </w:pPr>
      <w:r>
        <w:rPr>
          <w:rFonts w:eastAsia="Times New Roman"/>
          <w:color w:val="000000"/>
          <w:sz w:val="20"/>
          <w:szCs w:val="20"/>
        </w:rPr>
        <w:t>We recognize the criticality of managing operational risk on both a s</w:t>
      </w:r>
      <w:r>
        <w:rPr>
          <w:rFonts w:eastAsia="Times New Roman"/>
          <w:color w:val="000000"/>
          <w:sz w:val="20"/>
          <w:szCs w:val="20"/>
        </w:rPr>
        <w:t>trategic and day-to-day basis and that there are heightened expectations from our regulators and our customers. We have implemented appropriate operational risk management policies, standards, processes and controls to enable the delivery of high quality a</w:t>
      </w:r>
      <w:r>
        <w:rPr>
          <w:rFonts w:eastAsia="Times New Roman"/>
          <w:color w:val="000000"/>
          <w:sz w:val="20"/>
          <w:szCs w:val="20"/>
        </w:rPr>
        <w:t>nd consistent customer experiences and to achieve business objectives in a controlled manner.</w:t>
      </w:r>
    </w:p>
    <w:p w:rsidR="00000000" w:rsidRDefault="0094004B">
      <w:pPr>
        <w:jc w:val="both"/>
        <w:divId w:val="1138297969"/>
        <w:rPr>
          <w:rFonts w:eastAsia="Times New Roman"/>
        </w:rPr>
      </w:pPr>
      <w:r>
        <w:rPr>
          <w:rFonts w:eastAsia="Times New Roman"/>
          <w:color w:val="000000"/>
          <w:sz w:val="20"/>
          <w:szCs w:val="20"/>
        </w:rPr>
        <w:t>The Chief Operational Risk Officer is responsible for establishing and overseeing our Operational Risk Management Program. The program establishes practices for a</w:t>
      </w:r>
      <w:r>
        <w:rPr>
          <w:rFonts w:eastAsia="Times New Roman"/>
          <w:color w:val="000000"/>
          <w:sz w:val="20"/>
          <w:szCs w:val="20"/>
        </w:rPr>
        <w:t>ssessing the operational risk profile and executing key control processes for operational risks. These risks include topics such as internal and external fraud, cyber and technology risk, data management, model risk, third party management, and business co</w:t>
      </w:r>
      <w:r>
        <w:rPr>
          <w:rFonts w:eastAsia="Times New Roman"/>
          <w:color w:val="000000"/>
          <w:sz w:val="20"/>
          <w:szCs w:val="20"/>
        </w:rPr>
        <w:t>ntinuity. Operational Risk Management enforces these practices and delivers reporting of operational risk results to senior business leaders, the executive committee and the Board of Directors.</w:t>
      </w:r>
    </w:p>
    <w:p w:rsidR="00000000" w:rsidRDefault="0094004B">
      <w:pPr>
        <w:jc w:val="both"/>
        <w:divId w:val="1203788345"/>
        <w:rPr>
          <w:rFonts w:eastAsia="Times New Roman"/>
        </w:rPr>
      </w:pPr>
      <w:r>
        <w:rPr>
          <w:rFonts w:eastAsia="Times New Roman"/>
          <w:b/>
          <w:bCs/>
          <w:i/>
          <w:iCs/>
          <w:color w:val="000000"/>
          <w:sz w:val="20"/>
          <w:szCs w:val="20"/>
        </w:rPr>
        <w:t>Reputation Risk Management</w:t>
      </w:r>
    </w:p>
    <w:p w:rsidR="00000000" w:rsidRDefault="0094004B">
      <w:pPr>
        <w:jc w:val="both"/>
        <w:divId w:val="1557817383"/>
        <w:rPr>
          <w:rFonts w:eastAsia="Times New Roman"/>
        </w:rPr>
      </w:pPr>
      <w:r>
        <w:rPr>
          <w:rFonts w:eastAsia="Times New Roman"/>
          <w:color w:val="000000"/>
          <w:sz w:val="20"/>
          <w:szCs w:val="20"/>
        </w:rPr>
        <w:t>We recognize that reputation risk i</w:t>
      </w:r>
      <w:r>
        <w:rPr>
          <w:rFonts w:eastAsia="Times New Roman"/>
          <w:color w:val="000000"/>
          <w:sz w:val="20"/>
          <w:szCs w:val="20"/>
        </w:rPr>
        <w:t>s of particular concern for financial institutions and, increasingly, technology companies, in the current environment. Areas of concern have expanded to include company policies, practices and values and, with the growing use of social and digital platfor</w:t>
      </w:r>
      <w:r>
        <w:rPr>
          <w:rFonts w:eastAsia="Times New Roman"/>
          <w:color w:val="000000"/>
          <w:sz w:val="20"/>
          <w:szCs w:val="20"/>
        </w:rPr>
        <w:t>ms, public corporations face a new level of scrutiny and channels for activism and advocacy. The heightened expectations of internal and external stakeholders have made corporate culture, values and conduct pressure points for individuals and advocates voi</w:t>
      </w:r>
      <w:r>
        <w:rPr>
          <w:rFonts w:eastAsia="Times New Roman"/>
          <w:color w:val="000000"/>
          <w:sz w:val="20"/>
          <w:szCs w:val="20"/>
        </w:rPr>
        <w:t>cing concerns or seeking change. We manage both strategic and tactical reputation issues and build our relationships with government officials, media, community and consumer advocates, customers and other constituencies to help strengthen the reputations o</w:t>
      </w:r>
      <w:r>
        <w:rPr>
          <w:rFonts w:eastAsia="Times New Roman"/>
          <w:color w:val="000000"/>
          <w:sz w:val="20"/>
          <w:szCs w:val="20"/>
        </w:rPr>
        <w:t>f both our Company and industry. Our actions include implementing pro-customer practices in our business and serving low to moderate income communities in our market area consistent with a quality bank and an innovative technology leader. The Executive Vic</w:t>
      </w:r>
      <w:r>
        <w:rPr>
          <w:rFonts w:eastAsia="Times New Roman"/>
          <w:color w:val="000000"/>
          <w:sz w:val="20"/>
          <w:szCs w:val="20"/>
        </w:rPr>
        <w:t>e President of External Affairs is responsible for managing our overall reputation risk program. Day-to-day activities are controlled by the frameworks set forth in our Reputation Risk Management Policy and other risk management policies.</w:t>
      </w:r>
    </w:p>
    <w:p w:rsidR="00000000" w:rsidRDefault="0094004B">
      <w:pPr>
        <w:jc w:val="both"/>
        <w:divId w:val="906452232"/>
        <w:rPr>
          <w:rFonts w:eastAsia="Times New Roman"/>
        </w:rPr>
      </w:pPr>
      <w:r>
        <w:rPr>
          <w:rFonts w:eastAsia="Times New Roman"/>
          <w:b/>
          <w:bCs/>
          <w:i/>
          <w:iCs/>
          <w:color w:val="000000"/>
          <w:sz w:val="20"/>
          <w:szCs w:val="20"/>
        </w:rPr>
        <w:t>Strategic Risk Ma</w:t>
      </w:r>
      <w:r>
        <w:rPr>
          <w:rFonts w:eastAsia="Times New Roman"/>
          <w:b/>
          <w:bCs/>
          <w:i/>
          <w:iCs/>
          <w:color w:val="000000"/>
          <w:sz w:val="20"/>
          <w:szCs w:val="20"/>
        </w:rPr>
        <w:t>nagement</w:t>
      </w:r>
    </w:p>
    <w:p w:rsidR="00000000" w:rsidRDefault="0094004B">
      <w:pPr>
        <w:jc w:val="both"/>
        <w:divId w:val="726955505"/>
        <w:rPr>
          <w:rFonts w:eastAsia="Times New Roman"/>
        </w:rPr>
      </w:pPr>
      <w:r>
        <w:rPr>
          <w:rFonts w:eastAsia="Times New Roman"/>
          <w:color w:val="000000"/>
          <w:sz w:val="20"/>
          <w:szCs w:val="20"/>
        </w:rPr>
        <w:t>We monitor external market and industry developments to identify potential areas of strategic opportunity or risk. These inform the Company’s strategy, which is led by the Chief Executive Officer and other senior executives. The Chief Risk Officer</w:t>
      </w:r>
      <w:r>
        <w:rPr>
          <w:rFonts w:eastAsia="Times New Roman"/>
          <w:color w:val="000000"/>
          <w:sz w:val="20"/>
          <w:szCs w:val="20"/>
        </w:rPr>
        <w:t xml:space="preserve"> identifies and assesses risks associated with the Company’s strategy across all risk categories and monitors these risks throughout the year.</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692149375"/>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692149375"/>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692149375"/>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80</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06" style="width:0;height:1.5pt" o:hralign="center" o:hrstd="t" o:hr="t" fillcolor="#a0a0a0" stroked="f"/>
        </w:pict>
      </w:r>
    </w:p>
    <w:p w:rsidR="00000000" w:rsidRDefault="0094004B">
      <w:pPr>
        <w:ind w:hanging="360"/>
        <w:jc w:val="both"/>
        <w:divId w:val="1354304937"/>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both"/>
        <w:divId w:val="2051881101"/>
        <w:rPr>
          <w:rFonts w:eastAsia="Times New Roman"/>
        </w:rPr>
      </w:pPr>
      <w:r>
        <w:rPr>
          <w:rFonts w:eastAsia="Times New Roman"/>
          <w:color w:val="000000"/>
          <w:sz w:val="20"/>
          <w:szCs w:val="20"/>
        </w:rPr>
        <w:t xml:space="preserve">Our Strategic Risk Management Policy, processes and controls encompass an ongoing assessment of risks associated with corporate or line of business specific strategies. These risks are managed through periodic reviews, along with regular updates to senior </w:t>
      </w:r>
      <w:r>
        <w:rPr>
          <w:rFonts w:eastAsia="Times New Roman"/>
          <w:color w:val="000000"/>
          <w:sz w:val="20"/>
          <w:szCs w:val="20"/>
        </w:rPr>
        <w:t>management and the Board.</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916983356"/>
        </w:trPr>
        <w:tc>
          <w:tcPr>
            <w:tcW w:w="50" w:type="pct"/>
            <w:vAlign w:val="center"/>
            <w:hideMark/>
          </w:tcPr>
          <w:p w:rsidR="00000000" w:rsidRDefault="0094004B">
            <w:pPr>
              <w:jc w:val="both"/>
              <w:rPr>
                <w:rFonts w:eastAsia="Times New Roman"/>
              </w:rPr>
            </w:pPr>
          </w:p>
        </w:tc>
        <w:tc>
          <w:tcPr>
            <w:tcW w:w="494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916983356"/>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20"/>
                <w:szCs w:val="20"/>
              </w:rPr>
              <w:t>CREDIT RISK PROFILE</w:t>
            </w:r>
          </w:p>
        </w:tc>
      </w:tr>
    </w:tbl>
    <w:p w:rsidR="00000000" w:rsidRDefault="0094004B">
      <w:pPr>
        <w:jc w:val="both"/>
        <w:divId w:val="469178181"/>
        <w:rPr>
          <w:rFonts w:eastAsia="Times New Roman"/>
        </w:rPr>
      </w:pPr>
      <w:r>
        <w:rPr>
          <w:rFonts w:eastAsia="Times New Roman"/>
          <w:color w:val="000000"/>
          <w:sz w:val="20"/>
          <w:szCs w:val="20"/>
        </w:rPr>
        <w:t>Our loan portfolio accounts for the substantial majority of our credit risk exposure. Our lending activities are governed under our credit policy and are subject to independent review and approval. Belo</w:t>
      </w:r>
      <w:r>
        <w:rPr>
          <w:rFonts w:eastAsia="Times New Roman"/>
          <w:color w:val="000000"/>
          <w:sz w:val="20"/>
          <w:szCs w:val="20"/>
        </w:rPr>
        <w:t>w we provide information about the composition of our loan portfolio, key concentrations and credit performance metrics.</w:t>
      </w:r>
    </w:p>
    <w:p w:rsidR="00000000" w:rsidRDefault="0094004B">
      <w:pPr>
        <w:jc w:val="both"/>
        <w:divId w:val="944769073"/>
        <w:rPr>
          <w:rFonts w:eastAsia="Times New Roman"/>
        </w:rPr>
      </w:pPr>
      <w:r>
        <w:rPr>
          <w:rFonts w:eastAsia="Times New Roman"/>
          <w:color w:val="000000"/>
          <w:sz w:val="20"/>
          <w:szCs w:val="20"/>
        </w:rPr>
        <w:t>We also engage in certain non-lending activities that may give rise to ongoing credit and counterparty settlement risk, including purch</w:t>
      </w:r>
      <w:r>
        <w:rPr>
          <w:rFonts w:eastAsia="Times New Roman"/>
          <w:color w:val="000000"/>
          <w:sz w:val="20"/>
          <w:szCs w:val="20"/>
        </w:rPr>
        <w:t>asing securities for our investment securities portfolio, entering into derivative transactions to manage our market risk exposure and to accommodate customers, extending short-term advances on syndication activity including bridge financing transactions w</w:t>
      </w:r>
      <w:r>
        <w:rPr>
          <w:rFonts w:eastAsia="Times New Roman"/>
          <w:color w:val="000000"/>
          <w:sz w:val="20"/>
          <w:szCs w:val="20"/>
        </w:rPr>
        <w:t>e have underwritten, depositing certain operational cash balances in other financial institutions, executing certain foreign exchange transactions and extending customer overdrafts. We provide additional information related to our investment securities por</w:t>
      </w:r>
      <w:r>
        <w:rPr>
          <w:rFonts w:eastAsia="Times New Roman"/>
          <w:color w:val="000000"/>
          <w:sz w:val="20"/>
          <w:szCs w:val="20"/>
        </w:rPr>
        <w:t>tfolio under “Consolidated Balance Sheets Analysis—Investment Securities” and “Part II—Item 8. Financial Statements and Supplementary Data—Note 2—Investment Securities” as well as credit risk related to derivative transactions in “Part II—Item 8. Financial</w:t>
      </w:r>
      <w:r>
        <w:rPr>
          <w:rFonts w:eastAsia="Times New Roman"/>
          <w:color w:val="000000"/>
          <w:sz w:val="20"/>
          <w:szCs w:val="20"/>
        </w:rPr>
        <w:t xml:space="preserve"> Statements and Supplementary Data—Note 9—Derivative Instruments and Hedging Activities.”</w:t>
      </w:r>
    </w:p>
    <w:p w:rsidR="00000000" w:rsidRDefault="0094004B">
      <w:pPr>
        <w:divId w:val="996954354"/>
        <w:rPr>
          <w:rFonts w:eastAsia="Times New Roman"/>
        </w:rPr>
      </w:pPr>
      <w:r>
        <w:rPr>
          <w:rFonts w:eastAsia="Times New Roman"/>
          <w:b/>
          <w:bCs/>
          <w:color w:val="000000"/>
          <w:sz w:val="20"/>
          <w:szCs w:val="20"/>
        </w:rPr>
        <w:t xml:space="preserve">Primary Loan Products </w:t>
      </w:r>
    </w:p>
    <w:p w:rsidR="00000000" w:rsidRDefault="0094004B">
      <w:pPr>
        <w:jc w:val="both"/>
        <w:divId w:val="1640723163"/>
        <w:rPr>
          <w:rFonts w:eastAsia="Times New Roman"/>
        </w:rPr>
      </w:pPr>
      <w:r>
        <w:rPr>
          <w:rFonts w:eastAsia="Times New Roman"/>
          <w:color w:val="000000"/>
          <w:sz w:val="20"/>
          <w:szCs w:val="20"/>
        </w:rPr>
        <w:t xml:space="preserve">We provide a variety of lending products. Our primary loan products include credit cards, auto loans and commercial lending products. </w:t>
      </w:r>
    </w:p>
    <w:p w:rsidR="00000000" w:rsidRDefault="0094004B">
      <w:pPr>
        <w:ind w:hanging="360"/>
        <w:jc w:val="both"/>
        <w:divId w:val="1486362366"/>
        <w:rPr>
          <w:rFonts w:eastAsia="Times New Roman"/>
        </w:rPr>
      </w:pPr>
      <w:r>
        <w:rPr>
          <w:rFonts w:eastAsia="Times New Roman"/>
          <w:color w:val="000000"/>
          <w:sz w:val="20"/>
          <w:szCs w:val="20"/>
        </w:rPr>
        <w:t>•</w:t>
      </w:r>
      <w:r>
        <w:rPr>
          <w:rFonts w:eastAsia="Times New Roman"/>
          <w:i/>
          <w:iCs/>
          <w:color w:val="000000"/>
          <w:sz w:val="20"/>
          <w:szCs w:val="20"/>
        </w:rPr>
        <w:t>Credit cards:</w:t>
      </w:r>
      <w:r>
        <w:rPr>
          <w:rFonts w:eastAsia="Times New Roman"/>
          <w:color w:val="000000"/>
          <w:sz w:val="20"/>
          <w:szCs w:val="20"/>
        </w:rPr>
        <w:t xml:space="preserve"> We originate both prime and subprime credit cards through a variety of channels. Our credit cards generall</w:t>
      </w:r>
      <w:r>
        <w:rPr>
          <w:rFonts w:eastAsia="Times New Roman"/>
          <w:color w:val="000000"/>
          <w:sz w:val="20"/>
          <w:szCs w:val="20"/>
        </w:rPr>
        <w:t xml:space="preserve">y have variable interest rates. Credit card accounts are primarily underwritten using an automated underwriting system based on predictive models that we have developed. The underwriting criteria, which are customized for individual products and marketing </w:t>
      </w:r>
      <w:r>
        <w:rPr>
          <w:rFonts w:eastAsia="Times New Roman"/>
          <w:color w:val="000000"/>
          <w:sz w:val="20"/>
          <w:szCs w:val="20"/>
        </w:rPr>
        <w:t>programs, are established based on an analysis of the net present value of expected revenues, expenses and losses, subject to further analysis using a variety of stress conditions. Underwriting decisions are generally based on credit bureau information, in</w:t>
      </w:r>
      <w:r>
        <w:rPr>
          <w:rFonts w:eastAsia="Times New Roman"/>
          <w:color w:val="000000"/>
          <w:sz w:val="20"/>
          <w:szCs w:val="20"/>
        </w:rPr>
        <w:t>cluding payment history, debt burden and credit scores, such as FICO scores, and on other factors, such as applicant income. We maintain a credit card securitization program and selectively sell charged-off credit card loans.</w:t>
      </w:r>
    </w:p>
    <w:p w:rsidR="00000000" w:rsidRDefault="0094004B">
      <w:pPr>
        <w:ind w:hanging="360"/>
        <w:jc w:val="both"/>
        <w:divId w:val="259265498"/>
        <w:rPr>
          <w:rFonts w:eastAsia="Times New Roman"/>
        </w:rPr>
      </w:pPr>
      <w:r>
        <w:rPr>
          <w:rFonts w:eastAsia="Times New Roman"/>
          <w:color w:val="000000"/>
          <w:sz w:val="20"/>
          <w:szCs w:val="20"/>
        </w:rPr>
        <w:t>•</w:t>
      </w:r>
      <w:r>
        <w:rPr>
          <w:rFonts w:eastAsia="Times New Roman"/>
          <w:i/>
          <w:iCs/>
          <w:color w:val="000000"/>
          <w:sz w:val="20"/>
          <w:szCs w:val="20"/>
        </w:rPr>
        <w:t>Auto:</w:t>
      </w:r>
      <w:r>
        <w:rPr>
          <w:rFonts w:eastAsia="Times New Roman"/>
          <w:color w:val="000000"/>
          <w:sz w:val="20"/>
          <w:szCs w:val="20"/>
        </w:rPr>
        <w:t xml:space="preserve"> We originate both prime</w:t>
      </w:r>
      <w:r>
        <w:rPr>
          <w:rFonts w:eastAsia="Times New Roman"/>
          <w:color w:val="000000"/>
          <w:sz w:val="20"/>
          <w:szCs w:val="20"/>
        </w:rPr>
        <w:t xml:space="preserve"> and subprime auto loans through a network of auto dealers and direct marketing. Our auto loans generally have fixed interest rates and loan terms of 75 months or less, but can go up to 84 months. Loan size limits are customized by program and are generall</w:t>
      </w:r>
      <w:r>
        <w:rPr>
          <w:rFonts w:eastAsia="Times New Roman"/>
          <w:color w:val="000000"/>
          <w:sz w:val="20"/>
          <w:szCs w:val="20"/>
        </w:rPr>
        <w:t>y less than $75,000. Similar to credit card accounts, the underwriting criteria are customized for individual products and marketing programs and based on analysis of net present value of expected revenues, expenses and losses, and are subject to maintaini</w:t>
      </w:r>
      <w:r>
        <w:rPr>
          <w:rFonts w:eastAsia="Times New Roman"/>
          <w:color w:val="000000"/>
          <w:sz w:val="20"/>
          <w:szCs w:val="20"/>
        </w:rPr>
        <w:t>ng resilience under a variety of stress conditions. Underwriting decisions are generally based on an applicant’s income, estimated net disposable income, and credit bureau information including FICO scores, along with collateral characteristics such as loa</w:t>
      </w:r>
      <w:r>
        <w:rPr>
          <w:rFonts w:eastAsia="Times New Roman"/>
          <w:color w:val="000000"/>
          <w:sz w:val="20"/>
          <w:szCs w:val="20"/>
        </w:rPr>
        <w:t>n-to-value (“LTV”) ratio. We maintain an auto securitization program.</w:t>
      </w:r>
    </w:p>
    <w:p w:rsidR="00000000" w:rsidRDefault="0094004B">
      <w:pPr>
        <w:ind w:hanging="360"/>
        <w:jc w:val="both"/>
        <w:divId w:val="534125101"/>
        <w:rPr>
          <w:rFonts w:eastAsia="Times New Roman"/>
        </w:rPr>
      </w:pPr>
      <w:r>
        <w:rPr>
          <w:rFonts w:eastAsia="Times New Roman"/>
          <w:i/>
          <w:iCs/>
          <w:color w:val="000000"/>
          <w:sz w:val="20"/>
          <w:szCs w:val="20"/>
        </w:rPr>
        <w:t>•Commercial:</w:t>
      </w:r>
      <w:r>
        <w:rPr>
          <w:rFonts w:eastAsia="Times New Roman"/>
          <w:color w:val="000000"/>
          <w:sz w:val="20"/>
          <w:szCs w:val="20"/>
        </w:rPr>
        <w:t xml:space="preserve"> We offer a range of commercial lending products, including loans secured by commercial real estate and loans to middle market commercial and industrial companies. Our commer</w:t>
      </w:r>
      <w:r>
        <w:rPr>
          <w:rFonts w:eastAsia="Times New Roman"/>
          <w:color w:val="000000"/>
          <w:sz w:val="20"/>
          <w:szCs w:val="20"/>
        </w:rPr>
        <w:t>cial loans may have a fixed or variable interest rate; however, the majority of our commercial loans have variable rates. Our underwriting standards require an analysis of the borrower’s financial condition and prospects, as well as an assessment of the in</w:t>
      </w:r>
      <w:r>
        <w:rPr>
          <w:rFonts w:eastAsia="Times New Roman"/>
          <w:color w:val="000000"/>
          <w:sz w:val="20"/>
          <w:szCs w:val="20"/>
        </w:rPr>
        <w:t>dustry in which the borrower operates. Where relevant, we evaluate and appraise underlying collateral and guarantees. We maintain underwriting guidelines and limits for major types of borrowers and loan products that specify, where applicable, guidelines f</w:t>
      </w:r>
      <w:r>
        <w:rPr>
          <w:rFonts w:eastAsia="Times New Roman"/>
          <w:color w:val="000000"/>
          <w:sz w:val="20"/>
          <w:szCs w:val="20"/>
        </w:rPr>
        <w:t>or debt service coverage, leverage, LTV ratio and standard covenants and conditions. We assign a risk rating and establish a monitoring schedule for loans based on the risk profile of the borrower, industry segment, source of repayment, the underlying coll</w:t>
      </w:r>
      <w:r>
        <w:rPr>
          <w:rFonts w:eastAsia="Times New Roman"/>
          <w:color w:val="000000"/>
          <w:sz w:val="20"/>
          <w:szCs w:val="20"/>
        </w:rPr>
        <w:t>ateral and guarantees, if any, and current market conditions. Although we generally retain the commercial loans we underwrite, we may syndicate positions for risk mitigation purposes, including bridge financing transactions we have underwritten. In additio</w:t>
      </w:r>
      <w:r>
        <w:rPr>
          <w:rFonts w:eastAsia="Times New Roman"/>
          <w:color w:val="000000"/>
          <w:sz w:val="20"/>
          <w:szCs w:val="20"/>
        </w:rPr>
        <w:t>n, we originate and service multifamily commercial real estate loans which are sold to government-sponsored enterprises.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358622982"/>
          <w:jc w:val="center"/>
        </w:trPr>
        <w:tc>
          <w:tcPr>
            <w:tcW w:w="50" w:type="pct"/>
            <w:vAlign w:val="center"/>
            <w:hideMark/>
          </w:tcPr>
          <w:p w:rsidR="00000000" w:rsidRDefault="0094004B">
            <w:pPr>
              <w:ind w:hanging="360"/>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358622982"/>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358622982"/>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81</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07" style="width:0;height:1.5pt" o:hralign="center" o:hrstd="t" o:hr="t" fillcolor="#a0a0a0" stroked="f"/>
        </w:pict>
      </w:r>
    </w:p>
    <w:p w:rsidR="00000000" w:rsidRDefault="0094004B">
      <w:pPr>
        <w:ind w:hanging="360"/>
        <w:jc w:val="both"/>
        <w:divId w:val="275216157"/>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divId w:val="1850290194"/>
        <w:rPr>
          <w:rFonts w:eastAsia="Times New Roman"/>
        </w:rPr>
      </w:pPr>
      <w:r>
        <w:rPr>
          <w:rFonts w:eastAsia="Times New Roman"/>
          <w:b/>
          <w:bCs/>
          <w:color w:val="000000"/>
          <w:sz w:val="20"/>
          <w:szCs w:val="20"/>
        </w:rPr>
        <w:t>Portfolio and Geographic Composition of Loans Held for Investment</w:t>
      </w:r>
    </w:p>
    <w:p w:rsidR="00000000" w:rsidRDefault="0094004B">
      <w:pPr>
        <w:jc w:val="both"/>
        <w:divId w:val="979386429"/>
        <w:rPr>
          <w:rFonts w:eastAsia="Times New Roman"/>
        </w:rPr>
      </w:pPr>
      <w:r>
        <w:rPr>
          <w:rFonts w:eastAsia="Times New Roman"/>
          <w:color w:val="000000"/>
          <w:sz w:val="20"/>
          <w:szCs w:val="20"/>
        </w:rPr>
        <w:t>Our loan portfolio consists of loans held for investment, including loans held in our consolidated trusts, and loans held for sale. The information presented in this section excludes loans held for sale, which totaled $203 million and $5.9 billion as of De</w:t>
      </w:r>
      <w:r>
        <w:rPr>
          <w:rFonts w:eastAsia="Times New Roman"/>
          <w:color w:val="000000"/>
          <w:sz w:val="20"/>
          <w:szCs w:val="20"/>
        </w:rPr>
        <w:t>cember 31, 2022 and 2021, respectively.</w:t>
      </w:r>
    </w:p>
    <w:p w:rsidR="00000000" w:rsidRDefault="0094004B">
      <w:pPr>
        <w:jc w:val="both"/>
        <w:divId w:val="104807498"/>
        <w:rPr>
          <w:rFonts w:eastAsia="Times New Roman"/>
        </w:rPr>
      </w:pPr>
      <w:r>
        <w:rPr>
          <w:rFonts w:eastAsia="Times New Roman"/>
          <w:color w:val="000000"/>
          <w:sz w:val="20"/>
          <w:szCs w:val="20"/>
        </w:rPr>
        <w:t xml:space="preserve">Table 15 presents the composition of our portfolio of loans held for investment by portfolio segment as of December 31, 2022 and 2021. </w:t>
      </w:r>
    </w:p>
    <w:p w:rsidR="00000000" w:rsidRDefault="0094004B">
      <w:pPr>
        <w:divId w:val="498927205"/>
        <w:rPr>
          <w:rFonts w:eastAsia="Times New Roman"/>
        </w:rPr>
      </w:pPr>
      <w:r>
        <w:rPr>
          <w:rFonts w:eastAsia="Times New Roman"/>
          <w:b/>
          <w:bCs/>
          <w:color w:val="000000"/>
          <w:sz w:val="18"/>
          <w:szCs w:val="18"/>
        </w:rPr>
        <w:t xml:space="preserve">Table 15: Portfolio Composition of Loans Held for Investment </w:t>
      </w:r>
    </w:p>
    <w:tbl>
      <w:tblPr>
        <w:tblW w:w="5000" w:type="pct"/>
        <w:tblCellMar>
          <w:top w:w="15" w:type="dxa"/>
          <w:left w:w="15" w:type="dxa"/>
          <w:bottom w:w="15" w:type="dxa"/>
          <w:right w:w="15" w:type="dxa"/>
        </w:tblCellMar>
        <w:tblLook w:val="04A0" w:firstRow="1" w:lastRow="0" w:firstColumn="1" w:lastColumn="0" w:noHBand="0" w:noVBand="1"/>
      </w:tblPr>
      <w:tblGrid>
        <w:gridCol w:w="39"/>
        <w:gridCol w:w="4758"/>
        <w:gridCol w:w="38"/>
        <w:gridCol w:w="36"/>
        <w:gridCol w:w="36"/>
        <w:gridCol w:w="36"/>
        <w:gridCol w:w="110"/>
        <w:gridCol w:w="630"/>
        <w:gridCol w:w="36"/>
        <w:gridCol w:w="36"/>
        <w:gridCol w:w="36"/>
        <w:gridCol w:w="36"/>
        <w:gridCol w:w="54"/>
        <w:gridCol w:w="479"/>
        <w:gridCol w:w="200"/>
        <w:gridCol w:w="36"/>
        <w:gridCol w:w="36"/>
        <w:gridCol w:w="36"/>
        <w:gridCol w:w="110"/>
        <w:gridCol w:w="630"/>
        <w:gridCol w:w="36"/>
        <w:gridCol w:w="36"/>
        <w:gridCol w:w="36"/>
        <w:gridCol w:w="36"/>
        <w:gridCol w:w="53"/>
        <w:gridCol w:w="495"/>
        <w:gridCol w:w="170"/>
        <w:gridCol w:w="36"/>
      </w:tblGrid>
      <w:tr w:rsidR="00000000">
        <w:trPr>
          <w:divId w:val="498927205"/>
        </w:trPr>
        <w:tc>
          <w:tcPr>
            <w:tcW w:w="50" w:type="pct"/>
            <w:vAlign w:val="center"/>
            <w:hideMark/>
          </w:tcPr>
          <w:p w:rsidR="00000000" w:rsidRDefault="0094004B">
            <w:pPr>
              <w:rPr>
                <w:rFonts w:eastAsia="Times New Roman"/>
              </w:rPr>
            </w:pPr>
          </w:p>
        </w:tc>
        <w:tc>
          <w:tcPr>
            <w:tcW w:w="2920"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1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1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1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20"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498927205"/>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December 31, 2022</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December 31, 2021</w:t>
            </w:r>
          </w:p>
        </w:tc>
        <w:tc>
          <w:tcPr>
            <w:tcW w:w="0" w:type="auto"/>
            <w:vAlign w:val="center"/>
            <w:hideMark/>
          </w:tcPr>
          <w:p w:rsidR="00000000" w:rsidRDefault="0094004B">
            <w:pPr>
              <w:spacing w:after="100"/>
              <w:jc w:val="center"/>
              <w:rPr>
                <w:rFonts w:eastAsia="Times New Roman"/>
              </w:rPr>
            </w:pPr>
          </w:p>
        </w:tc>
      </w:tr>
      <w:tr w:rsidR="00000000">
        <w:trPr>
          <w:divId w:val="498927205"/>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20"/>
                <w:szCs w:val="20"/>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Loans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 of Total</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Loans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 of Total</w:t>
            </w:r>
          </w:p>
        </w:tc>
        <w:tc>
          <w:tcPr>
            <w:tcW w:w="0" w:type="auto"/>
            <w:vAlign w:val="center"/>
            <w:hideMark/>
          </w:tcPr>
          <w:p w:rsidR="00000000" w:rsidRDefault="0094004B">
            <w:pPr>
              <w:spacing w:after="100"/>
              <w:jc w:val="center"/>
              <w:rPr>
                <w:rFonts w:eastAsia="Times New Roman"/>
              </w:rPr>
            </w:pPr>
          </w:p>
        </w:tc>
      </w:tr>
      <w:tr w:rsidR="00000000">
        <w:trPr>
          <w:divId w:val="49892720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20"/>
                <w:szCs w:val="20"/>
              </w:rPr>
              <w:t>Credit Card:</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498927205"/>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Domestic credit card</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131,581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42.1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108,723 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39.2 </w:t>
            </w:r>
          </w:p>
        </w:tc>
        <w:tc>
          <w:tcPr>
            <w:tcW w:w="0" w:type="auto"/>
            <w:shd w:val="clear" w:color="auto" w:fill="FFFFFF"/>
            <w:tcMar>
              <w:top w:w="30" w:type="dxa"/>
              <w:left w:w="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vAlign w:val="center"/>
            <w:hideMark/>
          </w:tcPr>
          <w:p w:rsidR="00000000" w:rsidRDefault="0094004B">
            <w:pPr>
              <w:spacing w:after="100"/>
              <w:rPr>
                <w:rFonts w:eastAsia="Times New Roman"/>
              </w:rPr>
            </w:pPr>
          </w:p>
        </w:tc>
      </w:tr>
      <w:tr w:rsidR="00000000">
        <w:trPr>
          <w:divId w:val="498927205"/>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International card businesses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6,149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6,049 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2.2 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vAlign w:val="center"/>
            <w:hideMark/>
          </w:tcPr>
          <w:p w:rsidR="00000000" w:rsidRDefault="0094004B">
            <w:pPr>
              <w:spacing w:after="100"/>
              <w:jc w:val="right"/>
              <w:rPr>
                <w:rFonts w:eastAsia="Times New Roman"/>
                <w:sz w:val="20"/>
                <w:szCs w:val="20"/>
              </w:rPr>
            </w:pPr>
          </w:p>
        </w:tc>
      </w:tr>
      <w:tr w:rsidR="00000000">
        <w:trPr>
          <w:divId w:val="498927205"/>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Total credit card</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137,730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44.1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114,772 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41.4 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vAlign w:val="center"/>
            <w:hideMark/>
          </w:tcPr>
          <w:p w:rsidR="00000000" w:rsidRDefault="0094004B">
            <w:pPr>
              <w:spacing w:after="100"/>
              <w:jc w:val="right"/>
              <w:rPr>
                <w:rFonts w:eastAsia="Times New Roman"/>
                <w:sz w:val="20"/>
                <w:szCs w:val="20"/>
              </w:rPr>
            </w:pPr>
          </w:p>
        </w:tc>
      </w:tr>
      <w:tr w:rsidR="00000000">
        <w:trPr>
          <w:divId w:val="498927205"/>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20"/>
                <w:szCs w:val="20"/>
              </w:rPr>
              <w:t>Consumer Banking:</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498927205"/>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Auto</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78,373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25.1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75,779 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27.3 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vAlign w:val="center"/>
            <w:hideMark/>
          </w:tcPr>
          <w:p w:rsidR="00000000" w:rsidRDefault="0094004B">
            <w:pPr>
              <w:spacing w:after="100"/>
              <w:jc w:val="right"/>
              <w:rPr>
                <w:rFonts w:eastAsia="Times New Roman"/>
                <w:sz w:val="20"/>
                <w:szCs w:val="20"/>
              </w:rPr>
            </w:pPr>
          </w:p>
        </w:tc>
      </w:tr>
      <w:tr w:rsidR="00000000">
        <w:trPr>
          <w:divId w:val="498927205"/>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Retail banking</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1,552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1,867 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0.7 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vAlign w:val="center"/>
            <w:hideMark/>
          </w:tcPr>
          <w:p w:rsidR="00000000" w:rsidRDefault="0094004B">
            <w:pPr>
              <w:spacing w:after="100"/>
              <w:jc w:val="right"/>
              <w:rPr>
                <w:rFonts w:eastAsia="Times New Roman"/>
                <w:sz w:val="20"/>
                <w:szCs w:val="20"/>
              </w:rPr>
            </w:pPr>
          </w:p>
        </w:tc>
      </w:tr>
      <w:tr w:rsidR="00000000">
        <w:trPr>
          <w:divId w:val="498927205"/>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Total consumer banking</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79,925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25.6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77,646 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28.0 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vAlign w:val="center"/>
            <w:hideMark/>
          </w:tcPr>
          <w:p w:rsidR="00000000" w:rsidRDefault="0094004B">
            <w:pPr>
              <w:spacing w:after="100"/>
              <w:jc w:val="right"/>
              <w:rPr>
                <w:rFonts w:eastAsia="Times New Roman"/>
                <w:sz w:val="20"/>
                <w:szCs w:val="20"/>
              </w:rPr>
            </w:pPr>
          </w:p>
        </w:tc>
      </w:tr>
      <w:tr w:rsidR="00000000">
        <w:trPr>
          <w:divId w:val="498927205"/>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20"/>
                <w:szCs w:val="20"/>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498927205"/>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Commercial and multifamily real estate</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37,453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12.0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35,262 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12.7 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vAlign w:val="center"/>
            <w:hideMark/>
          </w:tcPr>
          <w:p w:rsidR="00000000" w:rsidRDefault="0094004B">
            <w:pPr>
              <w:spacing w:after="100"/>
              <w:jc w:val="right"/>
              <w:rPr>
                <w:rFonts w:eastAsia="Times New Roman"/>
                <w:sz w:val="20"/>
                <w:szCs w:val="20"/>
              </w:rPr>
            </w:pPr>
          </w:p>
        </w:tc>
      </w:tr>
      <w:tr w:rsidR="00000000">
        <w:trPr>
          <w:divId w:val="498927205"/>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Commercial and industrial</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57,223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18.3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49,660 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17.9 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vAlign w:val="center"/>
            <w:hideMark/>
          </w:tcPr>
          <w:p w:rsidR="00000000" w:rsidRDefault="0094004B">
            <w:pPr>
              <w:spacing w:after="100"/>
              <w:jc w:val="right"/>
              <w:rPr>
                <w:rFonts w:eastAsia="Times New Roman"/>
                <w:sz w:val="20"/>
                <w:szCs w:val="20"/>
              </w:rPr>
            </w:pPr>
          </w:p>
        </w:tc>
      </w:tr>
      <w:tr w:rsidR="00000000">
        <w:trPr>
          <w:divId w:val="498927205"/>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Total commercial banking</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94,676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30.3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84,922 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30.6 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vAlign w:val="center"/>
            <w:hideMark/>
          </w:tcPr>
          <w:p w:rsidR="00000000" w:rsidRDefault="0094004B">
            <w:pPr>
              <w:spacing w:after="100"/>
              <w:jc w:val="right"/>
              <w:rPr>
                <w:rFonts w:eastAsia="Times New Roman"/>
                <w:sz w:val="20"/>
                <w:szCs w:val="20"/>
              </w:rPr>
            </w:pPr>
          </w:p>
        </w:tc>
      </w:tr>
      <w:tr w:rsidR="00000000">
        <w:trPr>
          <w:divId w:val="498927205"/>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Total 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312,331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100.0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277,340 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vAlign w:val="center"/>
            <w:hideMark/>
          </w:tcPr>
          <w:p w:rsidR="00000000" w:rsidRDefault="0094004B">
            <w:pPr>
              <w:spacing w:after="100"/>
              <w:rPr>
                <w:rFonts w:eastAsia="Times New Roman"/>
              </w:rPr>
            </w:pPr>
          </w:p>
        </w:tc>
      </w:tr>
    </w:tbl>
    <w:p w:rsidR="00000000" w:rsidRDefault="0094004B">
      <w:pPr>
        <w:jc w:val="both"/>
        <w:divId w:val="1381444954"/>
        <w:rPr>
          <w:rFonts w:eastAsia="Times New Roman"/>
        </w:rPr>
      </w:pPr>
      <w:r>
        <w:rPr>
          <w:rFonts w:eastAsia="Times New Roman"/>
          <w:color w:val="000000"/>
          <w:sz w:val="20"/>
          <w:szCs w:val="20"/>
        </w:rPr>
        <w:t>Table 16 presents the maturities of our loans held for investment portfolio as of December 31, 2022.</w:t>
      </w:r>
    </w:p>
    <w:p w:rsidR="00000000" w:rsidRDefault="0094004B">
      <w:pPr>
        <w:divId w:val="2094007862"/>
        <w:rPr>
          <w:rFonts w:eastAsia="Times New Roman"/>
        </w:rPr>
      </w:pPr>
      <w:r>
        <w:rPr>
          <w:rFonts w:eastAsia="Times New Roman"/>
          <w:b/>
          <w:bCs/>
          <w:color w:val="000000"/>
          <w:sz w:val="18"/>
          <w:szCs w:val="18"/>
        </w:rPr>
        <w:t>Table 16: Loan Matu</w:t>
      </w:r>
      <w:r>
        <w:rPr>
          <w:rFonts w:eastAsia="Times New Roman"/>
          <w:b/>
          <w:bCs/>
          <w:color w:val="000000"/>
          <w:sz w:val="18"/>
          <w:szCs w:val="18"/>
        </w:rPr>
        <w:t>rity Schedule</w:t>
      </w:r>
    </w:p>
    <w:tbl>
      <w:tblPr>
        <w:tblW w:w="5000" w:type="pct"/>
        <w:tblCellMar>
          <w:top w:w="15" w:type="dxa"/>
          <w:left w:w="15" w:type="dxa"/>
          <w:bottom w:w="15" w:type="dxa"/>
          <w:right w:w="15" w:type="dxa"/>
        </w:tblCellMar>
        <w:tblLook w:val="04A0" w:firstRow="1" w:lastRow="0" w:firstColumn="1" w:lastColumn="0" w:noHBand="0" w:noVBand="1"/>
      </w:tblPr>
      <w:tblGrid>
        <w:gridCol w:w="39"/>
        <w:gridCol w:w="3714"/>
        <w:gridCol w:w="38"/>
        <w:gridCol w:w="36"/>
        <w:gridCol w:w="36"/>
        <w:gridCol w:w="36"/>
        <w:gridCol w:w="110"/>
        <w:gridCol w:w="630"/>
        <w:gridCol w:w="36"/>
        <w:gridCol w:w="36"/>
        <w:gridCol w:w="36"/>
        <w:gridCol w:w="36"/>
        <w:gridCol w:w="110"/>
        <w:gridCol w:w="630"/>
        <w:gridCol w:w="36"/>
        <w:gridCol w:w="36"/>
        <w:gridCol w:w="36"/>
        <w:gridCol w:w="36"/>
        <w:gridCol w:w="111"/>
        <w:gridCol w:w="606"/>
        <w:gridCol w:w="36"/>
        <w:gridCol w:w="36"/>
        <w:gridCol w:w="36"/>
        <w:gridCol w:w="36"/>
        <w:gridCol w:w="36"/>
        <w:gridCol w:w="36"/>
        <w:gridCol w:w="111"/>
        <w:gridCol w:w="675"/>
        <w:gridCol w:w="36"/>
        <w:gridCol w:w="36"/>
        <w:gridCol w:w="36"/>
        <w:gridCol w:w="36"/>
        <w:gridCol w:w="110"/>
        <w:gridCol w:w="630"/>
        <w:gridCol w:w="36"/>
      </w:tblGrid>
      <w:tr w:rsidR="00000000">
        <w:trPr>
          <w:divId w:val="2048144700"/>
        </w:trPr>
        <w:tc>
          <w:tcPr>
            <w:tcW w:w="50" w:type="pct"/>
            <w:vAlign w:val="center"/>
            <w:hideMark/>
          </w:tcPr>
          <w:p w:rsidR="00000000" w:rsidRDefault="0094004B">
            <w:pPr>
              <w:rPr>
                <w:rFonts w:eastAsia="Times New Roman"/>
              </w:rPr>
            </w:pPr>
          </w:p>
        </w:tc>
        <w:tc>
          <w:tcPr>
            <w:tcW w:w="256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8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8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8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8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8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2048144700"/>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December 31, 2022</w:t>
            </w: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2048144700"/>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Due Up to</w:t>
            </w:r>
            <w:r>
              <w:rPr>
                <w:rFonts w:eastAsia="Times New Roman"/>
                <w:b/>
                <w:bCs/>
                <w:color w:val="000000"/>
                <w:sz w:val="16"/>
                <w:szCs w:val="16"/>
              </w:rPr>
              <w:br/>
              <w:t>1 Year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&gt; 1 Year</w:t>
            </w:r>
            <w:r>
              <w:rPr>
                <w:rFonts w:eastAsia="Times New Roman"/>
                <w:b/>
                <w:bCs/>
                <w:color w:val="000000"/>
                <w:sz w:val="16"/>
                <w:szCs w:val="16"/>
              </w:rPr>
              <w:br/>
              <w:t>to 5 Years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&gt; 5 Years to 15 Years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&gt; 15 Years</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Total</w:t>
            </w:r>
          </w:p>
        </w:tc>
      </w:tr>
      <w:tr w:rsidR="00000000">
        <w:trPr>
          <w:divId w:val="2048144700"/>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Fixed rate:</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2048144700"/>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divId w:val="1503935857"/>
              <w:rPr>
                <w:rFonts w:eastAsia="Times New Roman"/>
              </w:rPr>
            </w:pPr>
            <w:r>
              <w:rPr>
                <w:rFonts w:eastAsia="Times New Roman"/>
                <w:color w:val="000000"/>
                <w:sz w:val="18"/>
                <w:szCs w:val="18"/>
              </w:rPr>
              <w:t>Credit car</w:t>
            </w:r>
            <w:r>
              <w:rPr>
                <w:rFonts w:eastAsia="Times New Roman"/>
                <w:color w:val="000000"/>
                <w:sz w:val="18"/>
                <w:szCs w:val="18"/>
              </w:rPr>
              <w:t>d</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4,260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10,268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14,528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2048144700"/>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985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46,160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32,185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176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79,506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2048144700"/>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Commercial banking</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1,020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2,953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6,074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3,303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13,350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2048144700"/>
        </w:trPr>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2048144700"/>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 fixed-rate loans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6,265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59,381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38,259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3,479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107,384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2048144700"/>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Variable rate:</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2048144700"/>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divId w:val="746265351"/>
              <w:rPr>
                <w:rFonts w:eastAsia="Times New Roman"/>
              </w:rPr>
            </w:pPr>
            <w:r>
              <w:rPr>
                <w:rFonts w:eastAsia="Times New Roman"/>
                <w:color w:val="000000"/>
                <w:sz w:val="18"/>
                <w:szCs w:val="18"/>
              </w:rPr>
              <w:t>Credit car</w:t>
            </w:r>
            <w:r>
              <w:rPr>
                <w:rFonts w:eastAsia="Times New Roman"/>
                <w:color w:val="000000"/>
                <w:sz w:val="18"/>
                <w:szCs w:val="18"/>
              </w:rPr>
              <w:t>d</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123,202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123,202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2048144700"/>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Consumer banking</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411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419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2048144700"/>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16,250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54,288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10,701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87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81,326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2048144700"/>
        </w:trPr>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2048144700"/>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 variable-rate loans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139,863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54,294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10,703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87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204,947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2048144700"/>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 loans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146,128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113,675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48,962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3,566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312,331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bl>
    <w:p w:rsidR="00000000" w:rsidRDefault="0094004B">
      <w:pPr>
        <w:divId w:val="1470976057"/>
        <w:rPr>
          <w:rFonts w:eastAsia="Times New Roman"/>
        </w:rPr>
      </w:pPr>
      <w:r>
        <w:rPr>
          <w:rFonts w:eastAsia="Times New Roman"/>
          <w:color w:val="000000"/>
          <w:sz w:val="20"/>
          <w:szCs w:val="20"/>
        </w:rPr>
        <w:t>__________</w:t>
      </w:r>
    </w:p>
    <w:p w:rsidR="00000000" w:rsidRDefault="0094004B">
      <w:pPr>
        <w:ind w:hanging="360"/>
        <w:jc w:val="both"/>
        <w:divId w:val="726295435"/>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Due to the revolving nature of credit card loans, we report the majo</w:t>
      </w:r>
      <w:r>
        <w:rPr>
          <w:rFonts w:eastAsia="Times New Roman"/>
          <w:color w:val="000000"/>
          <w:sz w:val="16"/>
          <w:szCs w:val="16"/>
        </w:rPr>
        <w:t>rity of our variable-rate credit card loans as due in one year or less. We report fixed-rate credit card loans with introductory rates that expire after a certain period of time as due in one year or less. We assume that the rest of our remaining fixed-rat</w:t>
      </w:r>
      <w:r>
        <w:rPr>
          <w:rFonts w:eastAsia="Times New Roman"/>
          <w:color w:val="000000"/>
          <w:sz w:val="16"/>
          <w:szCs w:val="16"/>
        </w:rPr>
        <w:t>e credit card loans will mature within one to three years.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683357495"/>
          <w:jc w:val="center"/>
        </w:trPr>
        <w:tc>
          <w:tcPr>
            <w:tcW w:w="50" w:type="pct"/>
            <w:vAlign w:val="center"/>
            <w:hideMark/>
          </w:tcPr>
          <w:p w:rsidR="00000000" w:rsidRDefault="0094004B">
            <w:pPr>
              <w:ind w:hanging="360"/>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683357495"/>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683357495"/>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82</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08" style="width:0;height:1.5pt" o:hralign="center" o:hrstd="t" o:hr="t" fillcolor="#a0a0a0" stroked="f"/>
        </w:pict>
      </w:r>
    </w:p>
    <w:p w:rsidR="00000000" w:rsidRDefault="0094004B">
      <w:pPr>
        <w:ind w:hanging="360"/>
        <w:jc w:val="both"/>
        <w:divId w:val="2003586182"/>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divId w:val="1788625763"/>
        <w:rPr>
          <w:rFonts w:eastAsia="Times New Roman"/>
        </w:rPr>
      </w:pPr>
      <w:r>
        <w:rPr>
          <w:rFonts w:eastAsia="Times New Roman"/>
          <w:b/>
          <w:bCs/>
          <w:color w:val="000000"/>
          <w:sz w:val="20"/>
          <w:szCs w:val="20"/>
        </w:rPr>
        <w:t>Geographic Composition</w:t>
      </w:r>
    </w:p>
    <w:p w:rsidR="00000000" w:rsidRDefault="0094004B">
      <w:pPr>
        <w:jc w:val="both"/>
        <w:divId w:val="1238323369"/>
        <w:rPr>
          <w:rFonts w:eastAsia="Times New Roman"/>
        </w:rPr>
      </w:pPr>
      <w:r>
        <w:rPr>
          <w:rFonts w:eastAsia="Times New Roman"/>
          <w:color w:val="000000"/>
          <w:sz w:val="20"/>
          <w:szCs w:val="20"/>
        </w:rPr>
        <w:t>We market our credit card products throughout the United States, the United Kingdom and Canada. Our credit card loan portfolio is geographically diversified due to our product and marketing approach. The table below presents the geographic profile of our c</w:t>
      </w:r>
      <w:r>
        <w:rPr>
          <w:rFonts w:eastAsia="Times New Roman"/>
          <w:color w:val="000000"/>
          <w:sz w:val="20"/>
          <w:szCs w:val="20"/>
        </w:rPr>
        <w:t>redit card loan portfolio as of December 31, 2022 and 2021.</w:t>
      </w:r>
    </w:p>
    <w:p w:rsidR="00000000" w:rsidRDefault="0094004B">
      <w:pPr>
        <w:divId w:val="8023635"/>
        <w:rPr>
          <w:rFonts w:eastAsia="Times New Roman"/>
        </w:rPr>
      </w:pPr>
      <w:r>
        <w:rPr>
          <w:rFonts w:eastAsia="Times New Roman"/>
          <w:b/>
          <w:bCs/>
          <w:color w:val="000000"/>
          <w:sz w:val="18"/>
          <w:szCs w:val="18"/>
        </w:rPr>
        <w:t xml:space="preserve">Table 17: Credit Card Portfolio by Geographic Region </w:t>
      </w:r>
    </w:p>
    <w:tbl>
      <w:tblPr>
        <w:tblW w:w="5000" w:type="pct"/>
        <w:tblCellMar>
          <w:top w:w="15" w:type="dxa"/>
          <w:left w:w="15" w:type="dxa"/>
          <w:bottom w:w="15" w:type="dxa"/>
          <w:right w:w="15" w:type="dxa"/>
        </w:tblCellMar>
        <w:tblLook w:val="04A0" w:firstRow="1" w:lastRow="0" w:firstColumn="1" w:lastColumn="0" w:noHBand="0" w:noVBand="1"/>
      </w:tblPr>
      <w:tblGrid>
        <w:gridCol w:w="40"/>
        <w:gridCol w:w="4434"/>
        <w:gridCol w:w="39"/>
        <w:gridCol w:w="36"/>
        <w:gridCol w:w="36"/>
        <w:gridCol w:w="36"/>
        <w:gridCol w:w="120"/>
        <w:gridCol w:w="700"/>
        <w:gridCol w:w="36"/>
        <w:gridCol w:w="36"/>
        <w:gridCol w:w="36"/>
        <w:gridCol w:w="36"/>
        <w:gridCol w:w="87"/>
        <w:gridCol w:w="715"/>
        <w:gridCol w:w="38"/>
        <w:gridCol w:w="36"/>
        <w:gridCol w:w="36"/>
        <w:gridCol w:w="36"/>
        <w:gridCol w:w="120"/>
        <w:gridCol w:w="700"/>
        <w:gridCol w:w="36"/>
        <w:gridCol w:w="36"/>
        <w:gridCol w:w="36"/>
        <w:gridCol w:w="36"/>
        <w:gridCol w:w="82"/>
        <w:gridCol w:w="688"/>
        <w:gridCol w:w="39"/>
      </w:tblGrid>
      <w:tr w:rsidR="00000000">
        <w:trPr>
          <w:divId w:val="1783111832"/>
        </w:trPr>
        <w:tc>
          <w:tcPr>
            <w:tcW w:w="50" w:type="pct"/>
            <w:vAlign w:val="center"/>
            <w:hideMark/>
          </w:tcPr>
          <w:p w:rsidR="00000000" w:rsidRDefault="0094004B">
            <w:pPr>
              <w:rPr>
                <w:rFonts w:eastAsia="Times New Roman"/>
              </w:rPr>
            </w:pPr>
          </w:p>
        </w:tc>
        <w:tc>
          <w:tcPr>
            <w:tcW w:w="2920"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1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1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1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20"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783111832"/>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December 31, 2022</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December 31, 2021</w:t>
            </w:r>
          </w:p>
        </w:tc>
      </w:tr>
      <w:tr w:rsidR="00000000">
        <w:trPr>
          <w:divId w:val="1783111832"/>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20"/>
                <w:szCs w:val="20"/>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 of Total</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 of Total</w:t>
            </w:r>
          </w:p>
        </w:tc>
      </w:tr>
      <w:tr w:rsidR="00000000">
        <w:trPr>
          <w:divId w:val="1783111832"/>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20"/>
                <w:szCs w:val="20"/>
              </w:rPr>
              <w:t>Domestic credit card:</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783111832"/>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California</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13,707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b/>
                <w:bCs/>
                <w:color w:val="000000"/>
                <w:sz w:val="20"/>
                <w:szCs w:val="20"/>
              </w:rPr>
              <w:t>10.0%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11,096 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20"/>
                <w:szCs w:val="20"/>
              </w:rPr>
              <w:t>9.7%</w:t>
            </w:r>
          </w:p>
        </w:tc>
      </w:tr>
      <w:tr w:rsidR="00000000">
        <w:trPr>
          <w:divId w:val="1783111832"/>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Texas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11,202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20"/>
                <w:szCs w:val="20"/>
              </w:rPr>
              <w:t>8.1</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9,100 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20"/>
                <w:szCs w:val="20"/>
              </w:rPr>
              <w:t>7.9</w:t>
            </w:r>
          </w:p>
        </w:tc>
      </w:tr>
      <w:tr w:rsidR="00000000">
        <w:trPr>
          <w:divId w:val="1783111832"/>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Florida</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9,549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20"/>
                <w:szCs w:val="20"/>
              </w:rPr>
              <w:t>6.9</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7,738 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20"/>
                <w:szCs w:val="20"/>
              </w:rPr>
              <w:t>6.7</w:t>
            </w:r>
          </w:p>
        </w:tc>
      </w:tr>
      <w:tr w:rsidR="00000000">
        <w:trPr>
          <w:divId w:val="1783111832"/>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New York</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8,366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20"/>
                <w:szCs w:val="20"/>
              </w:rPr>
              <w:t>6.1</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6,972 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20"/>
                <w:szCs w:val="20"/>
              </w:rPr>
              <w:t>6.1</w:t>
            </w:r>
          </w:p>
        </w:tc>
      </w:tr>
      <w:tr w:rsidR="00000000">
        <w:trPr>
          <w:divId w:val="1783111832"/>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Pennsylvania</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5,425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20"/>
                <w:szCs w:val="20"/>
              </w:rPr>
              <w:t>3.9</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4,568 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20"/>
                <w:szCs w:val="20"/>
              </w:rPr>
              <w:t>4.0</w:t>
            </w:r>
          </w:p>
        </w:tc>
      </w:tr>
      <w:tr w:rsidR="00000000">
        <w:trPr>
          <w:divId w:val="1783111832"/>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Illinois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5,260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20"/>
                <w:szCs w:val="20"/>
              </w:rPr>
              <w:t>3.8</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4,478 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20"/>
                <w:szCs w:val="20"/>
              </w:rPr>
              <w:t>3.9</w:t>
            </w:r>
          </w:p>
        </w:tc>
      </w:tr>
      <w:tr w:rsidR="00000000">
        <w:trPr>
          <w:divId w:val="1783111832"/>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Ohio</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4,662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20"/>
                <w:szCs w:val="20"/>
              </w:rPr>
              <w:t>3.4</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3,949 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20"/>
                <w:szCs w:val="20"/>
              </w:rPr>
              <w:t>3.4</w:t>
            </w:r>
          </w:p>
        </w:tc>
      </w:tr>
      <w:tr w:rsidR="00000000">
        <w:trPr>
          <w:divId w:val="1783111832"/>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New Jersey</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4,243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20"/>
                <w:szCs w:val="20"/>
              </w:rPr>
              <w:t>3.1</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3,520 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20"/>
                <w:szCs w:val="20"/>
              </w:rPr>
              <w:t>3.1</w:t>
            </w:r>
          </w:p>
        </w:tc>
      </w:tr>
      <w:tr w:rsidR="00000000">
        <w:trPr>
          <w:divId w:val="1783111832"/>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Georgia</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4,172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20"/>
                <w:szCs w:val="20"/>
              </w:rPr>
              <w:t>3.0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3,397 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20"/>
                <w:szCs w:val="20"/>
              </w:rPr>
              <w:t>3.0</w:t>
            </w:r>
          </w:p>
        </w:tc>
      </w:tr>
      <w:tr w:rsidR="00000000">
        <w:trPr>
          <w:divId w:val="1783111832"/>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Michigan</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3,920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20"/>
                <w:szCs w:val="20"/>
              </w:rPr>
              <w:t>2.8</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3,306 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20"/>
                <w:szCs w:val="20"/>
              </w:rPr>
              <w:t>2.9</w:t>
            </w:r>
          </w:p>
        </w:tc>
      </w:tr>
      <w:tr w:rsidR="00000000">
        <w:trPr>
          <w:divId w:val="1783111832"/>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Other</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61,075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20"/>
                <w:szCs w:val="20"/>
              </w:rPr>
              <w:t>44.4</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50,599 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20"/>
                <w:szCs w:val="20"/>
              </w:rPr>
              <w:t>44.0</w:t>
            </w:r>
          </w:p>
        </w:tc>
      </w:tr>
      <w:tr w:rsidR="00000000">
        <w:trPr>
          <w:divId w:val="1783111832"/>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Total domestic credit card</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131,581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20"/>
                <w:szCs w:val="20"/>
              </w:rPr>
              <w:t>95.5</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108,723 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20"/>
                <w:szCs w:val="20"/>
              </w:rPr>
              <w:t>94.7</w:t>
            </w:r>
          </w:p>
        </w:tc>
      </w:tr>
      <w:tr w:rsidR="00000000">
        <w:trPr>
          <w:divId w:val="1783111832"/>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20"/>
                <w:szCs w:val="20"/>
              </w:rPr>
              <w:t>International card businesses: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783111832"/>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United Kingdom</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3,129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20"/>
                <w:szCs w:val="20"/>
              </w:rPr>
              <w:t>2.3</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3,034 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20"/>
                <w:szCs w:val="20"/>
              </w:rPr>
              <w:t>2.7</w:t>
            </w:r>
          </w:p>
        </w:tc>
      </w:tr>
      <w:tr w:rsidR="00000000">
        <w:trPr>
          <w:divId w:val="1783111832"/>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Canada</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3,020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20"/>
                <w:szCs w:val="20"/>
              </w:rPr>
              <w:t>2.2</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3,015 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20"/>
                <w:szCs w:val="20"/>
              </w:rPr>
              <w:t>2.6</w:t>
            </w:r>
          </w:p>
        </w:tc>
      </w:tr>
      <w:tr w:rsidR="00000000">
        <w:trPr>
          <w:divId w:val="1783111832"/>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Total international card businesses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6,149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20"/>
                <w:szCs w:val="20"/>
              </w:rPr>
              <w:t>4.5</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6,049 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20"/>
                <w:szCs w:val="20"/>
              </w:rPr>
              <w:t>5.3</w:t>
            </w:r>
          </w:p>
        </w:tc>
      </w:tr>
      <w:tr w:rsidR="00000000">
        <w:trPr>
          <w:divId w:val="1783111832"/>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Total credit card</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137,730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tcBorders>
              <w:top w:val="single" w:sz="8" w:space="0" w:color="000000"/>
              <w:bottom w:val="double" w:sz="6" w:space="0" w:color="000000"/>
            </w:tcBorders>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b/>
                <w:bCs/>
                <w:color w:val="000000"/>
                <w:sz w:val="20"/>
                <w:szCs w:val="20"/>
              </w:rPr>
              <w:t>100.0%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114,772 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tcBorders>
              <w:top w:val="single" w:sz="8" w:space="0" w:color="000000"/>
              <w:bottom w:val="double" w:sz="6" w:space="0" w:color="000000"/>
            </w:tcBorders>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20"/>
                <w:szCs w:val="20"/>
              </w:rPr>
              <w:t>100.0%</w:t>
            </w:r>
          </w:p>
        </w:tc>
      </w:tr>
    </w:tbl>
    <w:p w:rsidR="00000000" w:rsidRDefault="0094004B">
      <w:pPr>
        <w:jc w:val="both"/>
        <w:divId w:val="1751461428"/>
        <w:rPr>
          <w:rFonts w:eastAsia="Times New Roman"/>
        </w:rPr>
      </w:pPr>
      <w:r>
        <w:rPr>
          <w:rFonts w:eastAsia="Times New Roman"/>
          <w:color w:val="000000"/>
          <w:sz w:val="20"/>
          <w:szCs w:val="20"/>
        </w:rPr>
        <w:t>Our auto loan portfolio is geographically diversified in the United States due to our product and marketing approach. Retail ba</w:t>
      </w:r>
      <w:r>
        <w:rPr>
          <w:rFonts w:eastAsia="Times New Roman"/>
          <w:color w:val="000000"/>
          <w:sz w:val="20"/>
          <w:szCs w:val="20"/>
        </w:rPr>
        <w:t>nking includes small business loans and other consumer lending products originated through our branch and café network. The table below presents the geographic profile of our auto loan and retail banking portfolios as of December 31, 2022 and 2021.</w:t>
      </w:r>
    </w:p>
    <w:p w:rsidR="00000000" w:rsidRDefault="0094004B">
      <w:pPr>
        <w:divId w:val="330720482"/>
        <w:rPr>
          <w:rFonts w:eastAsia="Times New Roman"/>
        </w:rPr>
      </w:pPr>
      <w:r>
        <w:rPr>
          <w:rFonts w:eastAsia="Times New Roman"/>
          <w:b/>
          <w:bCs/>
          <w:color w:val="000000"/>
          <w:sz w:val="18"/>
          <w:szCs w:val="18"/>
        </w:rPr>
        <w:t>Table 1</w:t>
      </w:r>
      <w:r>
        <w:rPr>
          <w:rFonts w:eastAsia="Times New Roman"/>
          <w:b/>
          <w:bCs/>
          <w:color w:val="000000"/>
          <w:sz w:val="18"/>
          <w:szCs w:val="18"/>
        </w:rPr>
        <w:t xml:space="preserve">8: Consumer Banking Portfolio by Geographic Region </w:t>
      </w:r>
    </w:p>
    <w:tbl>
      <w:tblPr>
        <w:tblW w:w="5000" w:type="pct"/>
        <w:tblCellMar>
          <w:top w:w="15" w:type="dxa"/>
          <w:left w:w="15" w:type="dxa"/>
          <w:bottom w:w="15" w:type="dxa"/>
          <w:right w:w="15" w:type="dxa"/>
        </w:tblCellMar>
        <w:tblLook w:val="04A0" w:firstRow="1" w:lastRow="0" w:firstColumn="1" w:lastColumn="0" w:noHBand="0" w:noVBand="1"/>
      </w:tblPr>
      <w:tblGrid>
        <w:gridCol w:w="39"/>
        <w:gridCol w:w="4782"/>
        <w:gridCol w:w="38"/>
        <w:gridCol w:w="36"/>
        <w:gridCol w:w="36"/>
        <w:gridCol w:w="36"/>
        <w:gridCol w:w="121"/>
        <w:gridCol w:w="654"/>
        <w:gridCol w:w="37"/>
        <w:gridCol w:w="36"/>
        <w:gridCol w:w="36"/>
        <w:gridCol w:w="36"/>
        <w:gridCol w:w="54"/>
        <w:gridCol w:w="437"/>
        <w:gridCol w:w="220"/>
        <w:gridCol w:w="36"/>
        <w:gridCol w:w="36"/>
        <w:gridCol w:w="36"/>
        <w:gridCol w:w="121"/>
        <w:gridCol w:w="654"/>
        <w:gridCol w:w="37"/>
        <w:gridCol w:w="36"/>
        <w:gridCol w:w="36"/>
        <w:gridCol w:w="36"/>
        <w:gridCol w:w="53"/>
        <w:gridCol w:w="440"/>
        <w:gridCol w:w="187"/>
      </w:tblGrid>
      <w:tr w:rsidR="00000000">
        <w:trPr>
          <w:divId w:val="2079939951"/>
        </w:trPr>
        <w:tc>
          <w:tcPr>
            <w:tcW w:w="50" w:type="pct"/>
            <w:vAlign w:val="center"/>
            <w:hideMark/>
          </w:tcPr>
          <w:p w:rsidR="00000000" w:rsidRDefault="0094004B">
            <w:pPr>
              <w:rPr>
                <w:rFonts w:eastAsia="Times New Roman"/>
              </w:rPr>
            </w:pPr>
          </w:p>
        </w:tc>
        <w:tc>
          <w:tcPr>
            <w:tcW w:w="292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1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1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1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1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2079939951"/>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December 31, 2022</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December 31, 2021</w:t>
            </w:r>
          </w:p>
        </w:tc>
      </w:tr>
      <w:tr w:rsidR="00000000">
        <w:trPr>
          <w:divId w:val="2079939951"/>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20"/>
                <w:szCs w:val="20"/>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 of Total</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 of Total</w:t>
            </w:r>
          </w:p>
        </w:tc>
      </w:tr>
      <w:tr w:rsidR="00000000">
        <w:trPr>
          <w:divId w:val="2079939951"/>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20"/>
                <w:szCs w:val="20"/>
              </w:rPr>
              <w:t>Auto:</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2079939951"/>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Texas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9,586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12.0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9,292 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12.0 </w:t>
            </w:r>
          </w:p>
        </w:tc>
        <w:tc>
          <w:tcPr>
            <w:tcW w:w="0" w:type="auto"/>
            <w:shd w:val="clear" w:color="auto" w:fill="FFFFFF"/>
            <w:tcMar>
              <w:top w:w="30" w:type="dxa"/>
              <w:left w:w="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w:t>
            </w:r>
          </w:p>
        </w:tc>
      </w:tr>
      <w:tr w:rsidR="00000000">
        <w:trPr>
          <w:divId w:val="2079939951"/>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California</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9,570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12.0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9,127 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11.8 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2079939951"/>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Florida</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6,755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8.5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6,443 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8.3 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2079939951"/>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Pennsylvania</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3,303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4.1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3,139 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4.0 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2079939951"/>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Georgia</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3,243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3,283 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4.2 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2079939951"/>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Ohio</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3,143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3,053 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3.9 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2079939951"/>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Illinois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3,119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3.9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2,899 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3.7 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2079939951"/>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New Jersey</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2,742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2,356 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3.0 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2079939951"/>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Other</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36,912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46.2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36,187 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46.7 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2079939951"/>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Total auto</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bottom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78,373</w:t>
            </w:r>
            <w:r>
              <w:rPr>
                <w:rFonts w:eastAsia="Times New Roman"/>
                <w:color w:val="000000"/>
                <w:sz w:val="20"/>
                <w:szCs w:val="20"/>
              </w:rPr>
              <w:t>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98.1</w:t>
            </w:r>
            <w:r>
              <w:rPr>
                <w:rFonts w:eastAsia="Times New Roman"/>
                <w:color w:val="000000"/>
                <w:sz w:val="20"/>
                <w:szCs w:val="20"/>
              </w:rPr>
              <w:t>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75,779 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97.6 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2079939951"/>
          <w:trHeight w:val="60"/>
        </w:trPr>
        <w:tc>
          <w:tcPr>
            <w:tcW w:w="0" w:type="auto"/>
            <w:gridSpan w:val="27"/>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94004B">
            <w:pPr>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83</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09" style="width:0;height:1.5pt" o:hralign="center" o:hrstd="t" o:hr="t" fillcolor="#a0a0a0" stroked="f"/>
        </w:pict>
      </w:r>
    </w:p>
    <w:p w:rsidR="00000000" w:rsidRDefault="0094004B">
      <w:pPr>
        <w:ind w:hanging="360"/>
        <w:jc w:val="both"/>
        <w:divId w:val="546725029"/>
        <w:rPr>
          <w:rFonts w:eastAsia="Times New Roman"/>
        </w:rPr>
      </w:pPr>
      <w:hyperlink w:anchor="ia820611622d9441b977884dac00e0ebd_16"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8"/>
        <w:gridCol w:w="4784"/>
        <w:gridCol w:w="37"/>
        <w:gridCol w:w="36"/>
        <w:gridCol w:w="36"/>
        <w:gridCol w:w="36"/>
        <w:gridCol w:w="120"/>
        <w:gridCol w:w="600"/>
        <w:gridCol w:w="36"/>
        <w:gridCol w:w="36"/>
        <w:gridCol w:w="36"/>
        <w:gridCol w:w="36"/>
        <w:gridCol w:w="57"/>
        <w:gridCol w:w="488"/>
        <w:gridCol w:w="220"/>
        <w:gridCol w:w="36"/>
        <w:gridCol w:w="36"/>
        <w:gridCol w:w="36"/>
        <w:gridCol w:w="120"/>
        <w:gridCol w:w="600"/>
        <w:gridCol w:w="36"/>
        <w:gridCol w:w="36"/>
        <w:gridCol w:w="36"/>
        <w:gridCol w:w="36"/>
        <w:gridCol w:w="57"/>
        <w:gridCol w:w="494"/>
        <w:gridCol w:w="187"/>
      </w:tblGrid>
      <w:tr w:rsidR="00000000">
        <w:trPr>
          <w:divId w:val="1083651030"/>
        </w:trPr>
        <w:tc>
          <w:tcPr>
            <w:tcW w:w="50" w:type="pct"/>
            <w:vAlign w:val="center"/>
            <w:hideMark/>
          </w:tcPr>
          <w:p w:rsidR="00000000" w:rsidRDefault="0094004B">
            <w:pPr>
              <w:ind w:hanging="360"/>
              <w:jc w:val="both"/>
              <w:rPr>
                <w:rFonts w:eastAsia="Times New Roman"/>
              </w:rPr>
            </w:pPr>
          </w:p>
        </w:tc>
        <w:tc>
          <w:tcPr>
            <w:tcW w:w="292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1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1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1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1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083651030"/>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December 31, 2022</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December 31, 2021</w:t>
            </w:r>
          </w:p>
        </w:tc>
      </w:tr>
      <w:tr w:rsidR="00000000">
        <w:trPr>
          <w:divId w:val="1083651030"/>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20"/>
                <w:szCs w:val="20"/>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 of Total</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 of Total</w:t>
            </w:r>
          </w:p>
        </w:tc>
      </w:tr>
      <w:tr w:rsidR="00000000">
        <w:trPr>
          <w:divId w:val="1083651030"/>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20"/>
                <w:szCs w:val="20"/>
              </w:rPr>
              <w:t>Retail banking:</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083651030"/>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New York</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477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0.6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613 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0.8 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083651030"/>
        </w:trPr>
        <w:tc>
          <w:tcPr>
            <w:tcW w:w="0" w:type="auto"/>
            <w:gridSpan w:val="3"/>
            <w:shd w:val="clear" w:color="auto" w:fill="CCEEFF"/>
            <w:tcMar>
              <w:top w:w="30" w:type="dxa"/>
              <w:left w:w="245" w:type="dxa"/>
              <w:bottom w:w="30" w:type="dxa"/>
              <w:right w:w="20" w:type="dxa"/>
            </w:tcMar>
            <w:vAlign w:val="bottom"/>
            <w:hideMark/>
          </w:tcPr>
          <w:p w:rsidR="00000000" w:rsidRDefault="0094004B">
            <w:pPr>
              <w:spacing w:after="100"/>
              <w:rPr>
                <w:rFonts w:eastAsia="Times New Roman"/>
              </w:rPr>
            </w:pPr>
            <w:r>
              <w:rPr>
                <w:rFonts w:eastAsia="Times New Roman"/>
                <w:color w:val="000000"/>
                <w:sz w:val="20"/>
                <w:szCs w:val="20"/>
              </w:rPr>
              <w:t>Texas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333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0.4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383 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0.5 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083651030"/>
        </w:trPr>
        <w:tc>
          <w:tcPr>
            <w:tcW w:w="0" w:type="auto"/>
            <w:gridSpan w:val="3"/>
            <w:shd w:val="clear" w:color="auto" w:fill="FFFFFF"/>
            <w:tcMar>
              <w:top w:w="30" w:type="dxa"/>
              <w:left w:w="245" w:type="dxa"/>
              <w:bottom w:w="30" w:type="dxa"/>
              <w:right w:w="20" w:type="dxa"/>
            </w:tcMar>
            <w:vAlign w:val="bottom"/>
            <w:hideMark/>
          </w:tcPr>
          <w:p w:rsidR="00000000" w:rsidRDefault="0094004B">
            <w:pPr>
              <w:spacing w:after="100"/>
              <w:rPr>
                <w:rFonts w:eastAsia="Times New Roman"/>
              </w:rPr>
            </w:pPr>
            <w:r>
              <w:rPr>
                <w:rFonts w:eastAsia="Times New Roman"/>
                <w:color w:val="000000"/>
                <w:sz w:val="20"/>
                <w:szCs w:val="20"/>
              </w:rPr>
              <w:t>Louisiana</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283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0.3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363 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0.4 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083651030"/>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New Jersey</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122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0.2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149 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0.2 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083651030"/>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Maryland</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97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0.1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118 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0.2 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083651030"/>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Virginia</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67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0.1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93 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0.1 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083651030"/>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Other</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173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0.2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148 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0.2 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083651030"/>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Total retail banking</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1,552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1,867 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2.4 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083651030"/>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Total consumer banking</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79,925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100.0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77,646 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w:t>
            </w:r>
          </w:p>
        </w:tc>
      </w:tr>
    </w:tbl>
    <w:p w:rsidR="00000000" w:rsidRDefault="0094004B">
      <w:pPr>
        <w:jc w:val="both"/>
        <w:divId w:val="689916029"/>
        <w:rPr>
          <w:rFonts w:eastAsia="Times New Roman"/>
        </w:rPr>
      </w:pPr>
      <w:r>
        <w:rPr>
          <w:rFonts w:eastAsia="Times New Roman"/>
          <w:color w:val="000000"/>
          <w:sz w:val="20"/>
          <w:szCs w:val="20"/>
        </w:rPr>
        <w:t>We originate commercial and multifamily real estate loans in most regions of the United States. The table below presents the geographic profile of our commercial real estate portfolio as of December 31, 2022 and 2021.</w:t>
      </w:r>
    </w:p>
    <w:p w:rsidR="00000000" w:rsidRDefault="0094004B">
      <w:pPr>
        <w:jc w:val="both"/>
        <w:divId w:val="102572986"/>
        <w:rPr>
          <w:rFonts w:eastAsia="Times New Roman"/>
        </w:rPr>
      </w:pPr>
      <w:r>
        <w:rPr>
          <w:rFonts w:eastAsia="Times New Roman"/>
          <w:b/>
          <w:bCs/>
          <w:color w:val="000000"/>
          <w:sz w:val="18"/>
          <w:szCs w:val="18"/>
        </w:rPr>
        <w:t>Table 19: Commercial Real Estate Portf</w:t>
      </w:r>
      <w:r>
        <w:rPr>
          <w:rFonts w:eastAsia="Times New Roman"/>
          <w:b/>
          <w:bCs/>
          <w:color w:val="000000"/>
          <w:sz w:val="18"/>
          <w:szCs w:val="18"/>
        </w:rPr>
        <w:t>olio by Region</w:t>
      </w:r>
    </w:p>
    <w:tbl>
      <w:tblPr>
        <w:tblW w:w="5000" w:type="pct"/>
        <w:tblCellMar>
          <w:top w:w="15" w:type="dxa"/>
          <w:left w:w="15" w:type="dxa"/>
          <w:bottom w:w="15" w:type="dxa"/>
          <w:right w:w="15" w:type="dxa"/>
        </w:tblCellMar>
        <w:tblLook w:val="04A0" w:firstRow="1" w:lastRow="0" w:firstColumn="1" w:lastColumn="0" w:noHBand="0" w:noVBand="1"/>
      </w:tblPr>
      <w:tblGrid>
        <w:gridCol w:w="44"/>
        <w:gridCol w:w="4593"/>
        <w:gridCol w:w="36"/>
        <w:gridCol w:w="36"/>
        <w:gridCol w:w="36"/>
        <w:gridCol w:w="36"/>
        <w:gridCol w:w="120"/>
        <w:gridCol w:w="601"/>
        <w:gridCol w:w="36"/>
        <w:gridCol w:w="36"/>
        <w:gridCol w:w="36"/>
        <w:gridCol w:w="36"/>
        <w:gridCol w:w="53"/>
        <w:gridCol w:w="561"/>
        <w:gridCol w:w="220"/>
        <w:gridCol w:w="36"/>
        <w:gridCol w:w="36"/>
        <w:gridCol w:w="36"/>
        <w:gridCol w:w="120"/>
        <w:gridCol w:w="664"/>
        <w:gridCol w:w="36"/>
        <w:gridCol w:w="36"/>
        <w:gridCol w:w="36"/>
        <w:gridCol w:w="36"/>
        <w:gridCol w:w="54"/>
        <w:gridCol w:w="549"/>
        <w:gridCol w:w="187"/>
      </w:tblGrid>
      <w:tr w:rsidR="00000000">
        <w:trPr>
          <w:divId w:val="1923834387"/>
        </w:trPr>
        <w:tc>
          <w:tcPr>
            <w:tcW w:w="50" w:type="pct"/>
            <w:vAlign w:val="center"/>
            <w:hideMark/>
          </w:tcPr>
          <w:p w:rsidR="00000000" w:rsidRDefault="0094004B">
            <w:pPr>
              <w:jc w:val="both"/>
              <w:rPr>
                <w:rFonts w:eastAsia="Times New Roman"/>
              </w:rPr>
            </w:pPr>
          </w:p>
        </w:tc>
        <w:tc>
          <w:tcPr>
            <w:tcW w:w="282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4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4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1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4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3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923834387"/>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923834387"/>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December 31, 2022</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December 31, 2021</w:t>
            </w:r>
          </w:p>
        </w:tc>
      </w:tr>
      <w:tr w:rsidR="00000000">
        <w:trPr>
          <w:divId w:val="1923834387"/>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20"/>
                <w:szCs w:val="20"/>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 of Total</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 of Total</w:t>
            </w:r>
          </w:p>
        </w:tc>
      </w:tr>
      <w:tr w:rsidR="00000000">
        <w:trPr>
          <w:divId w:val="192383438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divId w:val="698437776"/>
              <w:rPr>
                <w:rFonts w:eastAsia="Times New Roman"/>
              </w:rPr>
            </w:pPr>
            <w:r>
              <w:rPr>
                <w:rFonts w:eastAsia="Times New Roman"/>
                <w:b/>
                <w:bCs/>
                <w:color w:val="000000"/>
                <w:sz w:val="20"/>
                <w:szCs w:val="20"/>
              </w:rPr>
              <w:t>Geographic concentration</w:t>
            </w:r>
            <w:r>
              <w:rPr>
                <w:rFonts w:eastAsia="Times New Roman"/>
                <w:b/>
                <w:bCs/>
                <w:color w:val="000000"/>
                <w:sz w:val="20"/>
                <w:szCs w:val="20"/>
              </w:rPr>
              <w:t>:</w:t>
            </w:r>
            <w:r>
              <w:rPr>
                <w:rFonts w:eastAsia="Times New Roman"/>
                <w:b/>
                <w:bCs/>
                <w:color w:val="000000"/>
                <w:sz w:val="13"/>
                <w:szCs w:val="13"/>
              </w:rPr>
              <w:t>(1</w:t>
            </w:r>
            <w:r>
              <w:rPr>
                <w:rFonts w:eastAsia="Times New Roman"/>
                <w:b/>
                <w:bCs/>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923834387"/>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Northeast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15,055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40.2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16,025 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45.4 </w:t>
            </w:r>
          </w:p>
        </w:tc>
        <w:tc>
          <w:tcPr>
            <w:tcW w:w="0" w:type="auto"/>
            <w:shd w:val="clear" w:color="auto" w:fill="FFFFFF"/>
            <w:tcMar>
              <w:top w:w="30" w:type="dxa"/>
              <w:left w:w="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w:t>
            </w:r>
          </w:p>
        </w:tc>
      </w:tr>
      <w:tr w:rsidR="00000000">
        <w:trPr>
          <w:divId w:val="1923834387"/>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South</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8,706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23.2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6,210 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17.6 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923834387"/>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Pacific West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5,902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15.7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5,556 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15.8 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923834387"/>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Mid-Atlantic</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3,129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8.4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3,105 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8.8 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923834387"/>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Midwest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2,394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6.4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2,863 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8.1 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923834387"/>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Mountain</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2,267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6.1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1,503 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4.3 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923834387"/>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37,453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100.0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35,262 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w:t>
            </w:r>
          </w:p>
        </w:tc>
      </w:tr>
    </w:tbl>
    <w:p w:rsidR="00000000" w:rsidRDefault="0094004B">
      <w:pPr>
        <w:jc w:val="both"/>
        <w:divId w:val="1923834387"/>
        <w:rPr>
          <w:rFonts w:eastAsia="Times New Roman"/>
        </w:rPr>
      </w:pPr>
      <w:r>
        <w:rPr>
          <w:rFonts w:eastAsia="Times New Roman"/>
          <w:color w:val="000000"/>
          <w:sz w:val="20"/>
          <w:szCs w:val="20"/>
        </w:rPr>
        <w:t>__________</w:t>
      </w:r>
    </w:p>
    <w:p w:rsidR="00000000" w:rsidRDefault="0094004B">
      <w:pPr>
        <w:ind w:hanging="360"/>
        <w:jc w:val="both"/>
        <w:divId w:val="181824502"/>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Geographic concentration is generally determined by the location of the borrower’s business or the location of the collateral associated with the loan. Northeast consists of CT, MA, ME, NH, NJ, NY, PA, RI and VT. South consists of AL, AR, FL, GA, KY, LA, M</w:t>
      </w:r>
      <w:r>
        <w:rPr>
          <w:rFonts w:eastAsia="Times New Roman"/>
          <w:color w:val="000000"/>
          <w:sz w:val="16"/>
          <w:szCs w:val="16"/>
        </w:rPr>
        <w:t>S, NC, OK, SC, TN and TX. Pacific West consists of: AK, CA, HI, OR and WA. Mid-Atlantic consists of DC, DE, MD, VA and WV. Midwest consists of: IA, IL, IN, KS, MI, MN, MO, ND, NE, OH, SD and WI. Mountain consists of: AZ, CO, ID, MT, NM, NV, UT and WY.</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935987154"/>
          <w:jc w:val="center"/>
        </w:trPr>
        <w:tc>
          <w:tcPr>
            <w:tcW w:w="50" w:type="pct"/>
            <w:vAlign w:val="center"/>
            <w:hideMark/>
          </w:tcPr>
          <w:p w:rsidR="00000000" w:rsidRDefault="0094004B">
            <w:pPr>
              <w:ind w:hanging="360"/>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935987154"/>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935987154"/>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84</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10" style="width:0;height:1.5pt" o:hralign="center" o:hrstd="t" o:hr="t" fillcolor="#a0a0a0" stroked="f"/>
        </w:pict>
      </w:r>
    </w:p>
    <w:p w:rsidR="00000000" w:rsidRDefault="0094004B">
      <w:pPr>
        <w:ind w:hanging="360"/>
        <w:jc w:val="both"/>
        <w:divId w:val="157501161"/>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divId w:val="838885563"/>
        <w:rPr>
          <w:rFonts w:eastAsia="Times New Roman"/>
        </w:rPr>
      </w:pPr>
      <w:r>
        <w:rPr>
          <w:rFonts w:eastAsia="Times New Roman"/>
          <w:b/>
          <w:bCs/>
          <w:color w:val="000000"/>
          <w:sz w:val="20"/>
          <w:szCs w:val="20"/>
        </w:rPr>
        <w:t>Commercial Loans by Industry</w:t>
      </w:r>
    </w:p>
    <w:p w:rsidR="00000000" w:rsidRDefault="0094004B">
      <w:pPr>
        <w:jc w:val="both"/>
        <w:divId w:val="228923437"/>
        <w:rPr>
          <w:rFonts w:eastAsia="Times New Roman"/>
        </w:rPr>
      </w:pPr>
      <w:r>
        <w:rPr>
          <w:rFonts w:eastAsia="Times New Roman"/>
          <w:color w:val="000000"/>
          <w:sz w:val="20"/>
          <w:szCs w:val="20"/>
        </w:rPr>
        <w:t>Table 20 summarizes our commercial loans held for investment portfolio by industry classification as of December 3</w:t>
      </w:r>
      <w:r>
        <w:rPr>
          <w:rFonts w:eastAsia="Times New Roman"/>
          <w:color w:val="000000"/>
          <w:sz w:val="20"/>
          <w:szCs w:val="20"/>
        </w:rPr>
        <w:t xml:space="preserve">1, 2022 and 2021. Industry classifications below are based on our interpretation of the North American Industry Classification System codes as they pertain to each individual loan. </w:t>
      </w:r>
    </w:p>
    <w:p w:rsidR="00000000" w:rsidRDefault="0094004B">
      <w:pPr>
        <w:divId w:val="262225355"/>
        <w:rPr>
          <w:rFonts w:eastAsia="Times New Roman"/>
        </w:rPr>
      </w:pPr>
      <w:r>
        <w:rPr>
          <w:rFonts w:eastAsia="Times New Roman"/>
          <w:b/>
          <w:bCs/>
          <w:color w:val="000000"/>
          <w:sz w:val="18"/>
          <w:szCs w:val="18"/>
        </w:rPr>
        <w:t xml:space="preserve">Table 20: </w:t>
      </w:r>
      <w:r>
        <w:rPr>
          <w:rFonts w:eastAsia="Times New Roman"/>
          <w:b/>
          <w:bCs/>
          <w:color w:val="000000"/>
          <w:sz w:val="20"/>
          <w:szCs w:val="20"/>
        </w:rPr>
        <w:t>Commercial Loans by Industry</w:t>
      </w:r>
    </w:p>
    <w:tbl>
      <w:tblPr>
        <w:tblW w:w="5000" w:type="pct"/>
        <w:tblCellMar>
          <w:top w:w="15" w:type="dxa"/>
          <w:left w:w="15" w:type="dxa"/>
          <w:bottom w:w="15" w:type="dxa"/>
          <w:right w:w="15" w:type="dxa"/>
        </w:tblCellMar>
        <w:tblLook w:val="04A0" w:firstRow="1" w:lastRow="0" w:firstColumn="1" w:lastColumn="0" w:noHBand="0" w:noVBand="1"/>
      </w:tblPr>
      <w:tblGrid>
        <w:gridCol w:w="39"/>
        <w:gridCol w:w="5081"/>
        <w:gridCol w:w="38"/>
        <w:gridCol w:w="36"/>
        <w:gridCol w:w="36"/>
        <w:gridCol w:w="36"/>
        <w:gridCol w:w="52"/>
        <w:gridCol w:w="1245"/>
        <w:gridCol w:w="220"/>
        <w:gridCol w:w="36"/>
        <w:gridCol w:w="36"/>
        <w:gridCol w:w="36"/>
        <w:gridCol w:w="52"/>
        <w:gridCol w:w="1176"/>
        <w:gridCol w:w="187"/>
      </w:tblGrid>
      <w:tr w:rsidR="00000000">
        <w:trPr>
          <w:divId w:val="1617247909"/>
        </w:trPr>
        <w:tc>
          <w:tcPr>
            <w:tcW w:w="50" w:type="pct"/>
            <w:vAlign w:val="center"/>
            <w:hideMark/>
          </w:tcPr>
          <w:p w:rsidR="00000000" w:rsidRDefault="0094004B">
            <w:pPr>
              <w:rPr>
                <w:rFonts w:eastAsia="Times New Roman"/>
              </w:rPr>
            </w:pPr>
          </w:p>
        </w:tc>
        <w:tc>
          <w:tcPr>
            <w:tcW w:w="312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1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82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82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617247909"/>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20"/>
                <w:szCs w:val="20"/>
              </w:rPr>
              <w:t>(Percentage of portfolio)</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December 31, 2022</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December 31, 2021</w:t>
            </w:r>
          </w:p>
        </w:tc>
      </w:tr>
      <w:tr w:rsidR="00000000">
        <w:trPr>
          <w:divId w:val="1617247909"/>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20"/>
                <w:szCs w:val="20"/>
              </w:rPr>
              <w:t>Industry Classification:</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617247909"/>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Real estate</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31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35 </w:t>
            </w:r>
          </w:p>
        </w:tc>
        <w:tc>
          <w:tcPr>
            <w:tcW w:w="0" w:type="auto"/>
            <w:shd w:val="clear" w:color="auto" w:fill="FFFFFF"/>
            <w:tcMar>
              <w:top w:w="30" w:type="dxa"/>
              <w:left w:w="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w:t>
            </w:r>
          </w:p>
        </w:tc>
      </w:tr>
      <w:tr w:rsidR="00000000">
        <w:trPr>
          <w:divId w:val="1617247909"/>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Finance</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29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25 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617247909"/>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Healthcare</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617247909"/>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Business services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617247909"/>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Educational services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617247909"/>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Public administration</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617247909"/>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Construction and land</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617247909"/>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Retail trade</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617247909"/>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Oil and gas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617247909"/>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Other</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617247909"/>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w:t>
            </w:r>
          </w:p>
        </w:tc>
      </w:tr>
    </w:tbl>
    <w:p w:rsidR="00000000" w:rsidRDefault="0094004B">
      <w:pPr>
        <w:divId w:val="1444349854"/>
        <w:rPr>
          <w:rFonts w:eastAsia="Times New Roman"/>
        </w:rPr>
      </w:pPr>
      <w:r>
        <w:rPr>
          <w:rFonts w:eastAsia="Times New Roman"/>
          <w:b/>
          <w:bCs/>
          <w:color w:val="000000"/>
          <w:sz w:val="20"/>
          <w:szCs w:val="20"/>
        </w:rPr>
        <w:t>Credit Risk Measurement</w:t>
      </w:r>
    </w:p>
    <w:p w:rsidR="00000000" w:rsidRDefault="0094004B">
      <w:pPr>
        <w:jc w:val="both"/>
        <w:divId w:val="935408079"/>
        <w:rPr>
          <w:rFonts w:eastAsia="Times New Roman"/>
        </w:rPr>
      </w:pPr>
      <w:r>
        <w:rPr>
          <w:rFonts w:eastAsia="Times New Roman"/>
          <w:color w:val="000000"/>
          <w:sz w:val="20"/>
          <w:szCs w:val="20"/>
        </w:rPr>
        <w:t>We closely monitor economic conditions and loan performance trends to assess and manage our exposure to credit risk. Trends in delinquency rates are the key credit quality indicator for our credit card and retail banking loan portfo</w:t>
      </w:r>
      <w:r>
        <w:rPr>
          <w:rFonts w:eastAsia="Times New Roman"/>
          <w:color w:val="000000"/>
          <w:sz w:val="20"/>
          <w:szCs w:val="20"/>
        </w:rPr>
        <w:t>lios as changes in delinquency rates can provide an early warning of changes in potential future credit losses. The key indicator we monitor when assessing the credit quality and risk of our auto loan portfolio is borrower credit scores as they provide ins</w:t>
      </w:r>
      <w:r>
        <w:rPr>
          <w:rFonts w:eastAsia="Times New Roman"/>
          <w:color w:val="000000"/>
          <w:sz w:val="20"/>
          <w:szCs w:val="20"/>
        </w:rPr>
        <w:t>ight into borrower risk profiles, which give indications of potential future credit losses. The key credit quality indicator for our commercial loan portfolios is our internal risk ratings as we generally classify loans that have been delinquent for an ext</w:t>
      </w:r>
      <w:r>
        <w:rPr>
          <w:rFonts w:eastAsia="Times New Roman"/>
          <w:color w:val="000000"/>
          <w:sz w:val="20"/>
          <w:szCs w:val="20"/>
        </w:rPr>
        <w:t xml:space="preserve">ended period of time and other loans with significant risk of loss as nonperforming. In addition to these credit quality indicators, we also manage and monitor other credit quality metrics such as level of nonperforming loans and net charge-off rates. </w:t>
      </w:r>
    </w:p>
    <w:p w:rsidR="00000000" w:rsidRDefault="0094004B">
      <w:pPr>
        <w:jc w:val="both"/>
        <w:divId w:val="1688755133"/>
        <w:rPr>
          <w:rFonts w:eastAsia="Times New Roman"/>
        </w:rPr>
      </w:pPr>
      <w:r>
        <w:rPr>
          <w:rFonts w:eastAsia="Times New Roman"/>
          <w:color w:val="000000"/>
          <w:sz w:val="20"/>
          <w:szCs w:val="20"/>
        </w:rPr>
        <w:t xml:space="preserve">We </w:t>
      </w:r>
      <w:r>
        <w:rPr>
          <w:rFonts w:eastAsia="Times New Roman"/>
          <w:color w:val="000000"/>
          <w:sz w:val="20"/>
          <w:szCs w:val="20"/>
        </w:rPr>
        <w:t>underwrite most consumer loans using proprietary models, which typically include credit bureau data, such as borrower credit scores, application information and, where applicable, collateral and deal structure data. We continuously adjust our management of</w:t>
      </w:r>
      <w:r>
        <w:rPr>
          <w:rFonts w:eastAsia="Times New Roman"/>
          <w:color w:val="000000"/>
          <w:sz w:val="20"/>
          <w:szCs w:val="20"/>
        </w:rPr>
        <w:t xml:space="preserve"> credit lines and collection strategies based on customer behavior and risk profile changes. We also use borrower credit scores for subprime classification, for competitive benchmarking and, in some cases, to drive product segmentation decisions. </w:t>
      </w:r>
    </w:p>
    <w:p w:rsidR="00000000" w:rsidRDefault="0094004B">
      <w:pPr>
        <w:jc w:val="both"/>
        <w:divId w:val="387924199"/>
        <w:rPr>
          <w:rFonts w:eastAsia="Times New Roman"/>
        </w:rPr>
      </w:pPr>
      <w:r>
        <w:rPr>
          <w:rFonts w:eastAsia="Times New Roman"/>
          <w:color w:val="000000"/>
          <w:sz w:val="20"/>
          <w:szCs w:val="20"/>
        </w:rPr>
        <w:t>Table 21</w:t>
      </w:r>
      <w:r>
        <w:rPr>
          <w:rFonts w:eastAsia="Times New Roman"/>
          <w:color w:val="000000"/>
          <w:sz w:val="20"/>
          <w:szCs w:val="20"/>
        </w:rPr>
        <w:t xml:space="preserve"> provides details on the credit scores of our domestic credit card and auto loan portfolios as of December 31, 2022 and 2021.</w:t>
      </w:r>
    </w:p>
    <w:p w:rsidR="00000000" w:rsidRDefault="0094004B">
      <w:pPr>
        <w:divId w:val="2008438604"/>
        <w:rPr>
          <w:rFonts w:eastAsia="Times New Roman"/>
        </w:rPr>
      </w:pPr>
      <w:r>
        <w:rPr>
          <w:rFonts w:eastAsia="Times New Roman"/>
          <w:b/>
          <w:bCs/>
          <w:color w:val="000000"/>
          <w:sz w:val="18"/>
          <w:szCs w:val="18"/>
        </w:rPr>
        <w:t>Table 21: Credit Score Distribution</w:t>
      </w:r>
    </w:p>
    <w:tbl>
      <w:tblPr>
        <w:tblW w:w="5000" w:type="pct"/>
        <w:tblCellMar>
          <w:top w:w="15" w:type="dxa"/>
          <w:left w:w="15" w:type="dxa"/>
          <w:bottom w:w="15" w:type="dxa"/>
          <w:right w:w="15" w:type="dxa"/>
        </w:tblCellMar>
        <w:tblLook w:val="04A0" w:firstRow="1" w:lastRow="0" w:firstColumn="1" w:lastColumn="0" w:noHBand="0" w:noVBand="1"/>
      </w:tblPr>
      <w:tblGrid>
        <w:gridCol w:w="37"/>
        <w:gridCol w:w="5035"/>
        <w:gridCol w:w="36"/>
        <w:gridCol w:w="36"/>
        <w:gridCol w:w="36"/>
        <w:gridCol w:w="36"/>
        <w:gridCol w:w="50"/>
        <w:gridCol w:w="1267"/>
        <w:gridCol w:w="220"/>
        <w:gridCol w:w="36"/>
        <w:gridCol w:w="36"/>
        <w:gridCol w:w="36"/>
        <w:gridCol w:w="54"/>
        <w:gridCol w:w="1132"/>
        <w:gridCol w:w="187"/>
        <w:gridCol w:w="36"/>
        <w:gridCol w:w="36"/>
      </w:tblGrid>
      <w:tr w:rsidR="00000000">
        <w:trPr>
          <w:divId w:val="159977332"/>
        </w:trPr>
        <w:tc>
          <w:tcPr>
            <w:tcW w:w="50" w:type="pct"/>
            <w:vAlign w:val="center"/>
            <w:hideMark/>
          </w:tcPr>
          <w:p w:rsidR="00000000" w:rsidRDefault="0094004B">
            <w:pPr>
              <w:rPr>
                <w:rFonts w:eastAsia="Times New Roman"/>
              </w:rPr>
            </w:pPr>
          </w:p>
        </w:tc>
        <w:tc>
          <w:tcPr>
            <w:tcW w:w="3110"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86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78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159977332"/>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20"/>
                <w:szCs w:val="20"/>
              </w:rPr>
              <w:t>(Percentage of portfolio)</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December 31, 2022</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December 31, 2021</w:t>
            </w:r>
          </w:p>
        </w:tc>
        <w:tc>
          <w:tcPr>
            <w:tcW w:w="0" w:type="auto"/>
            <w:vAlign w:val="center"/>
            <w:hideMark/>
          </w:tcPr>
          <w:p w:rsidR="00000000" w:rsidRDefault="0094004B">
            <w:pPr>
              <w:spacing w:after="100"/>
              <w:jc w:val="center"/>
              <w:rPr>
                <w:rFonts w:eastAsia="Times New Roman"/>
              </w:rPr>
            </w:pPr>
          </w:p>
        </w:tc>
        <w:tc>
          <w:tcPr>
            <w:tcW w:w="0" w:type="auto"/>
            <w:vAlign w:val="center"/>
            <w:hideMark/>
          </w:tcPr>
          <w:p w:rsidR="00000000" w:rsidRDefault="0094004B">
            <w:pPr>
              <w:spacing w:after="100"/>
              <w:rPr>
                <w:rFonts w:eastAsia="Times New Roman"/>
                <w:sz w:val="20"/>
                <w:szCs w:val="20"/>
              </w:rPr>
            </w:pPr>
          </w:p>
        </w:tc>
      </w:tr>
      <w:tr w:rsidR="00000000">
        <w:trPr>
          <w:divId w:val="159977332"/>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divId w:val="413169928"/>
              <w:rPr>
                <w:rFonts w:eastAsia="Times New Roman"/>
              </w:rPr>
            </w:pPr>
            <w:r>
              <w:rPr>
                <w:rFonts w:eastAsia="Times New Roman"/>
                <w:b/>
                <w:bCs/>
                <w:color w:val="000000"/>
                <w:sz w:val="20"/>
                <w:szCs w:val="20"/>
              </w:rPr>
              <w:t>Domestic credit card—Refreshed FICO scores</w:t>
            </w:r>
            <w:r>
              <w:rPr>
                <w:rFonts w:eastAsia="Times New Roman"/>
                <w:b/>
                <w:bCs/>
                <w:color w:val="000000"/>
                <w:sz w:val="20"/>
                <w:szCs w:val="20"/>
              </w:rPr>
              <w:t>:</w:t>
            </w:r>
            <w:r>
              <w:rPr>
                <w:rFonts w:eastAsia="Times New Roman"/>
                <w:b/>
                <w:bCs/>
                <w:color w:val="000000"/>
                <w:sz w:val="13"/>
                <w:szCs w:val="13"/>
              </w:rPr>
              <w:t>(1</w:t>
            </w:r>
            <w:r>
              <w:rPr>
                <w:rFonts w:eastAsia="Times New Roman"/>
                <w:b/>
                <w:bCs/>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159977332"/>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Greater than 660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69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71 </w:t>
            </w:r>
          </w:p>
        </w:tc>
        <w:tc>
          <w:tcPr>
            <w:tcW w:w="0" w:type="auto"/>
            <w:shd w:val="clear" w:color="auto" w:fill="FFFFFF"/>
            <w:tcMar>
              <w:top w:w="30" w:type="dxa"/>
              <w:left w:w="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r>
      <w:tr w:rsidR="00000000">
        <w:trPr>
          <w:divId w:val="159977332"/>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660 or below</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31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29 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vAlign w:val="center"/>
            <w:hideMark/>
          </w:tcPr>
          <w:p w:rsidR="00000000" w:rsidRDefault="0094004B">
            <w:pPr>
              <w:spacing w:after="100"/>
              <w:jc w:val="right"/>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159977332"/>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100 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85</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11" style="width:0;height:1.5pt" o:hralign="center" o:hrstd="t" o:hr="t" fillcolor="#a0a0a0" stroked="f"/>
        </w:pict>
      </w:r>
    </w:p>
    <w:p w:rsidR="00000000" w:rsidRDefault="0094004B">
      <w:pPr>
        <w:ind w:hanging="360"/>
        <w:jc w:val="both"/>
        <w:divId w:val="433522199"/>
        <w:rPr>
          <w:rFonts w:eastAsia="Times New Roman"/>
        </w:rPr>
      </w:pPr>
      <w:hyperlink w:anchor="ia820611622d9441b977884dac00e0ebd_16"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7"/>
        <w:gridCol w:w="5035"/>
        <w:gridCol w:w="36"/>
        <w:gridCol w:w="36"/>
        <w:gridCol w:w="36"/>
        <w:gridCol w:w="36"/>
        <w:gridCol w:w="50"/>
        <w:gridCol w:w="1267"/>
        <w:gridCol w:w="220"/>
        <w:gridCol w:w="36"/>
        <w:gridCol w:w="36"/>
        <w:gridCol w:w="36"/>
        <w:gridCol w:w="54"/>
        <w:gridCol w:w="1132"/>
        <w:gridCol w:w="187"/>
        <w:gridCol w:w="36"/>
        <w:gridCol w:w="36"/>
      </w:tblGrid>
      <w:tr w:rsidR="00000000">
        <w:trPr>
          <w:divId w:val="1070730621"/>
        </w:trPr>
        <w:tc>
          <w:tcPr>
            <w:tcW w:w="50" w:type="pct"/>
            <w:vAlign w:val="center"/>
            <w:hideMark/>
          </w:tcPr>
          <w:p w:rsidR="00000000" w:rsidRDefault="0094004B">
            <w:pPr>
              <w:ind w:hanging="360"/>
              <w:jc w:val="both"/>
              <w:rPr>
                <w:rFonts w:eastAsia="Times New Roman"/>
              </w:rPr>
            </w:pPr>
          </w:p>
        </w:tc>
        <w:tc>
          <w:tcPr>
            <w:tcW w:w="3110"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86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78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1070730621"/>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20"/>
                <w:szCs w:val="20"/>
              </w:rPr>
              <w:t>(Percentage of portfolio)</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December 31, 2022</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December 31, 2021</w:t>
            </w:r>
          </w:p>
        </w:tc>
        <w:tc>
          <w:tcPr>
            <w:tcW w:w="0" w:type="auto"/>
            <w:vAlign w:val="center"/>
            <w:hideMark/>
          </w:tcPr>
          <w:p w:rsidR="00000000" w:rsidRDefault="0094004B">
            <w:pPr>
              <w:spacing w:after="100"/>
              <w:jc w:val="center"/>
              <w:rPr>
                <w:rFonts w:eastAsia="Times New Roman"/>
              </w:rPr>
            </w:pPr>
          </w:p>
        </w:tc>
        <w:tc>
          <w:tcPr>
            <w:tcW w:w="0" w:type="auto"/>
            <w:vAlign w:val="center"/>
            <w:hideMark/>
          </w:tcPr>
          <w:p w:rsidR="00000000" w:rsidRDefault="0094004B">
            <w:pPr>
              <w:spacing w:after="100"/>
              <w:rPr>
                <w:rFonts w:eastAsia="Times New Roman"/>
                <w:sz w:val="20"/>
                <w:szCs w:val="20"/>
              </w:rPr>
            </w:pPr>
          </w:p>
        </w:tc>
      </w:tr>
      <w:tr w:rsidR="00000000">
        <w:trPr>
          <w:divId w:val="1070730621"/>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divId w:val="683215550"/>
              <w:rPr>
                <w:rFonts w:eastAsia="Times New Roman"/>
              </w:rPr>
            </w:pPr>
            <w:r>
              <w:rPr>
                <w:rFonts w:eastAsia="Times New Roman"/>
                <w:b/>
                <w:bCs/>
                <w:color w:val="000000"/>
                <w:sz w:val="20"/>
                <w:szCs w:val="20"/>
              </w:rPr>
              <w:t>Auto</w:t>
            </w:r>
            <w:r>
              <w:rPr>
                <w:rFonts w:eastAsia="Times New Roman"/>
                <w:color w:val="000000"/>
                <w:sz w:val="20"/>
                <w:szCs w:val="20"/>
              </w:rPr>
              <w:t>—</w:t>
            </w:r>
            <w:r>
              <w:rPr>
                <w:rFonts w:eastAsia="Times New Roman"/>
                <w:b/>
                <w:bCs/>
                <w:color w:val="000000"/>
                <w:sz w:val="20"/>
                <w:szCs w:val="20"/>
              </w:rPr>
              <w:t>At origination FICO scores</w:t>
            </w:r>
            <w:r>
              <w:rPr>
                <w:rFonts w:eastAsia="Times New Roman"/>
                <w:b/>
                <w:bCs/>
                <w:color w:val="000000"/>
                <w:sz w:val="20"/>
                <w:szCs w:val="20"/>
              </w:rPr>
              <w:t>:</w:t>
            </w:r>
            <w:r>
              <w:rPr>
                <w:rFonts w:eastAsia="Times New Roman"/>
                <w:b/>
                <w:bCs/>
                <w:color w:val="000000"/>
                <w:sz w:val="13"/>
                <w:szCs w:val="13"/>
              </w:rPr>
              <w:t>(2</w:t>
            </w:r>
            <w:r>
              <w:rPr>
                <w:rFonts w:eastAsia="Times New Roman"/>
                <w:b/>
                <w:bCs/>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1070730621"/>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Greater than 660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53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50 </w:t>
            </w:r>
          </w:p>
        </w:tc>
        <w:tc>
          <w:tcPr>
            <w:tcW w:w="0" w:type="auto"/>
            <w:shd w:val="clear" w:color="auto" w:fill="FFFFFF"/>
            <w:tcMar>
              <w:top w:w="30" w:type="dxa"/>
              <w:left w:w="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r>
      <w:tr w:rsidR="00000000">
        <w:trPr>
          <w:divId w:val="1070730621"/>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621 - 660</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vAlign w:val="center"/>
            <w:hideMark/>
          </w:tcPr>
          <w:p w:rsidR="00000000" w:rsidRDefault="0094004B">
            <w:pPr>
              <w:spacing w:after="100"/>
              <w:jc w:val="right"/>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1070730621"/>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620 or below</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27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vAlign w:val="center"/>
            <w:hideMark/>
          </w:tcPr>
          <w:p w:rsidR="00000000" w:rsidRDefault="0094004B">
            <w:pPr>
              <w:spacing w:after="100"/>
              <w:jc w:val="right"/>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1070730621"/>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r>
    </w:tbl>
    <w:p w:rsidR="00000000" w:rsidRDefault="0094004B">
      <w:pPr>
        <w:jc w:val="both"/>
        <w:divId w:val="1070730621"/>
        <w:rPr>
          <w:rFonts w:eastAsia="Times New Roman"/>
        </w:rPr>
      </w:pPr>
      <w:r>
        <w:rPr>
          <w:rFonts w:eastAsia="Times New Roman"/>
          <w:color w:val="000000"/>
          <w:sz w:val="20"/>
          <w:szCs w:val="20"/>
        </w:rPr>
        <w:t>__________</w:t>
      </w:r>
    </w:p>
    <w:p w:rsidR="00000000" w:rsidRDefault="0094004B">
      <w:pPr>
        <w:ind w:hanging="360"/>
        <w:jc w:val="both"/>
        <w:divId w:val="218130875"/>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Percentages represent period-end loans held for investment in each credit score category. Domestic Card credit scores generally represent FICO scores. These scores are obtained from one of the major credit bureaus at origination and are refre</w:t>
      </w:r>
      <w:r>
        <w:rPr>
          <w:rFonts w:eastAsia="Times New Roman"/>
          <w:color w:val="000000"/>
          <w:sz w:val="16"/>
          <w:szCs w:val="16"/>
        </w:rPr>
        <w:t>shed monthly thereafter. We approximate non-FICO credit scores to comparable FICO scores for consistency purposes. Balances for which no credit score is available or the credit score is invalid are included in the 660 or below category.</w:t>
      </w:r>
    </w:p>
    <w:p w:rsidR="00000000" w:rsidRDefault="0094004B">
      <w:pPr>
        <w:ind w:hanging="360"/>
        <w:jc w:val="both"/>
        <w:divId w:val="1344354840"/>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Percentages repr</w:t>
      </w:r>
      <w:r>
        <w:rPr>
          <w:rFonts w:eastAsia="Times New Roman"/>
          <w:color w:val="000000"/>
          <w:sz w:val="16"/>
          <w:szCs w:val="16"/>
        </w:rPr>
        <w:t>esent period-end loans held for investment in each credit score category. Auto credit scores generally represent average FICO scores obtained from three credit bureaus at the time of application and are not refreshed thereafter. Balances for which no credi</w:t>
      </w:r>
      <w:r>
        <w:rPr>
          <w:rFonts w:eastAsia="Times New Roman"/>
          <w:color w:val="000000"/>
          <w:sz w:val="16"/>
          <w:szCs w:val="16"/>
        </w:rPr>
        <w:t>t score is available or the credit score is invalid are included in the 620 or below category.</w:t>
      </w:r>
    </w:p>
    <w:p w:rsidR="00000000" w:rsidRDefault="0094004B">
      <w:pPr>
        <w:jc w:val="both"/>
        <w:divId w:val="1103459788"/>
        <w:rPr>
          <w:rFonts w:eastAsia="Times New Roman"/>
        </w:rPr>
      </w:pPr>
      <w:r>
        <w:rPr>
          <w:rFonts w:eastAsia="Times New Roman"/>
          <w:color w:val="000000"/>
          <w:sz w:val="20"/>
          <w:szCs w:val="20"/>
        </w:rPr>
        <w:t>We present information in the section below on the credit performance of our loan portfolio, including the key metrics we use in tracking changes in the credit quality of our loan portfolio. See “Part II—Item 8. Financial Statements and Supplementary Data—</w:t>
      </w:r>
      <w:r>
        <w:rPr>
          <w:rFonts w:eastAsia="Times New Roman"/>
          <w:color w:val="000000"/>
          <w:sz w:val="20"/>
          <w:szCs w:val="20"/>
        </w:rPr>
        <w:t>Note 3—Loans” for additional credit quality information and see “Part II—Item 8. Financial Statements and Supplementary Data—Note 1—Summary of Significant Accounting Policies” for information on our accounting policies for delinquent and nonperforming loan</w:t>
      </w:r>
      <w:r>
        <w:rPr>
          <w:rFonts w:eastAsia="Times New Roman"/>
          <w:color w:val="000000"/>
          <w:sz w:val="20"/>
          <w:szCs w:val="20"/>
        </w:rPr>
        <w:t>s, charge-offs and troubled debt restructurings (“TDRs”) for each of our loan categories.</w:t>
      </w:r>
    </w:p>
    <w:p w:rsidR="00000000" w:rsidRDefault="0094004B">
      <w:pPr>
        <w:divId w:val="938180270"/>
        <w:rPr>
          <w:rFonts w:eastAsia="Times New Roman"/>
        </w:rPr>
      </w:pPr>
      <w:r>
        <w:rPr>
          <w:rFonts w:eastAsia="Times New Roman"/>
          <w:b/>
          <w:bCs/>
          <w:i/>
          <w:iCs/>
          <w:color w:val="000000"/>
          <w:sz w:val="20"/>
          <w:szCs w:val="20"/>
        </w:rPr>
        <w:t>Delinquency Rates</w:t>
      </w:r>
    </w:p>
    <w:p w:rsidR="00000000" w:rsidRDefault="0094004B">
      <w:pPr>
        <w:jc w:val="both"/>
        <w:divId w:val="35199847"/>
        <w:rPr>
          <w:rFonts w:eastAsia="Times New Roman"/>
        </w:rPr>
      </w:pPr>
      <w:r>
        <w:rPr>
          <w:rFonts w:eastAsia="Times New Roman"/>
          <w:color w:val="000000"/>
          <w:sz w:val="20"/>
          <w:szCs w:val="20"/>
        </w:rPr>
        <w:t>We consider the entire balance of an account to be delinquent if the minimum required payment is not received by the customer’s due date, measured a</w:t>
      </w:r>
      <w:r>
        <w:rPr>
          <w:rFonts w:eastAsia="Times New Roman"/>
          <w:color w:val="000000"/>
          <w:sz w:val="20"/>
          <w:szCs w:val="20"/>
        </w:rPr>
        <w:t>t each balance sheet date. Our 30+ day delinquency metrics include all loans held for investment that are 30 or more days past due, whereas our 30+ day performing delinquency metrics include all loans held for investment that are 30 or more days past due b</w:t>
      </w:r>
      <w:r>
        <w:rPr>
          <w:rFonts w:eastAsia="Times New Roman"/>
          <w:color w:val="000000"/>
          <w:sz w:val="20"/>
          <w:szCs w:val="20"/>
        </w:rPr>
        <w:t>ut are currently classified as performing and accruing interest. The 30+ day delinquency and 30+ day performing delinquency metrics are the same for domestic credit card loans, as we continue to classify these loans as performing until the account is charg</w:t>
      </w:r>
      <w:r>
        <w:rPr>
          <w:rFonts w:eastAsia="Times New Roman"/>
          <w:color w:val="000000"/>
          <w:sz w:val="20"/>
          <w:szCs w:val="20"/>
        </w:rPr>
        <w:t xml:space="preserve">ed off, typically when the account is 180 days past due. See “Part II—Item 8. Financial Statements and Supplementary Data—Note 1—Summary of Significant Accounting Policies” for information on our policies for classifying loans as nonperforming for each of </w:t>
      </w:r>
      <w:r>
        <w:rPr>
          <w:rFonts w:eastAsia="Times New Roman"/>
          <w:color w:val="000000"/>
          <w:sz w:val="20"/>
          <w:szCs w:val="20"/>
        </w:rPr>
        <w:t xml:space="preserve">our loan categories. We provide additional information on our credit quality metrics in “Business Segment Financial Performance.” </w:t>
      </w:r>
    </w:p>
    <w:p w:rsidR="00000000" w:rsidRDefault="0094004B">
      <w:pPr>
        <w:jc w:val="both"/>
        <w:divId w:val="1138033699"/>
        <w:rPr>
          <w:rFonts w:eastAsia="Times New Roman"/>
        </w:rPr>
      </w:pPr>
      <w:r>
        <w:rPr>
          <w:rFonts w:eastAsia="Times New Roman"/>
          <w:color w:val="000000"/>
          <w:sz w:val="20"/>
          <w:szCs w:val="20"/>
        </w:rPr>
        <w:t>Table 22 presents our 30+ day performing delinquency rates and 30+ day delinquency rates of our portfolio of loans held for i</w:t>
      </w:r>
      <w:r>
        <w:rPr>
          <w:rFonts w:eastAsia="Times New Roman"/>
          <w:color w:val="000000"/>
          <w:sz w:val="20"/>
          <w:szCs w:val="20"/>
        </w:rPr>
        <w:t>nvestment, by portfolio segment, as of December 31, 2022 and 2021.</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235894475"/>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235894475"/>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235894475"/>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86</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12" style="width:0;height:1.5pt" o:hralign="center" o:hrstd="t" o:hr="t" fillcolor="#a0a0a0" stroked="f"/>
        </w:pict>
      </w:r>
    </w:p>
    <w:p w:rsidR="00000000" w:rsidRDefault="0094004B">
      <w:pPr>
        <w:ind w:hanging="360"/>
        <w:jc w:val="both"/>
        <w:divId w:val="157617563"/>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divId w:val="189027403"/>
        <w:rPr>
          <w:rFonts w:eastAsia="Times New Roman"/>
        </w:rPr>
      </w:pPr>
      <w:r>
        <w:rPr>
          <w:rFonts w:eastAsia="Times New Roman"/>
          <w:b/>
          <w:bCs/>
          <w:color w:val="000000"/>
          <w:sz w:val="18"/>
          <w:szCs w:val="18"/>
        </w:rPr>
        <w:t xml:space="preserve">Table 22: </w:t>
      </w:r>
      <w:r>
        <w:rPr>
          <w:rFonts w:eastAsia="Times New Roman"/>
          <w:b/>
          <w:bCs/>
          <w:color w:val="000000"/>
          <w:sz w:val="20"/>
          <w:szCs w:val="20"/>
        </w:rPr>
        <w:t>30+ Day Delinquencies</w:t>
      </w:r>
    </w:p>
    <w:tbl>
      <w:tblPr>
        <w:tblW w:w="5000" w:type="pct"/>
        <w:tblCellMar>
          <w:top w:w="15" w:type="dxa"/>
          <w:left w:w="15" w:type="dxa"/>
          <w:bottom w:w="15" w:type="dxa"/>
          <w:right w:w="15" w:type="dxa"/>
        </w:tblCellMar>
        <w:tblLook w:val="04A0" w:firstRow="1" w:lastRow="0" w:firstColumn="1" w:lastColumn="0" w:noHBand="0" w:noVBand="1"/>
      </w:tblPr>
      <w:tblGrid>
        <w:gridCol w:w="47"/>
        <w:gridCol w:w="1236"/>
        <w:gridCol w:w="38"/>
        <w:gridCol w:w="36"/>
        <w:gridCol w:w="36"/>
        <w:gridCol w:w="36"/>
        <w:gridCol w:w="122"/>
        <w:gridCol w:w="644"/>
        <w:gridCol w:w="38"/>
        <w:gridCol w:w="36"/>
        <w:gridCol w:w="36"/>
        <w:gridCol w:w="36"/>
        <w:gridCol w:w="70"/>
        <w:gridCol w:w="511"/>
        <w:gridCol w:w="220"/>
        <w:gridCol w:w="36"/>
        <w:gridCol w:w="36"/>
        <w:gridCol w:w="36"/>
        <w:gridCol w:w="121"/>
        <w:gridCol w:w="601"/>
        <w:gridCol w:w="37"/>
        <w:gridCol w:w="36"/>
        <w:gridCol w:w="36"/>
        <w:gridCol w:w="36"/>
        <w:gridCol w:w="70"/>
        <w:gridCol w:w="511"/>
        <w:gridCol w:w="220"/>
        <w:gridCol w:w="36"/>
        <w:gridCol w:w="36"/>
        <w:gridCol w:w="36"/>
        <w:gridCol w:w="122"/>
        <w:gridCol w:w="644"/>
        <w:gridCol w:w="38"/>
        <w:gridCol w:w="36"/>
        <w:gridCol w:w="36"/>
        <w:gridCol w:w="36"/>
        <w:gridCol w:w="70"/>
        <w:gridCol w:w="511"/>
        <w:gridCol w:w="187"/>
        <w:gridCol w:w="36"/>
        <w:gridCol w:w="36"/>
        <w:gridCol w:w="36"/>
        <w:gridCol w:w="122"/>
        <w:gridCol w:w="644"/>
        <w:gridCol w:w="38"/>
        <w:gridCol w:w="37"/>
        <w:gridCol w:w="36"/>
        <w:gridCol w:w="36"/>
        <w:gridCol w:w="70"/>
        <w:gridCol w:w="511"/>
        <w:gridCol w:w="187"/>
      </w:tblGrid>
      <w:tr w:rsidR="00000000">
        <w:trPr>
          <w:divId w:val="189027403"/>
        </w:trPr>
        <w:tc>
          <w:tcPr>
            <w:tcW w:w="50" w:type="pct"/>
            <w:vAlign w:val="center"/>
            <w:hideMark/>
          </w:tcPr>
          <w:p w:rsidR="00000000" w:rsidRDefault="0094004B">
            <w:pPr>
              <w:rPr>
                <w:rFonts w:eastAsia="Times New Roman"/>
              </w:rPr>
            </w:pPr>
          </w:p>
        </w:tc>
        <w:tc>
          <w:tcPr>
            <w:tcW w:w="131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61"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61"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61"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61"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61"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61"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61"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6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89027403"/>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89027403"/>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89027403"/>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1"/>
            <w:tcBorders>
              <w:bottom w:val="single" w:sz="8" w:space="0" w:color="000000"/>
            </w:tcBorders>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b/>
                <w:bCs/>
                <w:color w:val="000000"/>
                <w:sz w:val="20"/>
                <w:szCs w:val="20"/>
              </w:rPr>
              <w:t>December 31, 2022</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21"/>
            <w:tcBorders>
              <w:bottom w:val="single" w:sz="8" w:space="0" w:color="000000"/>
            </w:tcBorders>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b/>
                <w:bCs/>
                <w:color w:val="000000"/>
                <w:sz w:val="20"/>
                <w:szCs w:val="20"/>
              </w:rPr>
              <w:t>December 31, 2021</w:t>
            </w:r>
          </w:p>
        </w:tc>
      </w:tr>
      <w:tr w:rsidR="00000000">
        <w:trPr>
          <w:divId w:val="189027403"/>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9"/>
            <w:tcBorders>
              <w:top w:val="single" w:sz="8" w:space="0" w:color="000000"/>
              <w:bottom w:val="single" w:sz="8" w:space="0" w:color="000000"/>
            </w:tcBorders>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b/>
                <w:bCs/>
                <w:color w:val="000000"/>
                <w:sz w:val="20"/>
                <w:szCs w:val="20"/>
              </w:rPr>
              <w:t>30+ Day Performing Delinquencies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9"/>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30+ Day Delinquencies</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9"/>
            <w:tcBorders>
              <w:top w:val="single" w:sz="8" w:space="0" w:color="000000"/>
              <w:bottom w:val="single" w:sz="8" w:space="0" w:color="000000"/>
            </w:tcBorders>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b/>
                <w:bCs/>
                <w:color w:val="000000"/>
                <w:sz w:val="20"/>
                <w:szCs w:val="20"/>
              </w:rPr>
              <w:t>30+ Day Performing Delinquencies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9"/>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30+ Day Delinquencies</w:t>
            </w:r>
          </w:p>
        </w:tc>
      </w:tr>
      <w:tr w:rsidR="00000000">
        <w:trPr>
          <w:divId w:val="189027403"/>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20"/>
                <w:szCs w:val="20"/>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b/>
                <w:bCs/>
                <w:color w:val="000000"/>
                <w:sz w:val="20"/>
                <w:szCs w:val="20"/>
              </w:rPr>
              <w:t>Rat</w:t>
            </w:r>
            <w:r>
              <w:rPr>
                <w:rFonts w:eastAsia="Times New Roman"/>
                <w:b/>
                <w:bCs/>
                <w:color w:val="000000"/>
                <w:sz w:val="20"/>
                <w:szCs w:val="20"/>
              </w:rPr>
              <w:t>e</w:t>
            </w:r>
            <w:r>
              <w:rPr>
                <w:rFonts w:eastAsia="Times New Roman"/>
                <w:b/>
                <w:bCs/>
                <w:color w:val="000000"/>
                <w:sz w:val="13"/>
                <w:szCs w:val="13"/>
              </w:rPr>
              <w:t>(1</w:t>
            </w:r>
            <w:r>
              <w:rPr>
                <w:rFonts w:eastAsia="Times New Roman"/>
                <w:b/>
                <w:bCs/>
                <w:color w:val="000000"/>
                <w:sz w:val="13"/>
                <w:szCs w:val="13"/>
              </w:rPr>
              <w:t>)</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b/>
                <w:bCs/>
                <w:color w:val="000000"/>
                <w:sz w:val="20"/>
                <w:szCs w:val="20"/>
              </w:rPr>
              <w:t>Rat</w:t>
            </w:r>
            <w:r>
              <w:rPr>
                <w:rFonts w:eastAsia="Times New Roman"/>
                <w:b/>
                <w:bCs/>
                <w:color w:val="000000"/>
                <w:sz w:val="20"/>
                <w:szCs w:val="20"/>
              </w:rPr>
              <w:t>e</w:t>
            </w:r>
            <w:r>
              <w:rPr>
                <w:rFonts w:eastAsia="Times New Roman"/>
                <w:b/>
                <w:bCs/>
                <w:color w:val="000000"/>
                <w:sz w:val="13"/>
                <w:szCs w:val="13"/>
              </w:rPr>
              <w:t>(1</w:t>
            </w:r>
            <w:r>
              <w:rPr>
                <w:rFonts w:eastAsia="Times New Roman"/>
                <w:b/>
                <w:bCs/>
                <w:color w:val="000000"/>
                <w:sz w:val="13"/>
                <w:szCs w:val="13"/>
              </w:rPr>
              <w:t>)</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b/>
                <w:bCs/>
                <w:color w:val="000000"/>
                <w:sz w:val="20"/>
                <w:szCs w:val="20"/>
              </w:rPr>
              <w:t>Rat</w:t>
            </w:r>
            <w:r>
              <w:rPr>
                <w:rFonts w:eastAsia="Times New Roman"/>
                <w:b/>
                <w:bCs/>
                <w:color w:val="000000"/>
                <w:sz w:val="20"/>
                <w:szCs w:val="20"/>
              </w:rPr>
              <w:t>e</w:t>
            </w:r>
            <w:r>
              <w:rPr>
                <w:rFonts w:eastAsia="Times New Roman"/>
                <w:b/>
                <w:bCs/>
                <w:color w:val="000000"/>
                <w:sz w:val="13"/>
                <w:szCs w:val="13"/>
              </w:rPr>
              <w:t>(1</w:t>
            </w:r>
            <w:r>
              <w:rPr>
                <w:rFonts w:eastAsia="Times New Roman"/>
                <w:b/>
                <w:bCs/>
                <w:color w:val="000000"/>
                <w:sz w:val="13"/>
                <w:szCs w:val="13"/>
              </w:rPr>
              <w:t>)</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b/>
                <w:bCs/>
                <w:color w:val="000000"/>
                <w:sz w:val="20"/>
                <w:szCs w:val="20"/>
              </w:rPr>
              <w:t>Rat</w:t>
            </w:r>
            <w:r>
              <w:rPr>
                <w:rFonts w:eastAsia="Times New Roman"/>
                <w:b/>
                <w:bCs/>
                <w:color w:val="000000"/>
                <w:sz w:val="20"/>
                <w:szCs w:val="20"/>
              </w:rPr>
              <w:t>e</w:t>
            </w:r>
            <w:r>
              <w:rPr>
                <w:rFonts w:eastAsia="Times New Roman"/>
                <w:b/>
                <w:bCs/>
                <w:color w:val="000000"/>
                <w:sz w:val="13"/>
                <w:szCs w:val="13"/>
              </w:rPr>
              <w:t>(1</w:t>
            </w:r>
            <w:r>
              <w:rPr>
                <w:rFonts w:eastAsia="Times New Roman"/>
                <w:b/>
                <w:bCs/>
                <w:color w:val="000000"/>
                <w:sz w:val="13"/>
                <w:szCs w:val="13"/>
              </w:rPr>
              <w:t>)</w:t>
            </w:r>
          </w:p>
        </w:tc>
      </w:tr>
      <w:tr w:rsidR="00000000">
        <w:trPr>
          <w:divId w:val="189027403"/>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20"/>
                <w:szCs w:val="20"/>
              </w:rPr>
              <w:t>Credit Card:</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94004B">
        <w:trPr>
          <w:divId w:val="189027403"/>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Domestic credit card</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4,515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3.43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4,515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3.43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2,411 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2.22 </w:t>
            </w:r>
          </w:p>
        </w:tc>
        <w:tc>
          <w:tcPr>
            <w:tcW w:w="0" w:type="auto"/>
            <w:shd w:val="clear" w:color="auto" w:fill="FFFFFF"/>
            <w:tcMar>
              <w:top w:w="30" w:type="dxa"/>
              <w:left w:w="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2,411 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2.22 </w:t>
            </w:r>
          </w:p>
        </w:tc>
        <w:tc>
          <w:tcPr>
            <w:tcW w:w="0" w:type="auto"/>
            <w:shd w:val="clear" w:color="auto" w:fill="FFFFFF"/>
            <w:tcMar>
              <w:top w:w="30" w:type="dxa"/>
              <w:left w:w="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w:t>
            </w:r>
          </w:p>
        </w:tc>
      </w:tr>
      <w:tr w:rsidR="00000000">
        <w:trPr>
          <w:divId w:val="189027403"/>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International card businesses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248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4.03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254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4.13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207 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3.42 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213 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3.51 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89027403"/>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Total credit card</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4,763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3.46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4,769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3.46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2,618 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2.28 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2,624 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2.29 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89027403"/>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20"/>
                <w:szCs w:val="20"/>
              </w:rPr>
              <w:t>Consumer Banking:</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89027403"/>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Auto</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4,402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5.62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4,906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6.26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3,271 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4.32 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3,558 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4.69 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89027403"/>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Retail banking</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1.02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2.22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36 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1.92 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60 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3.20 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89027403"/>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Total consumer banking</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4,418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5.53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4,940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6.18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3,307 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4.26 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3,618 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4.66 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89027403"/>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20"/>
                <w:szCs w:val="20"/>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89027403"/>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Commercial and multifamily real estate</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20"/>
                <w:szCs w:val="20"/>
              </w:rPr>
              <w:t>36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20"/>
                <w:szCs w:val="20"/>
              </w:rPr>
              <w:t>0.10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20"/>
                <w:szCs w:val="20"/>
              </w:rPr>
              <w:t>108 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20"/>
                <w:szCs w:val="20"/>
              </w:rPr>
              <w:t>0.31 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20"/>
                <w:szCs w:val="20"/>
              </w:rPr>
              <w:t>162 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20"/>
                <w:szCs w:val="20"/>
              </w:rPr>
              <w:t>0.46 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189027403"/>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Commercial and industrial</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78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0.14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281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0.49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211 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0.43 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281 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0.57 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89027403"/>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Total commercial banking</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79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0.08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317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0.33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319 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0.38 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443 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0.52 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94004B">
        <w:trPr>
          <w:divId w:val="189027403"/>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9,260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2.96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10,026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3.21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6,244 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2.25 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6,685 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2.41 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bl>
    <w:p w:rsidR="00000000" w:rsidRDefault="0094004B">
      <w:pPr>
        <w:divId w:val="189027403"/>
        <w:rPr>
          <w:rFonts w:eastAsia="Times New Roman"/>
        </w:rPr>
      </w:pPr>
      <w:r>
        <w:rPr>
          <w:rFonts w:eastAsia="Times New Roman"/>
          <w:color w:val="000000"/>
          <w:sz w:val="20"/>
          <w:szCs w:val="20"/>
        </w:rPr>
        <w:t>__________</w:t>
      </w:r>
    </w:p>
    <w:p w:rsidR="00000000" w:rsidRDefault="0094004B">
      <w:pPr>
        <w:ind w:hanging="360"/>
        <w:jc w:val="both"/>
        <w:divId w:val="1425372472"/>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Delinquency rates are calculated </w:t>
      </w:r>
      <w:r>
        <w:rPr>
          <w:rFonts w:eastAsia="Times New Roman"/>
          <w:color w:val="000000"/>
          <w:sz w:val="16"/>
          <w:szCs w:val="16"/>
        </w:rPr>
        <w:t>by dividing delinquency amounts by period-end loans held for investment for each specified loan category.</w:t>
      </w:r>
    </w:p>
    <w:p w:rsidR="00000000" w:rsidRDefault="0094004B">
      <w:pPr>
        <w:jc w:val="both"/>
        <w:divId w:val="476996617"/>
        <w:rPr>
          <w:rFonts w:eastAsia="Times New Roman"/>
        </w:rPr>
      </w:pPr>
      <w:r>
        <w:rPr>
          <w:rFonts w:eastAsia="Times New Roman"/>
          <w:color w:val="000000"/>
          <w:sz w:val="20"/>
          <w:szCs w:val="20"/>
        </w:rPr>
        <w:t>Table 23 presents our 30+ day delinquent loans, by aging and geography, as of December 31, 2022 and 2021.</w:t>
      </w:r>
    </w:p>
    <w:p w:rsidR="00000000" w:rsidRDefault="0094004B">
      <w:pPr>
        <w:divId w:val="1074476940"/>
        <w:rPr>
          <w:rFonts w:eastAsia="Times New Roman"/>
        </w:rPr>
      </w:pPr>
      <w:r>
        <w:rPr>
          <w:rFonts w:eastAsia="Times New Roman"/>
          <w:b/>
          <w:bCs/>
          <w:color w:val="000000"/>
          <w:sz w:val="18"/>
          <w:szCs w:val="18"/>
        </w:rPr>
        <w:t xml:space="preserve">Table 23: </w:t>
      </w:r>
      <w:r>
        <w:rPr>
          <w:rFonts w:eastAsia="Times New Roman"/>
          <w:b/>
          <w:bCs/>
          <w:color w:val="000000"/>
          <w:sz w:val="20"/>
          <w:szCs w:val="20"/>
        </w:rPr>
        <w:t>Aging and Geography of 30+ Day Del</w:t>
      </w:r>
      <w:r>
        <w:rPr>
          <w:rFonts w:eastAsia="Times New Roman"/>
          <w:b/>
          <w:bCs/>
          <w:color w:val="000000"/>
          <w:sz w:val="20"/>
          <w:szCs w:val="20"/>
        </w:rPr>
        <w:t xml:space="preserve">inquent Loans </w:t>
      </w:r>
    </w:p>
    <w:tbl>
      <w:tblPr>
        <w:tblW w:w="5000" w:type="pct"/>
        <w:tblCellMar>
          <w:top w:w="15" w:type="dxa"/>
          <w:left w:w="15" w:type="dxa"/>
          <w:bottom w:w="15" w:type="dxa"/>
          <w:right w:w="15" w:type="dxa"/>
        </w:tblCellMar>
        <w:tblLook w:val="04A0" w:firstRow="1" w:lastRow="0" w:firstColumn="1" w:lastColumn="0" w:noHBand="0" w:noVBand="1"/>
      </w:tblPr>
      <w:tblGrid>
        <w:gridCol w:w="39"/>
        <w:gridCol w:w="4593"/>
        <w:gridCol w:w="38"/>
        <w:gridCol w:w="36"/>
        <w:gridCol w:w="36"/>
        <w:gridCol w:w="36"/>
        <w:gridCol w:w="120"/>
        <w:gridCol w:w="609"/>
        <w:gridCol w:w="36"/>
        <w:gridCol w:w="36"/>
        <w:gridCol w:w="36"/>
        <w:gridCol w:w="36"/>
        <w:gridCol w:w="60"/>
        <w:gridCol w:w="569"/>
        <w:gridCol w:w="220"/>
        <w:gridCol w:w="36"/>
        <w:gridCol w:w="36"/>
        <w:gridCol w:w="36"/>
        <w:gridCol w:w="121"/>
        <w:gridCol w:w="659"/>
        <w:gridCol w:w="37"/>
        <w:gridCol w:w="36"/>
        <w:gridCol w:w="36"/>
        <w:gridCol w:w="36"/>
        <w:gridCol w:w="61"/>
        <w:gridCol w:w="525"/>
        <w:gridCol w:w="187"/>
      </w:tblGrid>
      <w:tr w:rsidR="00000000">
        <w:trPr>
          <w:divId w:val="974994160"/>
        </w:trPr>
        <w:tc>
          <w:tcPr>
            <w:tcW w:w="50" w:type="pct"/>
            <w:vAlign w:val="center"/>
            <w:hideMark/>
          </w:tcPr>
          <w:p w:rsidR="00000000" w:rsidRDefault="0094004B">
            <w:pPr>
              <w:rPr>
                <w:rFonts w:eastAsia="Times New Roman"/>
              </w:rPr>
            </w:pPr>
          </w:p>
        </w:tc>
        <w:tc>
          <w:tcPr>
            <w:tcW w:w="281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4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4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4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3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974994160"/>
        </w:trPr>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9"/>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b/>
                <w:bCs/>
                <w:color w:val="000000"/>
                <w:sz w:val="20"/>
                <w:szCs w:val="20"/>
              </w:rPr>
              <w:t>December 31, 2022</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9"/>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b/>
                <w:bCs/>
                <w:color w:val="000000"/>
                <w:sz w:val="20"/>
                <w:szCs w:val="20"/>
              </w:rPr>
              <w:t>December 31, 2021</w:t>
            </w:r>
          </w:p>
        </w:tc>
      </w:tr>
      <w:tr w:rsidR="00000000">
        <w:trPr>
          <w:divId w:val="974994160"/>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20"/>
                <w:szCs w:val="20"/>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b/>
                <w:bCs/>
                <w:color w:val="000000"/>
                <w:sz w:val="20"/>
                <w:szCs w:val="20"/>
              </w:rPr>
              <w:t>Rat</w:t>
            </w:r>
            <w:r>
              <w:rPr>
                <w:rFonts w:eastAsia="Times New Roman"/>
                <w:b/>
                <w:bCs/>
                <w:color w:val="000000"/>
                <w:sz w:val="20"/>
                <w:szCs w:val="20"/>
              </w:rPr>
              <w:t>e</w:t>
            </w:r>
            <w:r>
              <w:rPr>
                <w:rFonts w:eastAsia="Times New Roman"/>
                <w:b/>
                <w:bCs/>
                <w:color w:val="000000"/>
                <w:sz w:val="13"/>
                <w:szCs w:val="13"/>
              </w:rPr>
              <w:t>(1</w:t>
            </w:r>
            <w:r>
              <w:rPr>
                <w:rFonts w:eastAsia="Times New Roman"/>
                <w:b/>
                <w:bCs/>
                <w:color w:val="000000"/>
                <w:sz w:val="13"/>
                <w:szCs w:val="13"/>
              </w:rPr>
              <w:t>)</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b/>
                <w:bCs/>
                <w:color w:val="000000"/>
                <w:sz w:val="20"/>
                <w:szCs w:val="20"/>
              </w:rPr>
              <w:t>Rat</w:t>
            </w:r>
            <w:r>
              <w:rPr>
                <w:rFonts w:eastAsia="Times New Roman"/>
                <w:b/>
                <w:bCs/>
                <w:color w:val="000000"/>
                <w:sz w:val="20"/>
                <w:szCs w:val="20"/>
              </w:rPr>
              <w:t>e</w:t>
            </w:r>
            <w:r>
              <w:rPr>
                <w:rFonts w:eastAsia="Times New Roman"/>
                <w:b/>
                <w:bCs/>
                <w:color w:val="000000"/>
                <w:sz w:val="13"/>
                <w:szCs w:val="13"/>
              </w:rPr>
              <w:t>(1</w:t>
            </w:r>
            <w:r>
              <w:rPr>
                <w:rFonts w:eastAsia="Times New Roman"/>
                <w:b/>
                <w:bCs/>
                <w:color w:val="000000"/>
                <w:sz w:val="13"/>
                <w:szCs w:val="13"/>
              </w:rPr>
              <w:t>)</w:t>
            </w:r>
          </w:p>
        </w:tc>
      </w:tr>
      <w:tr w:rsidR="00000000">
        <w:trPr>
          <w:divId w:val="974994160"/>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20"/>
                <w:szCs w:val="20"/>
              </w:rPr>
              <w:t>Delinquency status: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974994160"/>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30 – 59 days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4,666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1.50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3,501 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1.26 </w:t>
            </w:r>
          </w:p>
        </w:tc>
        <w:tc>
          <w:tcPr>
            <w:tcW w:w="0" w:type="auto"/>
            <w:shd w:val="clear" w:color="auto" w:fill="FFFFFF"/>
            <w:tcMar>
              <w:top w:w="30" w:type="dxa"/>
              <w:left w:w="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w:t>
            </w:r>
          </w:p>
        </w:tc>
      </w:tr>
      <w:tr w:rsidR="00000000">
        <w:trPr>
          <w:divId w:val="974994160"/>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60 – 89 days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2,511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0.80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1,656 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0.60 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974994160"/>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divId w:val="393048411"/>
              <w:rPr>
                <w:rFonts w:eastAsia="Times New Roman"/>
              </w:rPr>
            </w:pPr>
            <w:r>
              <w:rPr>
                <w:rFonts w:eastAsia="Times New Roman"/>
                <w:color w:val="000000"/>
                <w:sz w:val="20"/>
                <w:szCs w:val="20"/>
                <w:u w:val="single"/>
              </w:rPr>
              <w:t>&gt;</w:t>
            </w:r>
            <w:r>
              <w:rPr>
                <w:rFonts w:eastAsia="Times New Roman"/>
                <w:color w:val="000000"/>
                <w:sz w:val="20"/>
                <w:szCs w:val="20"/>
              </w:rPr>
              <w:t xml:space="preserve"> 90 days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2,849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0.91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1,528 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0.55 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974994160"/>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10,026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3.21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6,685 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2.41 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w:t>
            </w:r>
          </w:p>
        </w:tc>
      </w:tr>
      <w:tr w:rsidR="00000000">
        <w:trPr>
          <w:divId w:val="974994160"/>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20"/>
                <w:szCs w:val="20"/>
              </w:rPr>
              <w:t>Geographic region:</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974994160"/>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Domestic</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9,772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3.13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6,472 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2.33 </w:t>
            </w:r>
          </w:p>
        </w:tc>
        <w:tc>
          <w:tcPr>
            <w:tcW w:w="0" w:type="auto"/>
            <w:shd w:val="clear" w:color="auto" w:fill="CCEEFF"/>
            <w:tcMar>
              <w:top w:w="30" w:type="dxa"/>
              <w:left w:w="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w:t>
            </w:r>
          </w:p>
        </w:tc>
      </w:tr>
      <w:tr w:rsidR="00000000">
        <w:trPr>
          <w:divId w:val="974994160"/>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International</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254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0.08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213 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0.08 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974994160"/>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10,026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3.21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6,685 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2.41 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w:t>
            </w:r>
          </w:p>
        </w:tc>
      </w:tr>
    </w:tbl>
    <w:p w:rsidR="00000000" w:rsidRDefault="0094004B">
      <w:pPr>
        <w:jc w:val="both"/>
        <w:divId w:val="974994160"/>
        <w:rPr>
          <w:rFonts w:eastAsia="Times New Roman"/>
        </w:rPr>
      </w:pPr>
      <w:r>
        <w:rPr>
          <w:rFonts w:eastAsia="Times New Roman"/>
          <w:color w:val="000000"/>
          <w:sz w:val="20"/>
          <w:szCs w:val="20"/>
        </w:rPr>
        <w:t>__________</w:t>
      </w:r>
    </w:p>
    <w:p w:rsidR="00000000" w:rsidRDefault="0094004B">
      <w:pPr>
        <w:ind w:hanging="360"/>
        <w:jc w:val="both"/>
        <w:divId w:val="846285400"/>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Delinquency rates are calculated by dividing delinquency amounts by total period-end loans held for investment.</w:t>
      </w:r>
    </w:p>
    <w:p w:rsidR="00000000" w:rsidRDefault="0094004B">
      <w:pPr>
        <w:jc w:val="both"/>
        <w:divId w:val="606087306"/>
        <w:rPr>
          <w:rFonts w:eastAsia="Times New Roman"/>
        </w:rPr>
      </w:pPr>
      <w:r>
        <w:rPr>
          <w:rFonts w:eastAsia="Times New Roman"/>
          <w:color w:val="000000"/>
          <w:sz w:val="20"/>
          <w:szCs w:val="20"/>
        </w:rPr>
        <w:t>Table 24 summarizes loans that were 90+ days delinquent as to interest or principal and still accruing interest as of December 31, 2022 and 2021. These loans consist primarily of credit card accounts between 90 days and 179 days past due. As permitted by r</w:t>
      </w:r>
      <w:r>
        <w:rPr>
          <w:rFonts w:eastAsia="Times New Roman"/>
          <w:color w:val="000000"/>
          <w:sz w:val="20"/>
          <w:szCs w:val="20"/>
        </w:rPr>
        <w:t>egulatory guidance issued by the FFIEC, we continue to accrue interest and fees on domestic credit card loans through the date of charge off, which is typically in the period the account becomes 180 days past due.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876627368"/>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876627368"/>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876627368"/>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87</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13" style="width:0;height:1.5pt" o:hralign="center" o:hrstd="t" o:hr="t" fillcolor="#a0a0a0" stroked="f"/>
        </w:pict>
      </w:r>
    </w:p>
    <w:p w:rsidR="00000000" w:rsidRDefault="0094004B">
      <w:pPr>
        <w:ind w:hanging="360"/>
        <w:jc w:val="both"/>
        <w:divId w:val="1209607914"/>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divId w:val="1923685667"/>
        <w:rPr>
          <w:rFonts w:eastAsia="Times New Roman"/>
        </w:rPr>
      </w:pPr>
      <w:r>
        <w:rPr>
          <w:rFonts w:eastAsia="Times New Roman"/>
          <w:b/>
          <w:bCs/>
          <w:color w:val="000000"/>
          <w:sz w:val="18"/>
          <w:szCs w:val="18"/>
        </w:rPr>
        <w:t xml:space="preserve">Table 24: </w:t>
      </w:r>
      <w:r>
        <w:rPr>
          <w:rFonts w:eastAsia="Times New Roman"/>
          <w:b/>
          <w:bCs/>
          <w:color w:val="000000"/>
          <w:sz w:val="20"/>
          <w:szCs w:val="20"/>
        </w:rPr>
        <w:t xml:space="preserve">90+ Day Delinquent Loans Accruing Interest </w:t>
      </w:r>
    </w:p>
    <w:tbl>
      <w:tblPr>
        <w:tblW w:w="5000" w:type="pct"/>
        <w:tblCellMar>
          <w:top w:w="15" w:type="dxa"/>
          <w:left w:w="15" w:type="dxa"/>
          <w:bottom w:w="15" w:type="dxa"/>
          <w:right w:w="15" w:type="dxa"/>
        </w:tblCellMar>
        <w:tblLook w:val="04A0" w:firstRow="1" w:lastRow="0" w:firstColumn="1" w:lastColumn="0" w:noHBand="0" w:noVBand="1"/>
      </w:tblPr>
      <w:tblGrid>
        <w:gridCol w:w="40"/>
        <w:gridCol w:w="4582"/>
        <w:gridCol w:w="38"/>
        <w:gridCol w:w="36"/>
        <w:gridCol w:w="36"/>
        <w:gridCol w:w="36"/>
        <w:gridCol w:w="121"/>
        <w:gridCol w:w="659"/>
        <w:gridCol w:w="37"/>
        <w:gridCol w:w="36"/>
        <w:gridCol w:w="36"/>
        <w:gridCol w:w="36"/>
        <w:gridCol w:w="60"/>
        <w:gridCol w:w="527"/>
        <w:gridCol w:w="220"/>
        <w:gridCol w:w="36"/>
        <w:gridCol w:w="36"/>
        <w:gridCol w:w="36"/>
        <w:gridCol w:w="121"/>
        <w:gridCol w:w="659"/>
        <w:gridCol w:w="37"/>
        <w:gridCol w:w="36"/>
        <w:gridCol w:w="36"/>
        <w:gridCol w:w="36"/>
        <w:gridCol w:w="61"/>
        <w:gridCol w:w="525"/>
        <w:gridCol w:w="187"/>
      </w:tblGrid>
      <w:tr w:rsidR="00000000">
        <w:trPr>
          <w:divId w:val="839856974"/>
        </w:trPr>
        <w:tc>
          <w:tcPr>
            <w:tcW w:w="50" w:type="pct"/>
            <w:vAlign w:val="center"/>
            <w:hideMark/>
          </w:tcPr>
          <w:p w:rsidR="00000000" w:rsidRDefault="0094004B">
            <w:pPr>
              <w:rPr>
                <w:rFonts w:eastAsia="Times New Roman"/>
              </w:rPr>
            </w:pPr>
          </w:p>
        </w:tc>
        <w:tc>
          <w:tcPr>
            <w:tcW w:w="281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4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4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4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3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839856974"/>
        </w:trPr>
        <w:tc>
          <w:tcPr>
            <w:tcW w:w="0" w:type="auto"/>
            <w:gridSpan w:val="3"/>
            <w:tcMar>
              <w:top w:w="30" w:type="dxa"/>
              <w:left w:w="245" w:type="dxa"/>
              <w:bottom w:w="30" w:type="dxa"/>
              <w:right w:w="20" w:type="dxa"/>
            </w:tcMar>
            <w:vAlign w:val="bottom"/>
            <w:hideMark/>
          </w:tcPr>
          <w:p w:rsidR="00000000" w:rsidRDefault="0094004B">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9"/>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b/>
                <w:bCs/>
                <w:color w:val="000000"/>
                <w:sz w:val="20"/>
                <w:szCs w:val="20"/>
              </w:rPr>
              <w:t>December 31, 2022</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9"/>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b/>
                <w:bCs/>
                <w:color w:val="000000"/>
                <w:sz w:val="20"/>
                <w:szCs w:val="20"/>
              </w:rPr>
              <w:t>December 31, 2021</w:t>
            </w:r>
          </w:p>
        </w:tc>
      </w:tr>
      <w:tr w:rsidR="00000000">
        <w:trPr>
          <w:divId w:val="839856974"/>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20"/>
                <w:szCs w:val="20"/>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b/>
                <w:bCs/>
                <w:color w:val="000000"/>
                <w:sz w:val="20"/>
                <w:szCs w:val="20"/>
              </w:rPr>
              <w:t>Rat</w:t>
            </w:r>
            <w:r>
              <w:rPr>
                <w:rFonts w:eastAsia="Times New Roman"/>
                <w:b/>
                <w:bCs/>
                <w:color w:val="000000"/>
                <w:sz w:val="20"/>
                <w:szCs w:val="20"/>
              </w:rPr>
              <w:t>e</w:t>
            </w:r>
            <w:r>
              <w:rPr>
                <w:rFonts w:eastAsia="Times New Roman"/>
                <w:b/>
                <w:bCs/>
                <w:color w:val="000000"/>
                <w:sz w:val="13"/>
                <w:szCs w:val="13"/>
              </w:rPr>
              <w:t>(1</w:t>
            </w:r>
            <w:r>
              <w:rPr>
                <w:rFonts w:eastAsia="Times New Roman"/>
                <w:b/>
                <w:bCs/>
                <w:color w:val="000000"/>
                <w:sz w:val="13"/>
                <w:szCs w:val="13"/>
              </w:rPr>
              <w:t>)</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b/>
                <w:bCs/>
                <w:color w:val="000000"/>
                <w:sz w:val="20"/>
                <w:szCs w:val="20"/>
              </w:rPr>
              <w:t>Rat</w:t>
            </w:r>
            <w:r>
              <w:rPr>
                <w:rFonts w:eastAsia="Times New Roman"/>
                <w:b/>
                <w:bCs/>
                <w:color w:val="000000"/>
                <w:sz w:val="20"/>
                <w:szCs w:val="20"/>
              </w:rPr>
              <w:t>e</w:t>
            </w:r>
            <w:r>
              <w:rPr>
                <w:rFonts w:eastAsia="Times New Roman"/>
                <w:b/>
                <w:bCs/>
                <w:color w:val="000000"/>
                <w:sz w:val="13"/>
                <w:szCs w:val="13"/>
              </w:rPr>
              <w:t>(1</w:t>
            </w:r>
            <w:r>
              <w:rPr>
                <w:rFonts w:eastAsia="Times New Roman"/>
                <w:b/>
                <w:bCs/>
                <w:color w:val="000000"/>
                <w:sz w:val="13"/>
                <w:szCs w:val="13"/>
              </w:rPr>
              <w:t>)</w:t>
            </w:r>
          </w:p>
        </w:tc>
      </w:tr>
      <w:tr w:rsidR="00000000">
        <w:trPr>
          <w:divId w:val="83985697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20"/>
                <w:szCs w:val="20"/>
              </w:rPr>
              <w:t>Loan category:</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839856974"/>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Credit card</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2,240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1.63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1,192 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1.04 </w:t>
            </w:r>
          </w:p>
        </w:tc>
        <w:tc>
          <w:tcPr>
            <w:tcW w:w="0" w:type="auto"/>
            <w:shd w:val="clear" w:color="auto" w:fill="FFFFFF"/>
            <w:tcMar>
              <w:top w:w="30" w:type="dxa"/>
              <w:left w:w="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w:t>
            </w:r>
          </w:p>
        </w:tc>
      </w:tr>
      <w:tr w:rsidR="00000000">
        <w:trPr>
          <w:divId w:val="839856974"/>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839856974"/>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2,240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0.72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1,195 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0.43 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839856974"/>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20"/>
                <w:szCs w:val="20"/>
              </w:rPr>
              <w:t>Geographic region:</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839856974"/>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Domestic</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20"/>
                <w:szCs w:val="20"/>
              </w:rPr>
              <w:t>2,135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0.70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1,113 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0.41 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839856974"/>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International</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105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1.71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82 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1.36 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839856974"/>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2,240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0.72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1,195 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0.43 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bl>
    <w:p w:rsidR="00000000" w:rsidRDefault="0094004B">
      <w:pPr>
        <w:divId w:val="839856974"/>
        <w:rPr>
          <w:rFonts w:eastAsia="Times New Roman"/>
        </w:rPr>
      </w:pPr>
      <w:r>
        <w:rPr>
          <w:rFonts w:eastAsia="Times New Roman"/>
          <w:color w:val="000000"/>
          <w:sz w:val="20"/>
          <w:szCs w:val="20"/>
        </w:rPr>
        <w:t>__________</w:t>
      </w:r>
    </w:p>
    <w:p w:rsidR="00000000" w:rsidRDefault="0094004B">
      <w:pPr>
        <w:ind w:hanging="360"/>
        <w:jc w:val="both"/>
        <w:divId w:val="1500729110"/>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D</w:t>
      </w:r>
      <w:r>
        <w:rPr>
          <w:rFonts w:eastAsia="Times New Roman"/>
          <w:color w:val="000000"/>
          <w:sz w:val="16"/>
          <w:szCs w:val="16"/>
        </w:rPr>
        <w:t>elinquency rates are calculated by dividing delinquency amounts by period-end loans held for investment for each specified loan category.</w:t>
      </w:r>
    </w:p>
    <w:p w:rsidR="00000000" w:rsidRDefault="0094004B">
      <w:pPr>
        <w:divId w:val="792139092"/>
        <w:rPr>
          <w:rFonts w:eastAsia="Times New Roman"/>
        </w:rPr>
      </w:pPr>
      <w:r>
        <w:rPr>
          <w:rFonts w:eastAsia="Times New Roman"/>
          <w:b/>
          <w:bCs/>
          <w:i/>
          <w:iCs/>
          <w:color w:val="000000"/>
          <w:sz w:val="20"/>
          <w:szCs w:val="20"/>
        </w:rPr>
        <w:t>Nonperforming Loans and Nonperforming Assets</w:t>
      </w:r>
    </w:p>
    <w:p w:rsidR="00000000" w:rsidRDefault="0094004B">
      <w:pPr>
        <w:jc w:val="both"/>
        <w:divId w:val="1214848947"/>
        <w:rPr>
          <w:rFonts w:eastAsia="Times New Roman"/>
        </w:rPr>
      </w:pPr>
      <w:r>
        <w:rPr>
          <w:rFonts w:eastAsia="Times New Roman"/>
          <w:color w:val="000000"/>
          <w:sz w:val="20"/>
          <w:szCs w:val="20"/>
        </w:rPr>
        <w:t>Nonperforming loans include loans that have been placed on nonaccrual sta</w:t>
      </w:r>
      <w:r>
        <w:rPr>
          <w:rFonts w:eastAsia="Times New Roman"/>
          <w:color w:val="000000"/>
          <w:sz w:val="20"/>
          <w:szCs w:val="20"/>
        </w:rPr>
        <w:t>tus. Nonperforming assets consist of nonperforming loans, repossessed assets and other foreclosed assets. See “Part II—Item 8. Financial Statements and Supplementary Data—Note 1—Summary of Significant Accounting Policies” for information on our policies fo</w:t>
      </w:r>
      <w:r>
        <w:rPr>
          <w:rFonts w:eastAsia="Times New Roman"/>
          <w:color w:val="000000"/>
          <w:sz w:val="20"/>
          <w:szCs w:val="20"/>
        </w:rPr>
        <w:t>r classifying loans as nonperforming for each of our loan categories.</w:t>
      </w:r>
    </w:p>
    <w:p w:rsidR="00000000" w:rsidRDefault="0094004B">
      <w:pPr>
        <w:jc w:val="both"/>
        <w:divId w:val="413667717"/>
        <w:rPr>
          <w:rFonts w:eastAsia="Times New Roman"/>
        </w:rPr>
      </w:pPr>
      <w:r>
        <w:rPr>
          <w:rFonts w:eastAsia="Times New Roman"/>
          <w:color w:val="000000"/>
          <w:sz w:val="20"/>
          <w:szCs w:val="20"/>
        </w:rPr>
        <w:t>Table 25 presents our nonperforming loans, by portfolio segment, and other nonperforming assets as of December 31, 2022 and 2021. We do not classify loans held for sale as nonperforming.</w:t>
      </w:r>
      <w:r>
        <w:rPr>
          <w:rFonts w:eastAsia="Times New Roman"/>
          <w:color w:val="000000"/>
          <w:sz w:val="20"/>
          <w:szCs w:val="20"/>
        </w:rPr>
        <w:t xml:space="preserve"> We provide additional information on our credit quality metrics in “Business Segment Financial Performance.”</w:t>
      </w:r>
    </w:p>
    <w:p w:rsidR="00000000" w:rsidRDefault="0094004B">
      <w:pPr>
        <w:divId w:val="993220338"/>
        <w:rPr>
          <w:rFonts w:eastAsia="Times New Roman"/>
        </w:rPr>
      </w:pPr>
      <w:r>
        <w:rPr>
          <w:rFonts w:eastAsia="Times New Roman"/>
          <w:b/>
          <w:bCs/>
          <w:color w:val="000000"/>
          <w:sz w:val="18"/>
          <w:szCs w:val="18"/>
        </w:rPr>
        <w:t>Table 25: Nonperforming Loans and Other Nonperforming Asset</w:t>
      </w:r>
      <w:r>
        <w:rPr>
          <w:rFonts w:eastAsia="Times New Roman"/>
          <w:b/>
          <w:bCs/>
          <w:color w:val="000000"/>
          <w:sz w:val="18"/>
          <w:szCs w:val="18"/>
        </w:rPr>
        <w:t>s</w:t>
      </w:r>
      <w:r>
        <w:rPr>
          <w:rFonts w:eastAsia="Times New Roman"/>
          <w:b/>
          <w:bCs/>
          <w:color w:val="000000"/>
          <w:sz w:val="12"/>
          <w:szCs w:val="12"/>
        </w:rPr>
        <w:t>(1</w:t>
      </w:r>
      <w:r>
        <w:rPr>
          <w:rFonts w:eastAsia="Times New Roman"/>
          <w:b/>
          <w:bCs/>
          <w:color w:val="000000"/>
          <w:sz w:val="12"/>
          <w:szCs w:val="12"/>
        </w:rPr>
        <w:t>)</w:t>
      </w:r>
    </w:p>
    <w:tbl>
      <w:tblPr>
        <w:tblW w:w="5000" w:type="pct"/>
        <w:tblCellMar>
          <w:top w:w="15" w:type="dxa"/>
          <w:left w:w="15" w:type="dxa"/>
          <w:bottom w:w="15" w:type="dxa"/>
          <w:right w:w="15" w:type="dxa"/>
        </w:tblCellMar>
        <w:tblLook w:val="04A0" w:firstRow="1" w:lastRow="0" w:firstColumn="1" w:lastColumn="0" w:noHBand="0" w:noVBand="1"/>
      </w:tblPr>
      <w:tblGrid>
        <w:gridCol w:w="38"/>
        <w:gridCol w:w="4865"/>
        <w:gridCol w:w="37"/>
        <w:gridCol w:w="36"/>
        <w:gridCol w:w="36"/>
        <w:gridCol w:w="36"/>
        <w:gridCol w:w="121"/>
        <w:gridCol w:w="652"/>
        <w:gridCol w:w="37"/>
        <w:gridCol w:w="36"/>
        <w:gridCol w:w="36"/>
        <w:gridCol w:w="36"/>
        <w:gridCol w:w="49"/>
        <w:gridCol w:w="398"/>
        <w:gridCol w:w="221"/>
        <w:gridCol w:w="36"/>
        <w:gridCol w:w="36"/>
        <w:gridCol w:w="36"/>
        <w:gridCol w:w="121"/>
        <w:gridCol w:w="652"/>
        <w:gridCol w:w="37"/>
        <w:gridCol w:w="36"/>
        <w:gridCol w:w="36"/>
        <w:gridCol w:w="36"/>
        <w:gridCol w:w="48"/>
        <w:gridCol w:w="411"/>
        <w:gridCol w:w="187"/>
      </w:tblGrid>
      <w:tr w:rsidR="00000000">
        <w:trPr>
          <w:divId w:val="1386568335"/>
        </w:trPr>
        <w:tc>
          <w:tcPr>
            <w:tcW w:w="50" w:type="pct"/>
            <w:vAlign w:val="center"/>
            <w:hideMark/>
          </w:tcPr>
          <w:p w:rsidR="00000000" w:rsidRDefault="0094004B">
            <w:pPr>
              <w:rPr>
                <w:rFonts w:eastAsia="Times New Roman"/>
              </w:rPr>
            </w:pPr>
          </w:p>
        </w:tc>
        <w:tc>
          <w:tcPr>
            <w:tcW w:w="2978"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98"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98"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98"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0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386568335"/>
        </w:trPr>
        <w:tc>
          <w:tcPr>
            <w:tcW w:w="0" w:type="auto"/>
            <w:gridSpan w:val="3"/>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December 31, 2022</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December 31, 2021</w:t>
            </w:r>
          </w:p>
        </w:tc>
      </w:tr>
      <w:tr w:rsidR="00000000">
        <w:trPr>
          <w:divId w:val="1386568335"/>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20"/>
                <w:szCs w:val="20"/>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Rate</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Rate</w:t>
            </w:r>
          </w:p>
        </w:tc>
      </w:tr>
      <w:tr w:rsidR="00000000">
        <w:trPr>
          <w:divId w:val="138656833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divId w:val="399404590"/>
              <w:rPr>
                <w:rFonts w:eastAsia="Times New Roman"/>
              </w:rPr>
            </w:pPr>
            <w:r>
              <w:rPr>
                <w:rFonts w:eastAsia="Times New Roman"/>
                <w:b/>
                <w:bCs/>
                <w:color w:val="000000"/>
                <w:sz w:val="20"/>
                <w:szCs w:val="20"/>
              </w:rPr>
              <w:t>Nonperforming loans held for investment</w:t>
            </w:r>
            <w:r>
              <w:rPr>
                <w:rFonts w:eastAsia="Times New Roman"/>
                <w:b/>
                <w:bCs/>
                <w:color w:val="000000"/>
                <w:sz w:val="20"/>
                <w:szCs w:val="20"/>
              </w:rPr>
              <w:t>:</w:t>
            </w:r>
            <w:r>
              <w:rPr>
                <w:rFonts w:eastAsia="Times New Roman"/>
                <w:b/>
                <w:bCs/>
                <w:color w:val="000000"/>
                <w:sz w:val="13"/>
                <w:szCs w:val="13"/>
              </w:rPr>
              <w:t>(2</w:t>
            </w:r>
            <w:r>
              <w:rPr>
                <w:rFonts w:eastAsia="Times New Roman"/>
                <w:b/>
                <w:bCs/>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386568335"/>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20"/>
                <w:szCs w:val="20"/>
              </w:rPr>
              <w:t>Credit Card:</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386568335"/>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International card businesses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0.14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0.16 </w:t>
            </w:r>
          </w:p>
        </w:tc>
        <w:tc>
          <w:tcPr>
            <w:tcW w:w="0" w:type="auto"/>
            <w:shd w:val="clear" w:color="auto" w:fill="CCEEFF"/>
            <w:tcMar>
              <w:top w:w="30" w:type="dxa"/>
              <w:left w:w="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w:t>
            </w:r>
          </w:p>
        </w:tc>
      </w:tr>
      <w:tr w:rsidR="00000000">
        <w:trPr>
          <w:divId w:val="1386568335"/>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Total credit card</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0.01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10 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0.01 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386568335"/>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20"/>
                <w:szCs w:val="20"/>
              </w:rPr>
              <w:t>Consumer Banking:</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386568335"/>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Auto</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595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0.76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344 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0.45 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386568335"/>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Retail banking</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2.49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47 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2.51 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386568335"/>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Total consumer banking</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634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0.79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391 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0.50 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386568335"/>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20"/>
                <w:szCs w:val="20"/>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386568335"/>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Commercial and multifamily real estate</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271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0.72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383 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1.09 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386568335"/>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Commercial and industrial</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430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0.75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316 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0.64 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386568335"/>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Total commercial banking</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20"/>
                <w:szCs w:val="20"/>
              </w:rPr>
              <w:t>701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0.74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699 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0.82 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386568335"/>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divId w:val="79059403"/>
              <w:rPr>
                <w:rFonts w:eastAsia="Times New Roman"/>
              </w:rPr>
            </w:pPr>
            <w:r>
              <w:rPr>
                <w:rFonts w:eastAsia="Times New Roman"/>
                <w:color w:val="000000"/>
                <w:sz w:val="20"/>
                <w:szCs w:val="20"/>
              </w:rPr>
              <w:t>Total nonperforming loans held for investmen</w:t>
            </w:r>
            <w:r>
              <w:rPr>
                <w:rFonts w:eastAsia="Times New Roman"/>
                <w:color w:val="000000"/>
                <w:sz w:val="20"/>
                <w:szCs w:val="20"/>
              </w:rPr>
              <w:t>t</w:t>
            </w:r>
            <w:r>
              <w:rPr>
                <w:rFonts w:eastAsia="Times New Roman"/>
                <w:color w:val="000000"/>
                <w:sz w:val="13"/>
                <w:szCs w:val="13"/>
              </w:rPr>
              <w:t>(3</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1,344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0.43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1,100 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0.40 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386568335"/>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divId w:val="1955940767"/>
              <w:rPr>
                <w:rFonts w:eastAsia="Times New Roman"/>
              </w:rPr>
            </w:pPr>
            <w:r>
              <w:rPr>
                <w:rFonts w:eastAsia="Times New Roman"/>
                <w:color w:val="000000"/>
                <w:sz w:val="20"/>
                <w:szCs w:val="20"/>
              </w:rPr>
              <w:t>Other nonperforming asset</w:t>
            </w:r>
            <w:r>
              <w:rPr>
                <w:rFonts w:eastAsia="Times New Roman"/>
                <w:color w:val="000000"/>
                <w:sz w:val="20"/>
                <w:szCs w:val="20"/>
              </w:rPr>
              <w:t>s</w:t>
            </w:r>
            <w:r>
              <w:rPr>
                <w:rFonts w:eastAsia="Times New Roman"/>
                <w:color w:val="000000"/>
                <w:sz w:val="13"/>
                <w:szCs w:val="13"/>
              </w:rPr>
              <w:t>(4</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61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0.02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41 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0.01 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386568335"/>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Total nonperforming assets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1,405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0.45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1,141 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0.41 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bl>
    <w:p w:rsidR="00000000" w:rsidRDefault="0094004B">
      <w:pPr>
        <w:divId w:val="1386568335"/>
        <w:rPr>
          <w:rFonts w:eastAsia="Times New Roman"/>
        </w:rPr>
      </w:pPr>
      <w:r>
        <w:rPr>
          <w:rFonts w:eastAsia="Times New Roman"/>
          <w:color w:val="000000"/>
          <w:sz w:val="20"/>
          <w:szCs w:val="20"/>
        </w:rPr>
        <w:t>__________</w:t>
      </w:r>
    </w:p>
    <w:p w:rsidR="00000000" w:rsidRDefault="0094004B">
      <w:pPr>
        <w:ind w:hanging="360"/>
        <w:jc w:val="both"/>
        <w:divId w:val="1020158181"/>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We recognized interest income for loans classified as nonperforming of $66 mill</w:t>
      </w:r>
      <w:r>
        <w:rPr>
          <w:rFonts w:eastAsia="Times New Roman"/>
          <w:color w:val="000000"/>
          <w:sz w:val="16"/>
          <w:szCs w:val="16"/>
        </w:rPr>
        <w:t>ion and $43 million in 2022 and 2021, respectively. Interest income foregone related to nonperforming loans was $83 million and $51 million in 2022 and 2021, respectively. Foregone interest income represents the amount of interest income in excess of recog</w:t>
      </w:r>
      <w:r>
        <w:rPr>
          <w:rFonts w:eastAsia="Times New Roman"/>
          <w:color w:val="000000"/>
          <w:sz w:val="16"/>
          <w:szCs w:val="16"/>
        </w:rPr>
        <w:t>nized interest income that would have been recorded during the period for nonperforming loans as of the end of the period had the loans performed according to their contractual terms.</w:t>
      </w:r>
    </w:p>
    <w:p w:rsidR="00000000" w:rsidRDefault="0094004B">
      <w:pPr>
        <w:ind w:hanging="360"/>
        <w:jc w:val="both"/>
        <w:divId w:val="1271351356"/>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 xml:space="preserve">Nonperforming loan rates are calculated based on nonperforming loans </w:t>
      </w:r>
      <w:r>
        <w:rPr>
          <w:rFonts w:eastAsia="Times New Roman"/>
          <w:color w:val="000000"/>
          <w:sz w:val="16"/>
          <w:szCs w:val="16"/>
        </w:rPr>
        <w:t>for each category divided by period-end total loans held for investment for each respective category.</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427192594"/>
          <w:jc w:val="center"/>
        </w:trPr>
        <w:tc>
          <w:tcPr>
            <w:tcW w:w="50" w:type="pct"/>
            <w:vAlign w:val="center"/>
            <w:hideMark/>
          </w:tcPr>
          <w:p w:rsidR="00000000" w:rsidRDefault="0094004B">
            <w:pPr>
              <w:ind w:hanging="360"/>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427192594"/>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427192594"/>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88</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14" style="width:0;height:1.5pt" o:hralign="center" o:hrstd="t" o:hr="t" fillcolor="#a0a0a0" stroked="f"/>
        </w:pict>
      </w:r>
    </w:p>
    <w:p w:rsidR="00000000" w:rsidRDefault="0094004B">
      <w:pPr>
        <w:ind w:hanging="360"/>
        <w:jc w:val="both"/>
        <w:divId w:val="956957988"/>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ind w:hanging="360"/>
        <w:jc w:val="both"/>
        <w:divId w:val="1877962963"/>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Excluding the impact of domestic credit card loans, nonperforming loans as a percentage of total loans held for investment was 0.74% and 0.6</w:t>
      </w:r>
      <w:r>
        <w:rPr>
          <w:rFonts w:eastAsia="Times New Roman"/>
          <w:color w:val="000000"/>
          <w:sz w:val="16"/>
          <w:szCs w:val="16"/>
        </w:rPr>
        <w:t>5% as of December 31, 2022 and 2021, respectively.</w:t>
      </w:r>
    </w:p>
    <w:p w:rsidR="00000000" w:rsidRDefault="0094004B">
      <w:pPr>
        <w:ind w:hanging="360"/>
        <w:jc w:val="both"/>
        <w:divId w:val="1835140609"/>
        <w:rPr>
          <w:rFonts w:eastAsia="Times New Roman"/>
        </w:rPr>
      </w:pPr>
      <w:r>
        <w:rPr>
          <w:rFonts w:eastAsia="Times New Roman"/>
          <w:color w:val="000000"/>
          <w:sz w:val="10"/>
          <w:szCs w:val="10"/>
        </w:rPr>
        <w:t>(4</w:t>
      </w:r>
      <w:r>
        <w:rPr>
          <w:rFonts w:eastAsia="Times New Roman"/>
          <w:color w:val="000000"/>
          <w:sz w:val="10"/>
          <w:szCs w:val="10"/>
        </w:rPr>
        <w:t>)</w:t>
      </w:r>
      <w:r>
        <w:rPr>
          <w:rFonts w:eastAsia="Times New Roman"/>
          <w:color w:val="000000"/>
          <w:sz w:val="16"/>
          <w:szCs w:val="16"/>
        </w:rPr>
        <w:t xml:space="preserve">The denominators used in calculating nonperforming asset rates consist of total loans held for investment and other nonperforming assets. </w:t>
      </w:r>
    </w:p>
    <w:p w:rsidR="00000000" w:rsidRDefault="0094004B">
      <w:pPr>
        <w:divId w:val="1502426492"/>
        <w:rPr>
          <w:rFonts w:eastAsia="Times New Roman"/>
        </w:rPr>
      </w:pPr>
      <w:r>
        <w:rPr>
          <w:rFonts w:eastAsia="Times New Roman"/>
          <w:b/>
          <w:bCs/>
          <w:i/>
          <w:iCs/>
          <w:color w:val="000000"/>
          <w:sz w:val="20"/>
          <w:szCs w:val="20"/>
        </w:rPr>
        <w:t>Net Charge-Offs</w:t>
      </w:r>
    </w:p>
    <w:p w:rsidR="00000000" w:rsidRDefault="0094004B">
      <w:pPr>
        <w:jc w:val="both"/>
        <w:divId w:val="1658994508"/>
        <w:rPr>
          <w:rFonts w:eastAsia="Times New Roman"/>
        </w:rPr>
      </w:pPr>
      <w:r>
        <w:rPr>
          <w:rFonts w:eastAsia="Times New Roman"/>
          <w:color w:val="000000"/>
          <w:sz w:val="20"/>
          <w:szCs w:val="20"/>
        </w:rPr>
        <w:t>Net charge-offs consist of the amortized cost b</w:t>
      </w:r>
      <w:r>
        <w:rPr>
          <w:rFonts w:eastAsia="Times New Roman"/>
          <w:color w:val="000000"/>
          <w:sz w:val="20"/>
          <w:szCs w:val="20"/>
        </w:rPr>
        <w:t>asis, excluding accrued interest, of loans held for investment that we determine to be uncollectible, net of recovered amounts. We charge off loans as a reduction to the allowance for credit losses when we determine the loan is uncollectible and record sub</w:t>
      </w:r>
      <w:r>
        <w:rPr>
          <w:rFonts w:eastAsia="Times New Roman"/>
          <w:color w:val="000000"/>
          <w:sz w:val="20"/>
          <w:szCs w:val="20"/>
        </w:rPr>
        <w:t xml:space="preserve">sequent recoveries of previously charged off amounts as increases to the allowance for credit losses. Uncollectible finance charges and fees are reversed through revenue and certain fraud losses are recorded in other non-interest expense. Generally, costs </w:t>
      </w:r>
      <w:r>
        <w:rPr>
          <w:rFonts w:eastAsia="Times New Roman"/>
          <w:color w:val="000000"/>
          <w:sz w:val="20"/>
          <w:szCs w:val="20"/>
        </w:rPr>
        <w:t>to recover charged off loans are recorded as collection expenses as incurred and are included in our consolidated statements of income as a component of other non-interest expense. Our charge-off policy for loans varies based on the loan type. See “Part II</w:t>
      </w:r>
      <w:r>
        <w:rPr>
          <w:rFonts w:eastAsia="Times New Roman"/>
          <w:color w:val="000000"/>
          <w:sz w:val="20"/>
          <w:szCs w:val="20"/>
        </w:rPr>
        <w:t>—Item 8. Financial Statements and Supplementary Data—Note 1—Summary of Significant Accounting Policies” for information on our charge-off policy for each of our loan categories.</w:t>
      </w:r>
    </w:p>
    <w:p w:rsidR="00000000" w:rsidRDefault="0094004B">
      <w:pPr>
        <w:jc w:val="both"/>
        <w:divId w:val="1331912931"/>
        <w:rPr>
          <w:rFonts w:eastAsia="Times New Roman"/>
        </w:rPr>
      </w:pPr>
      <w:r>
        <w:rPr>
          <w:rFonts w:eastAsia="Times New Roman"/>
          <w:color w:val="000000"/>
          <w:sz w:val="20"/>
          <w:szCs w:val="20"/>
        </w:rPr>
        <w:t xml:space="preserve">Table 26 presents our net charge-off amounts and rates, by portfolio segment, </w:t>
      </w:r>
      <w:r>
        <w:rPr>
          <w:rFonts w:eastAsia="Times New Roman"/>
          <w:color w:val="000000"/>
          <w:sz w:val="20"/>
          <w:szCs w:val="20"/>
        </w:rPr>
        <w:t>in 2022, 2021 and 2020.</w:t>
      </w:r>
    </w:p>
    <w:p w:rsidR="00000000" w:rsidRDefault="0094004B">
      <w:pPr>
        <w:divId w:val="2030133362"/>
        <w:rPr>
          <w:rFonts w:eastAsia="Times New Roman"/>
        </w:rPr>
      </w:pPr>
      <w:r>
        <w:rPr>
          <w:rFonts w:eastAsia="Times New Roman"/>
          <w:b/>
          <w:bCs/>
          <w:color w:val="000000"/>
          <w:sz w:val="18"/>
          <w:szCs w:val="18"/>
        </w:rPr>
        <w:t>Table 26: Net Charge-Offs (Recoveries)</w:t>
      </w:r>
    </w:p>
    <w:tbl>
      <w:tblPr>
        <w:tblW w:w="5000" w:type="pct"/>
        <w:tblCellMar>
          <w:top w:w="15" w:type="dxa"/>
          <w:left w:w="15" w:type="dxa"/>
          <w:bottom w:w="15" w:type="dxa"/>
          <w:right w:w="15" w:type="dxa"/>
        </w:tblCellMar>
        <w:tblLook w:val="04A0" w:firstRow="1" w:lastRow="0" w:firstColumn="1" w:lastColumn="0" w:noHBand="0" w:noVBand="1"/>
      </w:tblPr>
      <w:tblGrid>
        <w:gridCol w:w="39"/>
        <w:gridCol w:w="2742"/>
        <w:gridCol w:w="38"/>
        <w:gridCol w:w="36"/>
        <w:gridCol w:w="36"/>
        <w:gridCol w:w="36"/>
        <w:gridCol w:w="36"/>
        <w:gridCol w:w="36"/>
        <w:gridCol w:w="36"/>
        <w:gridCol w:w="36"/>
        <w:gridCol w:w="120"/>
        <w:gridCol w:w="120"/>
        <w:gridCol w:w="120"/>
        <w:gridCol w:w="46"/>
        <w:gridCol w:w="110"/>
        <w:gridCol w:w="630"/>
        <w:gridCol w:w="36"/>
        <w:gridCol w:w="36"/>
        <w:gridCol w:w="36"/>
        <w:gridCol w:w="36"/>
        <w:gridCol w:w="58"/>
        <w:gridCol w:w="414"/>
        <w:gridCol w:w="200"/>
        <w:gridCol w:w="36"/>
        <w:gridCol w:w="36"/>
        <w:gridCol w:w="36"/>
        <w:gridCol w:w="110"/>
        <w:gridCol w:w="630"/>
        <w:gridCol w:w="36"/>
        <w:gridCol w:w="36"/>
        <w:gridCol w:w="36"/>
        <w:gridCol w:w="36"/>
        <w:gridCol w:w="56"/>
        <w:gridCol w:w="416"/>
        <w:gridCol w:w="170"/>
        <w:gridCol w:w="36"/>
        <w:gridCol w:w="36"/>
        <w:gridCol w:w="36"/>
        <w:gridCol w:w="110"/>
        <w:gridCol w:w="630"/>
        <w:gridCol w:w="36"/>
        <w:gridCol w:w="36"/>
        <w:gridCol w:w="36"/>
        <w:gridCol w:w="36"/>
        <w:gridCol w:w="63"/>
        <w:gridCol w:w="414"/>
        <w:gridCol w:w="170"/>
      </w:tblGrid>
      <w:tr w:rsidR="00000000">
        <w:trPr>
          <w:divId w:val="147020955"/>
        </w:trPr>
        <w:tc>
          <w:tcPr>
            <w:tcW w:w="50" w:type="pct"/>
            <w:vAlign w:val="center"/>
            <w:hideMark/>
          </w:tcPr>
          <w:p w:rsidR="00000000" w:rsidRDefault="0094004B">
            <w:pPr>
              <w:rPr>
                <w:rFonts w:eastAsia="Times New Roman"/>
              </w:rPr>
            </w:pPr>
          </w:p>
        </w:tc>
        <w:tc>
          <w:tcPr>
            <w:tcW w:w="226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61"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61"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61"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7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1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5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1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3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47020955"/>
        </w:trPr>
        <w:tc>
          <w:tcPr>
            <w:tcW w:w="0" w:type="auto"/>
            <w:gridSpan w:val="3"/>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1"/>
            <w:tcBorders>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147020955"/>
        </w:trPr>
        <w:tc>
          <w:tcPr>
            <w:tcW w:w="0" w:type="auto"/>
            <w:gridSpan w:val="3"/>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2022</w:t>
            </w:r>
          </w:p>
        </w:tc>
        <w:tc>
          <w:tcPr>
            <w:tcW w:w="0" w:type="auto"/>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2020</w:t>
            </w: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147020955"/>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Rat</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Rat</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2"/>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Rat</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c>
          <w:tcPr>
            <w:tcW w:w="0" w:type="auto"/>
            <w:vAlign w:val="center"/>
            <w:hideMark/>
          </w:tcPr>
          <w:p w:rsidR="00000000" w:rsidRDefault="0094004B">
            <w:pPr>
              <w:spacing w:after="100"/>
              <w:rPr>
                <w:rFonts w:eastAsia="Times New Roman"/>
                <w:sz w:val="20"/>
                <w:szCs w:val="20"/>
              </w:rPr>
            </w:pPr>
          </w:p>
        </w:tc>
      </w:tr>
      <w:tr w:rsidR="00000000">
        <w:trPr>
          <w:divId w:val="14702095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147020955"/>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2,833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2.47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1,820 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1.90 </w:t>
            </w:r>
          </w:p>
        </w:tc>
        <w:tc>
          <w:tcPr>
            <w:tcW w:w="0" w:type="auto"/>
            <w:shd w:val="clear" w:color="auto" w:fill="FFFFFF"/>
            <w:tcMar>
              <w:top w:w="30" w:type="dxa"/>
              <w:left w:w="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4,002 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3.93 </w:t>
            </w:r>
          </w:p>
        </w:tc>
        <w:tc>
          <w:tcPr>
            <w:tcW w:w="0" w:type="auto"/>
            <w:shd w:val="clear" w:color="auto" w:fill="FFFFFF"/>
            <w:tcMar>
              <w:top w:w="30" w:type="dxa"/>
              <w:left w:w="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w:t>
            </w:r>
          </w:p>
        </w:tc>
      </w:tr>
      <w:tr w:rsidR="00000000">
        <w:trPr>
          <w:divId w:val="147020955"/>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215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3.65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136 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1.96 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268 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3.26 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47020955"/>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3,048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2.53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1,956 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1.90 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4,270 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3.88 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47020955"/>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147020955"/>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784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200 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0.28 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522 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0.83 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47020955"/>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Retail banking</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70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4.24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76 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2.77 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56 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1.82 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47020955"/>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854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1.06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276 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0.37 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578 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0.87 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47020955"/>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147020955"/>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8 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0.03 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41 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0.13 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47020955"/>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71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0.13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(6)</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(0.01)</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336 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0.73 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47020955"/>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 commercial banking</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71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0.08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377 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0.49 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47020955"/>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 net charge-offs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3,973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1.36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2,234 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0.88 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5,225 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2.06 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47020955"/>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Average loans held for investment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292,238</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252,730 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253,335 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bl>
    <w:p w:rsidR="00000000" w:rsidRDefault="0094004B">
      <w:pPr>
        <w:divId w:val="147020955"/>
        <w:rPr>
          <w:rFonts w:eastAsia="Times New Roman"/>
        </w:rPr>
      </w:pPr>
      <w:r>
        <w:rPr>
          <w:rFonts w:eastAsia="Times New Roman"/>
          <w:color w:val="000000"/>
          <w:sz w:val="20"/>
          <w:szCs w:val="20"/>
        </w:rPr>
        <w:t>__________</w:t>
      </w:r>
    </w:p>
    <w:p w:rsidR="00000000" w:rsidRDefault="0094004B">
      <w:pPr>
        <w:ind w:hanging="360"/>
        <w:jc w:val="both"/>
        <w:divId w:val="1157845866"/>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Net charge-off (recovery) rates are calculated by dividing net charge-offs (recoveries) by average loans held for investment for the period for each loan category.</w:t>
      </w:r>
    </w:p>
    <w:p w:rsidR="00000000" w:rsidRDefault="0094004B">
      <w:pPr>
        <w:divId w:val="423768042"/>
        <w:rPr>
          <w:rFonts w:eastAsia="Times New Roman"/>
        </w:rPr>
      </w:pPr>
      <w:r>
        <w:rPr>
          <w:rFonts w:eastAsia="Times New Roman"/>
          <w:b/>
          <w:bCs/>
          <w:color w:val="000000"/>
          <w:sz w:val="20"/>
          <w:szCs w:val="20"/>
        </w:rPr>
        <w:t>Troubled Debt Restructurings</w:t>
      </w:r>
    </w:p>
    <w:p w:rsidR="00000000" w:rsidRDefault="0094004B">
      <w:pPr>
        <w:jc w:val="both"/>
        <w:divId w:val="840853501"/>
        <w:rPr>
          <w:rFonts w:eastAsia="Times New Roman"/>
        </w:rPr>
      </w:pPr>
      <w:r>
        <w:rPr>
          <w:rFonts w:eastAsia="Times New Roman"/>
          <w:color w:val="000000"/>
          <w:sz w:val="20"/>
          <w:szCs w:val="20"/>
        </w:rPr>
        <w:t>As part of our loss mitigation efforts, we may provide short-te</w:t>
      </w:r>
      <w:r>
        <w:rPr>
          <w:rFonts w:eastAsia="Times New Roman"/>
          <w:color w:val="000000"/>
          <w:sz w:val="20"/>
          <w:szCs w:val="20"/>
        </w:rPr>
        <w:t xml:space="preserve">rm (one to twelve months) or long-term (greater than twelve months) modifications to a borrower experiencing financial difficulty to improve long-term collectability of the loan and to avoid the need for repossession or foreclosure of collateral. </w:t>
      </w:r>
    </w:p>
    <w:p w:rsidR="00000000" w:rsidRDefault="0094004B">
      <w:pPr>
        <w:jc w:val="both"/>
        <w:divId w:val="1855143803"/>
        <w:rPr>
          <w:rFonts w:eastAsia="Times New Roman"/>
        </w:rPr>
      </w:pPr>
      <w:r>
        <w:rPr>
          <w:rFonts w:eastAsia="Times New Roman"/>
          <w:color w:val="000000"/>
          <w:sz w:val="20"/>
          <w:szCs w:val="20"/>
        </w:rPr>
        <w:t>We consi</w:t>
      </w:r>
      <w:r>
        <w:rPr>
          <w:rFonts w:eastAsia="Times New Roman"/>
          <w:color w:val="000000"/>
          <w:sz w:val="20"/>
          <w:szCs w:val="20"/>
        </w:rPr>
        <w:t>der the impact of all loan modifications, whether or not that modification is classified as a TDR, when estimating the credit quality of our loan portfolio and establishing allowance levels. For our Commercial Banking customers, loan modifications are also</w:t>
      </w:r>
      <w:r>
        <w:rPr>
          <w:rFonts w:eastAsia="Times New Roman"/>
          <w:color w:val="000000"/>
          <w:sz w:val="20"/>
          <w:szCs w:val="20"/>
        </w:rPr>
        <w:t xml:space="preserve"> considered in the assignment of an internal risk rating.</w:t>
      </w:r>
    </w:p>
    <w:p w:rsidR="00000000" w:rsidRDefault="0094004B">
      <w:pPr>
        <w:jc w:val="both"/>
        <w:divId w:val="1879121504"/>
        <w:rPr>
          <w:rFonts w:eastAsia="Times New Roman"/>
        </w:rPr>
      </w:pPr>
      <w:r>
        <w:rPr>
          <w:rFonts w:eastAsia="Times New Roman"/>
          <w:color w:val="000000"/>
          <w:sz w:val="20"/>
          <w:szCs w:val="20"/>
        </w:rPr>
        <w:t>In our Credit Card business, the majority of our credit card loans modified as TDRs involve reducing the interest rate on the account and placing the customer on a fixed payment plan not exceeding 6</w:t>
      </w:r>
      <w:r>
        <w:rPr>
          <w:rFonts w:eastAsia="Times New Roman"/>
          <w:color w:val="000000"/>
          <w:sz w:val="20"/>
          <w:szCs w:val="20"/>
        </w:rPr>
        <w:t xml:space="preserve">0 months. The effective interest rate on the loan immediately prior to the loan modification is used as the effective interest rate for purposes of measuring impairment using the present value of expected cash flows.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818309421"/>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818309421"/>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818309421"/>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89</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15" style="width:0;height:1.5pt" o:hralign="center" o:hrstd="t" o:hr="t" fillcolor="#a0a0a0" stroked="f"/>
        </w:pict>
      </w:r>
    </w:p>
    <w:p w:rsidR="00000000" w:rsidRDefault="0094004B">
      <w:pPr>
        <w:ind w:hanging="360"/>
        <w:jc w:val="both"/>
        <w:divId w:val="687370238"/>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both"/>
        <w:divId w:val="977884116"/>
        <w:rPr>
          <w:rFonts w:eastAsia="Times New Roman"/>
        </w:rPr>
      </w:pPr>
      <w:r>
        <w:rPr>
          <w:rFonts w:eastAsia="Times New Roman"/>
          <w:color w:val="000000"/>
          <w:sz w:val="20"/>
          <w:szCs w:val="20"/>
        </w:rPr>
        <w:t xml:space="preserve">If the customer does not comply with the modified payment terms, then the credit card loan agreement may revert to its original payment terms, </w:t>
      </w:r>
      <w:r>
        <w:rPr>
          <w:rFonts w:eastAsia="Times New Roman"/>
          <w:color w:val="000000"/>
          <w:sz w:val="20"/>
          <w:szCs w:val="20"/>
        </w:rPr>
        <w:t>generally resulting in any loan outstanding being reflected in the appropriate delinquency category and charged off in accordance with our standard charge-off policy.</w:t>
      </w:r>
    </w:p>
    <w:p w:rsidR="00000000" w:rsidRDefault="0094004B">
      <w:pPr>
        <w:jc w:val="both"/>
        <w:divId w:val="22826183"/>
        <w:rPr>
          <w:rFonts w:eastAsia="Times New Roman"/>
        </w:rPr>
      </w:pPr>
      <w:r>
        <w:rPr>
          <w:rFonts w:eastAsia="Times New Roman"/>
          <w:color w:val="000000"/>
          <w:sz w:val="20"/>
          <w:szCs w:val="20"/>
        </w:rPr>
        <w:t>In our Consumer Banking business, the majority of our loans modified as TDRs receive an e</w:t>
      </w:r>
      <w:r>
        <w:rPr>
          <w:rFonts w:eastAsia="Times New Roman"/>
          <w:color w:val="000000"/>
          <w:sz w:val="20"/>
          <w:szCs w:val="20"/>
        </w:rPr>
        <w:t>xtension, an interest rate reduction, principal reduction, or a combination of these modifications. In addition, TDRs also occur in connection with bankruptcy of the borrower. In certain bankruptcy discharges, the loan is written down to the collateral val</w:t>
      </w:r>
      <w:r>
        <w:rPr>
          <w:rFonts w:eastAsia="Times New Roman"/>
          <w:color w:val="000000"/>
          <w:sz w:val="20"/>
          <w:szCs w:val="20"/>
        </w:rPr>
        <w:t>ue and the charged off amount is reported as principal reduction. Impairment is determined using the present value of expected cash flows or a collateral evaluation for certain auto loans where the collateral value is lower than the amortized cost.</w:t>
      </w:r>
    </w:p>
    <w:p w:rsidR="00000000" w:rsidRDefault="0094004B">
      <w:pPr>
        <w:jc w:val="both"/>
        <w:divId w:val="97802000"/>
        <w:rPr>
          <w:rFonts w:eastAsia="Times New Roman"/>
        </w:rPr>
      </w:pPr>
      <w:r>
        <w:rPr>
          <w:rFonts w:eastAsia="Times New Roman"/>
          <w:color w:val="000000"/>
          <w:sz w:val="20"/>
          <w:szCs w:val="20"/>
        </w:rPr>
        <w:t xml:space="preserve">In our </w:t>
      </w:r>
      <w:r>
        <w:rPr>
          <w:rFonts w:eastAsia="Times New Roman"/>
          <w:color w:val="000000"/>
          <w:sz w:val="20"/>
          <w:szCs w:val="20"/>
        </w:rPr>
        <w:t>Commercial Banking business, the majority of loans modified as TDRs receive an extension, with a portion of these loans receiving an interest rate reduction or a gross balance reduction. The impairment on modified commercial loans is generally determined b</w:t>
      </w:r>
      <w:r>
        <w:rPr>
          <w:rFonts w:eastAsia="Times New Roman"/>
          <w:color w:val="000000"/>
          <w:sz w:val="20"/>
          <w:szCs w:val="20"/>
        </w:rPr>
        <w:t>ased on the underlying collateral value.</w:t>
      </w:r>
    </w:p>
    <w:p w:rsidR="00000000" w:rsidRDefault="0094004B">
      <w:pPr>
        <w:jc w:val="both"/>
        <w:divId w:val="608388852"/>
        <w:rPr>
          <w:rFonts w:eastAsia="Times New Roman"/>
        </w:rPr>
      </w:pPr>
      <w:r>
        <w:rPr>
          <w:rFonts w:eastAsia="Times New Roman"/>
          <w:color w:val="000000"/>
          <w:sz w:val="20"/>
          <w:szCs w:val="20"/>
        </w:rPr>
        <w:t>As part of our response to the COVID-19 pandemic, we offered programs to accommodate customer hardship across our lines of business beginning in the first quarter of 2020. Our COVID-19 programs were designed to be short-term accommodations so that we could</w:t>
      </w:r>
      <w:r>
        <w:rPr>
          <w:rFonts w:eastAsia="Times New Roman"/>
          <w:color w:val="000000"/>
          <w:sz w:val="20"/>
          <w:szCs w:val="20"/>
        </w:rPr>
        <w:t xml:space="preserve"> provide our customers with prompt relief. Also in response to the COVID-19 pandemic, additional guidance was issued by the Federal Banking Agencies and contained in the Coronavirus Aid, Relief, and Economic Security Act (“CARES Act”) which provided bankin</w:t>
      </w:r>
      <w:r>
        <w:rPr>
          <w:rFonts w:eastAsia="Times New Roman"/>
          <w:color w:val="000000"/>
          <w:sz w:val="20"/>
          <w:szCs w:val="20"/>
        </w:rPr>
        <w:t>g organizations with TDR relief for loan modifications to certain qualifying borrowers impacted by the COVID-19 pandemic.</w:t>
      </w:r>
    </w:p>
    <w:p w:rsidR="00000000" w:rsidRDefault="0094004B">
      <w:pPr>
        <w:jc w:val="both"/>
        <w:divId w:val="503589215"/>
        <w:rPr>
          <w:rFonts w:eastAsia="Times New Roman"/>
        </w:rPr>
      </w:pPr>
      <w:r>
        <w:rPr>
          <w:rFonts w:eastAsia="Times New Roman"/>
          <w:color w:val="000000"/>
          <w:sz w:val="20"/>
          <w:szCs w:val="20"/>
        </w:rPr>
        <w:t>While the majority of enrollments in our COVID-19 programs were short-term and would generally not have resulted in TDR classification</w:t>
      </w:r>
      <w:r>
        <w:rPr>
          <w:rFonts w:eastAsia="Times New Roman"/>
          <w:color w:val="000000"/>
          <w:sz w:val="20"/>
          <w:szCs w:val="20"/>
        </w:rPr>
        <w:t xml:space="preserve"> under our existing policies, some of these modification would have been designated as TDRs without the relief provided by the additional guidance issued by the Federal Banking Agencies and contained in the CARES Act. Therefore, the expiry of the guidance </w:t>
      </w:r>
      <w:r>
        <w:rPr>
          <w:rFonts w:eastAsia="Times New Roman"/>
          <w:color w:val="000000"/>
          <w:sz w:val="20"/>
          <w:szCs w:val="20"/>
        </w:rPr>
        <w:t>in the CARES Act on January 1, 2022, along with our concurrent cessation in applying the additional guidance issued by the Federal Banking Agencies, drove an increase in reported TDRs for periods ending after December 31, 2021.</w:t>
      </w:r>
    </w:p>
    <w:p w:rsidR="00000000" w:rsidRDefault="0094004B">
      <w:pPr>
        <w:jc w:val="both"/>
        <w:divId w:val="1027098587"/>
        <w:rPr>
          <w:rFonts w:eastAsia="Times New Roman"/>
        </w:rPr>
      </w:pPr>
      <w:r>
        <w:rPr>
          <w:rFonts w:eastAsia="Times New Roman"/>
          <w:color w:val="000000"/>
          <w:sz w:val="20"/>
          <w:szCs w:val="20"/>
        </w:rPr>
        <w:t>Table 27 presents our amorti</w:t>
      </w:r>
      <w:r>
        <w:rPr>
          <w:rFonts w:eastAsia="Times New Roman"/>
          <w:color w:val="000000"/>
          <w:sz w:val="20"/>
          <w:szCs w:val="20"/>
        </w:rPr>
        <w:t>zed cost of loans modified in TDRs as of December 31, 2022 and 2021, which excludes loan modifications that do not meet the definition of a TDR.</w:t>
      </w:r>
    </w:p>
    <w:p w:rsidR="00000000" w:rsidRDefault="0094004B">
      <w:pPr>
        <w:divId w:val="759332816"/>
        <w:rPr>
          <w:rFonts w:eastAsia="Times New Roman"/>
        </w:rPr>
      </w:pPr>
      <w:r>
        <w:rPr>
          <w:rFonts w:eastAsia="Times New Roman"/>
          <w:b/>
          <w:bCs/>
          <w:color w:val="000000"/>
          <w:sz w:val="18"/>
          <w:szCs w:val="18"/>
        </w:rPr>
        <w:t>Table 27: Troubled Debt Restructurings</w:t>
      </w:r>
    </w:p>
    <w:tbl>
      <w:tblPr>
        <w:tblW w:w="5000" w:type="pct"/>
        <w:tblCellMar>
          <w:top w:w="15" w:type="dxa"/>
          <w:left w:w="15" w:type="dxa"/>
          <w:bottom w:w="15" w:type="dxa"/>
          <w:right w:w="15" w:type="dxa"/>
        </w:tblCellMar>
        <w:tblLook w:val="04A0" w:firstRow="1" w:lastRow="0" w:firstColumn="1" w:lastColumn="0" w:noHBand="0" w:noVBand="1"/>
      </w:tblPr>
      <w:tblGrid>
        <w:gridCol w:w="41"/>
        <w:gridCol w:w="4164"/>
        <w:gridCol w:w="39"/>
        <w:gridCol w:w="36"/>
        <w:gridCol w:w="36"/>
        <w:gridCol w:w="36"/>
        <w:gridCol w:w="120"/>
        <w:gridCol w:w="500"/>
        <w:gridCol w:w="36"/>
        <w:gridCol w:w="36"/>
        <w:gridCol w:w="36"/>
        <w:gridCol w:w="36"/>
        <w:gridCol w:w="94"/>
        <w:gridCol w:w="880"/>
        <w:gridCol w:w="200"/>
        <w:gridCol w:w="36"/>
        <w:gridCol w:w="36"/>
        <w:gridCol w:w="36"/>
        <w:gridCol w:w="120"/>
        <w:gridCol w:w="500"/>
        <w:gridCol w:w="36"/>
        <w:gridCol w:w="36"/>
        <w:gridCol w:w="36"/>
        <w:gridCol w:w="36"/>
        <w:gridCol w:w="94"/>
        <w:gridCol w:w="880"/>
        <w:gridCol w:w="170"/>
      </w:tblGrid>
      <w:tr w:rsidR="00000000">
        <w:trPr>
          <w:divId w:val="262155868"/>
        </w:trPr>
        <w:tc>
          <w:tcPr>
            <w:tcW w:w="50" w:type="pct"/>
            <w:vAlign w:val="center"/>
            <w:hideMark/>
          </w:tcPr>
          <w:p w:rsidR="00000000" w:rsidRDefault="0094004B">
            <w:pPr>
              <w:rPr>
                <w:rFonts w:eastAsia="Times New Roman"/>
              </w:rPr>
            </w:pPr>
          </w:p>
        </w:tc>
        <w:tc>
          <w:tcPr>
            <w:tcW w:w="269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71"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71"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71"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71"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262155868"/>
        </w:trPr>
        <w:tc>
          <w:tcPr>
            <w:tcW w:w="0" w:type="auto"/>
            <w:gridSpan w:val="3"/>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9"/>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b/>
                <w:bCs/>
                <w:color w:val="000000"/>
                <w:sz w:val="16"/>
                <w:szCs w:val="16"/>
              </w:rPr>
              <w:t>December 31, 2022</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9"/>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b/>
                <w:bCs/>
                <w:color w:val="000000"/>
                <w:sz w:val="16"/>
                <w:szCs w:val="16"/>
              </w:rPr>
              <w:t>December 31, 2021</w:t>
            </w:r>
          </w:p>
        </w:tc>
      </w:tr>
      <w:tr w:rsidR="00000000">
        <w:trPr>
          <w:divId w:val="262155868"/>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8"/>
                <w:szCs w:val="18"/>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 of Total Modifications</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 of Total Modifications</w:t>
            </w:r>
          </w:p>
        </w:tc>
      </w:tr>
      <w:tr w:rsidR="00000000">
        <w:trPr>
          <w:divId w:val="262155868"/>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20"/>
                <w:szCs w:val="20"/>
              </w:rPr>
              <w:t>Credit Card:</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262155868"/>
        </w:trPr>
        <w:tc>
          <w:tcPr>
            <w:tcW w:w="0" w:type="auto"/>
            <w:gridSpan w:val="3"/>
            <w:shd w:val="clear" w:color="auto" w:fill="FFFFFF"/>
            <w:tcMar>
              <w:top w:w="30" w:type="dxa"/>
              <w:left w:w="245" w:type="dxa"/>
              <w:bottom w:w="30" w:type="dxa"/>
              <w:right w:w="20" w:type="dxa"/>
            </w:tcMar>
            <w:vAlign w:val="bottom"/>
            <w:hideMark/>
          </w:tcPr>
          <w:p w:rsidR="00000000" w:rsidRDefault="0094004B">
            <w:pPr>
              <w:spacing w:after="100"/>
              <w:rPr>
                <w:rFonts w:eastAsia="Times New Roman"/>
              </w:rPr>
            </w:pPr>
            <w:r>
              <w:rPr>
                <w:rFonts w:eastAsia="Times New Roman"/>
                <w:color w:val="000000"/>
                <w:sz w:val="20"/>
                <w:szCs w:val="20"/>
              </w:rPr>
              <w:t>Domestic credit card</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455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17.0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390 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23.8 </w:t>
            </w:r>
          </w:p>
        </w:tc>
        <w:tc>
          <w:tcPr>
            <w:tcW w:w="0" w:type="auto"/>
            <w:shd w:val="clear" w:color="auto" w:fill="FFFFFF"/>
            <w:tcMar>
              <w:top w:w="30" w:type="dxa"/>
              <w:left w:w="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w:t>
            </w:r>
          </w:p>
        </w:tc>
      </w:tr>
      <w:tr w:rsidR="00000000">
        <w:trPr>
          <w:divId w:val="262155868"/>
        </w:trPr>
        <w:tc>
          <w:tcPr>
            <w:tcW w:w="0" w:type="auto"/>
            <w:gridSpan w:val="3"/>
            <w:shd w:val="clear" w:color="auto" w:fill="CCEEFF"/>
            <w:tcMar>
              <w:top w:w="30" w:type="dxa"/>
              <w:left w:w="245" w:type="dxa"/>
              <w:bottom w:w="30" w:type="dxa"/>
              <w:right w:w="20" w:type="dxa"/>
            </w:tcMar>
            <w:vAlign w:val="bottom"/>
            <w:hideMark/>
          </w:tcPr>
          <w:p w:rsidR="00000000" w:rsidRDefault="0094004B">
            <w:pPr>
              <w:spacing w:after="100"/>
              <w:rPr>
                <w:rFonts w:eastAsia="Times New Roman"/>
              </w:rPr>
            </w:pPr>
            <w:r>
              <w:rPr>
                <w:rFonts w:eastAsia="Times New Roman"/>
                <w:color w:val="000000"/>
                <w:sz w:val="20"/>
                <w:szCs w:val="20"/>
              </w:rPr>
              <w:t>International card businesses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162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20"/>
                <w:szCs w:val="20"/>
              </w:rPr>
              <w:t>6.0</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177 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10.8 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262155868"/>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20"/>
                <w:szCs w:val="20"/>
              </w:rPr>
              <w:t>Total credit card</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617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20"/>
                <w:szCs w:val="20"/>
              </w:rPr>
              <w:t>23.0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567 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34.6 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262155868"/>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20"/>
                <w:szCs w:val="20"/>
              </w:rPr>
              <w:t>Consumer banking:</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262155868"/>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Auto</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1,093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40.7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603 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36.7 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262155868"/>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Retail banking</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0.6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0.8 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262155868"/>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Total consumer banking</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1,109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41.3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616 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37.5 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262155868"/>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20"/>
                <w:szCs w:val="20"/>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959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35.7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457 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27.9 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262155868"/>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2,685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100.0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1,640 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100.0 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w:t>
            </w:r>
          </w:p>
        </w:tc>
      </w:tr>
      <w:tr w:rsidR="00000000">
        <w:trPr>
          <w:divId w:val="262155868"/>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20"/>
                <w:szCs w:val="20"/>
              </w:rPr>
              <w:t>Status of TDR:</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262155868"/>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Performing</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2,109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b/>
                <w:bCs/>
                <w:color w:val="000000"/>
                <w:sz w:val="18"/>
                <w:szCs w:val="18"/>
              </w:rPr>
              <w:t>78.5%</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1,282 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78.2%</w:t>
            </w:r>
          </w:p>
        </w:tc>
      </w:tr>
      <w:tr w:rsidR="00000000">
        <w:trPr>
          <w:divId w:val="262155868"/>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Nonperforming</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576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21.5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358 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21.8 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262155868"/>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2,685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100.0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1,640 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w:t>
            </w:r>
          </w:p>
        </w:tc>
      </w:tr>
    </w:tbl>
    <w:p w:rsidR="00000000" w:rsidRDefault="0094004B">
      <w:pPr>
        <w:jc w:val="both"/>
        <w:divId w:val="172307765"/>
        <w:rPr>
          <w:rFonts w:eastAsia="Times New Roman"/>
        </w:rPr>
      </w:pPr>
      <w:r>
        <w:rPr>
          <w:rFonts w:eastAsia="Times New Roman"/>
          <w:color w:val="000000"/>
          <w:sz w:val="20"/>
          <w:szCs w:val="20"/>
        </w:rPr>
        <w:t>We provide additional information on</w:t>
      </w:r>
      <w:r>
        <w:rPr>
          <w:rFonts w:eastAsia="Times New Roman"/>
          <w:color w:val="000000"/>
          <w:sz w:val="20"/>
          <w:szCs w:val="20"/>
        </w:rPr>
        <w:t xml:space="preserve"> modified loans accounted for as a TDR, including the performance of those loans subsequent to modification, in “Part II—Item 8. Financial Statements and Supplementary Data—Note 3—Loans.” We adopted Accounting Standard Update (“ASU”) No. 2022-02 as of Janu</w:t>
      </w:r>
      <w:r>
        <w:rPr>
          <w:rFonts w:eastAsia="Times New Roman"/>
          <w:color w:val="000000"/>
          <w:sz w:val="20"/>
          <w:szCs w:val="20"/>
        </w:rPr>
        <w:t>ary 1, 2023, which eliminates the accounting guidance for TDRs. See “Accounting Changes and Developments” for additional information on this accounting standard.</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51925310"/>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51925310"/>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51925310"/>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90</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16" style="width:0;height:1.5pt" o:hralign="center" o:hrstd="t" o:hr="t" fillcolor="#a0a0a0" stroked="f"/>
        </w:pict>
      </w:r>
    </w:p>
    <w:p w:rsidR="00000000" w:rsidRDefault="0094004B">
      <w:pPr>
        <w:ind w:hanging="360"/>
        <w:jc w:val="both"/>
        <w:divId w:val="2131976587"/>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divId w:val="1262034512"/>
        <w:rPr>
          <w:rFonts w:eastAsia="Times New Roman"/>
        </w:rPr>
      </w:pPr>
      <w:r>
        <w:rPr>
          <w:rFonts w:eastAsia="Times New Roman"/>
          <w:b/>
          <w:bCs/>
          <w:color w:val="000000"/>
          <w:sz w:val="20"/>
          <w:szCs w:val="20"/>
        </w:rPr>
        <w:t>Allowance for Credit Losses and Reserve for Unfunded Lending Commitments</w:t>
      </w:r>
    </w:p>
    <w:p w:rsidR="00000000" w:rsidRDefault="0094004B">
      <w:pPr>
        <w:jc w:val="both"/>
        <w:divId w:val="1774084828"/>
        <w:rPr>
          <w:rFonts w:eastAsia="Times New Roman"/>
        </w:rPr>
      </w:pPr>
      <w:r>
        <w:rPr>
          <w:rFonts w:eastAsia="Times New Roman"/>
          <w:color w:val="000000"/>
          <w:sz w:val="20"/>
          <w:szCs w:val="20"/>
        </w:rPr>
        <w:t>Our allowance for credit losses represents management’s current estimate of expected credit losses over the contractual terms of our loans held for investment as of each balance sheet</w:t>
      </w:r>
      <w:r>
        <w:rPr>
          <w:rFonts w:eastAsia="Times New Roman"/>
          <w:color w:val="000000"/>
          <w:sz w:val="20"/>
          <w:szCs w:val="20"/>
        </w:rPr>
        <w:t xml:space="preserve"> date. Expected recoveries of amounts previously charged off or expected to be charged off are recognized within the allowance. We also estimate expected credit losses related to unfunded lending commitments that are not unconditionally cancellable. The pr</w:t>
      </w:r>
      <w:r>
        <w:rPr>
          <w:rFonts w:eastAsia="Times New Roman"/>
          <w:color w:val="000000"/>
          <w:sz w:val="20"/>
          <w:szCs w:val="20"/>
        </w:rPr>
        <w:t>ovision for losses on unfunded lending commitments is included in the provision for credit losses in our consolidated statements of income and the related reserve for unfunded lending commitments is included in other liabilities on our consolidated balance</w:t>
      </w:r>
      <w:r>
        <w:rPr>
          <w:rFonts w:eastAsia="Times New Roman"/>
          <w:color w:val="000000"/>
          <w:sz w:val="20"/>
          <w:szCs w:val="20"/>
        </w:rPr>
        <w:t xml:space="preserve"> sheets. We provide additional information on the methodologies and key assumptions used in determining our allowance for credit losses in “Part II—Item 8. Financial Statements and Supplementary Data—Note 1—Summary of Significant Accounting Policies.”</w:t>
      </w:r>
    </w:p>
    <w:p w:rsidR="00000000" w:rsidRDefault="0094004B">
      <w:pPr>
        <w:jc w:val="both"/>
        <w:divId w:val="946547689"/>
        <w:rPr>
          <w:rFonts w:eastAsia="Times New Roman"/>
        </w:rPr>
      </w:pPr>
      <w:r>
        <w:rPr>
          <w:rFonts w:eastAsia="Times New Roman"/>
          <w:color w:val="000000"/>
          <w:sz w:val="20"/>
          <w:szCs w:val="20"/>
        </w:rPr>
        <w:t>Tabl</w:t>
      </w:r>
      <w:r>
        <w:rPr>
          <w:rFonts w:eastAsia="Times New Roman"/>
          <w:color w:val="000000"/>
          <w:sz w:val="20"/>
          <w:szCs w:val="20"/>
        </w:rPr>
        <w:t>e 28 presents changes in our allowance for credit losses and reserve for unfunded lending commitments for 2022 and 2021, and details by portfolio segment for the provision for credit losses, charge-offs and recoveries.</w:t>
      </w:r>
    </w:p>
    <w:p w:rsidR="00000000" w:rsidRDefault="0094004B">
      <w:pPr>
        <w:divId w:val="318074030"/>
        <w:rPr>
          <w:rFonts w:eastAsia="Times New Roman"/>
        </w:rPr>
      </w:pPr>
      <w:r>
        <w:rPr>
          <w:rFonts w:eastAsia="Times New Roman"/>
          <w:b/>
          <w:bCs/>
          <w:color w:val="000000"/>
          <w:sz w:val="18"/>
          <w:szCs w:val="18"/>
        </w:rPr>
        <w:t>Table 28: Allowance for Credit Losses</w:t>
      </w:r>
      <w:r>
        <w:rPr>
          <w:rFonts w:eastAsia="Times New Roman"/>
          <w:b/>
          <w:bCs/>
          <w:color w:val="000000"/>
          <w:sz w:val="18"/>
          <w:szCs w:val="18"/>
        </w:rPr>
        <w:t xml:space="preserve"> and Reserve for Unfunded Lending Commitments Activity</w:t>
      </w:r>
    </w:p>
    <w:tbl>
      <w:tblPr>
        <w:tblW w:w="5000" w:type="pct"/>
        <w:tblCellMar>
          <w:top w:w="15" w:type="dxa"/>
          <w:left w:w="15" w:type="dxa"/>
          <w:bottom w:w="15" w:type="dxa"/>
          <w:right w:w="15" w:type="dxa"/>
        </w:tblCellMar>
        <w:tblLook w:val="04A0" w:firstRow="1" w:lastRow="0" w:firstColumn="1" w:lastColumn="0" w:noHBand="0" w:noVBand="1"/>
      </w:tblPr>
      <w:tblGrid>
        <w:gridCol w:w="56"/>
        <w:gridCol w:w="3227"/>
        <w:gridCol w:w="36"/>
        <w:gridCol w:w="36"/>
        <w:gridCol w:w="36"/>
        <w:gridCol w:w="36"/>
        <w:gridCol w:w="36"/>
        <w:gridCol w:w="415"/>
        <w:gridCol w:w="36"/>
        <w:gridCol w:w="36"/>
        <w:gridCol w:w="36"/>
        <w:gridCol w:w="36"/>
        <w:gridCol w:w="36"/>
        <w:gridCol w:w="574"/>
        <w:gridCol w:w="36"/>
        <w:gridCol w:w="36"/>
        <w:gridCol w:w="36"/>
        <w:gridCol w:w="36"/>
        <w:gridCol w:w="36"/>
        <w:gridCol w:w="416"/>
        <w:gridCol w:w="36"/>
        <w:gridCol w:w="36"/>
        <w:gridCol w:w="36"/>
        <w:gridCol w:w="36"/>
        <w:gridCol w:w="38"/>
        <w:gridCol w:w="331"/>
        <w:gridCol w:w="36"/>
        <w:gridCol w:w="36"/>
        <w:gridCol w:w="36"/>
        <w:gridCol w:w="36"/>
        <w:gridCol w:w="38"/>
        <w:gridCol w:w="379"/>
        <w:gridCol w:w="36"/>
        <w:gridCol w:w="36"/>
        <w:gridCol w:w="36"/>
        <w:gridCol w:w="36"/>
        <w:gridCol w:w="38"/>
        <w:gridCol w:w="502"/>
        <w:gridCol w:w="36"/>
        <w:gridCol w:w="36"/>
        <w:gridCol w:w="36"/>
        <w:gridCol w:w="36"/>
        <w:gridCol w:w="38"/>
        <w:gridCol w:w="527"/>
        <w:gridCol w:w="36"/>
        <w:gridCol w:w="36"/>
        <w:gridCol w:w="36"/>
        <w:gridCol w:w="36"/>
        <w:gridCol w:w="38"/>
        <w:gridCol w:w="393"/>
        <w:gridCol w:w="36"/>
      </w:tblGrid>
      <w:tr w:rsidR="00000000">
        <w:trPr>
          <w:divId w:val="375475477"/>
        </w:trPr>
        <w:tc>
          <w:tcPr>
            <w:tcW w:w="50" w:type="pct"/>
            <w:vAlign w:val="center"/>
            <w:hideMark/>
          </w:tcPr>
          <w:p w:rsidR="00000000" w:rsidRDefault="0094004B">
            <w:pPr>
              <w:rPr>
                <w:rFonts w:eastAsia="Times New Roman"/>
              </w:rPr>
            </w:pPr>
          </w:p>
        </w:tc>
        <w:tc>
          <w:tcPr>
            <w:tcW w:w="195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6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61"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6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1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4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1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3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5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375475477"/>
          <w:trHeight w:val="60"/>
        </w:trPr>
        <w:tc>
          <w:tcPr>
            <w:tcW w:w="0" w:type="auto"/>
            <w:gridSpan w:val="51"/>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375475477"/>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375475477"/>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375475477"/>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375475477"/>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375475477"/>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375475477"/>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375475477"/>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375475477"/>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375475477"/>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375475477"/>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375475477"/>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375475477"/>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375475477"/>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375475477"/>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375475477"/>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375475477"/>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375475477"/>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375475477"/>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375475477"/>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375475477"/>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375475477"/>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375475477"/>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375475477"/>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375475477"/>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375475477"/>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375475477"/>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375475477"/>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375475477"/>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375475477"/>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375475477"/>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375475477"/>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375475477"/>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375475477"/>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375475477"/>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375475477"/>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375475477"/>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375475477"/>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bl>
    <w:p w:rsidR="00000000" w:rsidRDefault="0094004B">
      <w:pPr>
        <w:jc w:val="both"/>
        <w:divId w:val="37547547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2192"/>
        <w:gridCol w:w="39"/>
        <w:gridCol w:w="36"/>
        <w:gridCol w:w="36"/>
        <w:gridCol w:w="36"/>
        <w:gridCol w:w="100"/>
        <w:gridCol w:w="480"/>
        <w:gridCol w:w="36"/>
        <w:gridCol w:w="36"/>
        <w:gridCol w:w="36"/>
        <w:gridCol w:w="36"/>
        <w:gridCol w:w="101"/>
        <w:gridCol w:w="674"/>
        <w:gridCol w:w="36"/>
        <w:gridCol w:w="36"/>
        <w:gridCol w:w="36"/>
        <w:gridCol w:w="36"/>
        <w:gridCol w:w="100"/>
        <w:gridCol w:w="480"/>
        <w:gridCol w:w="36"/>
        <w:gridCol w:w="36"/>
        <w:gridCol w:w="36"/>
        <w:gridCol w:w="36"/>
        <w:gridCol w:w="100"/>
        <w:gridCol w:w="400"/>
        <w:gridCol w:w="36"/>
        <w:gridCol w:w="36"/>
        <w:gridCol w:w="36"/>
        <w:gridCol w:w="36"/>
        <w:gridCol w:w="101"/>
        <w:gridCol w:w="416"/>
        <w:gridCol w:w="36"/>
        <w:gridCol w:w="36"/>
        <w:gridCol w:w="36"/>
        <w:gridCol w:w="36"/>
        <w:gridCol w:w="101"/>
        <w:gridCol w:w="526"/>
        <w:gridCol w:w="36"/>
        <w:gridCol w:w="36"/>
        <w:gridCol w:w="36"/>
        <w:gridCol w:w="36"/>
        <w:gridCol w:w="101"/>
        <w:gridCol w:w="623"/>
        <w:gridCol w:w="36"/>
        <w:gridCol w:w="36"/>
        <w:gridCol w:w="36"/>
        <w:gridCol w:w="36"/>
        <w:gridCol w:w="100"/>
        <w:gridCol w:w="480"/>
        <w:gridCol w:w="36"/>
      </w:tblGrid>
      <w:tr w:rsidR="00000000">
        <w:trPr>
          <w:divId w:val="375475477"/>
        </w:trPr>
        <w:tc>
          <w:tcPr>
            <w:tcW w:w="50" w:type="pct"/>
            <w:vAlign w:val="center"/>
            <w:hideMark/>
          </w:tcPr>
          <w:p w:rsidR="00000000" w:rsidRDefault="0094004B">
            <w:pPr>
              <w:jc w:val="both"/>
              <w:rPr>
                <w:rFonts w:eastAsia="Times New Roman"/>
              </w:rPr>
            </w:pPr>
          </w:p>
        </w:tc>
        <w:tc>
          <w:tcPr>
            <w:tcW w:w="195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6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61"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6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1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4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1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3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5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375475477"/>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375475477"/>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15"/>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b/>
                <w:bCs/>
                <w:color w:val="000000"/>
                <w:sz w:val="13"/>
                <w:szCs w:val="13"/>
              </w:rPr>
              <w:t>Credit Card</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15"/>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b/>
                <w:bCs/>
                <w:color w:val="000000"/>
                <w:sz w:val="13"/>
                <w:szCs w:val="13"/>
              </w:rPr>
              <w:t>Consumer Banking</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375475477"/>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3"/>
                <w:szCs w:val="13"/>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3"/>
                <w:szCs w:val="13"/>
              </w:rPr>
              <w:t>Domestic Card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3"/>
                <w:szCs w:val="13"/>
              </w:rPr>
              <w:t>International Card Businesses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3"/>
                <w:szCs w:val="13"/>
              </w:rPr>
              <w:t>Total Credit Card</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3"/>
                <w:szCs w:val="13"/>
              </w:rPr>
              <w:t>Auto</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3"/>
                <w:szCs w:val="13"/>
              </w:rPr>
              <w:t>Retail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3"/>
                <w:szCs w:val="13"/>
              </w:rPr>
              <w:t>Total Consumer Banking</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3"/>
                <w:szCs w:val="13"/>
              </w:rPr>
              <w:t>Commercial Banking</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3"/>
                <w:szCs w:val="13"/>
              </w:rPr>
              <w:t>Total</w:t>
            </w:r>
          </w:p>
        </w:tc>
      </w:tr>
      <w:tr w:rsidR="00000000">
        <w:trPr>
          <w:divId w:val="375475477"/>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16"/>
                <w:szCs w:val="16"/>
              </w:rPr>
              <w:t>Allowance for credit losses: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94004B">
        <w:trPr>
          <w:divId w:val="375475477"/>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6"/>
                <w:szCs w:val="16"/>
              </w:rPr>
              <w:t>Balance as of December 31, 2020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10,650 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541 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11,191 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2,615 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100 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2,715 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1,658 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15,564 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375475477"/>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divId w:val="1819298619"/>
              <w:rPr>
                <w:rFonts w:eastAsia="Times New Roman"/>
              </w:rPr>
            </w:pPr>
            <w:r>
              <w:rPr>
                <w:rFonts w:eastAsia="Times New Roman"/>
                <w:color w:val="000000"/>
                <w:sz w:val="16"/>
                <w:szCs w:val="16"/>
              </w:rPr>
              <w:t>Charge-offs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(3,138)</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(343)</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(3,481)</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(1,118)</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(93)</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(1,211)</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(48)</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(4,740)</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375475477"/>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divId w:val="763378908"/>
              <w:rPr>
                <w:rFonts w:eastAsia="Times New Roman"/>
              </w:rPr>
            </w:pPr>
            <w:r>
              <w:rPr>
                <w:rFonts w:eastAsia="Times New Roman"/>
                <w:color w:val="000000"/>
                <w:sz w:val="16"/>
                <w:szCs w:val="16"/>
              </w:rPr>
              <w:t>Recoverie</w:t>
            </w:r>
            <w:r>
              <w:rPr>
                <w:rFonts w:eastAsia="Times New Roman"/>
                <w:color w:val="000000"/>
                <w:sz w:val="16"/>
                <w:szCs w:val="16"/>
              </w:rPr>
              <w:t>s</w:t>
            </w:r>
            <w:r>
              <w:rPr>
                <w:rFonts w:eastAsia="Times New Roman"/>
                <w:color w:val="000000"/>
                <w:sz w:val="10"/>
                <w:szCs w:val="10"/>
              </w:rPr>
              <w:t>(1</w:t>
            </w:r>
            <w:r>
              <w:rPr>
                <w:rFonts w:eastAsia="Times New Roman"/>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1,318 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207 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1,525 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918 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17 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935 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46 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2,506 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375475477"/>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6"/>
                <w:szCs w:val="16"/>
              </w:rPr>
              <w:t>Net charge-offs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(1,820)</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(136)</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(1,956)</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(200)</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(76)</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(276)</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(2,234)</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375475477"/>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6"/>
                <w:szCs w:val="16"/>
              </w:rPr>
              <w:t>Provision (benefit) for credit losses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(868)</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(34)</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(902)</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(563)</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42 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(521)</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(489)</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(1,912)</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375475477"/>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Allowance build (release) for credit losses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(2,688)</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(170)</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(2,858)</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(763)</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(34)</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(797)</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(491)</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(4,146)</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375475477"/>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divId w:val="1557617697"/>
              <w:rPr>
                <w:rFonts w:eastAsia="Times New Roman"/>
              </w:rPr>
            </w:pPr>
            <w:r>
              <w:rPr>
                <w:rFonts w:eastAsia="Times New Roman"/>
                <w:color w:val="000000"/>
                <w:sz w:val="16"/>
                <w:szCs w:val="16"/>
              </w:rPr>
              <w:t>Other change</w:t>
            </w:r>
            <w:r>
              <w:rPr>
                <w:rFonts w:eastAsia="Times New Roman"/>
                <w:color w:val="000000"/>
                <w:sz w:val="16"/>
                <w:szCs w:val="16"/>
              </w:rPr>
              <w:t>s</w:t>
            </w:r>
            <w:r>
              <w:rPr>
                <w:rFonts w:eastAsia="Times New Roman"/>
                <w:color w:val="000000"/>
                <w:sz w:val="10"/>
                <w:szCs w:val="10"/>
              </w:rPr>
              <w:t>(2</w:t>
            </w:r>
            <w:r>
              <w:rPr>
                <w:rFonts w:eastAsia="Times New Roman"/>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6 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6 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12 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12 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375475477"/>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6"/>
                <w:szCs w:val="16"/>
              </w:rPr>
              <w:t>Balance as of December 31, 2021</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7,968 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377 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8,345 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1,852 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66 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1,918 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1,167 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11,430 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375475477"/>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16"/>
                <w:szCs w:val="16"/>
              </w:rPr>
              <w:t>Reserve for unfunded lending commitments: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375475477"/>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6"/>
                <w:szCs w:val="16"/>
              </w:rPr>
              <w:t>Balance as of December 31, 2020</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195 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195 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375475477"/>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Provision (benefit) for losses on unfunded lending commitments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6"/>
                <w:szCs w:val="16"/>
              </w:rPr>
              <w:t>(30)</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6"/>
                <w:szCs w:val="16"/>
              </w:rPr>
              <w:t>(30)</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375475477"/>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6"/>
                <w:szCs w:val="16"/>
              </w:rPr>
              <w:t>Balance as of December 31, 2021</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165 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165 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94004B">
        <w:trPr>
          <w:divId w:val="375475477"/>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16"/>
                <w:szCs w:val="16"/>
              </w:rPr>
              <w:t>Combined allowance and reserve as of December 31, 2021</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6"/>
                <w:szCs w:val="16"/>
              </w:rPr>
              <w:t>7,968 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6"/>
                <w:szCs w:val="16"/>
              </w:rPr>
              <w:t>377 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6"/>
                <w:szCs w:val="16"/>
              </w:rPr>
              <w:t>8,345 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6"/>
                <w:szCs w:val="16"/>
              </w:rPr>
              <w:t>1,852 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6"/>
                <w:szCs w:val="16"/>
              </w:rPr>
              <w:t>66 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6"/>
                <w:szCs w:val="16"/>
              </w:rPr>
              <w:t>1,918 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6"/>
                <w:szCs w:val="16"/>
              </w:rPr>
              <w:t>1,332 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6"/>
                <w:szCs w:val="16"/>
              </w:rPr>
              <w:t>11,595 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375475477"/>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16"/>
                <w:szCs w:val="16"/>
              </w:rPr>
              <w:t>Allowance for credit losses: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94004B">
        <w:trPr>
          <w:divId w:val="375475477"/>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6"/>
                <w:szCs w:val="16"/>
              </w:rPr>
              <w:t>Balance as of December 31, 2021</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7,968 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377 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8,345 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1,852 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66 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1,918 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1,167 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11,430 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375475477"/>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divId w:val="174614011"/>
              <w:rPr>
                <w:rFonts w:eastAsia="Times New Roman"/>
              </w:rPr>
            </w:pPr>
            <w:r>
              <w:rPr>
                <w:rFonts w:eastAsia="Times New Roman"/>
                <w:color w:val="000000"/>
                <w:sz w:val="16"/>
                <w:szCs w:val="16"/>
              </w:rPr>
              <w:t>Charge-offs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(4,004)</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(358)</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(4,362)</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(1,525)</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(89)</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(1,614)</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(88)</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(6,064)</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375475477"/>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divId w:val="2071952355"/>
              <w:rPr>
                <w:rFonts w:eastAsia="Times New Roman"/>
              </w:rPr>
            </w:pPr>
            <w:r>
              <w:rPr>
                <w:rFonts w:eastAsia="Times New Roman"/>
                <w:color w:val="000000"/>
                <w:sz w:val="16"/>
                <w:szCs w:val="16"/>
              </w:rPr>
              <w:t>Recoverie</w:t>
            </w:r>
            <w:r>
              <w:rPr>
                <w:rFonts w:eastAsia="Times New Roman"/>
                <w:color w:val="000000"/>
                <w:sz w:val="16"/>
                <w:szCs w:val="16"/>
              </w:rPr>
              <w:t>s</w:t>
            </w:r>
            <w:r>
              <w:rPr>
                <w:rFonts w:eastAsia="Times New Roman"/>
                <w:color w:val="000000"/>
                <w:sz w:val="10"/>
                <w:szCs w:val="10"/>
              </w:rPr>
              <w:t>(1</w:t>
            </w:r>
            <w:r>
              <w:rPr>
                <w:rFonts w:eastAsia="Times New Roman"/>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1,171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143</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1,314</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741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19</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760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17</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2,091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375475477"/>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6"/>
                <w:szCs w:val="16"/>
              </w:rPr>
              <w:t>Net charge-offs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(2,833)</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(215)</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(3,048)</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(784)</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(70)</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(854)</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(71)</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(3,973)</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375475477"/>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6"/>
                <w:szCs w:val="16"/>
              </w:rPr>
              <w:t>Provision for credit losses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4,020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245</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4,265</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1,119</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54</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1,173</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362</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5,800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375475477"/>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Allowance build (release) for credit losses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1,187</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30</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1,217</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335</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(16)</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319</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291</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1,827</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375475477"/>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divId w:val="1934127755"/>
              <w:rPr>
                <w:rFonts w:eastAsia="Times New Roman"/>
              </w:rPr>
            </w:pPr>
            <w:r>
              <w:rPr>
                <w:rFonts w:eastAsia="Times New Roman"/>
                <w:color w:val="000000"/>
                <w:sz w:val="16"/>
                <w:szCs w:val="16"/>
              </w:rPr>
              <w:t>Other change</w:t>
            </w:r>
            <w:r>
              <w:rPr>
                <w:rFonts w:eastAsia="Times New Roman"/>
                <w:color w:val="000000"/>
                <w:sz w:val="16"/>
                <w:szCs w:val="16"/>
              </w:rPr>
              <w:t>s</w:t>
            </w:r>
            <w:r>
              <w:rPr>
                <w:rFonts w:eastAsia="Times New Roman"/>
                <w:color w:val="000000"/>
                <w:sz w:val="10"/>
                <w:szCs w:val="10"/>
              </w:rPr>
              <w:t>(2</w:t>
            </w:r>
            <w:r>
              <w:rPr>
                <w:rFonts w:eastAsia="Times New Roman"/>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10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(27)</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(17)</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(17)</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375475477"/>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6"/>
                <w:szCs w:val="16"/>
              </w:rPr>
              <w:t>Balance as of December 31, 2022</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9,165</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380</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9,545</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2,187</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50</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2,237</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1,458</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13,240</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375475477"/>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16"/>
                <w:szCs w:val="16"/>
              </w:rPr>
              <w:t>Reserve for unfunded lending commitments: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375475477"/>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6"/>
                <w:szCs w:val="16"/>
              </w:rPr>
              <w:t>Balance as of December 31, 2021</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165 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165 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375475477"/>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Provision for losses on unfunded lending commitments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6"/>
                <w:szCs w:val="16"/>
              </w:rPr>
              <w:t>53</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6"/>
                <w:szCs w:val="16"/>
              </w:rPr>
              <w:t>53</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375475477"/>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6"/>
                <w:szCs w:val="16"/>
              </w:rPr>
              <w:t>Balance as of December 31, 2022</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218</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218</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94004B">
        <w:trPr>
          <w:divId w:val="375475477"/>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16"/>
                <w:szCs w:val="16"/>
              </w:rPr>
              <w:t>Combined allowance and reserve as of December 31, 2022</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6"/>
                <w:szCs w:val="16"/>
              </w:rPr>
              <w:t>9,165</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6"/>
                <w:szCs w:val="16"/>
              </w:rPr>
              <w:t>380</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6"/>
                <w:szCs w:val="16"/>
              </w:rPr>
              <w:t>9,545</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6"/>
                <w:szCs w:val="16"/>
              </w:rPr>
              <w:t>2,187</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6"/>
                <w:szCs w:val="16"/>
              </w:rPr>
              <w:t>50</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6"/>
                <w:szCs w:val="16"/>
              </w:rPr>
              <w:t>2,237</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6"/>
                <w:szCs w:val="16"/>
              </w:rPr>
              <w:t>1,676</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6"/>
                <w:szCs w:val="16"/>
              </w:rPr>
              <w:t>13,458</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375475477"/>
        </w:trPr>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bl>
    <w:p w:rsidR="00000000" w:rsidRDefault="0094004B">
      <w:pPr>
        <w:jc w:val="both"/>
        <w:divId w:val="375475477"/>
        <w:rPr>
          <w:rFonts w:eastAsia="Times New Roman"/>
        </w:rPr>
      </w:pPr>
      <w:r>
        <w:rPr>
          <w:rFonts w:eastAsia="Times New Roman"/>
          <w:color w:val="000000"/>
          <w:sz w:val="20"/>
          <w:szCs w:val="20"/>
        </w:rPr>
        <w:t>__________</w:t>
      </w:r>
    </w:p>
    <w:p w:rsidR="00000000" w:rsidRDefault="0094004B">
      <w:pPr>
        <w:ind w:hanging="360"/>
        <w:jc w:val="both"/>
        <w:divId w:val="1351881836"/>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The amount and timing of recoveries are impacted by our collection strategies, which are based on customer behavior and risk profile and include direct customer communicatio</w:t>
      </w:r>
      <w:r>
        <w:rPr>
          <w:rFonts w:eastAsia="Times New Roman"/>
          <w:color w:val="000000"/>
          <w:sz w:val="16"/>
          <w:szCs w:val="16"/>
        </w:rPr>
        <w:t>ns, repossession of collateral, the periodic sale of charged off loans as well as additional strategies, such as litigation.</w:t>
      </w:r>
    </w:p>
    <w:p w:rsidR="00000000" w:rsidRDefault="0094004B">
      <w:pPr>
        <w:ind w:hanging="360"/>
        <w:jc w:val="both"/>
        <w:divId w:val="253591066"/>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Primarily represents foreign currency translation adjustments and the initial allowance for purchased credit-deteriorated loans.</w:t>
      </w:r>
      <w:r>
        <w:rPr>
          <w:rFonts w:eastAsia="Times New Roman"/>
          <w:color w:val="000000"/>
          <w:sz w:val="16"/>
          <w:szCs w:val="16"/>
        </w:rPr>
        <w:t xml:space="preserve"> The initial allowance for purchased credit-deteriorated loans was $10 million and $6 million for the years ended December 31, 2022 and 2021, respectively.</w:t>
      </w:r>
    </w:p>
    <w:p w:rsidR="00000000" w:rsidRDefault="0094004B">
      <w:pPr>
        <w:ind w:hanging="360"/>
        <w:jc w:val="both"/>
        <w:divId w:val="1355694046"/>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08470507"/>
          <w:jc w:val="center"/>
        </w:trPr>
        <w:tc>
          <w:tcPr>
            <w:tcW w:w="50" w:type="pct"/>
            <w:vAlign w:val="center"/>
            <w:hideMark/>
          </w:tcPr>
          <w:p w:rsidR="00000000" w:rsidRDefault="0094004B">
            <w:pPr>
              <w:ind w:hanging="360"/>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08470507"/>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08470507"/>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91</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17" style="width:0;height:1.5pt" o:hralign="center" o:hrstd="t" o:hr="t" fillcolor="#a0a0a0" stroked="f"/>
        </w:pict>
      </w:r>
    </w:p>
    <w:p w:rsidR="00000000" w:rsidRDefault="0094004B">
      <w:pPr>
        <w:ind w:hanging="360"/>
        <w:jc w:val="both"/>
        <w:divId w:val="651913268"/>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both"/>
        <w:divId w:val="1945964671"/>
        <w:rPr>
          <w:rFonts w:eastAsia="Times New Roman"/>
        </w:rPr>
      </w:pPr>
      <w:r>
        <w:rPr>
          <w:rFonts w:eastAsia="Times New Roman"/>
          <w:color w:val="000000"/>
          <w:sz w:val="20"/>
          <w:szCs w:val="20"/>
        </w:rPr>
        <w:t>Allowance coverage ratios are calculated based on the allowance for credit losses for each specified portfolio segment divided by period-end loans held for investment within the specified loan category, as defined below. Table 29 presents the allowance cov</w:t>
      </w:r>
      <w:r>
        <w:rPr>
          <w:rFonts w:eastAsia="Times New Roman"/>
          <w:color w:val="000000"/>
          <w:sz w:val="20"/>
          <w:szCs w:val="20"/>
        </w:rPr>
        <w:t xml:space="preserve">erage ratios as of December 31, 2022 and 2021. </w:t>
      </w:r>
    </w:p>
    <w:p w:rsidR="00000000" w:rsidRDefault="0094004B">
      <w:pPr>
        <w:divId w:val="1501385116"/>
        <w:rPr>
          <w:rFonts w:eastAsia="Times New Roman"/>
        </w:rPr>
      </w:pPr>
      <w:r>
        <w:rPr>
          <w:rFonts w:eastAsia="Times New Roman"/>
          <w:b/>
          <w:bCs/>
          <w:color w:val="000000"/>
          <w:sz w:val="18"/>
          <w:szCs w:val="18"/>
        </w:rPr>
        <w:t>Table 29: Allowance Coverage Ratios for Specified Loan Category</w:t>
      </w:r>
    </w:p>
    <w:tbl>
      <w:tblPr>
        <w:tblW w:w="5000" w:type="pct"/>
        <w:tblCellMar>
          <w:top w:w="15" w:type="dxa"/>
          <w:left w:w="15" w:type="dxa"/>
          <w:bottom w:w="15" w:type="dxa"/>
          <w:right w:w="15" w:type="dxa"/>
        </w:tblCellMar>
        <w:tblLook w:val="04A0" w:firstRow="1" w:lastRow="0" w:firstColumn="1" w:lastColumn="0" w:noHBand="0" w:noVBand="1"/>
      </w:tblPr>
      <w:tblGrid>
        <w:gridCol w:w="39"/>
        <w:gridCol w:w="2565"/>
        <w:gridCol w:w="38"/>
        <w:gridCol w:w="36"/>
        <w:gridCol w:w="36"/>
        <w:gridCol w:w="36"/>
        <w:gridCol w:w="111"/>
        <w:gridCol w:w="658"/>
        <w:gridCol w:w="36"/>
        <w:gridCol w:w="36"/>
        <w:gridCol w:w="36"/>
        <w:gridCol w:w="36"/>
        <w:gridCol w:w="111"/>
        <w:gridCol w:w="627"/>
        <w:gridCol w:w="36"/>
        <w:gridCol w:w="36"/>
        <w:gridCol w:w="36"/>
        <w:gridCol w:w="36"/>
        <w:gridCol w:w="86"/>
        <w:gridCol w:w="658"/>
        <w:gridCol w:w="200"/>
        <w:gridCol w:w="36"/>
        <w:gridCol w:w="36"/>
        <w:gridCol w:w="36"/>
        <w:gridCol w:w="111"/>
        <w:gridCol w:w="658"/>
        <w:gridCol w:w="36"/>
        <w:gridCol w:w="36"/>
        <w:gridCol w:w="36"/>
        <w:gridCol w:w="36"/>
        <w:gridCol w:w="111"/>
        <w:gridCol w:w="627"/>
        <w:gridCol w:w="36"/>
        <w:gridCol w:w="36"/>
        <w:gridCol w:w="36"/>
        <w:gridCol w:w="36"/>
        <w:gridCol w:w="84"/>
        <w:gridCol w:w="660"/>
        <w:gridCol w:w="170"/>
      </w:tblGrid>
      <w:tr w:rsidR="00000000">
        <w:trPr>
          <w:divId w:val="1501385116"/>
        </w:trPr>
        <w:tc>
          <w:tcPr>
            <w:tcW w:w="50" w:type="pct"/>
            <w:vAlign w:val="center"/>
            <w:hideMark/>
          </w:tcPr>
          <w:p w:rsidR="00000000" w:rsidRDefault="0094004B">
            <w:pPr>
              <w:rPr>
                <w:rFonts w:eastAsia="Times New Roman"/>
              </w:rPr>
            </w:pPr>
          </w:p>
        </w:tc>
        <w:tc>
          <w:tcPr>
            <w:tcW w:w="207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8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8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8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8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8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98"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501385116"/>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15"/>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b/>
                <w:bCs/>
                <w:color w:val="000000"/>
                <w:sz w:val="16"/>
                <w:szCs w:val="16"/>
              </w:rPr>
              <w:t>December 31, 2022</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15"/>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b/>
                <w:bCs/>
                <w:color w:val="000000"/>
                <w:sz w:val="16"/>
                <w:szCs w:val="16"/>
              </w:rPr>
              <w:t>December 31, 2021</w:t>
            </w:r>
          </w:p>
        </w:tc>
      </w:tr>
      <w:tr w:rsidR="00000000">
        <w:trPr>
          <w:divId w:val="1501385116"/>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Allowance for Credit Losses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Amoun</w:t>
            </w:r>
            <w:r>
              <w:rPr>
                <w:rFonts w:eastAsia="Times New Roman"/>
                <w:b/>
                <w:bCs/>
                <w:color w:val="000000"/>
                <w:sz w:val="16"/>
                <w:szCs w:val="16"/>
              </w:rPr>
              <w:t>t</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Allowance Coverage Ratio</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Allowance for Credit Losses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Amoun</w:t>
            </w:r>
            <w:r>
              <w:rPr>
                <w:rFonts w:eastAsia="Times New Roman"/>
                <w:b/>
                <w:bCs/>
                <w:color w:val="000000"/>
                <w:sz w:val="16"/>
                <w:szCs w:val="16"/>
              </w:rPr>
              <w:t>t</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Allowance Coverage Ratio</w:t>
            </w:r>
          </w:p>
        </w:tc>
      </w:tr>
      <w:tr w:rsidR="00000000">
        <w:trPr>
          <w:divId w:val="150138511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9,545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4,769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200.16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8,345 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2,624 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318.08 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w:t>
            </w:r>
          </w:p>
        </w:tc>
      </w:tr>
      <w:tr w:rsidR="00000000">
        <w:trPr>
          <w:divId w:val="1501385116"/>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Consumer Banking</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2,237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4,940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b/>
                <w:bCs/>
                <w:color w:val="000000"/>
                <w:sz w:val="18"/>
                <w:szCs w:val="18"/>
              </w:rPr>
              <w:t>45.27</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1,918 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3,618 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53.01</w:t>
            </w:r>
          </w:p>
        </w:tc>
      </w:tr>
      <w:tr w:rsidR="00000000">
        <w:trPr>
          <w:divId w:val="1501385116"/>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1,458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701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b/>
                <w:bCs/>
                <w:color w:val="000000"/>
                <w:sz w:val="18"/>
                <w:szCs w:val="18"/>
              </w:rPr>
              <w:t>207.73</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1,167 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699 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166.93</w:t>
            </w:r>
          </w:p>
        </w:tc>
      </w:tr>
      <w:tr w:rsidR="00000000">
        <w:trPr>
          <w:divId w:val="1501385116"/>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13,240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312,331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b/>
                <w:bCs/>
                <w:color w:val="000000"/>
                <w:sz w:val="18"/>
                <w:szCs w:val="18"/>
              </w:rPr>
              <w:t>4.24</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11,430 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277,340 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4.12</w:t>
            </w:r>
          </w:p>
        </w:tc>
      </w:tr>
    </w:tbl>
    <w:p w:rsidR="00000000" w:rsidRDefault="0094004B">
      <w:pPr>
        <w:divId w:val="1501385116"/>
        <w:rPr>
          <w:rFonts w:eastAsia="Times New Roman"/>
        </w:rPr>
      </w:pPr>
      <w:r>
        <w:rPr>
          <w:rFonts w:eastAsia="Times New Roman"/>
          <w:color w:val="000000"/>
          <w:sz w:val="20"/>
          <w:szCs w:val="20"/>
        </w:rPr>
        <w:t>________</w:t>
      </w:r>
      <w:r>
        <w:rPr>
          <w:rFonts w:eastAsia="Times New Roman"/>
          <w:color w:val="000000"/>
          <w:sz w:val="20"/>
          <w:szCs w:val="20"/>
        </w:rPr>
        <w:t>__</w:t>
      </w:r>
    </w:p>
    <w:p w:rsidR="00000000" w:rsidRDefault="0094004B">
      <w:pPr>
        <w:ind w:hanging="360"/>
        <w:jc w:val="both"/>
        <w:divId w:val="12728941"/>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Represents period-end 30+ day delinquent loans for our credit card and consumer banking loan portfolios, nonperforming loans for our commercial </w:t>
      </w:r>
      <w:r>
        <w:rPr>
          <w:rFonts w:eastAsia="Times New Roman"/>
          <w:color w:val="000000"/>
          <w:sz w:val="16"/>
          <w:szCs w:val="16"/>
          <w:shd w:val="clear" w:color="auto" w:fill="FFFFFF"/>
        </w:rPr>
        <w:t>banking loan portfolio and total loans held for investment for the total ratio.</w:t>
      </w:r>
    </w:p>
    <w:p w:rsidR="00000000" w:rsidRDefault="0094004B">
      <w:pPr>
        <w:jc w:val="both"/>
        <w:divId w:val="33769803"/>
        <w:rPr>
          <w:rFonts w:eastAsia="Times New Roman"/>
        </w:rPr>
      </w:pPr>
      <w:r>
        <w:rPr>
          <w:rFonts w:eastAsia="Times New Roman"/>
          <w:color w:val="000000"/>
          <w:sz w:val="20"/>
          <w:szCs w:val="20"/>
          <w:shd w:val="clear" w:color="auto" w:fill="FFFFFF"/>
        </w:rPr>
        <w:t>O</w:t>
      </w:r>
      <w:r>
        <w:rPr>
          <w:rFonts w:eastAsia="Times New Roman"/>
          <w:color w:val="000000"/>
          <w:sz w:val="20"/>
          <w:szCs w:val="20"/>
        </w:rPr>
        <w:t>ur allowance for credit l</w:t>
      </w:r>
      <w:r>
        <w:rPr>
          <w:rFonts w:eastAsia="Times New Roman"/>
          <w:color w:val="000000"/>
          <w:sz w:val="20"/>
          <w:szCs w:val="20"/>
        </w:rPr>
        <w:t>osses increased by $1.8 billion to $13.2 billion as of December 31, 2022 compared to 2021 and our allowance coverage ratio increased by 12 basis points to 4.24% as of December 31, 2022 compared to 2021.</w:t>
      </w:r>
    </w:p>
    <w:p w:rsidR="00000000" w:rsidRDefault="0094004B">
      <w:pPr>
        <w:jc w:val="both"/>
        <w:divId w:val="1367680339"/>
        <w:rPr>
          <w:rFonts w:eastAsia="Times New Roman"/>
        </w:rPr>
      </w:pPr>
      <w:r>
        <w:rPr>
          <w:rFonts w:eastAsia="Times New Roman"/>
          <w:color w:val="000000"/>
          <w:sz w:val="20"/>
          <w:szCs w:val="20"/>
        </w:rPr>
        <w:t xml:space="preserve">The ratio of the allowance for credit losses divided </w:t>
      </w:r>
      <w:r>
        <w:rPr>
          <w:rFonts w:eastAsia="Times New Roman"/>
          <w:color w:val="000000"/>
          <w:sz w:val="20"/>
          <w:szCs w:val="20"/>
        </w:rPr>
        <w:t>by total nonperforming loans held for investment of $1.3 billion and $1.1 billion as of December 31, 2022 and 2021, respectively, decreased by 54% to 985% as of December 31, 2022 from 1,039% as of December 31, 2021. Excluding the impact of the allowance fo</w:t>
      </w:r>
      <w:r>
        <w:rPr>
          <w:rFonts w:eastAsia="Times New Roman"/>
          <w:color w:val="000000"/>
          <w:sz w:val="20"/>
          <w:szCs w:val="20"/>
        </w:rPr>
        <w:t>r credit losses related to Domestic Card of $9.2 billion and $8.0 billion as of December 31, 2022 and 2021, respectively, this ratio decreased by 12% to 303% as of December 31, 2022 from 315% as of December 31, 2021. The decrease in the ratio in both scena</w:t>
      </w:r>
      <w:r>
        <w:rPr>
          <w:rFonts w:eastAsia="Times New Roman"/>
          <w:color w:val="000000"/>
          <w:sz w:val="20"/>
          <w:szCs w:val="20"/>
        </w:rPr>
        <w:t>rios was driven by an increase in our nonperforming loans partially offset by an increase in our allowance for credit losses driven by credit normalization and loan growth.</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264344865"/>
        </w:trPr>
        <w:tc>
          <w:tcPr>
            <w:tcW w:w="50" w:type="pct"/>
            <w:vAlign w:val="center"/>
            <w:hideMark/>
          </w:tcPr>
          <w:p w:rsidR="00000000" w:rsidRDefault="0094004B">
            <w:pPr>
              <w:jc w:val="both"/>
              <w:rPr>
                <w:rFonts w:eastAsia="Times New Roman"/>
              </w:rPr>
            </w:pPr>
          </w:p>
        </w:tc>
        <w:tc>
          <w:tcPr>
            <w:tcW w:w="494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264344865"/>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20"/>
                <w:szCs w:val="20"/>
              </w:rPr>
              <w:t>LIQUIDITY RISK PROFILE</w:t>
            </w:r>
          </w:p>
        </w:tc>
      </w:tr>
    </w:tbl>
    <w:p w:rsidR="00000000" w:rsidRDefault="0094004B">
      <w:pPr>
        <w:jc w:val="both"/>
        <w:divId w:val="713627020"/>
        <w:rPr>
          <w:rFonts w:eastAsia="Times New Roman"/>
        </w:rPr>
      </w:pPr>
      <w:r>
        <w:rPr>
          <w:rFonts w:eastAsia="Times New Roman"/>
          <w:color w:val="000000"/>
          <w:sz w:val="20"/>
          <w:szCs w:val="20"/>
        </w:rPr>
        <w:t>We have established liquidity practices that are intended to ensure that we have sufficient asset-based liquidity to cover our funding requirements and maintain adequate reserves to withstand the potential impact of deposit attrition or diminished liquidit</w:t>
      </w:r>
      <w:r>
        <w:rPr>
          <w:rFonts w:eastAsia="Times New Roman"/>
          <w:color w:val="000000"/>
          <w:sz w:val="20"/>
          <w:szCs w:val="20"/>
        </w:rPr>
        <w:t xml:space="preserve">y in the funding markets. In addition to our cash and cash equivalents, we maintain reserves in the form of investment securities and certain loans that are either readily-marketable or pledgeable. </w:t>
      </w:r>
    </w:p>
    <w:p w:rsidR="00000000" w:rsidRDefault="0094004B">
      <w:pPr>
        <w:jc w:val="both"/>
        <w:divId w:val="837188927"/>
        <w:rPr>
          <w:rFonts w:eastAsia="Times New Roman"/>
        </w:rPr>
      </w:pPr>
      <w:r>
        <w:rPr>
          <w:rFonts w:eastAsia="Times New Roman"/>
          <w:color w:val="000000"/>
          <w:sz w:val="20"/>
          <w:szCs w:val="20"/>
        </w:rPr>
        <w:t xml:space="preserve">Table 30 below presents the composition of our liquidity </w:t>
      </w:r>
      <w:r>
        <w:rPr>
          <w:rFonts w:eastAsia="Times New Roman"/>
          <w:color w:val="000000"/>
          <w:sz w:val="20"/>
          <w:szCs w:val="20"/>
        </w:rPr>
        <w:t>reserves as of December 31, 2022 and 2021.</w:t>
      </w:r>
    </w:p>
    <w:p w:rsidR="00000000" w:rsidRDefault="0094004B">
      <w:pPr>
        <w:divId w:val="43649882"/>
        <w:rPr>
          <w:rFonts w:eastAsia="Times New Roman"/>
        </w:rPr>
      </w:pPr>
      <w:r>
        <w:rPr>
          <w:rFonts w:eastAsia="Times New Roman"/>
          <w:b/>
          <w:bCs/>
          <w:color w:val="000000"/>
          <w:sz w:val="18"/>
          <w:szCs w:val="18"/>
          <w:shd w:val="clear" w:color="auto" w:fill="FFFFFF"/>
        </w:rPr>
        <w:t>Table 30: Liquidity Reserves</w:t>
      </w:r>
    </w:p>
    <w:tbl>
      <w:tblPr>
        <w:tblW w:w="5000" w:type="pct"/>
        <w:tblCellMar>
          <w:top w:w="15" w:type="dxa"/>
          <w:left w:w="15" w:type="dxa"/>
          <w:bottom w:w="15" w:type="dxa"/>
          <w:right w:w="15" w:type="dxa"/>
        </w:tblCellMar>
        <w:tblLook w:val="04A0" w:firstRow="1" w:lastRow="0" w:firstColumn="1" w:lastColumn="0" w:noHBand="0" w:noVBand="1"/>
      </w:tblPr>
      <w:tblGrid>
        <w:gridCol w:w="40"/>
        <w:gridCol w:w="5204"/>
        <w:gridCol w:w="39"/>
        <w:gridCol w:w="36"/>
        <w:gridCol w:w="36"/>
        <w:gridCol w:w="36"/>
        <w:gridCol w:w="121"/>
        <w:gridCol w:w="1246"/>
        <w:gridCol w:w="36"/>
        <w:gridCol w:w="36"/>
        <w:gridCol w:w="36"/>
        <w:gridCol w:w="36"/>
        <w:gridCol w:w="121"/>
        <w:gridCol w:w="1247"/>
        <w:gridCol w:w="36"/>
      </w:tblGrid>
      <w:tr w:rsidR="00000000">
        <w:trPr>
          <w:divId w:val="1776288009"/>
        </w:trPr>
        <w:tc>
          <w:tcPr>
            <w:tcW w:w="50" w:type="pct"/>
            <w:vAlign w:val="center"/>
            <w:hideMark/>
          </w:tcPr>
          <w:p w:rsidR="00000000" w:rsidRDefault="0094004B">
            <w:pPr>
              <w:rPr>
                <w:rFonts w:eastAsia="Times New Roman"/>
              </w:rPr>
            </w:pPr>
          </w:p>
        </w:tc>
        <w:tc>
          <w:tcPr>
            <w:tcW w:w="3190"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1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79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1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79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776288009"/>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20"/>
                <w:szCs w:val="20"/>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b/>
                <w:bCs/>
                <w:color w:val="000000"/>
                <w:sz w:val="20"/>
                <w:szCs w:val="20"/>
              </w:rPr>
              <w:t>December 31, 2022</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b/>
                <w:bCs/>
                <w:color w:val="000000"/>
                <w:sz w:val="20"/>
                <w:szCs w:val="20"/>
              </w:rPr>
              <w:t>December 31, 2021</w:t>
            </w:r>
          </w:p>
        </w:tc>
      </w:tr>
      <w:tr w:rsidR="00000000">
        <w:trPr>
          <w:divId w:val="1776288009"/>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Cash and cash equivalents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30,856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21,746 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776288009"/>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jc w:val="both"/>
              <w:rPr>
                <w:rFonts w:eastAsia="Times New Roman"/>
              </w:rPr>
            </w:pPr>
            <w:r>
              <w:rPr>
                <w:rFonts w:eastAsia="Times New Roman"/>
                <w:color w:val="000000"/>
                <w:sz w:val="20"/>
                <w:szCs w:val="20"/>
              </w:rPr>
              <w:t>Investment securities available for sale, at fair value</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both"/>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76,919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95,261 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776288009"/>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FHLB borrowing capacity secured by loans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6,436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7,109 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776288009"/>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Outstanding FHLB advances and letters of credit secured by loans and investment securities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(51)</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(8)</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776288009"/>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Other encumbrances of investment securities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(7,583)</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(7,874)</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776288009"/>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Total liquidity reserves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106,577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116,234 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bl>
    <w:p w:rsidR="00000000" w:rsidRDefault="0094004B">
      <w:pPr>
        <w:jc w:val="both"/>
        <w:rPr>
          <w:rFonts w:eastAsia="Times New Roman"/>
        </w:rPr>
      </w:pPr>
    </w:p>
    <w:p w:rsidR="00000000" w:rsidRDefault="0094004B">
      <w:pPr>
        <w:jc w:val="both"/>
        <w:rPr>
          <w:rFonts w:eastAsia="Times New Roman"/>
        </w:rPr>
      </w:pPr>
      <w:r>
        <w:rPr>
          <w:rFonts w:eastAsia="Times New Roman"/>
          <w:color w:val="000000"/>
          <w:sz w:val="20"/>
          <w:szCs w:val="20"/>
        </w:rPr>
        <w:t>Our liquidity reserves decreased by $9.7 billion to $106.6 billion as of December 31, 2022 from December 31, 2021</w:t>
      </w:r>
      <w:r>
        <w:rPr>
          <w:rFonts w:eastAsia="Times New Roman"/>
          <w:color w:val="000000"/>
          <w:sz w:val="20"/>
          <w:szCs w:val="20"/>
          <w:shd w:val="clear" w:color="auto" w:fill="FFFFFF"/>
        </w:rPr>
        <w:t xml:space="preserve"> primarily due to a decline in our investment securities that more than offset an increase in cash and cash equivalents.</w:t>
      </w:r>
      <w:r>
        <w:rPr>
          <w:rFonts w:eastAsia="Times New Roman"/>
          <w:color w:val="FF0000"/>
          <w:sz w:val="20"/>
          <w:szCs w:val="20"/>
        </w:rPr>
        <w:t xml:space="preserve"> </w:t>
      </w:r>
      <w:r>
        <w:rPr>
          <w:rFonts w:eastAsia="Times New Roman"/>
          <w:color w:val="000000"/>
          <w:sz w:val="20"/>
          <w:szCs w:val="20"/>
        </w:rPr>
        <w:t>In addition to these l</w:t>
      </w:r>
      <w:r>
        <w:rPr>
          <w:rFonts w:eastAsia="Times New Roman"/>
          <w:color w:val="000000"/>
          <w:sz w:val="20"/>
          <w:szCs w:val="20"/>
        </w:rPr>
        <w:t>iquidity reserves, we maintain access to a diversified mix of funding sources as discussed in the “Borrowing Capacity” and “Funding” sections below. See “Risk Management” for additional information on our management of liquidity risk.</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745906998"/>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745906998"/>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745906998"/>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92</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18" style="width:0;height:1.5pt" o:hralign="center" o:hrstd="t" o:hr="t" fillcolor="#a0a0a0" stroked="f"/>
        </w:pict>
      </w:r>
    </w:p>
    <w:p w:rsidR="00000000" w:rsidRDefault="0094004B">
      <w:pPr>
        <w:ind w:hanging="360"/>
        <w:jc w:val="both"/>
        <w:divId w:val="1279487360"/>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divId w:val="1139109919"/>
        <w:rPr>
          <w:rFonts w:eastAsia="Times New Roman"/>
        </w:rPr>
      </w:pPr>
      <w:r>
        <w:rPr>
          <w:rFonts w:eastAsia="Times New Roman"/>
          <w:b/>
          <w:bCs/>
          <w:color w:val="000000"/>
          <w:sz w:val="20"/>
          <w:szCs w:val="20"/>
        </w:rPr>
        <w:t>Liquidity Coverage Ratio</w:t>
      </w:r>
    </w:p>
    <w:p w:rsidR="00000000" w:rsidRDefault="0094004B">
      <w:pPr>
        <w:jc w:val="both"/>
        <w:divId w:val="2114280392"/>
        <w:rPr>
          <w:rFonts w:eastAsia="Times New Roman"/>
        </w:rPr>
      </w:pPr>
      <w:r>
        <w:rPr>
          <w:rFonts w:eastAsia="Times New Roman"/>
          <w:color w:val="000000"/>
          <w:sz w:val="20"/>
          <w:szCs w:val="20"/>
        </w:rPr>
        <w:t>We are subject to the LCR Rule as implemented by the Federal Reserve and OCC. The LCR Rule requires each of the Compan</w:t>
      </w:r>
      <w:r>
        <w:rPr>
          <w:rFonts w:eastAsia="Times New Roman"/>
          <w:color w:val="000000"/>
          <w:sz w:val="20"/>
          <w:szCs w:val="20"/>
        </w:rPr>
        <w:t>y and the Bank to calculate its respective LCR daily. It also requires the Company to publicly disclose, on a quarterly basis, its LCR, certain related quantitative liquidity metrics, and a qualitative discussion of its LCR. Our average LCR during fourth q</w:t>
      </w:r>
      <w:r>
        <w:rPr>
          <w:rFonts w:eastAsia="Times New Roman"/>
          <w:color w:val="000000"/>
          <w:sz w:val="20"/>
          <w:szCs w:val="20"/>
        </w:rPr>
        <w:t>uarter 2022 was</w:t>
      </w:r>
      <w:r>
        <w:rPr>
          <w:rFonts w:eastAsia="Times New Roman"/>
          <w:color w:val="000000"/>
          <w:sz w:val="20"/>
          <w:szCs w:val="20"/>
          <w:shd w:val="clear" w:color="auto" w:fill="FFFFFF"/>
        </w:rPr>
        <w:t xml:space="preserve"> 143%</w:t>
      </w:r>
      <w:r>
        <w:rPr>
          <w:rFonts w:eastAsia="Times New Roman"/>
          <w:color w:val="000000"/>
          <w:sz w:val="20"/>
          <w:szCs w:val="20"/>
        </w:rPr>
        <w:t>, which exceeded the LCR Rule requirement of 100%. The calculation and the underlying components are based on our interpretations, expectations and assumptions of relevant regulations, as well as interpretations provided by our regulato</w:t>
      </w:r>
      <w:r>
        <w:rPr>
          <w:rFonts w:eastAsia="Times New Roman"/>
          <w:color w:val="000000"/>
          <w:sz w:val="20"/>
          <w:szCs w:val="20"/>
        </w:rPr>
        <w:t>rs, and are subject to change based on changes to future regulations and interpretations. See “Part I—Item 1. Business—Supervision and Regulation” for additional information.</w:t>
      </w:r>
    </w:p>
    <w:p w:rsidR="00000000" w:rsidRDefault="0094004B">
      <w:pPr>
        <w:jc w:val="both"/>
        <w:divId w:val="949243292"/>
        <w:rPr>
          <w:rFonts w:eastAsia="Times New Roman"/>
        </w:rPr>
      </w:pPr>
      <w:r>
        <w:rPr>
          <w:rFonts w:eastAsia="Times New Roman"/>
          <w:b/>
          <w:bCs/>
          <w:color w:val="000000"/>
          <w:sz w:val="20"/>
          <w:szCs w:val="20"/>
        </w:rPr>
        <w:t>Net Stable Funding Ratio</w:t>
      </w:r>
    </w:p>
    <w:p w:rsidR="00000000" w:rsidRDefault="0094004B">
      <w:pPr>
        <w:jc w:val="both"/>
        <w:divId w:val="2118983067"/>
        <w:rPr>
          <w:rFonts w:eastAsia="Times New Roman"/>
        </w:rPr>
      </w:pPr>
      <w:r>
        <w:rPr>
          <w:rFonts w:eastAsia="Times New Roman"/>
          <w:color w:val="000000"/>
          <w:sz w:val="20"/>
          <w:szCs w:val="20"/>
        </w:rPr>
        <w:t>The NSFR rule requires the Company and the Bank to maint</w:t>
      </w:r>
      <w:r>
        <w:rPr>
          <w:rFonts w:eastAsia="Times New Roman"/>
          <w:color w:val="000000"/>
          <w:sz w:val="20"/>
          <w:szCs w:val="20"/>
        </w:rPr>
        <w:t xml:space="preserve">ain an amount of available stable funding, which is a weighted measure of a company’s funding sources over a one-year time horizon, calculated by applying standardized weightings to equity and liabilities based on their expected stability, that is no less </w:t>
      </w:r>
      <w:r>
        <w:rPr>
          <w:rFonts w:eastAsia="Times New Roman"/>
          <w:color w:val="000000"/>
          <w:sz w:val="20"/>
          <w:szCs w:val="20"/>
        </w:rPr>
        <w:t>than a specified percentage of its required stable funding, which is calculated by applying standardized weightings to assets, derivatives exposures and certain other items based on their liquidity characteristics. As a Category III institution, the Compan</w:t>
      </w:r>
      <w:r>
        <w:rPr>
          <w:rFonts w:eastAsia="Times New Roman"/>
          <w:color w:val="000000"/>
          <w:sz w:val="20"/>
          <w:szCs w:val="20"/>
        </w:rPr>
        <w:t>y and the Bank are each required to maintain available stable funding in an amount at least equal to 85% of its required stable funding. The NSFR rule includes a semi-annual public disclosure requirement, with the first disclosure due 45 days after the end</w:t>
      </w:r>
      <w:r>
        <w:rPr>
          <w:rFonts w:eastAsia="Times New Roman"/>
          <w:color w:val="000000"/>
          <w:sz w:val="20"/>
          <w:szCs w:val="20"/>
        </w:rPr>
        <w:t xml:space="preserve"> of the second quarter of 2023</w:t>
      </w:r>
      <w:r>
        <w:rPr>
          <w:rFonts w:eastAsia="Times New Roman"/>
          <w:color w:val="000000"/>
          <w:sz w:val="20"/>
          <w:szCs w:val="20"/>
          <w:shd w:val="clear" w:color="auto" w:fill="FFFFFF"/>
        </w:rPr>
        <w:t xml:space="preserve">. </w:t>
      </w:r>
      <w:r>
        <w:rPr>
          <w:rFonts w:eastAsia="Times New Roman"/>
          <w:color w:val="000000"/>
          <w:sz w:val="20"/>
          <w:szCs w:val="20"/>
        </w:rPr>
        <w:t>The Company and the Bank exceeded the NSFR rule requirement as of December 31, 2022.</w:t>
      </w:r>
    </w:p>
    <w:p w:rsidR="00000000" w:rsidRDefault="0094004B">
      <w:pPr>
        <w:divId w:val="1226919095"/>
        <w:rPr>
          <w:rFonts w:eastAsia="Times New Roman"/>
        </w:rPr>
      </w:pPr>
      <w:r>
        <w:rPr>
          <w:rFonts w:eastAsia="Times New Roman"/>
          <w:b/>
          <w:bCs/>
          <w:color w:val="000000"/>
          <w:sz w:val="20"/>
          <w:szCs w:val="20"/>
        </w:rPr>
        <w:t>Borrowing Capacity</w:t>
      </w:r>
    </w:p>
    <w:p w:rsidR="00000000" w:rsidRDefault="0094004B">
      <w:pPr>
        <w:jc w:val="both"/>
        <w:divId w:val="440104684"/>
        <w:rPr>
          <w:rFonts w:eastAsia="Times New Roman"/>
        </w:rPr>
      </w:pPr>
      <w:r>
        <w:rPr>
          <w:rFonts w:eastAsia="Times New Roman"/>
          <w:color w:val="000000"/>
          <w:sz w:val="20"/>
          <w:szCs w:val="20"/>
        </w:rPr>
        <w:t>We maintain a shelf registration with the SEC so that we may periodically offer and sell an indeterminate aggregate amou</w:t>
      </w:r>
      <w:r>
        <w:rPr>
          <w:rFonts w:eastAsia="Times New Roman"/>
          <w:color w:val="000000"/>
          <w:sz w:val="20"/>
          <w:szCs w:val="20"/>
        </w:rPr>
        <w:t>nt of senior or subordinated debt securities, preferred stock, depositary shares, common stock, purchase contracts, warrants and units. There is no limit under this shelf registration to the amount or number of such securities that we may offer and sell, s</w:t>
      </w:r>
      <w:r>
        <w:rPr>
          <w:rFonts w:eastAsia="Times New Roman"/>
          <w:color w:val="000000"/>
          <w:sz w:val="20"/>
          <w:szCs w:val="20"/>
        </w:rPr>
        <w:t>ubject to market conditions. In addition, we also maintain a shelf registration associated with our credit card securitization trust that allows us to periodically offer and sell up to $30 billion of securitized debt obligations and a shelf registration as</w:t>
      </w:r>
      <w:r>
        <w:rPr>
          <w:rFonts w:eastAsia="Times New Roman"/>
          <w:color w:val="000000"/>
          <w:sz w:val="20"/>
          <w:szCs w:val="20"/>
        </w:rPr>
        <w:t xml:space="preserve">sociated with our auto loan securitization trusts that allows us to periodically offer and sell up to $25 billion of securitized debt obligations. The registered amounts under these shelf registration statements are subject to continuing review and change </w:t>
      </w:r>
      <w:r>
        <w:rPr>
          <w:rFonts w:eastAsia="Times New Roman"/>
          <w:color w:val="000000"/>
          <w:sz w:val="20"/>
          <w:szCs w:val="20"/>
        </w:rPr>
        <w:t>in the future, including as part of the routine renewal process.</w:t>
      </w:r>
    </w:p>
    <w:p w:rsidR="00000000" w:rsidRDefault="0094004B">
      <w:pPr>
        <w:jc w:val="both"/>
        <w:divId w:val="1538467348"/>
        <w:rPr>
          <w:rFonts w:eastAsia="Times New Roman"/>
        </w:rPr>
      </w:pPr>
      <w:r>
        <w:rPr>
          <w:rFonts w:eastAsia="Times New Roman"/>
          <w:color w:val="000000"/>
          <w:sz w:val="20"/>
          <w:szCs w:val="20"/>
        </w:rPr>
        <w:t>In addition to our issuance capacity under the shelf registration statements, we also have access to FHLB advances, the Federal Reserve Discount Window and the Fixed Income Clearing Corporati</w:t>
      </w:r>
      <w:r>
        <w:rPr>
          <w:rFonts w:eastAsia="Times New Roman"/>
          <w:color w:val="000000"/>
          <w:sz w:val="20"/>
          <w:szCs w:val="20"/>
        </w:rPr>
        <w:t>on’s general collateral financing repurchase agreement service. The ability to borrow utilizing these sources is based on membership status and the amount is dependent upon the Bank’s ability to post collateral. As of December 31, 2022, we pledged both loa</w:t>
      </w:r>
      <w:r>
        <w:rPr>
          <w:rFonts w:eastAsia="Times New Roman"/>
          <w:color w:val="000000"/>
          <w:sz w:val="20"/>
          <w:szCs w:val="20"/>
        </w:rPr>
        <w:t>ns and securities to the FHLB to secure a maximum borrowing capacity of $19.9 billion, of which $51 million was used. Our FHLB membership is supported by our investment in FHLB stock of $15 million and $32 million as of December 31, 2022 and 2021, respecti</w:t>
      </w:r>
      <w:r>
        <w:rPr>
          <w:rFonts w:eastAsia="Times New Roman"/>
          <w:color w:val="000000"/>
          <w:sz w:val="20"/>
          <w:szCs w:val="20"/>
        </w:rPr>
        <w:t xml:space="preserve">vely, which was determined in part based on our outstanding advances. As of December 31, 2022, we pledged loans to secure a borrowing capacity of $19.7 billion under the Federal Reserve Discount Window. Our membership with the Federal Reserve is supported </w:t>
      </w:r>
      <w:r>
        <w:rPr>
          <w:rFonts w:eastAsia="Times New Roman"/>
          <w:color w:val="000000"/>
          <w:sz w:val="20"/>
          <w:szCs w:val="20"/>
        </w:rPr>
        <w:t>by our investment in Federal Reserve stock, which totaled $1.3 billion as of both December 31, 2022 and 2021.</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639341683"/>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639341683"/>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639341683"/>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93</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19" style="width:0;height:1.5pt" o:hralign="center" o:hrstd="t" o:hr="t" fillcolor="#a0a0a0" stroked="f"/>
        </w:pict>
      </w:r>
    </w:p>
    <w:p w:rsidR="00000000" w:rsidRDefault="0094004B">
      <w:pPr>
        <w:ind w:hanging="360"/>
        <w:jc w:val="both"/>
        <w:divId w:val="1918318605"/>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divId w:val="1714646143"/>
        <w:rPr>
          <w:rFonts w:eastAsia="Times New Roman"/>
        </w:rPr>
      </w:pPr>
      <w:r>
        <w:rPr>
          <w:rFonts w:eastAsia="Times New Roman"/>
          <w:b/>
          <w:bCs/>
          <w:i/>
          <w:iCs/>
          <w:color w:val="000000"/>
          <w:sz w:val="20"/>
          <w:szCs w:val="20"/>
        </w:rPr>
        <w:t>Deposits</w:t>
      </w:r>
    </w:p>
    <w:p w:rsidR="00000000" w:rsidRDefault="0094004B">
      <w:pPr>
        <w:jc w:val="both"/>
        <w:divId w:val="1988706671"/>
        <w:rPr>
          <w:rFonts w:eastAsia="Times New Roman"/>
        </w:rPr>
      </w:pPr>
      <w:r>
        <w:rPr>
          <w:rFonts w:eastAsia="Times New Roman"/>
          <w:color w:val="000000"/>
          <w:sz w:val="20"/>
          <w:szCs w:val="20"/>
        </w:rPr>
        <w:t>Table 31 provides a comparison of average balances, interest expense and average deposits interest rates for December 31, 2022, 2021 and 2020.</w:t>
      </w:r>
    </w:p>
    <w:p w:rsidR="00000000" w:rsidRDefault="0094004B">
      <w:pPr>
        <w:divId w:val="1472553876"/>
        <w:rPr>
          <w:rFonts w:eastAsia="Times New Roman"/>
        </w:rPr>
      </w:pPr>
      <w:r>
        <w:rPr>
          <w:rFonts w:eastAsia="Times New Roman"/>
          <w:b/>
          <w:bCs/>
          <w:color w:val="000000"/>
          <w:sz w:val="20"/>
          <w:szCs w:val="20"/>
        </w:rPr>
        <w:t>Table 31: Deposits Composition and Average Deposits Interest Rates</w:t>
      </w:r>
    </w:p>
    <w:tbl>
      <w:tblPr>
        <w:tblW w:w="4992" w:type="pct"/>
        <w:tblCellMar>
          <w:top w:w="15" w:type="dxa"/>
          <w:left w:w="15" w:type="dxa"/>
          <w:bottom w:w="15" w:type="dxa"/>
          <w:right w:w="15" w:type="dxa"/>
        </w:tblCellMar>
        <w:tblLook w:val="04A0" w:firstRow="1" w:lastRow="0" w:firstColumn="1" w:lastColumn="0" w:noHBand="0" w:noVBand="1"/>
      </w:tblPr>
      <w:tblGrid>
        <w:gridCol w:w="38"/>
        <w:gridCol w:w="778"/>
        <w:gridCol w:w="37"/>
        <w:gridCol w:w="36"/>
        <w:gridCol w:w="36"/>
        <w:gridCol w:w="36"/>
        <w:gridCol w:w="110"/>
        <w:gridCol w:w="630"/>
        <w:gridCol w:w="36"/>
        <w:gridCol w:w="36"/>
        <w:gridCol w:w="36"/>
        <w:gridCol w:w="36"/>
        <w:gridCol w:w="111"/>
        <w:gridCol w:w="580"/>
        <w:gridCol w:w="36"/>
        <w:gridCol w:w="36"/>
        <w:gridCol w:w="36"/>
        <w:gridCol w:w="36"/>
        <w:gridCol w:w="93"/>
        <w:gridCol w:w="589"/>
        <w:gridCol w:w="200"/>
        <w:gridCol w:w="36"/>
        <w:gridCol w:w="36"/>
        <w:gridCol w:w="36"/>
        <w:gridCol w:w="110"/>
        <w:gridCol w:w="630"/>
        <w:gridCol w:w="36"/>
        <w:gridCol w:w="36"/>
        <w:gridCol w:w="36"/>
        <w:gridCol w:w="36"/>
        <w:gridCol w:w="111"/>
        <w:gridCol w:w="580"/>
        <w:gridCol w:w="36"/>
        <w:gridCol w:w="36"/>
        <w:gridCol w:w="36"/>
        <w:gridCol w:w="36"/>
        <w:gridCol w:w="93"/>
        <w:gridCol w:w="589"/>
        <w:gridCol w:w="170"/>
        <w:gridCol w:w="36"/>
        <w:gridCol w:w="36"/>
        <w:gridCol w:w="36"/>
        <w:gridCol w:w="110"/>
        <w:gridCol w:w="630"/>
        <w:gridCol w:w="36"/>
        <w:gridCol w:w="36"/>
        <w:gridCol w:w="36"/>
        <w:gridCol w:w="36"/>
        <w:gridCol w:w="111"/>
        <w:gridCol w:w="580"/>
        <w:gridCol w:w="36"/>
        <w:gridCol w:w="36"/>
        <w:gridCol w:w="36"/>
        <w:gridCol w:w="36"/>
        <w:gridCol w:w="92"/>
        <w:gridCol w:w="579"/>
        <w:gridCol w:w="170"/>
      </w:tblGrid>
      <w:tr w:rsidR="00000000">
        <w:trPr>
          <w:divId w:val="2108428778"/>
        </w:trPr>
        <w:tc>
          <w:tcPr>
            <w:tcW w:w="50" w:type="pct"/>
            <w:vAlign w:val="center"/>
            <w:hideMark/>
          </w:tcPr>
          <w:p w:rsidR="00000000" w:rsidRDefault="0094004B">
            <w:pPr>
              <w:rPr>
                <w:rFonts w:eastAsia="Times New Roman"/>
              </w:rPr>
            </w:pPr>
          </w:p>
        </w:tc>
        <w:tc>
          <w:tcPr>
            <w:tcW w:w="1321"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1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18"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1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18"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1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18"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1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18"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1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18"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1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18"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1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18"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1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18"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1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18"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2108428778"/>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51"/>
            <w:tcBorders>
              <w:bottom w:val="single" w:sz="8" w:space="0" w:color="000000"/>
            </w:tcBorders>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b/>
                <w:bCs/>
                <w:color w:val="000000"/>
                <w:sz w:val="18"/>
                <w:szCs w:val="18"/>
              </w:rPr>
              <w:t>Year Ended December 31,</w:t>
            </w:r>
          </w:p>
        </w:tc>
      </w:tr>
      <w:tr w:rsidR="00000000">
        <w:trPr>
          <w:divId w:val="2108428778"/>
        </w:trPr>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15"/>
            <w:tcBorders>
              <w:top w:val="single" w:sz="8" w:space="0" w:color="000000"/>
              <w:bottom w:val="single" w:sz="8" w:space="0" w:color="000000"/>
            </w:tcBorders>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15"/>
            <w:tcBorders>
              <w:top w:val="single" w:sz="8" w:space="0" w:color="000000"/>
              <w:bottom w:val="single" w:sz="8" w:space="0" w:color="000000"/>
            </w:tcBorders>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15"/>
            <w:tcBorders>
              <w:top w:val="single" w:sz="8" w:space="0" w:color="000000"/>
              <w:bottom w:val="single" w:sz="8" w:space="0" w:color="000000"/>
            </w:tcBorders>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b/>
                <w:bCs/>
                <w:color w:val="000000"/>
                <w:sz w:val="18"/>
                <w:szCs w:val="18"/>
              </w:rPr>
              <w:t>2020</w:t>
            </w:r>
          </w:p>
        </w:tc>
      </w:tr>
      <w:tr w:rsidR="00000000">
        <w:trPr>
          <w:divId w:val="2108428778"/>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8"/>
                <w:szCs w:val="18"/>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rPr>
              <w:t>Average</w:t>
            </w:r>
            <w:r>
              <w:rPr>
                <w:rFonts w:eastAsia="Times New Roman"/>
                <w:b/>
                <w:bCs/>
                <w:color w:val="000000"/>
                <w:sz w:val="18"/>
                <w:szCs w:val="18"/>
              </w:rPr>
              <w:br/>
              <w:t>Balance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rPr>
              <w:t>Interest</w:t>
            </w:r>
            <w:r>
              <w:rPr>
                <w:rFonts w:eastAsia="Times New Roman"/>
                <w:b/>
                <w:bCs/>
                <w:color w:val="000000"/>
                <w:sz w:val="18"/>
                <w:szCs w:val="18"/>
              </w:rPr>
              <w:br/>
              <w:t>Expense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rPr>
              <w:t>Average</w:t>
            </w:r>
            <w:r>
              <w:rPr>
                <w:rFonts w:eastAsia="Times New Roman"/>
                <w:b/>
                <w:bCs/>
                <w:color w:val="000000"/>
                <w:sz w:val="18"/>
                <w:szCs w:val="18"/>
              </w:rPr>
              <w:br/>
            </w:r>
            <w:r>
              <w:rPr>
                <w:rFonts w:eastAsia="Times New Roman"/>
                <w:b/>
                <w:bCs/>
                <w:color w:val="000000"/>
                <w:sz w:val="18"/>
                <w:szCs w:val="18"/>
              </w:rPr>
              <w:t>Deposits</w:t>
            </w:r>
            <w:r>
              <w:rPr>
                <w:rFonts w:eastAsia="Times New Roman"/>
                <w:b/>
                <w:bCs/>
                <w:color w:val="000000"/>
                <w:sz w:val="18"/>
                <w:szCs w:val="18"/>
              </w:rPr>
              <w:br/>
              <w:t>Interest Rate</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rPr>
              <w:t>Average</w:t>
            </w:r>
            <w:r>
              <w:rPr>
                <w:rFonts w:eastAsia="Times New Roman"/>
                <w:b/>
                <w:bCs/>
                <w:color w:val="000000"/>
                <w:sz w:val="18"/>
                <w:szCs w:val="18"/>
              </w:rPr>
              <w:br/>
              <w:t>Balance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rPr>
              <w:t>Interest</w:t>
            </w:r>
            <w:r>
              <w:rPr>
                <w:rFonts w:eastAsia="Times New Roman"/>
                <w:b/>
                <w:bCs/>
                <w:color w:val="000000"/>
                <w:sz w:val="18"/>
                <w:szCs w:val="18"/>
              </w:rPr>
              <w:br/>
              <w:t>Expense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rPr>
              <w:t>Average</w:t>
            </w:r>
            <w:r>
              <w:rPr>
                <w:rFonts w:eastAsia="Times New Roman"/>
                <w:b/>
                <w:bCs/>
                <w:color w:val="000000"/>
                <w:sz w:val="18"/>
                <w:szCs w:val="18"/>
              </w:rPr>
              <w:br/>
              <w:t>Deposits</w:t>
            </w:r>
            <w:r>
              <w:rPr>
                <w:rFonts w:eastAsia="Times New Roman"/>
                <w:b/>
                <w:bCs/>
                <w:color w:val="000000"/>
                <w:sz w:val="18"/>
                <w:szCs w:val="18"/>
              </w:rPr>
              <w:br/>
              <w:t>Interest Rate</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rPr>
              <w:t>Average</w:t>
            </w:r>
            <w:r>
              <w:rPr>
                <w:rFonts w:eastAsia="Times New Roman"/>
                <w:b/>
                <w:bCs/>
                <w:color w:val="000000"/>
                <w:sz w:val="18"/>
                <w:szCs w:val="18"/>
              </w:rPr>
              <w:br/>
              <w:t>Balance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rPr>
              <w:t>Interest</w:t>
            </w:r>
            <w:r>
              <w:rPr>
                <w:rFonts w:eastAsia="Times New Roman"/>
                <w:b/>
                <w:bCs/>
                <w:color w:val="000000"/>
                <w:sz w:val="18"/>
                <w:szCs w:val="18"/>
              </w:rPr>
              <w:br/>
              <w:t>Expense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rPr>
              <w:t>Average</w:t>
            </w:r>
            <w:r>
              <w:rPr>
                <w:rFonts w:eastAsia="Times New Roman"/>
                <w:b/>
                <w:bCs/>
                <w:color w:val="000000"/>
                <w:sz w:val="18"/>
                <w:szCs w:val="18"/>
              </w:rPr>
              <w:br/>
              <w:t>Deposit</w:t>
            </w:r>
            <w:r>
              <w:rPr>
                <w:rFonts w:eastAsia="Times New Roman"/>
                <w:b/>
                <w:bCs/>
                <w:color w:val="000000"/>
                <w:sz w:val="18"/>
                <w:szCs w:val="18"/>
              </w:rPr>
              <w:br/>
              <w:t>Interest Rate</w:t>
            </w:r>
          </w:p>
        </w:tc>
      </w:tr>
      <w:tr w:rsidR="0094004B">
        <w:trPr>
          <w:divId w:val="2108428778"/>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divId w:val="1427069979"/>
              <w:rPr>
                <w:rFonts w:eastAsia="Times New Roman"/>
              </w:rPr>
            </w:pPr>
            <w:r>
              <w:rPr>
                <w:rFonts w:eastAsia="Times New Roman"/>
                <w:color w:val="000000"/>
                <w:sz w:val="18"/>
                <w:szCs w:val="18"/>
              </w:rPr>
              <w:t>Interest-bearing checking account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48,291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312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0.65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45,055 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0.17 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37,136 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0.35 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w:t>
            </w:r>
          </w:p>
        </w:tc>
      </w:tr>
      <w:tr w:rsidR="0094004B">
        <w:trPr>
          <w:divId w:val="2108428778"/>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divId w:val="595288477"/>
              <w:rPr>
                <w:rFonts w:eastAsia="Times New Roman"/>
              </w:rPr>
            </w:pPr>
            <w:r>
              <w:rPr>
                <w:rFonts w:eastAsia="Times New Roman"/>
                <w:color w:val="000000"/>
                <w:sz w:val="18"/>
                <w:szCs w:val="18"/>
              </w:rPr>
              <w:t>Saving deposit</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202,454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1,628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0.80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203,293 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628 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0.31 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184,466 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1,278 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0.69 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94004B">
        <w:trPr>
          <w:divId w:val="2108428778"/>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Time deposits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26,463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595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2.25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23,152 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252 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1.09 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41,677 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758 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1.82 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2108428778"/>
        </w:trPr>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2108428778"/>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94004B">
        <w:trPr>
          <w:divId w:val="2108428778"/>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 interest-bearing deposits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277,208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2,535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0.91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271,500 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956 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0.35 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263,279 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2,165 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0.82 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bl>
    <w:p w:rsidR="00000000" w:rsidRDefault="0094004B">
      <w:pPr>
        <w:jc w:val="both"/>
        <w:divId w:val="2108428778"/>
        <w:rPr>
          <w:rFonts w:eastAsia="Times New Roman"/>
        </w:rPr>
      </w:pPr>
      <w:r>
        <w:rPr>
          <w:rFonts w:eastAsia="Times New Roman"/>
          <w:color w:val="000000"/>
          <w:sz w:val="20"/>
          <w:szCs w:val="20"/>
        </w:rPr>
        <w:t>__________</w:t>
      </w:r>
    </w:p>
    <w:p w:rsidR="00000000" w:rsidRDefault="0094004B">
      <w:pPr>
        <w:ind w:hanging="360"/>
        <w:jc w:val="both"/>
        <w:divId w:val="1237085088"/>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Includes negotiable order of withdrawal accounts.</w:t>
      </w:r>
    </w:p>
    <w:p w:rsidR="00000000" w:rsidRDefault="0094004B">
      <w:pPr>
        <w:ind w:hanging="360"/>
        <w:jc w:val="both"/>
        <w:divId w:val="306976162"/>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Includes money market deposit accounts.</w:t>
      </w:r>
    </w:p>
    <w:p w:rsidR="00000000" w:rsidRDefault="0094004B">
      <w:pPr>
        <w:jc w:val="both"/>
        <w:divId w:val="132135833"/>
        <w:rPr>
          <w:rFonts w:eastAsia="Times New Roman"/>
        </w:rPr>
      </w:pPr>
      <w:r>
        <w:rPr>
          <w:rFonts w:eastAsia="Times New Roman"/>
          <w:color w:val="000000"/>
          <w:sz w:val="20"/>
          <w:szCs w:val="20"/>
        </w:rPr>
        <w:t>The FDIC limits the acceptance of brokered deposits to well-capitalized insured depository institutions and, with a waiver from the FDIC, to adequately-capitalized institutions. The Bank was well-capitalized, as defined under the federal banking regulatory</w:t>
      </w:r>
      <w:r>
        <w:rPr>
          <w:rFonts w:eastAsia="Times New Roman"/>
          <w:color w:val="000000"/>
          <w:sz w:val="20"/>
          <w:szCs w:val="20"/>
        </w:rPr>
        <w:t xml:space="preserve"> guidelines, as of December 31, 2022 and 2021. See “Part I—Item 1. Business—Supervision and Regulation” for additional information. We provide additional information on the composition of deposits in “Consolidated Balance Sheets Analysis—Funding Sources Co</w:t>
      </w:r>
      <w:r>
        <w:rPr>
          <w:rFonts w:eastAsia="Times New Roman"/>
          <w:color w:val="000000"/>
          <w:sz w:val="20"/>
          <w:szCs w:val="20"/>
        </w:rPr>
        <w:t>mposition” and in “Part II—Item 8. Financial Statements and Supplementary Data—Note 8—Deposits and Borrowings.”</w:t>
      </w:r>
    </w:p>
    <w:p w:rsidR="00000000" w:rsidRDefault="0094004B">
      <w:pPr>
        <w:jc w:val="both"/>
        <w:divId w:val="1754859352"/>
        <w:rPr>
          <w:rFonts w:eastAsia="Times New Roman"/>
        </w:rPr>
      </w:pPr>
      <w:r>
        <w:rPr>
          <w:rFonts w:eastAsia="Times New Roman"/>
          <w:b/>
          <w:bCs/>
          <w:color w:val="000000"/>
          <w:sz w:val="20"/>
          <w:szCs w:val="20"/>
        </w:rPr>
        <w:t>Funding</w:t>
      </w:r>
    </w:p>
    <w:p w:rsidR="00000000" w:rsidRDefault="0094004B">
      <w:pPr>
        <w:jc w:val="both"/>
        <w:divId w:val="1206527324"/>
        <w:rPr>
          <w:rFonts w:eastAsia="Times New Roman"/>
        </w:rPr>
      </w:pPr>
      <w:r>
        <w:rPr>
          <w:rFonts w:eastAsia="Times New Roman"/>
          <w:color w:val="000000"/>
          <w:sz w:val="20"/>
          <w:szCs w:val="20"/>
        </w:rPr>
        <w:t>Our primary source of funding comes from deposits, as they are a stable and relatively low cost source of funding. In addition to deposi</w:t>
      </w:r>
      <w:r>
        <w:rPr>
          <w:rFonts w:eastAsia="Times New Roman"/>
          <w:color w:val="000000"/>
          <w:sz w:val="20"/>
          <w:szCs w:val="20"/>
        </w:rPr>
        <w:t>ts, we raise funding through the issuance of senior and subordinated notes and securitized debt obligations, federal funds purchased, securities loaned or sold under agreements to repurchase and FHLB advances secured by certain portions of our loan and sec</w:t>
      </w:r>
      <w:r>
        <w:rPr>
          <w:rFonts w:eastAsia="Times New Roman"/>
          <w:color w:val="000000"/>
          <w:sz w:val="20"/>
          <w:szCs w:val="20"/>
        </w:rPr>
        <w:t>urities portfolios. A key objective in our use of these markets is to maintain access to a diversified mix of wholesale funding sources. See “Consolidated Balance Sheets Analysis—Funding Sources Composition” for additional information on our primary source</w:t>
      </w:r>
      <w:r>
        <w:rPr>
          <w:rFonts w:eastAsia="Times New Roman"/>
          <w:color w:val="000000"/>
          <w:sz w:val="20"/>
          <w:szCs w:val="20"/>
        </w:rPr>
        <w:t>s of funding.</w:t>
      </w:r>
    </w:p>
    <w:p w:rsidR="00000000" w:rsidRDefault="0094004B">
      <w:pPr>
        <w:jc w:val="both"/>
        <w:divId w:val="1417096026"/>
        <w:rPr>
          <w:rFonts w:eastAsia="Times New Roman"/>
        </w:rPr>
      </w:pPr>
      <w:r>
        <w:rPr>
          <w:rFonts w:eastAsia="Times New Roman"/>
          <w:color w:val="000000"/>
          <w:sz w:val="20"/>
          <w:szCs w:val="20"/>
        </w:rPr>
        <w:t xml:space="preserve">In the normal course of business, we enter into various contractual obligations that may require future cash payments that affect our short-term and long-term liquidity and capital resource needs. Our future cash outflows primarily relate to </w:t>
      </w:r>
      <w:r>
        <w:rPr>
          <w:rFonts w:eastAsia="Times New Roman"/>
          <w:color w:val="000000"/>
          <w:sz w:val="20"/>
          <w:szCs w:val="20"/>
        </w:rPr>
        <w:t>deposits, borrowings and operating leases. The actual timing and amounts of future cash payments may vary over time due to a number of factors, such as early debt redemptions and changes in deposit balances.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2086413577"/>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2086413577"/>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2086413577"/>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94</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20" style="width:0;height:1.5pt" o:hralign="center" o:hrstd="t" o:hr="t" fillcolor="#a0a0a0" stroked="f"/>
        </w:pict>
      </w:r>
    </w:p>
    <w:p w:rsidR="00000000" w:rsidRDefault="0094004B">
      <w:pPr>
        <w:ind w:hanging="360"/>
        <w:jc w:val="both"/>
        <w:divId w:val="951060372"/>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both"/>
        <w:divId w:val="709648708"/>
        <w:rPr>
          <w:rFonts w:eastAsia="Times New Roman"/>
        </w:rPr>
      </w:pPr>
      <w:r>
        <w:rPr>
          <w:rFonts w:eastAsia="Times New Roman"/>
          <w:color w:val="000000"/>
          <w:sz w:val="20"/>
          <w:szCs w:val="20"/>
        </w:rPr>
        <w:t>As of December 31, 2022 and 2021, excluding intercompany balances, we held approximately $80.7 billion and $91.7 billion, respectively, of uninsured deposits primarily comprised of checking accounts and savings deposits. We estimate our uninsured amounts a</w:t>
      </w:r>
      <w:r>
        <w:rPr>
          <w:rFonts w:eastAsia="Times New Roman"/>
          <w:color w:val="000000"/>
          <w:sz w:val="20"/>
          <w:szCs w:val="20"/>
        </w:rPr>
        <w:t xml:space="preserve">t the account level based on the same methodologies and assumptions used for our “Consolidated Reports of Condition and Income” (FFIEC 031) filed with the Federal Banking Agencies. Table 32 presents, by contractual maturity, the amount of time deposits in </w:t>
      </w:r>
      <w:r>
        <w:rPr>
          <w:rFonts w:eastAsia="Times New Roman"/>
          <w:color w:val="000000"/>
          <w:sz w:val="20"/>
          <w:szCs w:val="20"/>
        </w:rPr>
        <w:t xml:space="preserve">excess of the FDIC insurance limit of $250,000 as of December 31, 2022 and 2021. Our funding and liquidity management activities factor into the expected maturities of these deposits. </w:t>
      </w:r>
    </w:p>
    <w:p w:rsidR="00000000" w:rsidRDefault="0094004B">
      <w:pPr>
        <w:divId w:val="360205334"/>
        <w:rPr>
          <w:rFonts w:eastAsia="Times New Roman"/>
        </w:rPr>
      </w:pPr>
      <w:r>
        <w:rPr>
          <w:rFonts w:eastAsia="Times New Roman"/>
          <w:b/>
          <w:bCs/>
          <w:color w:val="000000"/>
          <w:sz w:val="18"/>
          <w:szCs w:val="18"/>
        </w:rPr>
        <w:t xml:space="preserve">Table 32: Amount of Time Deposits in Excess of $250,000 by Contractual </w:t>
      </w:r>
      <w:r>
        <w:rPr>
          <w:rFonts w:eastAsia="Times New Roman"/>
          <w:b/>
          <w:bCs/>
          <w:color w:val="000000"/>
          <w:sz w:val="18"/>
          <w:szCs w:val="18"/>
        </w:rPr>
        <w:t>Maturity</w:t>
      </w:r>
    </w:p>
    <w:tbl>
      <w:tblPr>
        <w:tblW w:w="4978" w:type="pct"/>
        <w:tblCellMar>
          <w:top w:w="15" w:type="dxa"/>
          <w:left w:w="15" w:type="dxa"/>
          <w:bottom w:w="15" w:type="dxa"/>
          <w:right w:w="15" w:type="dxa"/>
        </w:tblCellMar>
        <w:tblLook w:val="04A0" w:firstRow="1" w:lastRow="0" w:firstColumn="1" w:lastColumn="0" w:noHBand="0" w:noVBand="1"/>
      </w:tblPr>
      <w:tblGrid>
        <w:gridCol w:w="37"/>
        <w:gridCol w:w="5097"/>
        <w:gridCol w:w="36"/>
        <w:gridCol w:w="36"/>
        <w:gridCol w:w="36"/>
        <w:gridCol w:w="36"/>
        <w:gridCol w:w="111"/>
        <w:gridCol w:w="522"/>
        <w:gridCol w:w="37"/>
        <w:gridCol w:w="36"/>
        <w:gridCol w:w="36"/>
        <w:gridCol w:w="36"/>
        <w:gridCol w:w="57"/>
        <w:gridCol w:w="420"/>
        <w:gridCol w:w="200"/>
        <w:gridCol w:w="36"/>
        <w:gridCol w:w="36"/>
        <w:gridCol w:w="36"/>
        <w:gridCol w:w="111"/>
        <w:gridCol w:w="521"/>
        <w:gridCol w:w="37"/>
        <w:gridCol w:w="36"/>
        <w:gridCol w:w="36"/>
        <w:gridCol w:w="36"/>
        <w:gridCol w:w="57"/>
        <w:gridCol w:w="424"/>
        <w:gridCol w:w="170"/>
      </w:tblGrid>
      <w:tr w:rsidR="00000000">
        <w:trPr>
          <w:divId w:val="347562204"/>
        </w:trPr>
        <w:tc>
          <w:tcPr>
            <w:tcW w:w="50" w:type="pct"/>
            <w:vAlign w:val="center"/>
            <w:hideMark/>
          </w:tcPr>
          <w:p w:rsidR="00000000" w:rsidRDefault="0094004B">
            <w:pPr>
              <w:rPr>
                <w:rFonts w:eastAsia="Times New Roman"/>
              </w:rPr>
            </w:pPr>
          </w:p>
        </w:tc>
        <w:tc>
          <w:tcPr>
            <w:tcW w:w="312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6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6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6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6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347562204"/>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December 31, 2022</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December 31, 2021</w:t>
            </w:r>
          </w:p>
        </w:tc>
      </w:tr>
      <w:tr w:rsidR="00000000">
        <w:trPr>
          <w:divId w:val="347562204"/>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 of Total</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 of Total</w:t>
            </w:r>
          </w:p>
        </w:tc>
      </w:tr>
      <w:tr w:rsidR="00000000">
        <w:trPr>
          <w:divId w:val="347562204"/>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Up to three months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87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4.3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20.7 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w:t>
            </w:r>
          </w:p>
        </w:tc>
      </w:tr>
      <w:tr w:rsidR="00000000">
        <w:trPr>
          <w:divId w:val="347562204"/>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 xml:space="preserve">&gt; </w:t>
            </w:r>
            <w:r>
              <w:rPr>
                <w:rFonts w:eastAsia="Times New Roman"/>
                <w:color w:val="000000"/>
                <w:sz w:val="18"/>
                <w:szCs w:val="18"/>
              </w:rPr>
              <w:t>3 months to 6 months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139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6.8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161 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27.3 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347562204"/>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&gt; 6 months to 12 months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1,098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54.0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134 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22.8 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347562204"/>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&gt; 12 months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708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34.9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172 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29.2 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347562204"/>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2,032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100.0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589 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w:t>
            </w:r>
          </w:p>
        </w:tc>
      </w:tr>
    </w:tbl>
    <w:p w:rsidR="00000000" w:rsidRDefault="0094004B">
      <w:pPr>
        <w:divId w:val="1873225639"/>
        <w:rPr>
          <w:rFonts w:eastAsia="Times New Roman"/>
        </w:rPr>
      </w:pPr>
      <w:r>
        <w:rPr>
          <w:rFonts w:eastAsia="Times New Roman"/>
          <w:b/>
          <w:bCs/>
          <w:i/>
          <w:iCs/>
          <w:color w:val="000000"/>
          <w:sz w:val="20"/>
          <w:szCs w:val="20"/>
        </w:rPr>
        <w:t>Short-Term Borrowings and Long-Term Debt</w:t>
      </w:r>
    </w:p>
    <w:p w:rsidR="00000000" w:rsidRDefault="0094004B">
      <w:pPr>
        <w:jc w:val="both"/>
        <w:divId w:val="992568487"/>
        <w:rPr>
          <w:rFonts w:eastAsia="Times New Roman"/>
        </w:rPr>
      </w:pPr>
      <w:r>
        <w:rPr>
          <w:rFonts w:eastAsia="Times New Roman"/>
          <w:color w:val="000000"/>
          <w:sz w:val="20"/>
          <w:szCs w:val="20"/>
        </w:rPr>
        <w:t xml:space="preserve">We access the capital markets to meet our funding needs through the issuance of senior and subordinated notes, securitized debt obligations and federal funds purchased and securities loaned or sold under agreements </w:t>
      </w:r>
      <w:r>
        <w:rPr>
          <w:rFonts w:eastAsia="Times New Roman"/>
          <w:color w:val="000000"/>
          <w:sz w:val="20"/>
          <w:szCs w:val="20"/>
        </w:rPr>
        <w:t xml:space="preserve">to repurchase. In addition, we have access to short-term and long-term FHLB advances secured by certain investment securities, multifamily real estate loans and commercial real estate loans. </w:t>
      </w:r>
    </w:p>
    <w:p w:rsidR="00000000" w:rsidRDefault="0094004B">
      <w:pPr>
        <w:jc w:val="both"/>
        <w:divId w:val="17631296"/>
        <w:rPr>
          <w:rFonts w:eastAsia="Times New Roman"/>
        </w:rPr>
      </w:pPr>
      <w:r>
        <w:rPr>
          <w:rFonts w:eastAsia="Times New Roman"/>
          <w:color w:val="000000"/>
          <w:sz w:val="20"/>
          <w:szCs w:val="20"/>
        </w:rPr>
        <w:t>Our short-term borrowings, which include those borrowings with a</w:t>
      </w:r>
      <w:r>
        <w:rPr>
          <w:rFonts w:eastAsia="Times New Roman"/>
          <w:color w:val="000000"/>
          <w:sz w:val="20"/>
          <w:szCs w:val="20"/>
        </w:rPr>
        <w:t>n original contractual maturity of one year or less, consisting of federal funds purchased, securities loaned or sold under agreements to repurchase and short-term FHLB advances, and do not include the current portion of long-term debt, increased by $63 mi</w:t>
      </w:r>
      <w:r>
        <w:rPr>
          <w:rFonts w:eastAsia="Times New Roman"/>
          <w:color w:val="000000"/>
          <w:sz w:val="20"/>
          <w:szCs w:val="20"/>
        </w:rPr>
        <w:t>llion to $883 million as of December 31, 2022 from December 31, 2021</w:t>
      </w:r>
      <w:r>
        <w:rPr>
          <w:rFonts w:eastAsia="Times New Roman"/>
          <w:color w:val="000000"/>
          <w:sz w:val="20"/>
          <w:szCs w:val="20"/>
          <w:shd w:val="clear" w:color="auto" w:fill="FFFFFF"/>
        </w:rPr>
        <w:t xml:space="preserve"> driven by an increase in repurchase agreements.</w:t>
      </w:r>
    </w:p>
    <w:p w:rsidR="00000000" w:rsidRDefault="0094004B">
      <w:pPr>
        <w:jc w:val="both"/>
        <w:divId w:val="231626476"/>
        <w:rPr>
          <w:rFonts w:eastAsia="Times New Roman"/>
        </w:rPr>
      </w:pPr>
      <w:r>
        <w:rPr>
          <w:rFonts w:eastAsia="Times New Roman"/>
          <w:color w:val="000000"/>
          <w:sz w:val="20"/>
          <w:szCs w:val="20"/>
        </w:rPr>
        <w:t>Our long-term funding, which primarily consists of securitized debt obligations and senior and subordinated notes, increased by $5.6 billio</w:t>
      </w:r>
      <w:r>
        <w:rPr>
          <w:rFonts w:eastAsia="Times New Roman"/>
          <w:color w:val="000000"/>
          <w:sz w:val="20"/>
          <w:szCs w:val="20"/>
        </w:rPr>
        <w:t>n to $47.8 billion as of December 31, 2022 from December 31, 2021</w:t>
      </w:r>
      <w:r>
        <w:rPr>
          <w:rFonts w:eastAsia="Times New Roman"/>
          <w:color w:val="000000"/>
          <w:sz w:val="20"/>
          <w:szCs w:val="20"/>
          <w:shd w:val="clear" w:color="auto" w:fill="FFFFFF"/>
        </w:rPr>
        <w:t xml:space="preserve"> primarily driven by net issuances of senior unsecured debt and </w:t>
      </w:r>
      <w:r>
        <w:rPr>
          <w:rFonts w:eastAsia="Times New Roman"/>
          <w:color w:val="000000"/>
          <w:sz w:val="20"/>
          <w:szCs w:val="20"/>
        </w:rPr>
        <w:t>net issuances in our auto and credit card securitization programs. We provide more information on our securitization activity i</w:t>
      </w:r>
      <w:r>
        <w:rPr>
          <w:rFonts w:eastAsia="Times New Roman"/>
          <w:color w:val="000000"/>
          <w:sz w:val="20"/>
          <w:szCs w:val="20"/>
        </w:rPr>
        <w:t>n “Part II—Item 8. Financial Statements and Supplementary Data—Note 5—Variable Interest Entities and Securitizations” and on our borrowings in “Part II—Item 8. Financial Statements and Supplementary Data—Note 8—Deposits and Borrowings.”</w:t>
      </w:r>
    </w:p>
    <w:p w:rsidR="00000000" w:rsidRDefault="0094004B">
      <w:pPr>
        <w:jc w:val="both"/>
        <w:divId w:val="755400194"/>
        <w:rPr>
          <w:rFonts w:eastAsia="Times New Roman"/>
        </w:rPr>
      </w:pPr>
      <w:r>
        <w:rPr>
          <w:rFonts w:eastAsia="Times New Roman"/>
          <w:color w:val="000000"/>
          <w:sz w:val="20"/>
          <w:szCs w:val="20"/>
        </w:rPr>
        <w:t>The following table</w:t>
      </w:r>
      <w:r>
        <w:rPr>
          <w:rFonts w:eastAsia="Times New Roman"/>
          <w:color w:val="000000"/>
          <w:sz w:val="20"/>
          <w:szCs w:val="20"/>
        </w:rPr>
        <w:t xml:space="preserve"> summarizes issuances of securitized debt obligations, senior and subordinated notes and their respective maturities or redemptions for the years ended December 31, 2022, 2021 and 2020.</w:t>
      </w:r>
    </w:p>
    <w:p w:rsidR="00000000" w:rsidRDefault="0094004B">
      <w:pPr>
        <w:divId w:val="979185968"/>
        <w:rPr>
          <w:rFonts w:eastAsia="Times New Roman"/>
        </w:rPr>
      </w:pPr>
      <w:r>
        <w:rPr>
          <w:rFonts w:eastAsia="Times New Roman"/>
          <w:b/>
          <w:bCs/>
          <w:color w:val="000000"/>
          <w:sz w:val="20"/>
          <w:szCs w:val="20"/>
        </w:rPr>
        <w:t>Table 33: Long-Term Debt Funding Activities</w:t>
      </w:r>
    </w:p>
    <w:tbl>
      <w:tblPr>
        <w:tblW w:w="5000" w:type="pct"/>
        <w:tblCellMar>
          <w:top w:w="15" w:type="dxa"/>
          <w:left w:w="15" w:type="dxa"/>
          <w:bottom w:w="15" w:type="dxa"/>
          <w:right w:w="15" w:type="dxa"/>
        </w:tblCellMar>
        <w:tblLook w:val="04A0" w:firstRow="1" w:lastRow="0" w:firstColumn="1" w:lastColumn="0" w:noHBand="0" w:noVBand="1"/>
      </w:tblPr>
      <w:tblGrid>
        <w:gridCol w:w="39"/>
        <w:gridCol w:w="2913"/>
        <w:gridCol w:w="38"/>
        <w:gridCol w:w="36"/>
        <w:gridCol w:w="36"/>
        <w:gridCol w:w="36"/>
        <w:gridCol w:w="120"/>
        <w:gridCol w:w="602"/>
        <w:gridCol w:w="36"/>
        <w:gridCol w:w="36"/>
        <w:gridCol w:w="36"/>
        <w:gridCol w:w="36"/>
        <w:gridCol w:w="120"/>
        <w:gridCol w:w="602"/>
        <w:gridCol w:w="36"/>
        <w:gridCol w:w="36"/>
        <w:gridCol w:w="36"/>
        <w:gridCol w:w="36"/>
        <w:gridCol w:w="120"/>
        <w:gridCol w:w="659"/>
        <w:gridCol w:w="36"/>
        <w:gridCol w:w="36"/>
        <w:gridCol w:w="36"/>
        <w:gridCol w:w="36"/>
        <w:gridCol w:w="120"/>
        <w:gridCol w:w="604"/>
        <w:gridCol w:w="36"/>
        <w:gridCol w:w="36"/>
        <w:gridCol w:w="36"/>
        <w:gridCol w:w="36"/>
        <w:gridCol w:w="120"/>
        <w:gridCol w:w="604"/>
        <w:gridCol w:w="36"/>
        <w:gridCol w:w="36"/>
        <w:gridCol w:w="36"/>
        <w:gridCol w:w="36"/>
        <w:gridCol w:w="120"/>
        <w:gridCol w:w="661"/>
        <w:gridCol w:w="36"/>
      </w:tblGrid>
      <w:tr w:rsidR="00000000">
        <w:trPr>
          <w:divId w:val="130557605"/>
        </w:trPr>
        <w:tc>
          <w:tcPr>
            <w:tcW w:w="50" w:type="pct"/>
            <w:vAlign w:val="center"/>
            <w:hideMark/>
          </w:tcPr>
          <w:p w:rsidR="00000000" w:rsidRDefault="0094004B">
            <w:pPr>
              <w:rPr>
                <w:rFonts w:eastAsia="Times New Roman"/>
              </w:rPr>
            </w:pPr>
          </w:p>
        </w:tc>
        <w:tc>
          <w:tcPr>
            <w:tcW w:w="1801"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3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3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1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3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3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3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1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3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30557605"/>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b/>
                <w:bCs/>
                <w:color w:val="000000"/>
                <w:sz w:val="20"/>
                <w:szCs w:val="20"/>
              </w:rPr>
              <w:t>Issuances</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15"/>
            <w:tcBorders>
              <w:bottom w:val="single" w:sz="8" w:space="0" w:color="000000"/>
            </w:tcBorders>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b/>
                <w:bCs/>
                <w:color w:val="000000"/>
                <w:sz w:val="20"/>
                <w:szCs w:val="20"/>
              </w:rPr>
              <w:t>Maturities/Redemptions</w:t>
            </w:r>
          </w:p>
        </w:tc>
      </w:tr>
      <w:tr w:rsidR="00000000">
        <w:trPr>
          <w:divId w:val="130557605"/>
        </w:trPr>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b/>
                <w:bCs/>
                <w:color w:val="000000"/>
                <w:sz w:val="20"/>
                <w:szCs w:val="20"/>
              </w:rPr>
              <w:t>Year Ended December 31,</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b/>
                <w:bCs/>
                <w:color w:val="000000"/>
                <w:sz w:val="20"/>
                <w:szCs w:val="20"/>
              </w:rPr>
              <w:t>Year Ended December 31,</w:t>
            </w:r>
          </w:p>
        </w:tc>
      </w:tr>
      <w:tr w:rsidR="00000000">
        <w:trPr>
          <w:divId w:val="130557605"/>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20"/>
                <w:szCs w:val="20"/>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b/>
                <w:bCs/>
                <w:color w:val="000000"/>
                <w:sz w:val="20"/>
                <w:szCs w:val="20"/>
              </w:rPr>
              <w:t>2020</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b/>
                <w:bCs/>
                <w:color w:val="000000"/>
                <w:sz w:val="20"/>
                <w:szCs w:val="20"/>
              </w:rPr>
              <w:t>2020</w:t>
            </w:r>
          </w:p>
        </w:tc>
      </w:tr>
      <w:tr w:rsidR="00000000">
        <w:trPr>
          <w:divId w:val="13055760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Securitized debt obligations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9,750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6,250 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1,250 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7,060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3,442 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6,868 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30557605"/>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Senior and subordinated notes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9,300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4,500 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4,000 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3,561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3,851 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8,092 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30557605"/>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FHLB advances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12,000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12,000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30557605"/>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31,050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10,750 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5,250 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22,621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7,293 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14,960 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95</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21" style="width:0;height:1.5pt" o:hralign="center" o:hrstd="t" o:hr="t" fillcolor="#a0a0a0" stroked="f"/>
        </w:pict>
      </w:r>
    </w:p>
    <w:p w:rsidR="00000000" w:rsidRDefault="0094004B">
      <w:pPr>
        <w:ind w:hanging="360"/>
        <w:jc w:val="both"/>
        <w:divId w:val="1184515220"/>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divId w:val="683558833"/>
        <w:rPr>
          <w:rFonts w:eastAsia="Times New Roman"/>
        </w:rPr>
      </w:pPr>
      <w:r>
        <w:rPr>
          <w:rFonts w:eastAsia="Times New Roman"/>
          <w:b/>
          <w:bCs/>
          <w:color w:val="000000"/>
          <w:sz w:val="20"/>
          <w:szCs w:val="20"/>
        </w:rPr>
        <w:t>Credit Ratings</w:t>
      </w:r>
    </w:p>
    <w:p w:rsidR="00000000" w:rsidRDefault="0094004B">
      <w:pPr>
        <w:jc w:val="both"/>
        <w:divId w:val="1645813435"/>
        <w:rPr>
          <w:rFonts w:eastAsia="Times New Roman"/>
        </w:rPr>
      </w:pPr>
      <w:r>
        <w:rPr>
          <w:rFonts w:eastAsia="Times New Roman"/>
          <w:color w:val="000000"/>
          <w:sz w:val="20"/>
          <w:szCs w:val="20"/>
        </w:rPr>
        <w:t>Our credit ratings impact our ability to access capital markets and our borrowing costs. Rating agencies assign their ratings based on numerous factors, including liquidity, capital adequacy, asset quality, quality of earnings and the probability of system</w:t>
      </w:r>
      <w:r>
        <w:rPr>
          <w:rFonts w:eastAsia="Times New Roman"/>
          <w:color w:val="000000"/>
          <w:sz w:val="20"/>
          <w:szCs w:val="20"/>
        </w:rPr>
        <w:t>ic support. Significant changes in these factors could result in different ratings.</w:t>
      </w:r>
    </w:p>
    <w:p w:rsidR="00000000" w:rsidRDefault="0094004B">
      <w:pPr>
        <w:jc w:val="both"/>
        <w:divId w:val="1980843092"/>
        <w:rPr>
          <w:rFonts w:eastAsia="Times New Roman"/>
        </w:rPr>
      </w:pPr>
      <w:r>
        <w:rPr>
          <w:rFonts w:eastAsia="Times New Roman"/>
          <w:color w:val="000000"/>
          <w:sz w:val="20"/>
          <w:szCs w:val="20"/>
        </w:rPr>
        <w:t>Table 34 provides a summary of the credit ratings for the senior unsecured long-term debt of Capital One Financial Corporation and CONA as of December 31, 2022 and 2021.</w:t>
      </w:r>
    </w:p>
    <w:p w:rsidR="00000000" w:rsidRDefault="0094004B">
      <w:pPr>
        <w:divId w:val="1661882729"/>
        <w:rPr>
          <w:rFonts w:eastAsia="Times New Roman"/>
        </w:rPr>
      </w:pPr>
      <w:r>
        <w:rPr>
          <w:rFonts w:eastAsia="Times New Roman"/>
          <w:b/>
          <w:bCs/>
          <w:color w:val="000000"/>
          <w:sz w:val="20"/>
          <w:szCs w:val="20"/>
        </w:rPr>
        <w:t>Ta</w:t>
      </w:r>
      <w:r>
        <w:rPr>
          <w:rFonts w:eastAsia="Times New Roman"/>
          <w:b/>
          <w:bCs/>
          <w:color w:val="000000"/>
          <w:sz w:val="20"/>
          <w:szCs w:val="20"/>
        </w:rPr>
        <w:t>ble 34: Senior Unsecured Long-Term Debt Credit Ratings</w:t>
      </w:r>
    </w:p>
    <w:tbl>
      <w:tblPr>
        <w:tblW w:w="5000" w:type="pct"/>
        <w:tblCellMar>
          <w:top w:w="15" w:type="dxa"/>
          <w:left w:w="15" w:type="dxa"/>
          <w:bottom w:w="15" w:type="dxa"/>
          <w:right w:w="15" w:type="dxa"/>
        </w:tblCellMar>
        <w:tblLook w:val="04A0" w:firstRow="1" w:lastRow="0" w:firstColumn="1" w:lastColumn="0" w:noHBand="0" w:noVBand="1"/>
      </w:tblPr>
      <w:tblGrid>
        <w:gridCol w:w="37"/>
        <w:gridCol w:w="4048"/>
        <w:gridCol w:w="36"/>
        <w:gridCol w:w="36"/>
        <w:gridCol w:w="36"/>
        <w:gridCol w:w="36"/>
        <w:gridCol w:w="96"/>
        <w:gridCol w:w="1002"/>
        <w:gridCol w:w="37"/>
        <w:gridCol w:w="37"/>
        <w:gridCol w:w="37"/>
        <w:gridCol w:w="36"/>
        <w:gridCol w:w="55"/>
        <w:gridCol w:w="680"/>
        <w:gridCol w:w="37"/>
        <w:gridCol w:w="36"/>
        <w:gridCol w:w="36"/>
        <w:gridCol w:w="36"/>
        <w:gridCol w:w="96"/>
        <w:gridCol w:w="1002"/>
        <w:gridCol w:w="37"/>
        <w:gridCol w:w="37"/>
        <w:gridCol w:w="37"/>
        <w:gridCol w:w="37"/>
        <w:gridCol w:w="55"/>
        <w:gridCol w:w="614"/>
        <w:gridCol w:w="37"/>
      </w:tblGrid>
      <w:tr w:rsidR="00000000">
        <w:trPr>
          <w:divId w:val="763116142"/>
        </w:trPr>
        <w:tc>
          <w:tcPr>
            <w:tcW w:w="50" w:type="pct"/>
            <w:vAlign w:val="center"/>
            <w:hideMark/>
          </w:tcPr>
          <w:p w:rsidR="00000000" w:rsidRDefault="0094004B">
            <w:pPr>
              <w:rPr>
                <w:rFonts w:eastAsia="Times New Roman"/>
              </w:rPr>
            </w:pPr>
          </w:p>
        </w:tc>
        <w:tc>
          <w:tcPr>
            <w:tcW w:w="249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52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1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52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52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52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763116142"/>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9"/>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b/>
                <w:bCs/>
                <w:color w:val="000000"/>
                <w:sz w:val="20"/>
                <w:szCs w:val="20"/>
              </w:rPr>
              <w:t>December 31, 2022</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9"/>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b/>
                <w:bCs/>
                <w:color w:val="000000"/>
                <w:sz w:val="20"/>
                <w:szCs w:val="20"/>
              </w:rPr>
              <w:t>December 31, 2021</w:t>
            </w:r>
          </w:p>
        </w:tc>
      </w:tr>
      <w:tr w:rsidR="00000000">
        <w:trPr>
          <w:divId w:val="763116142"/>
        </w:trPr>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Capital One</w:t>
            </w:r>
            <w:r>
              <w:rPr>
                <w:rFonts w:eastAsia="Times New Roman"/>
                <w:b/>
                <w:bCs/>
                <w:color w:val="000000"/>
                <w:sz w:val="20"/>
                <w:szCs w:val="20"/>
              </w:rPr>
              <w:br/>
              <w:t>Financial</w:t>
            </w:r>
            <w:r>
              <w:rPr>
                <w:rFonts w:eastAsia="Times New Roman"/>
                <w:b/>
                <w:bCs/>
                <w:color w:val="000000"/>
                <w:sz w:val="20"/>
                <w:szCs w:val="20"/>
              </w:rPr>
              <w:br/>
              <w:t>Corporation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CONA</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Capital One</w:t>
            </w:r>
            <w:r>
              <w:rPr>
                <w:rFonts w:eastAsia="Times New Roman"/>
                <w:b/>
                <w:bCs/>
                <w:color w:val="000000"/>
                <w:sz w:val="20"/>
                <w:szCs w:val="20"/>
              </w:rPr>
              <w:br/>
              <w:t>Financial</w:t>
            </w:r>
            <w:r>
              <w:rPr>
                <w:rFonts w:eastAsia="Times New Roman"/>
                <w:b/>
                <w:bCs/>
                <w:color w:val="000000"/>
                <w:sz w:val="20"/>
                <w:szCs w:val="20"/>
              </w:rPr>
              <w:br/>
              <w:t>Corporation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CONA</w:t>
            </w:r>
          </w:p>
        </w:tc>
      </w:tr>
      <w:tr w:rsidR="00000000">
        <w:trPr>
          <w:divId w:val="763116142"/>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Moody’s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jc w:val="right"/>
              <w:rPr>
                <w:rFonts w:eastAsia="Times New Roman"/>
              </w:rPr>
            </w:pPr>
            <w:r>
              <w:rPr>
                <w:rFonts w:eastAsia="Times New Roman"/>
                <w:b/>
                <w:bCs/>
                <w:color w:val="000000"/>
                <w:sz w:val="20"/>
                <w:szCs w:val="20"/>
              </w:rPr>
              <w:t>Baa1</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jc w:val="right"/>
              <w:rPr>
                <w:rFonts w:eastAsia="Times New Roman"/>
              </w:rPr>
            </w:pPr>
            <w:r>
              <w:rPr>
                <w:rFonts w:eastAsia="Times New Roman"/>
                <w:b/>
                <w:bCs/>
                <w:color w:val="000000"/>
                <w:sz w:val="20"/>
                <w:szCs w:val="20"/>
              </w:rPr>
              <w:t>A3</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jc w:val="right"/>
              <w:rPr>
                <w:rFonts w:eastAsia="Times New Roman"/>
              </w:rPr>
            </w:pPr>
            <w:r>
              <w:rPr>
                <w:rFonts w:eastAsia="Times New Roman"/>
                <w:color w:val="000000"/>
                <w:sz w:val="20"/>
                <w:szCs w:val="20"/>
              </w:rPr>
              <w:t>Baa1</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jc w:val="right"/>
              <w:rPr>
                <w:rFonts w:eastAsia="Times New Roman"/>
              </w:rPr>
            </w:pPr>
            <w:r>
              <w:rPr>
                <w:rFonts w:eastAsia="Times New Roman"/>
                <w:color w:val="000000"/>
                <w:sz w:val="20"/>
                <w:szCs w:val="20"/>
              </w:rPr>
              <w:t>A3</w:t>
            </w:r>
          </w:p>
        </w:tc>
      </w:tr>
      <w:tr w:rsidR="00000000">
        <w:trPr>
          <w:divId w:val="763116142"/>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S&amp;P</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jc w:val="right"/>
              <w:rPr>
                <w:rFonts w:eastAsia="Times New Roman"/>
              </w:rPr>
            </w:pPr>
            <w:r>
              <w:rPr>
                <w:rFonts w:eastAsia="Times New Roman"/>
                <w:b/>
                <w:bCs/>
                <w:color w:val="000000"/>
                <w:sz w:val="20"/>
                <w:szCs w:val="20"/>
              </w:rPr>
              <w:t>BBB</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jc w:val="right"/>
              <w:rPr>
                <w:rFonts w:eastAsia="Times New Roman"/>
              </w:rPr>
            </w:pPr>
            <w:r>
              <w:rPr>
                <w:rFonts w:eastAsia="Times New Roman"/>
                <w:b/>
                <w:bCs/>
                <w:color w:val="000000"/>
                <w:sz w:val="20"/>
                <w:szCs w:val="20"/>
              </w:rPr>
              <w:t>BBB+</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jc w:val="right"/>
              <w:rPr>
                <w:rFonts w:eastAsia="Times New Roman"/>
              </w:rPr>
            </w:pPr>
            <w:r>
              <w:rPr>
                <w:rFonts w:eastAsia="Times New Roman"/>
                <w:color w:val="000000"/>
                <w:sz w:val="20"/>
                <w:szCs w:val="20"/>
              </w:rPr>
              <w:t>BBB</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jc w:val="right"/>
              <w:rPr>
                <w:rFonts w:eastAsia="Times New Roman"/>
              </w:rPr>
            </w:pPr>
            <w:r>
              <w:rPr>
                <w:rFonts w:eastAsia="Times New Roman"/>
                <w:color w:val="000000"/>
                <w:sz w:val="20"/>
                <w:szCs w:val="20"/>
              </w:rPr>
              <w:t>BBB+</w:t>
            </w:r>
          </w:p>
        </w:tc>
      </w:tr>
      <w:tr w:rsidR="00000000">
        <w:trPr>
          <w:divId w:val="763116142"/>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Fitch</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jc w:val="right"/>
              <w:rPr>
                <w:rFonts w:eastAsia="Times New Roman"/>
              </w:rPr>
            </w:pPr>
            <w:r>
              <w:rPr>
                <w:rFonts w:eastAsia="Times New Roman"/>
                <w:b/>
                <w:bCs/>
                <w:color w:val="000000"/>
                <w:sz w:val="20"/>
                <w:szCs w:val="20"/>
              </w:rPr>
              <w:t>A-</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jc w:val="right"/>
              <w:rPr>
                <w:rFonts w:eastAsia="Times New Roman"/>
              </w:rPr>
            </w:pPr>
            <w:r>
              <w:rPr>
                <w:rFonts w:eastAsia="Times New Roman"/>
                <w:b/>
                <w:bCs/>
                <w:color w:val="000000"/>
                <w:sz w:val="20"/>
                <w:szCs w:val="20"/>
              </w:rPr>
              <w:t>A</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jc w:val="right"/>
              <w:rPr>
                <w:rFonts w:eastAsia="Times New Roman"/>
              </w:rPr>
            </w:pPr>
            <w:r>
              <w:rPr>
                <w:rFonts w:eastAsia="Times New Roman"/>
                <w:color w:val="000000"/>
                <w:sz w:val="20"/>
                <w:szCs w:val="20"/>
              </w:rPr>
              <w:t>A-</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jc w:val="right"/>
              <w:rPr>
                <w:rFonts w:eastAsia="Times New Roman"/>
              </w:rPr>
            </w:pPr>
            <w:r>
              <w:rPr>
                <w:rFonts w:eastAsia="Times New Roman"/>
                <w:color w:val="000000"/>
                <w:sz w:val="20"/>
                <w:szCs w:val="20"/>
              </w:rPr>
              <w:t>A</w:t>
            </w:r>
          </w:p>
        </w:tc>
      </w:tr>
    </w:tbl>
    <w:p w:rsidR="00000000" w:rsidRDefault="0094004B">
      <w:pPr>
        <w:jc w:val="both"/>
        <w:divId w:val="577791627"/>
        <w:rPr>
          <w:rFonts w:eastAsia="Times New Roman"/>
        </w:rPr>
      </w:pPr>
      <w:r>
        <w:rPr>
          <w:rFonts w:eastAsia="Times New Roman"/>
          <w:color w:val="000000"/>
          <w:sz w:val="20"/>
          <w:szCs w:val="20"/>
        </w:rPr>
        <w:t>As of February 16, 2023, Moody’s Investors Service (“Moody’s”), Standard &amp; Poor’s (“S&amp;P”</w:t>
      </w:r>
      <w:r>
        <w:rPr>
          <w:rFonts w:eastAsia="Times New Roman"/>
          <w:color w:val="000000"/>
          <w:sz w:val="20"/>
          <w:szCs w:val="20"/>
        </w:rPr>
        <w:t>) and Fitch Ratings (“Fitch”) have our credit ratings on a stable outlook.</w:t>
      </w:r>
    </w:p>
    <w:p w:rsidR="00000000" w:rsidRDefault="0094004B">
      <w:pPr>
        <w:divId w:val="2107650670"/>
        <w:rPr>
          <w:rFonts w:eastAsia="Times New Roman"/>
        </w:rPr>
      </w:pPr>
      <w:r>
        <w:rPr>
          <w:rFonts w:eastAsia="Times New Roman"/>
          <w:b/>
          <w:bCs/>
          <w:color w:val="000000"/>
          <w:sz w:val="20"/>
          <w:szCs w:val="20"/>
        </w:rPr>
        <w:t>Other Commitments</w:t>
      </w:r>
    </w:p>
    <w:p w:rsidR="00000000" w:rsidRDefault="0094004B">
      <w:pPr>
        <w:jc w:val="both"/>
        <w:divId w:val="1005061654"/>
        <w:rPr>
          <w:rFonts w:eastAsia="Times New Roman"/>
        </w:rPr>
      </w:pPr>
      <w:r>
        <w:rPr>
          <w:rFonts w:eastAsia="Times New Roman"/>
          <w:color w:val="000000"/>
          <w:sz w:val="20"/>
          <w:szCs w:val="20"/>
        </w:rPr>
        <w:t>Our primary involvement with leases is in the capacity as a lessee where we lease premises to support our business. The majority of our leases are operating leases</w:t>
      </w:r>
      <w:r>
        <w:rPr>
          <w:rFonts w:eastAsia="Times New Roman"/>
          <w:color w:val="000000"/>
          <w:sz w:val="20"/>
          <w:szCs w:val="20"/>
        </w:rPr>
        <w:t xml:space="preserve"> of office space, retail bank branches and cafés. Our operating leases expire at various dates through 2071, although some have extension or termination options. As of both December 31, 2022 and 2021, we had $1.7 billion in aggregate operating lease liabil</w:t>
      </w:r>
      <w:r>
        <w:rPr>
          <w:rFonts w:eastAsia="Times New Roman"/>
          <w:color w:val="000000"/>
          <w:sz w:val="20"/>
          <w:szCs w:val="20"/>
        </w:rPr>
        <w:t>ities, of which $259 million will be due in the following 12 months. We provide more information on our lease activity in “Part II—Item 8. Financial Statements and Supplementary Data—Note 7—Premises, Equipment and Leases.”</w:t>
      </w:r>
    </w:p>
    <w:p w:rsidR="00000000" w:rsidRDefault="0094004B">
      <w:pPr>
        <w:jc w:val="both"/>
        <w:divId w:val="179510383"/>
        <w:rPr>
          <w:rFonts w:eastAsia="Times New Roman"/>
        </w:rPr>
      </w:pPr>
      <w:r>
        <w:rPr>
          <w:rFonts w:eastAsia="Times New Roman"/>
          <w:color w:val="000000"/>
          <w:sz w:val="20"/>
          <w:szCs w:val="20"/>
        </w:rPr>
        <w:t>We have purchase obligations that</w:t>
      </w:r>
      <w:r>
        <w:rPr>
          <w:rFonts w:eastAsia="Times New Roman"/>
          <w:color w:val="000000"/>
          <w:sz w:val="20"/>
          <w:szCs w:val="20"/>
        </w:rPr>
        <w:t xml:space="preserve"> represent substantial agreements to purchase goods or receive services such as data management, media and other software and third-party services that are enforceable and legally binding and specify significant terms. As of December 31, 2022 and 2021, we </w:t>
      </w:r>
      <w:r>
        <w:rPr>
          <w:rFonts w:eastAsia="Times New Roman"/>
          <w:color w:val="000000"/>
          <w:sz w:val="20"/>
          <w:szCs w:val="20"/>
        </w:rPr>
        <w:t>had $1.1 billion and $1.5 billion, respectively, in aggregate purchase obligation liabilities.</w:t>
      </w:r>
    </w:p>
    <w:p w:rsidR="00000000" w:rsidRDefault="0094004B">
      <w:pPr>
        <w:jc w:val="both"/>
        <w:divId w:val="1763066574"/>
        <w:rPr>
          <w:rFonts w:eastAsia="Times New Roman"/>
        </w:rPr>
      </w:pPr>
      <w:r>
        <w:rPr>
          <w:rFonts w:eastAsia="Times New Roman"/>
          <w:color w:val="000000"/>
          <w:sz w:val="20"/>
          <w:szCs w:val="20"/>
        </w:rPr>
        <w:t>As of December 31, 2022 and 2021, our total unfunded lending commitments were $409.3 billion and $414.5 billion, respectively, primarily consisting of credit car</w:t>
      </w:r>
      <w:r>
        <w:rPr>
          <w:rFonts w:eastAsia="Times New Roman"/>
          <w:color w:val="000000"/>
          <w:sz w:val="20"/>
          <w:szCs w:val="20"/>
        </w:rPr>
        <w:t>d lines and loan commitments to customers of both our Commercial Banking and Consumer Banking businesses, as well as standby and commercial letters of credit. We generally manage the potential risk of unfunded lending commitments by limiting the total amou</w:t>
      </w:r>
      <w:r>
        <w:rPr>
          <w:rFonts w:eastAsia="Times New Roman"/>
          <w:color w:val="000000"/>
          <w:sz w:val="20"/>
          <w:szCs w:val="20"/>
        </w:rPr>
        <w:t>nt of arrangements, monitoring the size and maturity structure of these portfolios and applying the same credit standards for all of our credit activities. For additional information, refer to “Part II—Item 8. Financial Statements and Supplementary Data—No</w:t>
      </w:r>
      <w:r>
        <w:rPr>
          <w:rFonts w:eastAsia="Times New Roman"/>
          <w:color w:val="000000"/>
          <w:sz w:val="20"/>
          <w:szCs w:val="20"/>
        </w:rPr>
        <w:t>te 18—Commitments, Contingencies, Guarantees and Others.”</w:t>
      </w:r>
    </w:p>
    <w:p w:rsidR="00000000" w:rsidRDefault="0094004B">
      <w:pPr>
        <w:jc w:val="both"/>
        <w:divId w:val="2023165768"/>
        <w:rPr>
          <w:rFonts w:eastAsia="Times New Roman"/>
        </w:rPr>
      </w:pPr>
      <w:r>
        <w:rPr>
          <w:rFonts w:eastAsia="Times New Roman"/>
          <w:color w:val="000000"/>
          <w:sz w:val="20"/>
          <w:szCs w:val="20"/>
        </w:rPr>
        <w:t>We also enter into various contractual arrangements that may require future cash payments, including short-term obligations such as trade payables, commitments to fund certain equity investments, ob</w:t>
      </w:r>
      <w:r>
        <w:rPr>
          <w:rFonts w:eastAsia="Times New Roman"/>
          <w:color w:val="000000"/>
          <w:sz w:val="20"/>
          <w:szCs w:val="20"/>
        </w:rPr>
        <w:t>ligations for pension and post-retirement benefit plans, and representation and warranty reserves. These arrangements are discussed in more detail in “Part II—Item 8. Financial Statements and Supplementary Data—Note 5—Variable Interest Entities and Securit</w:t>
      </w:r>
      <w:r>
        <w:rPr>
          <w:rFonts w:eastAsia="Times New Roman"/>
          <w:color w:val="000000"/>
          <w:sz w:val="20"/>
          <w:szCs w:val="20"/>
        </w:rPr>
        <w:t>izations,” “Part II—Item 8. Financial Statements and Supplementary Data—Note 14—Employee Benefit Plans” and “Part II—Item 8. Financial Statements and Supplementary Data—Note 18—Commitments, Contingencies, Guarantees and Others.”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604219498"/>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604219498"/>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604219498"/>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96</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22" style="width:0;height:1.5pt" o:hralign="center" o:hrstd="t" o:hr="t" fillcolor="#a0a0a0" stroked="f"/>
        </w:pict>
      </w:r>
    </w:p>
    <w:p w:rsidR="00000000" w:rsidRDefault="0094004B">
      <w:pPr>
        <w:ind w:hanging="360"/>
        <w:jc w:val="both"/>
        <w:divId w:val="1878621537"/>
        <w:rPr>
          <w:rFonts w:eastAsia="Times New Roman"/>
        </w:rPr>
      </w:pPr>
      <w:hyperlink w:anchor="ia820611622d9441b977884dac00e0ebd_16"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383407751"/>
        </w:trPr>
        <w:tc>
          <w:tcPr>
            <w:tcW w:w="50" w:type="pct"/>
            <w:vAlign w:val="center"/>
            <w:hideMark/>
          </w:tcPr>
          <w:p w:rsidR="00000000" w:rsidRDefault="0094004B">
            <w:pPr>
              <w:ind w:hanging="360"/>
              <w:jc w:val="both"/>
              <w:rPr>
                <w:rFonts w:eastAsia="Times New Roman"/>
              </w:rPr>
            </w:pPr>
          </w:p>
        </w:tc>
        <w:tc>
          <w:tcPr>
            <w:tcW w:w="494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383407751"/>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20"/>
                <w:szCs w:val="20"/>
              </w:rPr>
              <w:t>MARKET RISK PROFILE</w:t>
            </w:r>
          </w:p>
        </w:tc>
      </w:tr>
    </w:tbl>
    <w:p w:rsidR="00000000" w:rsidRDefault="0094004B">
      <w:pPr>
        <w:jc w:val="both"/>
        <w:divId w:val="1546722758"/>
        <w:rPr>
          <w:rFonts w:eastAsia="Times New Roman"/>
        </w:rPr>
      </w:pPr>
      <w:r>
        <w:rPr>
          <w:rFonts w:eastAsia="Times New Roman"/>
          <w:color w:val="000000"/>
          <w:sz w:val="20"/>
          <w:szCs w:val="20"/>
        </w:rPr>
        <w:t>Our primary market risk exposures include interest rate risk, foreign exchange risk and commodity pricing risk. We are exposed to market risk primarily from the following operations and activities:</w:t>
      </w:r>
    </w:p>
    <w:p w:rsidR="00000000" w:rsidRDefault="0094004B">
      <w:pPr>
        <w:ind w:hanging="360"/>
        <w:jc w:val="both"/>
        <w:divId w:val="927999712"/>
        <w:rPr>
          <w:rFonts w:eastAsia="Times New Roman"/>
        </w:rPr>
      </w:pPr>
      <w:r>
        <w:rPr>
          <w:rFonts w:eastAsia="Times New Roman"/>
          <w:color w:val="000000"/>
          <w:sz w:val="20"/>
          <w:szCs w:val="20"/>
        </w:rPr>
        <w:t>•Traditional banking activities of deposit gathering and l</w:t>
      </w:r>
      <w:r>
        <w:rPr>
          <w:rFonts w:eastAsia="Times New Roman"/>
          <w:color w:val="000000"/>
          <w:sz w:val="20"/>
          <w:szCs w:val="20"/>
        </w:rPr>
        <w:t>ending;</w:t>
      </w:r>
    </w:p>
    <w:p w:rsidR="00000000" w:rsidRDefault="0094004B">
      <w:pPr>
        <w:ind w:hanging="360"/>
        <w:jc w:val="both"/>
        <w:divId w:val="1818494359"/>
        <w:rPr>
          <w:rFonts w:eastAsia="Times New Roman"/>
        </w:rPr>
      </w:pPr>
      <w:r>
        <w:rPr>
          <w:rFonts w:eastAsia="Times New Roman"/>
          <w:color w:val="000000"/>
          <w:sz w:val="20"/>
          <w:szCs w:val="20"/>
        </w:rPr>
        <w:t>•Asset/liability management activities including the management of investment securities, short-term and long-term borrowings and derivatives;</w:t>
      </w:r>
    </w:p>
    <w:p w:rsidR="00000000" w:rsidRDefault="0094004B">
      <w:pPr>
        <w:ind w:hanging="360"/>
        <w:jc w:val="both"/>
        <w:divId w:val="123235052"/>
        <w:rPr>
          <w:rFonts w:eastAsia="Times New Roman"/>
        </w:rPr>
      </w:pPr>
      <w:r>
        <w:rPr>
          <w:rFonts w:eastAsia="Times New Roman"/>
          <w:color w:val="000000"/>
          <w:sz w:val="20"/>
          <w:szCs w:val="20"/>
        </w:rPr>
        <w:t>•Foreign operations in the U.K. and Canada within our Credit Card business; and</w:t>
      </w:r>
    </w:p>
    <w:p w:rsidR="00000000" w:rsidRDefault="0094004B">
      <w:pPr>
        <w:ind w:hanging="360"/>
        <w:jc w:val="both"/>
        <w:divId w:val="2053312000"/>
        <w:rPr>
          <w:rFonts w:eastAsia="Times New Roman"/>
        </w:rPr>
      </w:pPr>
      <w:r>
        <w:rPr>
          <w:rFonts w:eastAsia="Times New Roman"/>
          <w:color w:val="000000"/>
          <w:sz w:val="20"/>
          <w:szCs w:val="20"/>
        </w:rPr>
        <w:t>•Customer accommodation a</w:t>
      </w:r>
      <w:r>
        <w:rPr>
          <w:rFonts w:eastAsia="Times New Roman"/>
          <w:color w:val="000000"/>
          <w:sz w:val="20"/>
          <w:szCs w:val="20"/>
        </w:rPr>
        <w:t>ctivities within our Commercial Banking business.</w:t>
      </w:r>
    </w:p>
    <w:p w:rsidR="00000000" w:rsidRDefault="0094004B">
      <w:pPr>
        <w:jc w:val="both"/>
        <w:divId w:val="527570912"/>
        <w:rPr>
          <w:rFonts w:eastAsia="Times New Roman"/>
        </w:rPr>
      </w:pPr>
      <w:r>
        <w:rPr>
          <w:rFonts w:eastAsia="Times New Roman"/>
          <w:color w:val="000000"/>
          <w:sz w:val="20"/>
          <w:szCs w:val="20"/>
        </w:rPr>
        <w:t>We have enterprise-wide risk management policies and limits, approved by our Board of Directors, which govern our market risk management activities. Our objective is to manage our exposure to market risk in</w:t>
      </w:r>
      <w:r>
        <w:rPr>
          <w:rFonts w:eastAsia="Times New Roman"/>
          <w:color w:val="000000"/>
          <w:sz w:val="20"/>
          <w:szCs w:val="20"/>
        </w:rPr>
        <w:t xml:space="preserve"> accordance with these policies and limits based on prevailing market conditions and long-term expectations. We provide additional information below about our primary sources of market risk, our market risk management strategies and the measures that we us</w:t>
      </w:r>
      <w:r>
        <w:rPr>
          <w:rFonts w:eastAsia="Times New Roman"/>
          <w:color w:val="000000"/>
          <w:sz w:val="20"/>
          <w:szCs w:val="20"/>
        </w:rPr>
        <w:t>e to evaluate these exposures.</w:t>
      </w:r>
    </w:p>
    <w:p w:rsidR="00000000" w:rsidRDefault="0094004B">
      <w:pPr>
        <w:divId w:val="1812289737"/>
        <w:rPr>
          <w:rFonts w:eastAsia="Times New Roman"/>
        </w:rPr>
      </w:pPr>
      <w:r>
        <w:rPr>
          <w:rFonts w:eastAsia="Times New Roman"/>
          <w:b/>
          <w:bCs/>
          <w:color w:val="000000"/>
          <w:sz w:val="20"/>
          <w:szCs w:val="20"/>
        </w:rPr>
        <w:t>Interest Rate Risk</w:t>
      </w:r>
    </w:p>
    <w:p w:rsidR="00000000" w:rsidRDefault="0094004B">
      <w:pPr>
        <w:jc w:val="both"/>
        <w:divId w:val="988243116"/>
        <w:rPr>
          <w:rFonts w:eastAsia="Times New Roman"/>
        </w:rPr>
      </w:pPr>
      <w:r>
        <w:rPr>
          <w:rFonts w:eastAsia="Times New Roman"/>
          <w:color w:val="000000"/>
          <w:sz w:val="20"/>
          <w:szCs w:val="20"/>
        </w:rPr>
        <w:t>Interest rate risk represents exposure to financial instruments whose values vary with the level or volatility of interest rates. We are exposed to interest rate risk primarily from the differences in the t</w:t>
      </w:r>
      <w:r>
        <w:rPr>
          <w:rFonts w:eastAsia="Times New Roman"/>
          <w:color w:val="000000"/>
          <w:sz w:val="20"/>
          <w:szCs w:val="20"/>
        </w:rPr>
        <w:t>iming between the maturities or re-pricing of assets and liabilities. We manage our interest rate risk primarily by entering into interest rate swaps and other derivative instruments which could include caps, floors, options, futures and forward contracts.</w:t>
      </w:r>
      <w:r>
        <w:rPr>
          <w:rFonts w:eastAsia="Times New Roman"/>
          <w:color w:val="000000"/>
          <w:sz w:val="20"/>
          <w:szCs w:val="20"/>
        </w:rPr>
        <w:t xml:space="preserve"> </w:t>
      </w:r>
    </w:p>
    <w:p w:rsidR="00000000" w:rsidRDefault="0094004B">
      <w:pPr>
        <w:jc w:val="both"/>
        <w:divId w:val="1207716488"/>
        <w:rPr>
          <w:rFonts w:eastAsia="Times New Roman"/>
        </w:rPr>
      </w:pPr>
      <w:r>
        <w:rPr>
          <w:rFonts w:eastAsia="Times New Roman"/>
          <w:color w:val="000000"/>
          <w:sz w:val="20"/>
          <w:szCs w:val="20"/>
        </w:rPr>
        <w:t>We use various industry standard market risk measurement techniques and analyses to measure, assess and manage the impact of changes in interest rates on our net interest income and our economic value of equity and changes in foreign exchange rates on ou</w:t>
      </w:r>
      <w:r>
        <w:rPr>
          <w:rFonts w:eastAsia="Times New Roman"/>
          <w:color w:val="000000"/>
          <w:sz w:val="20"/>
          <w:szCs w:val="20"/>
        </w:rPr>
        <w:t>r non-dollar-denominated funding and non-dollar equity investments in foreign operations.</w:t>
      </w:r>
    </w:p>
    <w:p w:rsidR="00000000" w:rsidRDefault="0094004B">
      <w:pPr>
        <w:divId w:val="1909806730"/>
        <w:rPr>
          <w:rFonts w:eastAsia="Times New Roman"/>
        </w:rPr>
      </w:pPr>
      <w:r>
        <w:rPr>
          <w:rFonts w:eastAsia="Times New Roman"/>
          <w:b/>
          <w:bCs/>
          <w:i/>
          <w:iCs/>
          <w:color w:val="000000"/>
          <w:sz w:val="20"/>
          <w:szCs w:val="20"/>
        </w:rPr>
        <w:t>Net Interest Income Sensitivity</w:t>
      </w:r>
    </w:p>
    <w:p w:rsidR="00000000" w:rsidRDefault="0094004B">
      <w:pPr>
        <w:jc w:val="both"/>
        <w:divId w:val="543174993"/>
        <w:rPr>
          <w:rFonts w:eastAsia="Times New Roman"/>
        </w:rPr>
      </w:pPr>
      <w:r>
        <w:rPr>
          <w:rFonts w:eastAsia="Times New Roman"/>
          <w:color w:val="000000"/>
          <w:sz w:val="20"/>
          <w:szCs w:val="20"/>
        </w:rPr>
        <w:t>Our net interest income sensitivity measure estimates the impact on our projected 12-month baseline net interest income resulting from</w:t>
      </w:r>
      <w:r>
        <w:rPr>
          <w:rFonts w:eastAsia="Times New Roman"/>
          <w:color w:val="000000"/>
          <w:sz w:val="20"/>
          <w:szCs w:val="20"/>
        </w:rPr>
        <w:t xml:space="preserve"> movements in interest rates. In addition to our existing assets and liabilities, we incorporate expected future business growth assumptions, such as loan and deposit growth and pricing, and plans for projected changes in our funding mix in our baseline fo</w:t>
      </w:r>
      <w:r>
        <w:rPr>
          <w:rFonts w:eastAsia="Times New Roman"/>
          <w:color w:val="000000"/>
          <w:sz w:val="20"/>
          <w:szCs w:val="20"/>
        </w:rPr>
        <w:t xml:space="preserve">recast. In measuring the sensitivity of interest rate movements on our projected net interest income, we assume a hypothetical instantaneous parallel shift in the level of interest rates detailed in Table 35 below. </w:t>
      </w:r>
      <w:r>
        <w:rPr>
          <w:rFonts w:eastAsia="Times New Roman"/>
          <w:color w:val="000000"/>
          <w:sz w:val="20"/>
          <w:szCs w:val="20"/>
          <w:shd w:val="clear" w:color="auto" w:fill="FFFFFF"/>
        </w:rPr>
        <w:t xml:space="preserve">At the current level of interest rates, our net interest income is expected to increase in higher rate scenarios and decrease in lower rate scenarios. Our current sensitivity to upward shocks has decreased as compared to December 31, 2021, </w:t>
      </w:r>
      <w:r>
        <w:rPr>
          <w:rFonts w:eastAsia="Times New Roman"/>
          <w:color w:val="000000"/>
          <w:sz w:val="20"/>
          <w:szCs w:val="20"/>
        </w:rPr>
        <w:t>mainly due to th</w:t>
      </w:r>
      <w:r>
        <w:rPr>
          <w:rFonts w:eastAsia="Times New Roman"/>
          <w:color w:val="000000"/>
          <w:sz w:val="20"/>
          <w:szCs w:val="20"/>
        </w:rPr>
        <w:t xml:space="preserve">e increase in market interest rates. </w:t>
      </w:r>
    </w:p>
    <w:p w:rsidR="00000000" w:rsidRDefault="0094004B">
      <w:pPr>
        <w:divId w:val="383482210"/>
        <w:rPr>
          <w:rFonts w:eastAsia="Times New Roman"/>
        </w:rPr>
      </w:pPr>
      <w:r>
        <w:rPr>
          <w:rFonts w:eastAsia="Times New Roman"/>
          <w:b/>
          <w:bCs/>
          <w:i/>
          <w:iCs/>
          <w:color w:val="000000"/>
          <w:sz w:val="20"/>
          <w:szCs w:val="20"/>
        </w:rPr>
        <w:t>Economic Value of Equity Sensitivity</w:t>
      </w:r>
    </w:p>
    <w:p w:rsidR="00000000" w:rsidRDefault="0094004B">
      <w:pPr>
        <w:jc w:val="both"/>
        <w:divId w:val="1308436800"/>
        <w:rPr>
          <w:rFonts w:eastAsia="Times New Roman"/>
        </w:rPr>
      </w:pPr>
      <w:r>
        <w:rPr>
          <w:rFonts w:eastAsia="Times New Roman"/>
          <w:color w:val="000000"/>
          <w:sz w:val="20"/>
          <w:szCs w:val="20"/>
        </w:rPr>
        <w:t>Our economic value of equity sensitivity measure estimates the impact on the net present value of our assets and liabilities, including derivative exposures, resulting from movement</w:t>
      </w:r>
      <w:r>
        <w:rPr>
          <w:rFonts w:eastAsia="Times New Roman"/>
          <w:color w:val="000000"/>
          <w:sz w:val="20"/>
          <w:szCs w:val="20"/>
        </w:rPr>
        <w:t>s in interest rates. Our economic value of equity sensitivity measure is calculated based on our existing assets and liabilities, including derivatives, and does not incorporate business growth assumptions or projected balance sheet changes. Key assumption</w:t>
      </w:r>
      <w:r>
        <w:rPr>
          <w:rFonts w:eastAsia="Times New Roman"/>
          <w:color w:val="000000"/>
          <w:sz w:val="20"/>
          <w:szCs w:val="20"/>
        </w:rPr>
        <w:t>s used in the calculation include projecting rate sensitive prepayments for mortgage securities, loans and other assets, term structure modeling of interest rates, discount spreads, and deposit volume and pricing assumptions. In measuring the sensitivity o</w:t>
      </w:r>
      <w:r>
        <w:rPr>
          <w:rFonts w:eastAsia="Times New Roman"/>
          <w:color w:val="000000"/>
          <w:sz w:val="20"/>
          <w:szCs w:val="20"/>
        </w:rPr>
        <w:t xml:space="preserve">f interest rate movements on our economic value of equity, we assume a hypothetical instantaneous parallel shift in the level of interest rates detailed in Table 35 below. </w:t>
      </w:r>
      <w:r>
        <w:rPr>
          <w:rFonts w:eastAsia="Times New Roman"/>
          <w:color w:val="000000"/>
          <w:sz w:val="20"/>
          <w:szCs w:val="20"/>
          <w:shd w:val="clear" w:color="auto" w:fill="FFFFFF"/>
        </w:rPr>
        <w:t>Our current economic value of equity sensitivity profile demonstrates that our econo</w:t>
      </w:r>
      <w:r>
        <w:rPr>
          <w:rFonts w:eastAsia="Times New Roman"/>
          <w:color w:val="000000"/>
          <w:sz w:val="20"/>
          <w:szCs w:val="20"/>
          <w:shd w:val="clear" w:color="auto" w:fill="FFFFFF"/>
        </w:rPr>
        <w:t>mic value of equity decreases in higher interest rate scenarios and increases in most lower interest rate scenarios. Our current economic value of equity sensitivity to upward shocks in higher rate scenarios became more negative as compared to December 31,</w:t>
      </w:r>
      <w:r>
        <w:rPr>
          <w:rFonts w:eastAsia="Times New Roman"/>
          <w:color w:val="000000"/>
          <w:sz w:val="20"/>
          <w:szCs w:val="20"/>
          <w:shd w:val="clear" w:color="auto" w:fill="FFFFFF"/>
        </w:rPr>
        <w:t xml:space="preserve"> 2021, mainly due to the increase in long-term interest rates.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73743348"/>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73743348"/>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73743348"/>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97</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23" style="width:0;height:1.5pt" o:hralign="center" o:hrstd="t" o:hr="t" fillcolor="#a0a0a0" stroked="f"/>
        </w:pict>
      </w:r>
    </w:p>
    <w:p w:rsidR="00000000" w:rsidRDefault="0094004B">
      <w:pPr>
        <w:ind w:hanging="360"/>
        <w:jc w:val="both"/>
        <w:divId w:val="990065808"/>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both"/>
        <w:divId w:val="2077586370"/>
        <w:rPr>
          <w:rFonts w:eastAsia="Times New Roman"/>
        </w:rPr>
      </w:pPr>
      <w:r>
        <w:rPr>
          <w:rFonts w:eastAsia="Times New Roman"/>
          <w:color w:val="000000"/>
          <w:sz w:val="20"/>
          <w:szCs w:val="20"/>
        </w:rPr>
        <w:t xml:space="preserve">Table 35 shows the estimated percentage impact on our projected baseline net interest income and economic value of equity calculated under the </w:t>
      </w:r>
      <w:r>
        <w:rPr>
          <w:rFonts w:eastAsia="Times New Roman"/>
          <w:color w:val="000000"/>
          <w:sz w:val="20"/>
          <w:szCs w:val="20"/>
        </w:rPr>
        <w:t>methodology described above as of December 31, 2022 and 2021. In instances where an interest rate scenario would result in a rate less than 0%, we assume a rate of 0% for that scenario. This assumption applies only to jurisdictions that do not have negativ</w:t>
      </w:r>
      <w:r>
        <w:rPr>
          <w:rFonts w:eastAsia="Times New Roman"/>
          <w:color w:val="000000"/>
          <w:sz w:val="20"/>
          <w:szCs w:val="20"/>
        </w:rPr>
        <w:t xml:space="preserve">e policy rates. In jurisdictions that have negative policy rates, we do not floor interest rates at 0%. </w:t>
      </w:r>
    </w:p>
    <w:p w:rsidR="00000000" w:rsidRDefault="0094004B">
      <w:pPr>
        <w:divId w:val="16734519"/>
        <w:rPr>
          <w:rFonts w:eastAsia="Times New Roman"/>
        </w:rPr>
      </w:pPr>
      <w:r>
        <w:rPr>
          <w:rFonts w:eastAsia="Times New Roman"/>
          <w:b/>
          <w:bCs/>
          <w:color w:val="000000"/>
          <w:sz w:val="18"/>
          <w:szCs w:val="18"/>
        </w:rPr>
        <w:t>Table 35: Interest Rate Sensitivity Analysis</w:t>
      </w:r>
    </w:p>
    <w:tbl>
      <w:tblPr>
        <w:tblW w:w="4970" w:type="pct"/>
        <w:tblCellMar>
          <w:top w:w="15" w:type="dxa"/>
          <w:left w:w="15" w:type="dxa"/>
          <w:bottom w:w="15" w:type="dxa"/>
          <w:right w:w="15" w:type="dxa"/>
        </w:tblCellMar>
        <w:tblLook w:val="04A0" w:firstRow="1" w:lastRow="0" w:firstColumn="1" w:lastColumn="0" w:noHBand="0" w:noVBand="1"/>
      </w:tblPr>
      <w:tblGrid>
        <w:gridCol w:w="37"/>
        <w:gridCol w:w="4960"/>
        <w:gridCol w:w="36"/>
        <w:gridCol w:w="36"/>
        <w:gridCol w:w="36"/>
        <w:gridCol w:w="36"/>
        <w:gridCol w:w="47"/>
        <w:gridCol w:w="1357"/>
        <w:gridCol w:w="220"/>
        <w:gridCol w:w="36"/>
        <w:gridCol w:w="36"/>
        <w:gridCol w:w="36"/>
        <w:gridCol w:w="54"/>
        <w:gridCol w:w="1142"/>
        <w:gridCol w:w="187"/>
      </w:tblGrid>
      <w:tr w:rsidR="00000000">
        <w:trPr>
          <w:divId w:val="1257403796"/>
        </w:trPr>
        <w:tc>
          <w:tcPr>
            <w:tcW w:w="50" w:type="pct"/>
            <w:vAlign w:val="center"/>
            <w:hideMark/>
          </w:tcPr>
          <w:p w:rsidR="00000000" w:rsidRDefault="0094004B">
            <w:pPr>
              <w:rPr>
                <w:rFonts w:eastAsia="Times New Roman"/>
              </w:rPr>
            </w:pPr>
          </w:p>
        </w:tc>
        <w:tc>
          <w:tcPr>
            <w:tcW w:w="305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91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790"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257403796"/>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b/>
                <w:bCs/>
                <w:color w:val="000000"/>
                <w:sz w:val="20"/>
                <w:szCs w:val="20"/>
              </w:rPr>
              <w:t>December 31, 2022</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b/>
                <w:bCs/>
                <w:color w:val="000000"/>
                <w:sz w:val="20"/>
                <w:szCs w:val="20"/>
              </w:rPr>
              <w:t>December 31, 2021</w:t>
            </w:r>
          </w:p>
        </w:tc>
      </w:tr>
      <w:tr w:rsidR="00000000">
        <w:trPr>
          <w:divId w:val="125740379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Estimated impact on projected baseline net interest income:</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257403796"/>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+200 basis points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0.4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3.4 </w:t>
            </w:r>
          </w:p>
        </w:tc>
        <w:tc>
          <w:tcPr>
            <w:tcW w:w="0" w:type="auto"/>
            <w:shd w:val="clear" w:color="auto" w:fill="FFFFFF"/>
            <w:tcMar>
              <w:top w:w="30" w:type="dxa"/>
              <w:left w:w="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w:t>
            </w:r>
          </w:p>
        </w:tc>
      </w:tr>
      <w:tr w:rsidR="00000000">
        <w:trPr>
          <w:divId w:val="1257403796"/>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+100 basis points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0.8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2.5 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257403796"/>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+50 basis points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0.4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257403796"/>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–50 basis points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(0.7)</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(1.8)</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257403796"/>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w:t>
            </w:r>
            <w:r>
              <w:rPr>
                <w:rFonts w:eastAsia="Times New Roman"/>
                <w:color w:val="000000"/>
                <w:sz w:val="20"/>
                <w:szCs w:val="20"/>
              </w:rPr>
              <w:t>100 basis points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(1.3)</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20"/>
                <w:szCs w:val="20"/>
              </w:rPr>
              <w:t>N/A</w:t>
            </w:r>
          </w:p>
        </w:tc>
      </w:tr>
      <w:tr w:rsidR="00000000">
        <w:trPr>
          <w:divId w:val="1257403796"/>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–200 basis points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(2.6)</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20"/>
                <w:szCs w:val="20"/>
              </w:rPr>
              <w:t>N/A</w:t>
            </w:r>
          </w:p>
        </w:tc>
      </w:tr>
      <w:tr w:rsidR="00000000">
        <w:trPr>
          <w:divId w:val="1257403796"/>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Estimated impact on economic value of equity:</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257403796"/>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+200 basis points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(4.3)</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(0.7)</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257403796"/>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+100 basis points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(1.5)</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257403796"/>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+50 basis points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(0.7)</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257403796"/>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–50 basis points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0.4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(2.6)</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257403796"/>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–100 basis points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0.6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20"/>
                <w:szCs w:val="20"/>
              </w:rPr>
              <w:t>N/A</w:t>
            </w:r>
          </w:p>
        </w:tc>
      </w:tr>
      <w:tr w:rsidR="00000000">
        <w:trPr>
          <w:divId w:val="1257403796"/>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–200 basis points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(0.2)</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20"/>
                <w:szCs w:val="20"/>
              </w:rPr>
              <w:t>N/A</w:t>
            </w:r>
          </w:p>
        </w:tc>
      </w:tr>
    </w:tbl>
    <w:p w:rsidR="00000000" w:rsidRDefault="0094004B">
      <w:pPr>
        <w:jc w:val="both"/>
        <w:divId w:val="1606159206"/>
        <w:rPr>
          <w:rFonts w:eastAsia="Times New Roman"/>
        </w:rPr>
      </w:pPr>
      <w:r>
        <w:rPr>
          <w:rFonts w:eastAsia="Times New Roman"/>
          <w:color w:val="000000"/>
          <w:sz w:val="20"/>
          <w:szCs w:val="20"/>
        </w:rPr>
        <w:t>In addition to these industry standard measures, we also consider the potential impact of alternative interest rate scenarios, such as stressed rate shocks as well as steepening and flattening yield curve scenarios in our internal interest rate risk manage</w:t>
      </w:r>
      <w:r>
        <w:rPr>
          <w:rFonts w:eastAsia="Times New Roman"/>
          <w:color w:val="000000"/>
          <w:sz w:val="20"/>
          <w:szCs w:val="20"/>
        </w:rPr>
        <w:t>ment decisions.</w:t>
      </w:r>
    </w:p>
    <w:p w:rsidR="00000000" w:rsidRDefault="0094004B">
      <w:pPr>
        <w:divId w:val="1181355578"/>
        <w:rPr>
          <w:rFonts w:eastAsia="Times New Roman"/>
        </w:rPr>
      </w:pPr>
      <w:r>
        <w:rPr>
          <w:rFonts w:eastAsia="Times New Roman"/>
          <w:b/>
          <w:bCs/>
          <w:i/>
          <w:iCs/>
          <w:color w:val="000000"/>
          <w:sz w:val="20"/>
          <w:szCs w:val="20"/>
        </w:rPr>
        <w:t>Limitations of Market Risk Measures</w:t>
      </w:r>
    </w:p>
    <w:p w:rsidR="00000000" w:rsidRDefault="0094004B">
      <w:pPr>
        <w:jc w:val="both"/>
        <w:divId w:val="1075855593"/>
        <w:rPr>
          <w:rFonts w:eastAsia="Times New Roman"/>
        </w:rPr>
      </w:pPr>
      <w:r>
        <w:rPr>
          <w:rFonts w:eastAsia="Times New Roman"/>
          <w:color w:val="000000"/>
          <w:sz w:val="20"/>
          <w:szCs w:val="20"/>
        </w:rPr>
        <w:t>The interest rate risk models that we use in deriving these measures incorporate contractual information, internally-developed assumptions and proprietary modeling methodologies, which project borrower an</w:t>
      </w:r>
      <w:r>
        <w:rPr>
          <w:rFonts w:eastAsia="Times New Roman"/>
          <w:color w:val="000000"/>
          <w:sz w:val="20"/>
          <w:szCs w:val="20"/>
        </w:rPr>
        <w:t>d depositor behavior patterns in certain interest rate environments. Other market inputs, such as interest rates, market prices and interest rate volatility, are also critical components of our interest rate risk measures. We regularly evaluate, update and</w:t>
      </w:r>
      <w:r>
        <w:rPr>
          <w:rFonts w:eastAsia="Times New Roman"/>
          <w:color w:val="000000"/>
          <w:sz w:val="20"/>
          <w:szCs w:val="20"/>
        </w:rPr>
        <w:t xml:space="preserve"> enhance these assumptions, models and analytical tools as we believe appropriate to reflect our best assessment of the market environment and the expected behavior patterns of our existing assets and liabilities.</w:t>
      </w:r>
    </w:p>
    <w:p w:rsidR="00000000" w:rsidRDefault="0094004B">
      <w:pPr>
        <w:jc w:val="both"/>
        <w:divId w:val="1262449743"/>
        <w:rPr>
          <w:rFonts w:eastAsia="Times New Roman"/>
        </w:rPr>
      </w:pPr>
      <w:r>
        <w:rPr>
          <w:rFonts w:eastAsia="Times New Roman"/>
          <w:color w:val="000000"/>
          <w:sz w:val="20"/>
          <w:szCs w:val="20"/>
        </w:rPr>
        <w:t>There are inherent limitations in any meth</w:t>
      </w:r>
      <w:r>
        <w:rPr>
          <w:rFonts w:eastAsia="Times New Roman"/>
          <w:color w:val="000000"/>
          <w:sz w:val="20"/>
          <w:szCs w:val="20"/>
        </w:rPr>
        <w:t>odology used to estimate the exposure to changes in market interest rates. The sensitivity analysis described above contemplates only certain movements in interest rates and is performed at a particular point in time based on our existing balance sheet and</w:t>
      </w:r>
      <w:r>
        <w:rPr>
          <w:rFonts w:eastAsia="Times New Roman"/>
          <w:color w:val="000000"/>
          <w:sz w:val="20"/>
          <w:szCs w:val="20"/>
        </w:rPr>
        <w:t>, in some cases, expected future business growth and funding mix assumptions. The strategic actions that management may take to manage our balance sheet may differ significantly from our projections, which could cause our actual earnings and economic value</w:t>
      </w:r>
      <w:r>
        <w:rPr>
          <w:rFonts w:eastAsia="Times New Roman"/>
          <w:color w:val="000000"/>
          <w:sz w:val="20"/>
          <w:szCs w:val="20"/>
        </w:rPr>
        <w:t xml:space="preserve"> of equity sensitivities to differ substantially from the above sensitivity analysis.</w:t>
      </w:r>
    </w:p>
    <w:p w:rsidR="00000000" w:rsidRDefault="0094004B">
      <w:pPr>
        <w:jc w:val="both"/>
        <w:divId w:val="517543591"/>
        <w:rPr>
          <w:rFonts w:eastAsia="Times New Roman"/>
        </w:rPr>
      </w:pPr>
      <w:r>
        <w:rPr>
          <w:rFonts w:eastAsia="Times New Roman"/>
          <w:color w:val="000000"/>
          <w:sz w:val="20"/>
          <w:szCs w:val="20"/>
        </w:rPr>
        <w:t>For further information on our interest rate exposures, see “Part II—Item 8. Financial Statements and Supplementary Data—Note 9—Derivative Instruments and Hedging Activit</w:t>
      </w:r>
      <w:r>
        <w:rPr>
          <w:rFonts w:eastAsia="Times New Roman"/>
          <w:color w:val="000000"/>
          <w:sz w:val="20"/>
          <w:szCs w:val="20"/>
        </w:rPr>
        <w:t xml:space="preserve">ies.”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625236932"/>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625236932"/>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625236932"/>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98</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24" style="width:0;height:1.5pt" o:hralign="center" o:hrstd="t" o:hr="t" fillcolor="#a0a0a0" stroked="f"/>
        </w:pict>
      </w:r>
    </w:p>
    <w:p w:rsidR="00000000" w:rsidRDefault="0094004B">
      <w:pPr>
        <w:ind w:hanging="360"/>
        <w:jc w:val="both"/>
        <w:divId w:val="1787381517"/>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divId w:val="1382484245"/>
        <w:rPr>
          <w:rFonts w:eastAsia="Times New Roman"/>
        </w:rPr>
      </w:pPr>
      <w:r>
        <w:rPr>
          <w:rFonts w:eastAsia="Times New Roman"/>
          <w:b/>
          <w:bCs/>
          <w:color w:val="000000"/>
          <w:sz w:val="20"/>
          <w:szCs w:val="20"/>
        </w:rPr>
        <w:t>Foreign Exchange Risk</w:t>
      </w:r>
    </w:p>
    <w:p w:rsidR="00000000" w:rsidRDefault="0094004B">
      <w:pPr>
        <w:jc w:val="both"/>
        <w:divId w:val="2117552862"/>
        <w:rPr>
          <w:rFonts w:eastAsia="Times New Roman"/>
        </w:rPr>
      </w:pPr>
      <w:r>
        <w:rPr>
          <w:rFonts w:eastAsia="Times New Roman"/>
          <w:color w:val="000000"/>
          <w:sz w:val="20"/>
          <w:szCs w:val="20"/>
        </w:rPr>
        <w:t>Foreign exchange risk represents exposure to changes in the values of current holdings and future cash flows denominated in other currencies. We are exposed to foreign exchange risk primarily from the intercompany funding denominated in pound sterling (“GB</w:t>
      </w:r>
      <w:r>
        <w:rPr>
          <w:rFonts w:eastAsia="Times New Roman"/>
          <w:color w:val="000000"/>
          <w:sz w:val="20"/>
          <w:szCs w:val="20"/>
        </w:rPr>
        <w:t xml:space="preserve">P”) and the Canadian dollar (“CAD”) that we provide to our businesses in the U.K. and Canada and net equity investments in those businesses. We are also exposed to foreign exchange risk due to changes in the dollar-denominated value of future earnings and </w:t>
      </w:r>
      <w:r>
        <w:rPr>
          <w:rFonts w:eastAsia="Times New Roman"/>
          <w:color w:val="000000"/>
          <w:sz w:val="20"/>
          <w:szCs w:val="20"/>
        </w:rPr>
        <w:t>cash flows from our foreign operations and from our Euro (“EUR”)-denominated borrowings.</w:t>
      </w:r>
    </w:p>
    <w:p w:rsidR="00000000" w:rsidRDefault="0094004B">
      <w:pPr>
        <w:jc w:val="both"/>
        <w:divId w:val="952713924"/>
        <w:rPr>
          <w:rFonts w:eastAsia="Times New Roman"/>
        </w:rPr>
      </w:pPr>
      <w:r>
        <w:rPr>
          <w:rFonts w:eastAsia="Times New Roman"/>
          <w:color w:val="000000"/>
          <w:sz w:val="20"/>
          <w:szCs w:val="20"/>
        </w:rPr>
        <w:t>Our non-dollar denominated intercompany funding and EUR-denominated borrowings expose our earnings to foreign exchange transaction risk. We manage these transaction risks by using forward foreign currency derivatives and cross-currency swaps to hedge our e</w:t>
      </w:r>
      <w:r>
        <w:rPr>
          <w:rFonts w:eastAsia="Times New Roman"/>
          <w:color w:val="000000"/>
          <w:sz w:val="20"/>
          <w:szCs w:val="20"/>
        </w:rPr>
        <w:t>xposures. We measure our foreign exchange transaction risk exposures by applying a 1% U.S. dollar appreciation shock against the value of the non-dollar denominated intercompany funding and EUR-denominated borrowings and their related hedges, which shows t</w:t>
      </w:r>
      <w:r>
        <w:rPr>
          <w:rFonts w:eastAsia="Times New Roman"/>
          <w:color w:val="000000"/>
          <w:sz w:val="20"/>
          <w:szCs w:val="20"/>
        </w:rPr>
        <w:t>he impact to our earnings from foreign exchange risk. Our nominal intercompany funding outstanding was 785 million GBP and 520 million GBP as of December 31, 2022 and 2021, respectively, and 1.7 billion CAD and 5.0 billion CAD as of December 31, 2022 and 2</w:t>
      </w:r>
      <w:r>
        <w:rPr>
          <w:rFonts w:eastAsia="Times New Roman"/>
          <w:color w:val="000000"/>
          <w:sz w:val="20"/>
          <w:szCs w:val="20"/>
        </w:rPr>
        <w:t>021, respectively. Our nominal EUR-denominated borrowings outstanding were 1.3 billion EUR and 1.2 billion EUR as of December 31, 2022 and 2021, respectively.</w:t>
      </w:r>
    </w:p>
    <w:p w:rsidR="00000000" w:rsidRDefault="0094004B">
      <w:pPr>
        <w:jc w:val="both"/>
        <w:divId w:val="1720857632"/>
        <w:rPr>
          <w:rFonts w:eastAsia="Times New Roman"/>
        </w:rPr>
      </w:pPr>
      <w:r>
        <w:rPr>
          <w:rFonts w:eastAsia="Times New Roman"/>
          <w:color w:val="000000"/>
          <w:sz w:val="20"/>
          <w:szCs w:val="20"/>
        </w:rPr>
        <w:t>Our non-dollar equity investments in foreign operations expose our balance sheet to translation r</w:t>
      </w:r>
      <w:r>
        <w:rPr>
          <w:rFonts w:eastAsia="Times New Roman"/>
          <w:color w:val="000000"/>
          <w:sz w:val="20"/>
          <w:szCs w:val="20"/>
        </w:rPr>
        <w:t xml:space="preserve">isk in AOCI and our capital ratios. We manage our AOCI exposure by entering into foreign currency derivatives designated as net investment hedges. We measure these exposures by applying a 30% U.S. dollar appreciation shock, which we believe approximates a </w:t>
      </w:r>
      <w:r>
        <w:rPr>
          <w:rFonts w:eastAsia="Times New Roman"/>
          <w:color w:val="000000"/>
          <w:sz w:val="20"/>
          <w:szCs w:val="20"/>
        </w:rPr>
        <w:t>significant adverse shock over a one-year time horizon, against the value of the equity invested in our foreign operations net of related net investment hedges where applicable. Our gross equity exposures in our U.K. and Canadian operations were 1.9 billio</w:t>
      </w:r>
      <w:r>
        <w:rPr>
          <w:rFonts w:eastAsia="Times New Roman"/>
          <w:color w:val="000000"/>
          <w:sz w:val="20"/>
          <w:szCs w:val="20"/>
        </w:rPr>
        <w:t>n GBP and 1.8 billion GBP as of December 31, 2022 and 2021, respectively and 2.2 billion CAD and 1.9 billion CAD as of December 31, 2022 and 2021, respectively.</w:t>
      </w:r>
    </w:p>
    <w:p w:rsidR="00000000" w:rsidRDefault="0094004B">
      <w:pPr>
        <w:jc w:val="both"/>
        <w:divId w:val="1338576030"/>
        <w:rPr>
          <w:rFonts w:eastAsia="Times New Roman"/>
        </w:rPr>
      </w:pPr>
      <w:r>
        <w:rPr>
          <w:rFonts w:eastAsia="Times New Roman"/>
          <w:color w:val="000000"/>
          <w:sz w:val="20"/>
          <w:szCs w:val="20"/>
        </w:rPr>
        <w:t>As a result of our derivative management activities, we believe our net exposure to foreign exc</w:t>
      </w:r>
      <w:r>
        <w:rPr>
          <w:rFonts w:eastAsia="Times New Roman"/>
          <w:color w:val="000000"/>
          <w:sz w:val="20"/>
          <w:szCs w:val="20"/>
        </w:rPr>
        <w:t>hange risk is minimal.</w:t>
      </w:r>
    </w:p>
    <w:p w:rsidR="00000000" w:rsidRDefault="0094004B">
      <w:pPr>
        <w:divId w:val="348724461"/>
        <w:rPr>
          <w:rFonts w:eastAsia="Times New Roman"/>
        </w:rPr>
      </w:pPr>
      <w:r>
        <w:rPr>
          <w:rFonts w:eastAsia="Times New Roman"/>
          <w:b/>
          <w:bCs/>
          <w:color w:val="000000"/>
          <w:sz w:val="20"/>
          <w:szCs w:val="20"/>
        </w:rPr>
        <w:t xml:space="preserve">Risk related to Customer Accommodation Derivatives </w:t>
      </w:r>
    </w:p>
    <w:p w:rsidR="00000000" w:rsidRDefault="0094004B">
      <w:pPr>
        <w:jc w:val="both"/>
        <w:divId w:val="1399668014"/>
        <w:rPr>
          <w:rFonts w:eastAsia="Times New Roman"/>
        </w:rPr>
      </w:pPr>
      <w:r>
        <w:rPr>
          <w:rFonts w:eastAsia="Times New Roman"/>
          <w:color w:val="000000"/>
          <w:sz w:val="20"/>
          <w:szCs w:val="20"/>
        </w:rPr>
        <w:t xml:space="preserve">We offer interest rate, commodity and foreign currency derivatives as an accommodation to our customers within our Commercial Banking business. We offset the majority of the market </w:t>
      </w:r>
      <w:r>
        <w:rPr>
          <w:rFonts w:eastAsia="Times New Roman"/>
          <w:color w:val="000000"/>
          <w:sz w:val="20"/>
          <w:szCs w:val="20"/>
        </w:rPr>
        <w:t>risk of these customer accommodation derivatives by entering into offsetting derivatives transactions with other counterparties. We use value-at-risk (“VaR”) as the primary method to measure the market risk in our customer accommodation derivative activiti</w:t>
      </w:r>
      <w:r>
        <w:rPr>
          <w:rFonts w:eastAsia="Times New Roman"/>
          <w:color w:val="000000"/>
          <w:sz w:val="20"/>
          <w:szCs w:val="20"/>
        </w:rPr>
        <w:t>es on a daily basis. VaR is a statistical risk measure used to estimate the potential loss from movements observed in the recent market environment. We employ a historical simulation approach using the most recent 500 business days and use a 99 percent con</w:t>
      </w:r>
      <w:r>
        <w:rPr>
          <w:rFonts w:eastAsia="Times New Roman"/>
          <w:color w:val="000000"/>
          <w:sz w:val="20"/>
          <w:szCs w:val="20"/>
        </w:rPr>
        <w:t>fidence level and a holding period of one business day. As a result of offsetting our customer exposures with other counterparties, we believe that our net exposure to market risk in our customer accommodation derivatives is minimal. For further informatio</w:t>
      </w:r>
      <w:r>
        <w:rPr>
          <w:rFonts w:eastAsia="Times New Roman"/>
          <w:color w:val="000000"/>
          <w:sz w:val="20"/>
          <w:szCs w:val="20"/>
        </w:rPr>
        <w:t>n on our risk related to customer accommodation derivatives, see “Part II—Item 8. Financial Statements and Supplementary Data—Note 9—Derivative Instruments and Hedging Activities.”</w:t>
      </w:r>
    </w:p>
    <w:p w:rsidR="00000000" w:rsidRDefault="0094004B">
      <w:pPr>
        <w:divId w:val="709695771"/>
        <w:rPr>
          <w:rFonts w:eastAsia="Times New Roman"/>
        </w:rPr>
      </w:pPr>
      <w:r>
        <w:rPr>
          <w:rFonts w:eastAsia="Times New Roman"/>
          <w:b/>
          <w:bCs/>
          <w:color w:val="000000"/>
          <w:sz w:val="20"/>
          <w:szCs w:val="20"/>
        </w:rPr>
        <w:t>London Interbank Offered Rate Transition</w:t>
      </w:r>
    </w:p>
    <w:p w:rsidR="00000000" w:rsidRDefault="0094004B">
      <w:pPr>
        <w:jc w:val="both"/>
        <w:divId w:val="725883557"/>
        <w:rPr>
          <w:rFonts w:eastAsia="Times New Roman"/>
        </w:rPr>
      </w:pPr>
      <w:r>
        <w:rPr>
          <w:rFonts w:eastAsia="Times New Roman"/>
          <w:color w:val="000000"/>
          <w:sz w:val="20"/>
          <w:szCs w:val="20"/>
        </w:rPr>
        <w:t>On July 27, 2017, the U.K. Financi</w:t>
      </w:r>
      <w:r>
        <w:rPr>
          <w:rFonts w:eastAsia="Times New Roman"/>
          <w:color w:val="000000"/>
          <w:sz w:val="20"/>
          <w:szCs w:val="20"/>
        </w:rPr>
        <w:t xml:space="preserve">al Conduct Authority (“FCA”), the regulator for the administration of LIBOR, announced that LIBOR would be phased out as an interest rate benchmark and that it will no longer compel panel banks to contribute LIBOR data beyond December 31, 2021. </w:t>
      </w:r>
    </w:p>
    <w:p w:rsidR="00000000" w:rsidRDefault="0094004B">
      <w:pPr>
        <w:jc w:val="both"/>
        <w:rPr>
          <w:rFonts w:eastAsia="Times New Roman"/>
        </w:rPr>
      </w:pPr>
      <w:r>
        <w:rPr>
          <w:rFonts w:eastAsia="Times New Roman"/>
          <w:color w:val="000000"/>
          <w:sz w:val="20"/>
          <w:szCs w:val="20"/>
        </w:rPr>
        <w:t>On March 5</w:t>
      </w:r>
      <w:r>
        <w:rPr>
          <w:rFonts w:eastAsia="Times New Roman"/>
          <w:color w:val="000000"/>
          <w:sz w:val="20"/>
          <w:szCs w:val="20"/>
        </w:rPr>
        <w:t>, 2021, the ICE Benchmark Administration (“IBA”), the administrator of LIBOR, confirmed its intention to cease publication of the 1-week and 2-month U.S. dollar (“USD”) LIBOR settings immediately following the LIBOR publication on December 31, 2021, and th</w:t>
      </w:r>
      <w:r>
        <w:rPr>
          <w:rFonts w:eastAsia="Times New Roman"/>
          <w:color w:val="000000"/>
          <w:sz w:val="20"/>
          <w:szCs w:val="20"/>
        </w:rPr>
        <w:t>e remaining USD LIBOR tenors (overnight; 1, 3, 6, and 12 months) immediately following the LIBOR publication on June 30, 2023. The continuation of USD LIBOR as a representative rate into mid-2023 will allow many legacy USD LIBOR contracts to mature prior t</w:t>
      </w:r>
      <w:r>
        <w:rPr>
          <w:rFonts w:eastAsia="Times New Roman"/>
          <w:color w:val="000000"/>
          <w:sz w:val="20"/>
          <w:szCs w:val="20"/>
        </w:rPr>
        <w:t xml:space="preserve">o cessation. Following IBA’s announcement, the FCA formally announced the future permanent cessation and loss of representativeness of LIBOR benchmarks. The Federal Banking Agencies issued further guidance that banking organizations should cease using USD </w:t>
      </w:r>
      <w:r>
        <w:rPr>
          <w:rFonts w:eastAsia="Times New Roman"/>
          <w:color w:val="000000"/>
          <w:sz w:val="20"/>
          <w:szCs w:val="20"/>
        </w:rPr>
        <w:t>LIBOR as a reference rate in new contracts as soon as practicable and in any event by December 31, 2021. Consistent with the Federal Banking Agencies’ guidance, we ceased entering into new contracts referencing USD LIBOR as a reference rate as of January 1</w:t>
      </w:r>
      <w:r>
        <w:rPr>
          <w:rFonts w:eastAsia="Times New Roman"/>
          <w:color w:val="000000"/>
          <w:sz w:val="20"/>
          <w:szCs w:val="20"/>
        </w:rPr>
        <w:t>, 2022, subject to certain permissible exceptions.</w:t>
      </w:r>
    </w:p>
    <w:p w:rsidR="00000000" w:rsidRDefault="0094004B">
      <w:pPr>
        <w:jc w:val="both"/>
        <w:rPr>
          <w:rFonts w:eastAsia="Times New Roman"/>
        </w:rPr>
      </w:pPr>
    </w:p>
    <w:p w:rsidR="00000000" w:rsidRDefault="0094004B">
      <w:pPr>
        <w:jc w:val="both"/>
        <w:rPr>
          <w:rFonts w:eastAsia="Times New Roman"/>
        </w:rPr>
      </w:pPr>
      <w:r>
        <w:rPr>
          <w:rFonts w:eastAsia="Times New Roman"/>
          <w:color w:val="000000"/>
          <w:sz w:val="20"/>
          <w:szCs w:val="20"/>
        </w:rPr>
        <w:t>On December 16, 2022, the Federal Reserve Board adopted the final rule that implemented the LIBOR Act. The LIBOR Act identified benchmark replacement rates based on SOFR for covered derivative transactio</w:t>
      </w:r>
      <w:r>
        <w:rPr>
          <w:rFonts w:eastAsia="Times New Roman"/>
          <w:color w:val="000000"/>
          <w:sz w:val="20"/>
          <w:szCs w:val="20"/>
        </w:rPr>
        <w:t xml:space="preserve">ns and cash transactions where a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694455146"/>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694455146"/>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694455146"/>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99</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25" style="width:0;height:1.5pt" o:hralign="center" o:hrstd="t" o:hr="t" fillcolor="#a0a0a0" stroked="f"/>
        </w:pict>
      </w:r>
    </w:p>
    <w:p w:rsidR="00000000" w:rsidRDefault="0094004B">
      <w:pPr>
        <w:ind w:hanging="360"/>
        <w:jc w:val="both"/>
        <w:divId w:val="517306175"/>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both"/>
        <w:rPr>
          <w:rFonts w:eastAsia="Times New Roman"/>
        </w:rPr>
      </w:pPr>
      <w:r>
        <w:rPr>
          <w:rFonts w:eastAsia="Times New Roman"/>
          <w:color w:val="000000"/>
          <w:sz w:val="20"/>
          <w:szCs w:val="20"/>
        </w:rPr>
        <w:t>practicable interest rate fallback method has not been established by June 30, 2023, including those in which a government-sponsored enterprise</w:t>
      </w:r>
      <w:r>
        <w:rPr>
          <w:rFonts w:eastAsia="Times New Roman"/>
          <w:color w:val="000000"/>
          <w:sz w:val="20"/>
          <w:szCs w:val="20"/>
        </w:rPr>
        <w:t xml:space="preserve"> is a party.</w:t>
      </w:r>
    </w:p>
    <w:p w:rsidR="00000000" w:rsidRDefault="0094004B">
      <w:pPr>
        <w:jc w:val="both"/>
        <w:rPr>
          <w:rFonts w:eastAsia="Times New Roman"/>
        </w:rPr>
      </w:pPr>
    </w:p>
    <w:p w:rsidR="00000000" w:rsidRDefault="0094004B">
      <w:pPr>
        <w:jc w:val="both"/>
        <w:rPr>
          <w:rFonts w:eastAsia="Times New Roman"/>
        </w:rPr>
      </w:pPr>
      <w:r>
        <w:rPr>
          <w:rFonts w:eastAsia="Times New Roman"/>
          <w:color w:val="000000"/>
          <w:sz w:val="20"/>
          <w:szCs w:val="20"/>
        </w:rPr>
        <w:t>Our LIBOR transition effort remains focused on proactively transitioning exposures to an alternative rate or incorporating transition language (“fallback language”) to provide a contractual mechanism for transitioning upon the LIBOR cessatio</w:t>
      </w:r>
      <w:r>
        <w:rPr>
          <w:rFonts w:eastAsia="Times New Roman"/>
          <w:color w:val="000000"/>
          <w:sz w:val="20"/>
          <w:szCs w:val="20"/>
        </w:rPr>
        <w:t xml:space="preserve">n. Our fallback language aligns with the language recommended by the Alternative Reference Rates Committee (“ARRC”) in our lending contracts and the International Swaps and Derivatives Association (“ISDA”) in our derivative contracts and agreements to the </w:t>
      </w:r>
      <w:r>
        <w:rPr>
          <w:rFonts w:eastAsia="Times New Roman"/>
          <w:color w:val="000000"/>
          <w:sz w:val="20"/>
          <w:szCs w:val="20"/>
        </w:rPr>
        <w:t>greatest extent possible.</w:t>
      </w:r>
    </w:p>
    <w:p w:rsidR="00000000" w:rsidRDefault="0094004B">
      <w:pPr>
        <w:jc w:val="both"/>
        <w:rPr>
          <w:rFonts w:eastAsia="Times New Roman"/>
        </w:rPr>
      </w:pPr>
    </w:p>
    <w:p w:rsidR="00000000" w:rsidRDefault="0094004B">
      <w:pPr>
        <w:jc w:val="both"/>
        <w:rPr>
          <w:rFonts w:eastAsia="Times New Roman"/>
        </w:rPr>
      </w:pPr>
      <w:r>
        <w:rPr>
          <w:rFonts w:eastAsia="Times New Roman"/>
          <w:color w:val="000000"/>
          <w:sz w:val="20"/>
          <w:szCs w:val="20"/>
        </w:rPr>
        <w:t>Our enterprise LIBOR transition program team, which has been working on this effort since 2018 and includes senior management representatives from across the enterprise, provides monthly reporting to senior management and quarterly reporting to our Board o</w:t>
      </w:r>
      <w:r>
        <w:rPr>
          <w:rFonts w:eastAsia="Times New Roman"/>
          <w:color w:val="000000"/>
          <w:sz w:val="20"/>
          <w:szCs w:val="20"/>
        </w:rPr>
        <w:t xml:space="preserve">f Directors. The information provided to senior management and the Board of Directors includes exposure reporting, updates on progress toward our goals to reduce our LIBOR exposure and relevant regulatory or industry developments. </w:t>
      </w:r>
    </w:p>
    <w:p w:rsidR="00000000" w:rsidRDefault="0094004B">
      <w:pPr>
        <w:jc w:val="both"/>
        <w:divId w:val="381757037"/>
        <w:rPr>
          <w:rFonts w:eastAsia="Times New Roman"/>
        </w:rPr>
      </w:pPr>
      <w:r>
        <w:rPr>
          <w:rFonts w:eastAsia="Times New Roman"/>
          <w:color w:val="000000"/>
          <w:sz w:val="20"/>
          <w:szCs w:val="20"/>
        </w:rPr>
        <w:t>We continue to focus our</w:t>
      </w:r>
      <w:r>
        <w:rPr>
          <w:rFonts w:eastAsia="Times New Roman"/>
          <w:color w:val="000000"/>
          <w:sz w:val="20"/>
          <w:szCs w:val="20"/>
        </w:rPr>
        <w:t xml:space="preserve"> LIBOR transition efforts on: </w:t>
      </w:r>
    </w:p>
    <w:p w:rsidR="00000000" w:rsidRDefault="0094004B">
      <w:pPr>
        <w:ind w:hanging="360"/>
        <w:jc w:val="both"/>
        <w:divId w:val="601302459"/>
        <w:rPr>
          <w:rFonts w:eastAsia="Times New Roman"/>
        </w:rPr>
      </w:pPr>
      <w:r>
        <w:rPr>
          <w:rFonts w:eastAsia="Times New Roman"/>
          <w:color w:val="000000"/>
          <w:sz w:val="20"/>
          <w:szCs w:val="20"/>
        </w:rPr>
        <w:t>•monitoring established controls to prevent the origination of impermissible LIBOR indexed instruments</w:t>
      </w:r>
    </w:p>
    <w:p w:rsidR="00000000" w:rsidRDefault="0094004B">
      <w:pPr>
        <w:ind w:hanging="360"/>
        <w:jc w:val="both"/>
        <w:divId w:val="464589292"/>
        <w:rPr>
          <w:rFonts w:eastAsia="Times New Roman"/>
        </w:rPr>
      </w:pPr>
      <w:r>
        <w:rPr>
          <w:rFonts w:eastAsia="Times New Roman"/>
          <w:b/>
          <w:bCs/>
          <w:color w:val="000000"/>
          <w:sz w:val="20"/>
          <w:szCs w:val="20"/>
        </w:rPr>
        <w:t>•</w:t>
      </w:r>
      <w:r>
        <w:rPr>
          <w:rFonts w:eastAsia="Times New Roman"/>
          <w:color w:val="000000"/>
          <w:sz w:val="20"/>
          <w:szCs w:val="20"/>
        </w:rPr>
        <w:t>working with impacted customers and counterparties to remediate remaining LIBOR contracts and our central counterparty cl</w:t>
      </w:r>
      <w:r>
        <w:rPr>
          <w:rFonts w:eastAsia="Times New Roman"/>
          <w:color w:val="000000"/>
          <w:sz w:val="20"/>
          <w:szCs w:val="20"/>
        </w:rPr>
        <w:t>earinghouses and derivative clearinghouses for conversion of centrally cleared USD LIBOR products</w:t>
      </w:r>
    </w:p>
    <w:p w:rsidR="00000000" w:rsidRDefault="0094004B">
      <w:pPr>
        <w:ind w:hanging="360"/>
        <w:jc w:val="both"/>
        <w:divId w:val="717045874"/>
        <w:rPr>
          <w:rFonts w:eastAsia="Times New Roman"/>
        </w:rPr>
      </w:pPr>
      <w:r>
        <w:rPr>
          <w:rFonts w:eastAsia="Times New Roman"/>
          <w:color w:val="000000"/>
          <w:sz w:val="20"/>
          <w:szCs w:val="20"/>
        </w:rPr>
        <w:t xml:space="preserve">•engaging with our clients, industry working groups, and regulators </w:t>
      </w:r>
    </w:p>
    <w:p w:rsidR="00000000" w:rsidRDefault="0094004B">
      <w:pPr>
        <w:ind w:hanging="360"/>
        <w:jc w:val="both"/>
        <w:divId w:val="1998068457"/>
        <w:rPr>
          <w:rFonts w:eastAsia="Times New Roman"/>
        </w:rPr>
      </w:pPr>
      <w:r>
        <w:rPr>
          <w:rFonts w:eastAsia="Times New Roman"/>
          <w:color w:val="000000"/>
          <w:sz w:val="20"/>
          <w:szCs w:val="20"/>
        </w:rPr>
        <w:t>•preparing to transition remaining contracts, including those with hardwired fallback lan</w:t>
      </w:r>
      <w:r>
        <w:rPr>
          <w:rFonts w:eastAsia="Times New Roman"/>
          <w:color w:val="000000"/>
          <w:sz w:val="20"/>
          <w:szCs w:val="20"/>
        </w:rPr>
        <w:t>guage, operable legacy fallback language and those covered under the scope of the LIBOR Act.</w:t>
      </w:r>
    </w:p>
    <w:p w:rsidR="00000000" w:rsidRDefault="0094004B">
      <w:pPr>
        <w:jc w:val="both"/>
        <w:divId w:val="1517690789"/>
        <w:rPr>
          <w:rFonts w:eastAsia="Times New Roman"/>
        </w:rPr>
      </w:pPr>
      <w:r>
        <w:rPr>
          <w:rFonts w:eastAsia="Times New Roman"/>
          <w:color w:val="000000"/>
          <w:sz w:val="20"/>
          <w:szCs w:val="20"/>
        </w:rPr>
        <w:t>The majority of LIBOR contracts that we have transitioned to alternative rates have employed SOFR. In the U.S., SOFR has been selected as the preferred alternative</w:t>
      </w:r>
      <w:r>
        <w:rPr>
          <w:rFonts w:eastAsia="Times New Roman"/>
          <w:color w:val="000000"/>
          <w:sz w:val="20"/>
          <w:szCs w:val="20"/>
        </w:rPr>
        <w:t xml:space="preserve"> rate by the ARRC for certain U.S. dollar derivative and cash instruments. We have proactively worked with customers and prepared our systems, models, valuation tools and processes to focus originations on SOFR and other non-LIBOR rates and will continue t</w:t>
      </w:r>
      <w:r>
        <w:rPr>
          <w:rFonts w:eastAsia="Times New Roman"/>
          <w:color w:val="000000"/>
          <w:sz w:val="20"/>
          <w:szCs w:val="20"/>
        </w:rPr>
        <w:t xml:space="preserve">o do so as needed. While the majority of our non-LIBOR transactions have utilized SOFR, we have also employed credit sensitive alternative rates to LIBOR, to a limited extent, in response to customer demand. </w:t>
      </w:r>
    </w:p>
    <w:p w:rsidR="00000000" w:rsidRDefault="0094004B">
      <w:pPr>
        <w:jc w:val="both"/>
        <w:divId w:val="147981229"/>
        <w:rPr>
          <w:rFonts w:eastAsia="Times New Roman"/>
        </w:rPr>
      </w:pPr>
      <w:r>
        <w:rPr>
          <w:rFonts w:eastAsia="Times New Roman"/>
          <w:color w:val="000000"/>
          <w:sz w:val="20"/>
          <w:szCs w:val="20"/>
        </w:rPr>
        <w:t>To track transition status, instruments are cat</w:t>
      </w:r>
      <w:r>
        <w:rPr>
          <w:rFonts w:eastAsia="Times New Roman"/>
          <w:color w:val="000000"/>
          <w:sz w:val="20"/>
          <w:szCs w:val="20"/>
        </w:rPr>
        <w:t xml:space="preserve">egorized based on whether they have fallback language (which may or may not adhere to the ISDA and ARRC standards) or have no fallback language. </w:t>
      </w:r>
      <w:r>
        <w:rPr>
          <w:rFonts w:eastAsia="Times New Roman"/>
          <w:color w:val="000000"/>
          <w:sz w:val="20"/>
          <w:szCs w:val="20"/>
          <w:shd w:val="clear" w:color="auto" w:fill="FFFFFF"/>
        </w:rPr>
        <w:t>The majority of the instruments maturing after June 30, 2023 are derivatives and commercial loans, which are su</w:t>
      </w:r>
      <w:r>
        <w:rPr>
          <w:rFonts w:eastAsia="Times New Roman"/>
          <w:color w:val="000000"/>
          <w:sz w:val="20"/>
          <w:szCs w:val="20"/>
          <w:shd w:val="clear" w:color="auto" w:fill="FFFFFF"/>
        </w:rPr>
        <w:t>mmarized in the table below.</w:t>
      </w:r>
      <w:r>
        <w:rPr>
          <w:rFonts w:eastAsia="Times New Roman"/>
          <w:color w:val="000000"/>
          <w:sz w:val="20"/>
          <w:szCs w:val="20"/>
        </w:rPr>
        <w:t xml:space="preserve"> Of these instruments, the majority contain fallback language which adheres to the ISDA and ARRC standards. The LIBOR Act provides a means for transitioning certain contracts that lack fallback language and which we are not able</w:t>
      </w:r>
      <w:r>
        <w:rPr>
          <w:rFonts w:eastAsia="Times New Roman"/>
          <w:color w:val="000000"/>
          <w:sz w:val="20"/>
          <w:szCs w:val="20"/>
        </w:rPr>
        <w:t xml:space="preserve"> to otherwise remediate prior to LIBOR cessation. We will continue to focus on reducing our LIBOR exposures through our transition efforts, normal operations and customer interactions. </w:t>
      </w:r>
    </w:p>
    <w:p w:rsidR="00000000" w:rsidRDefault="0094004B">
      <w:pPr>
        <w:divId w:val="520707086"/>
        <w:rPr>
          <w:rFonts w:eastAsia="Times New Roman"/>
        </w:rPr>
      </w:pPr>
      <w:r>
        <w:rPr>
          <w:rFonts w:eastAsia="Times New Roman"/>
          <w:b/>
          <w:bCs/>
          <w:color w:val="000000"/>
          <w:sz w:val="18"/>
          <w:szCs w:val="18"/>
        </w:rPr>
        <w:t>Table 36: LIBOR Exposures on Derivatives and Commercial Loans</w:t>
      </w:r>
    </w:p>
    <w:tbl>
      <w:tblPr>
        <w:tblW w:w="5000" w:type="pct"/>
        <w:tblCellMar>
          <w:top w:w="15" w:type="dxa"/>
          <w:left w:w="15" w:type="dxa"/>
          <w:bottom w:w="15" w:type="dxa"/>
          <w:right w:w="15" w:type="dxa"/>
        </w:tblCellMar>
        <w:tblLook w:val="04A0" w:firstRow="1" w:lastRow="0" w:firstColumn="1" w:lastColumn="0" w:noHBand="0" w:noVBand="1"/>
      </w:tblPr>
      <w:tblGrid>
        <w:gridCol w:w="40"/>
        <w:gridCol w:w="2137"/>
        <w:gridCol w:w="39"/>
        <w:gridCol w:w="36"/>
        <w:gridCol w:w="36"/>
        <w:gridCol w:w="36"/>
        <w:gridCol w:w="121"/>
        <w:gridCol w:w="1753"/>
        <w:gridCol w:w="36"/>
        <w:gridCol w:w="36"/>
        <w:gridCol w:w="36"/>
        <w:gridCol w:w="36"/>
        <w:gridCol w:w="121"/>
        <w:gridCol w:w="1753"/>
        <w:gridCol w:w="36"/>
        <w:gridCol w:w="36"/>
        <w:gridCol w:w="36"/>
        <w:gridCol w:w="36"/>
        <w:gridCol w:w="121"/>
        <w:gridCol w:w="1753"/>
        <w:gridCol w:w="36"/>
        <w:gridCol w:w="36"/>
      </w:tblGrid>
      <w:tr w:rsidR="00000000">
        <w:trPr>
          <w:divId w:val="743531020"/>
        </w:trPr>
        <w:tc>
          <w:tcPr>
            <w:tcW w:w="50" w:type="pct"/>
            <w:vAlign w:val="center"/>
            <w:hideMark/>
          </w:tcPr>
          <w:p w:rsidR="00000000" w:rsidRDefault="0094004B">
            <w:pPr>
              <w:rPr>
                <w:rFonts w:eastAsia="Times New Roman"/>
              </w:rPr>
            </w:pPr>
          </w:p>
        </w:tc>
        <w:tc>
          <w:tcPr>
            <w:tcW w:w="13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1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1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1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743531020"/>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20"/>
                <w:szCs w:val="20"/>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December 31, 2022</w:t>
            </w:r>
          </w:p>
        </w:tc>
        <w:tc>
          <w:tcPr>
            <w:tcW w:w="0" w:type="auto"/>
            <w:vAlign w:val="center"/>
            <w:hideMark/>
          </w:tcPr>
          <w:p w:rsidR="00000000" w:rsidRDefault="0094004B">
            <w:pPr>
              <w:spacing w:after="100"/>
              <w:jc w:val="center"/>
              <w:rPr>
                <w:rFonts w:eastAsia="Times New Roman"/>
              </w:rPr>
            </w:pPr>
          </w:p>
        </w:tc>
      </w:tr>
      <w:tr w:rsidR="00000000">
        <w:trPr>
          <w:divId w:val="743531020"/>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Exposure Typ</w:t>
            </w:r>
            <w:r>
              <w:rPr>
                <w:rFonts w:eastAsia="Times New Roman"/>
                <w:b/>
                <w:bCs/>
                <w:color w:val="000000"/>
                <w:sz w:val="20"/>
                <w:szCs w:val="20"/>
              </w:rPr>
              <w:t>e</w:t>
            </w:r>
            <w:r>
              <w:rPr>
                <w:rFonts w:eastAsia="Times New Roman"/>
                <w:b/>
                <w:bCs/>
                <w:color w:val="000000"/>
                <w:sz w:val="13"/>
                <w:szCs w:val="13"/>
              </w:rPr>
              <w:t>(1</w:t>
            </w:r>
            <w:r>
              <w:rPr>
                <w:rFonts w:eastAsia="Times New Roman"/>
                <w:b/>
                <w:bCs/>
                <w:color w:val="000000"/>
                <w:sz w:val="13"/>
                <w:szCs w:val="13"/>
              </w:rPr>
              <w:t>)</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Total LIBOR Commitments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Total LIBOR Commitments Maturing after June 30, 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Total LIBOR Commitments Maturing after June 30, 2023 Without Fallback Language</w:t>
            </w:r>
          </w:p>
        </w:tc>
        <w:tc>
          <w:tcPr>
            <w:tcW w:w="0" w:type="auto"/>
            <w:vAlign w:val="center"/>
            <w:hideMark/>
          </w:tcPr>
          <w:p w:rsidR="00000000" w:rsidRDefault="0094004B">
            <w:pPr>
              <w:spacing w:after="100"/>
              <w:jc w:val="center"/>
              <w:rPr>
                <w:rFonts w:eastAsia="Times New Roman"/>
              </w:rPr>
            </w:pPr>
          </w:p>
        </w:tc>
      </w:tr>
      <w:tr w:rsidR="00000000">
        <w:trPr>
          <w:divId w:val="743531020"/>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Derivatives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38,257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34,606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7,211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vAlign w:val="center"/>
            <w:hideMark/>
          </w:tcPr>
          <w:p w:rsidR="00000000" w:rsidRDefault="0094004B">
            <w:pPr>
              <w:spacing w:after="100"/>
              <w:jc w:val="right"/>
              <w:rPr>
                <w:rFonts w:eastAsia="Times New Roman"/>
                <w:sz w:val="20"/>
                <w:szCs w:val="20"/>
              </w:rPr>
            </w:pPr>
          </w:p>
        </w:tc>
      </w:tr>
      <w:tr w:rsidR="00000000">
        <w:trPr>
          <w:divId w:val="743531020"/>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Commercial loans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33,099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28,994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887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vAlign w:val="center"/>
            <w:hideMark/>
          </w:tcPr>
          <w:p w:rsidR="00000000" w:rsidRDefault="0094004B">
            <w:pPr>
              <w:spacing w:after="100"/>
              <w:jc w:val="right"/>
              <w:rPr>
                <w:rFonts w:eastAsia="Times New Roman"/>
                <w:sz w:val="20"/>
                <w:szCs w:val="20"/>
              </w:rPr>
            </w:pPr>
          </w:p>
        </w:tc>
      </w:tr>
      <w:tr w:rsidR="00000000">
        <w:trPr>
          <w:divId w:val="743531020"/>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71,356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63,600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8,098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vAlign w:val="center"/>
            <w:hideMark/>
          </w:tcPr>
          <w:p w:rsidR="00000000" w:rsidRDefault="0094004B">
            <w:pPr>
              <w:spacing w:after="100"/>
              <w:jc w:val="right"/>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94004B">
            <w:pPr>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100</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26" style="width:0;height:1.5pt" o:hralign="center" o:hrstd="t" o:hr="t" fillcolor="#a0a0a0" stroked="f"/>
        </w:pict>
      </w:r>
    </w:p>
    <w:p w:rsidR="00000000" w:rsidRDefault="0094004B">
      <w:pPr>
        <w:ind w:hanging="360"/>
        <w:jc w:val="both"/>
        <w:divId w:val="1064914948"/>
        <w:rPr>
          <w:rFonts w:eastAsia="Times New Roman"/>
        </w:rPr>
      </w:pPr>
      <w:hyperlink w:anchor="ia820611622d9441b977884dac00e0ebd_16"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40"/>
        <w:gridCol w:w="2149"/>
        <w:gridCol w:w="39"/>
        <w:gridCol w:w="36"/>
        <w:gridCol w:w="36"/>
        <w:gridCol w:w="36"/>
        <w:gridCol w:w="121"/>
        <w:gridCol w:w="1761"/>
        <w:gridCol w:w="36"/>
        <w:gridCol w:w="36"/>
        <w:gridCol w:w="36"/>
        <w:gridCol w:w="36"/>
        <w:gridCol w:w="121"/>
        <w:gridCol w:w="1761"/>
        <w:gridCol w:w="36"/>
        <w:gridCol w:w="36"/>
        <w:gridCol w:w="36"/>
        <w:gridCol w:w="36"/>
        <w:gridCol w:w="121"/>
        <w:gridCol w:w="1761"/>
        <w:gridCol w:w="36"/>
      </w:tblGrid>
      <w:tr w:rsidR="00000000">
        <w:trPr>
          <w:divId w:val="71439827"/>
        </w:trPr>
        <w:tc>
          <w:tcPr>
            <w:tcW w:w="50" w:type="pct"/>
            <w:vAlign w:val="center"/>
            <w:hideMark/>
          </w:tcPr>
          <w:p w:rsidR="00000000" w:rsidRDefault="0094004B">
            <w:pPr>
              <w:ind w:hanging="360"/>
              <w:jc w:val="both"/>
              <w:rPr>
                <w:rFonts w:eastAsia="Times New Roman"/>
              </w:rPr>
            </w:pPr>
          </w:p>
        </w:tc>
        <w:tc>
          <w:tcPr>
            <w:tcW w:w="13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1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1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1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71439827"/>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20"/>
                <w:szCs w:val="20"/>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December 31, 2021</w:t>
            </w:r>
          </w:p>
        </w:tc>
      </w:tr>
      <w:tr w:rsidR="00000000">
        <w:trPr>
          <w:divId w:val="71439827"/>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Exposure Typ</w:t>
            </w:r>
            <w:r>
              <w:rPr>
                <w:rFonts w:eastAsia="Times New Roman"/>
                <w:b/>
                <w:bCs/>
                <w:color w:val="000000"/>
                <w:sz w:val="20"/>
                <w:szCs w:val="20"/>
              </w:rPr>
              <w:t>e</w:t>
            </w:r>
            <w:r>
              <w:rPr>
                <w:rFonts w:eastAsia="Times New Roman"/>
                <w:b/>
                <w:bCs/>
                <w:color w:val="000000"/>
                <w:sz w:val="13"/>
                <w:szCs w:val="13"/>
              </w:rPr>
              <w:t>(1</w:t>
            </w:r>
            <w:r>
              <w:rPr>
                <w:rFonts w:eastAsia="Times New Roman"/>
                <w:b/>
                <w:bCs/>
                <w:color w:val="000000"/>
                <w:sz w:val="13"/>
                <w:szCs w:val="13"/>
              </w:rPr>
              <w:t>)</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Total LIBOR Commitments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Total LIBOR Commitments Maturing after June 30, 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Total LIBOR Commitments Maturing after June 30, 2023 Without Fallback Language</w:t>
            </w:r>
          </w:p>
        </w:tc>
      </w:tr>
      <w:tr w:rsidR="00000000">
        <w:trPr>
          <w:divId w:val="7143982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Derivatives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103,562 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64,605 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14,536 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71439827"/>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Commercial loans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101,488 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71,874 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2,047 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71439827"/>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205,050 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136,479 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16,583 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bl>
    <w:p w:rsidR="00000000" w:rsidRDefault="0094004B">
      <w:pPr>
        <w:jc w:val="both"/>
        <w:divId w:val="71439827"/>
        <w:rPr>
          <w:rFonts w:eastAsia="Times New Roman"/>
        </w:rPr>
      </w:pPr>
      <w:r>
        <w:rPr>
          <w:rFonts w:eastAsia="Times New Roman"/>
          <w:color w:val="000000"/>
          <w:sz w:val="20"/>
          <w:szCs w:val="20"/>
        </w:rPr>
        <w:t>_________</w:t>
      </w:r>
    </w:p>
    <w:p w:rsidR="00000000" w:rsidRDefault="0094004B">
      <w:pPr>
        <w:ind w:hanging="360"/>
        <w:jc w:val="both"/>
        <w:divId w:val="1246258763"/>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Commercial loan balances represent maximum potential exposures and derivatives represent notional exposure.</w:t>
      </w:r>
    </w:p>
    <w:p w:rsidR="00000000" w:rsidRDefault="0094004B">
      <w:pPr>
        <w:jc w:val="both"/>
        <w:divId w:val="1747458193"/>
        <w:rPr>
          <w:rFonts w:eastAsia="Times New Roman"/>
        </w:rPr>
      </w:pPr>
      <w:r>
        <w:rPr>
          <w:rFonts w:eastAsia="Times New Roman"/>
          <w:color w:val="000000"/>
          <w:sz w:val="20"/>
          <w:szCs w:val="20"/>
        </w:rPr>
        <w:t xml:space="preserve">These transition efforts have been implemented to remediate our remaining LIBOR contracts by June 30, 2023. For a further discussion of the various </w:t>
      </w:r>
      <w:r>
        <w:rPr>
          <w:rFonts w:eastAsia="Times New Roman"/>
          <w:color w:val="000000"/>
          <w:sz w:val="20"/>
          <w:szCs w:val="20"/>
        </w:rPr>
        <w:t>risks we face in connection with the expected replacement of LIBOR on our operations, see “Part I—Item 1A. Risk Factors—</w:t>
      </w:r>
      <w:r>
        <w:rPr>
          <w:rFonts w:eastAsia="Times New Roman"/>
          <w:i/>
          <w:iCs/>
          <w:color w:val="000000"/>
          <w:sz w:val="20"/>
          <w:szCs w:val="20"/>
        </w:rPr>
        <w:t>The transition away from LIBOR may adversely affect our business.</w:t>
      </w:r>
      <w:r>
        <w:rPr>
          <w:rFonts w:eastAsia="Times New Roman"/>
          <w:color w:val="000000"/>
          <w:sz w:val="20"/>
          <w:szCs w:val="20"/>
        </w:rPr>
        <w:t>”</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043406038"/>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043406038"/>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043406038"/>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101</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27" style="width:0;height:1.5pt" o:hralign="center" o:hrstd="t" o:hr="t" fillcolor="#a0a0a0" stroked="f"/>
        </w:pict>
      </w:r>
    </w:p>
    <w:p w:rsidR="00000000" w:rsidRDefault="0094004B">
      <w:pPr>
        <w:ind w:hanging="360"/>
        <w:jc w:val="both"/>
        <w:divId w:val="329722791"/>
        <w:rPr>
          <w:rFonts w:eastAsia="Times New Roman"/>
        </w:rPr>
      </w:pPr>
      <w:hyperlink w:anchor="ia820611622d9441b977884dac00e0ebd_16"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349651539"/>
        </w:trPr>
        <w:tc>
          <w:tcPr>
            <w:tcW w:w="50" w:type="pct"/>
            <w:vAlign w:val="center"/>
            <w:hideMark/>
          </w:tcPr>
          <w:p w:rsidR="00000000" w:rsidRDefault="0094004B">
            <w:pPr>
              <w:ind w:hanging="360"/>
              <w:jc w:val="both"/>
              <w:rPr>
                <w:rFonts w:eastAsia="Times New Roman"/>
              </w:rPr>
            </w:pPr>
          </w:p>
        </w:tc>
        <w:tc>
          <w:tcPr>
            <w:tcW w:w="494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349651539"/>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20"/>
                <w:szCs w:val="20"/>
              </w:rPr>
              <w:t>SUPPLEMENTAL TABLES</w:t>
            </w:r>
          </w:p>
        </w:tc>
      </w:tr>
    </w:tbl>
    <w:p w:rsidR="00000000" w:rsidRDefault="0094004B">
      <w:pPr>
        <w:divId w:val="2003391916"/>
        <w:rPr>
          <w:rFonts w:eastAsia="Times New Roman"/>
        </w:rPr>
      </w:pPr>
      <w:r>
        <w:rPr>
          <w:rFonts w:eastAsia="Times New Roman"/>
          <w:b/>
          <w:bCs/>
          <w:color w:val="000000"/>
          <w:sz w:val="18"/>
          <w:szCs w:val="18"/>
        </w:rPr>
        <w:t>Table A—Net Charge-Offs</w:t>
      </w:r>
    </w:p>
    <w:tbl>
      <w:tblPr>
        <w:tblW w:w="5000" w:type="pct"/>
        <w:tblCellMar>
          <w:top w:w="15" w:type="dxa"/>
          <w:left w:w="15" w:type="dxa"/>
          <w:bottom w:w="15" w:type="dxa"/>
          <w:right w:w="15" w:type="dxa"/>
        </w:tblCellMar>
        <w:tblLook w:val="04A0" w:firstRow="1" w:lastRow="0" w:firstColumn="1" w:lastColumn="0" w:noHBand="0" w:noVBand="1"/>
      </w:tblPr>
      <w:tblGrid>
        <w:gridCol w:w="38"/>
        <w:gridCol w:w="4457"/>
        <w:gridCol w:w="37"/>
        <w:gridCol w:w="36"/>
        <w:gridCol w:w="36"/>
        <w:gridCol w:w="36"/>
        <w:gridCol w:w="121"/>
        <w:gridCol w:w="782"/>
        <w:gridCol w:w="221"/>
        <w:gridCol w:w="36"/>
        <w:gridCol w:w="36"/>
        <w:gridCol w:w="36"/>
        <w:gridCol w:w="121"/>
        <w:gridCol w:w="782"/>
        <w:gridCol w:w="188"/>
        <w:gridCol w:w="36"/>
        <w:gridCol w:w="36"/>
        <w:gridCol w:w="36"/>
        <w:gridCol w:w="121"/>
        <w:gridCol w:w="782"/>
        <w:gridCol w:w="188"/>
        <w:gridCol w:w="36"/>
        <w:gridCol w:w="36"/>
        <w:gridCol w:w="36"/>
        <w:gridCol w:w="36"/>
      </w:tblGrid>
      <w:tr w:rsidR="00000000">
        <w:trPr>
          <w:divId w:val="1456948442"/>
        </w:trPr>
        <w:tc>
          <w:tcPr>
            <w:tcW w:w="50" w:type="pct"/>
            <w:vAlign w:val="center"/>
            <w:hideMark/>
          </w:tcPr>
          <w:p w:rsidR="00000000" w:rsidRDefault="0094004B">
            <w:pPr>
              <w:rPr>
                <w:rFonts w:eastAsia="Times New Roman"/>
              </w:rPr>
            </w:pPr>
          </w:p>
        </w:tc>
        <w:tc>
          <w:tcPr>
            <w:tcW w:w="337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1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3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3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3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1456948442"/>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Year Ended December 31,</w:t>
            </w:r>
          </w:p>
        </w:tc>
        <w:tc>
          <w:tcPr>
            <w:tcW w:w="0" w:type="auto"/>
            <w:vAlign w:val="center"/>
            <w:hideMark/>
          </w:tcPr>
          <w:p w:rsidR="00000000" w:rsidRDefault="0094004B">
            <w:pPr>
              <w:spacing w:after="100"/>
              <w:jc w:val="center"/>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1456948442"/>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20"/>
                <w:szCs w:val="20"/>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2020</w:t>
            </w:r>
          </w:p>
        </w:tc>
        <w:tc>
          <w:tcPr>
            <w:tcW w:w="0" w:type="auto"/>
            <w:vAlign w:val="center"/>
            <w:hideMark/>
          </w:tcPr>
          <w:p w:rsidR="00000000" w:rsidRDefault="0094004B">
            <w:pPr>
              <w:spacing w:after="100"/>
              <w:jc w:val="center"/>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1456948442"/>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Average 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center"/>
            <w:hideMark/>
          </w:tcPr>
          <w:p w:rsidR="00000000" w:rsidRDefault="0094004B">
            <w:pPr>
              <w:spacing w:after="100"/>
              <w:jc w:val="right"/>
              <w:rPr>
                <w:rFonts w:eastAsia="Times New Roman"/>
              </w:rPr>
            </w:pPr>
            <w:r>
              <w:rPr>
                <w:rFonts w:eastAsia="Times New Roman"/>
                <w:b/>
                <w:bCs/>
                <w:color w:val="000000"/>
                <w:sz w:val="20"/>
                <w:szCs w:val="20"/>
              </w:rPr>
              <w:t>292,238</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20"/>
                <w:szCs w:val="20"/>
              </w:rPr>
              <w:t>252,730</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20"/>
                <w:szCs w:val="20"/>
              </w:rPr>
              <w:t>253,335</w:t>
            </w:r>
          </w:p>
        </w:tc>
        <w:tc>
          <w:tcPr>
            <w:tcW w:w="0" w:type="auto"/>
            <w:vAlign w:val="center"/>
            <w:hideMark/>
          </w:tcPr>
          <w:p w:rsidR="00000000" w:rsidRDefault="0094004B">
            <w:pPr>
              <w:spacing w:after="100"/>
              <w:jc w:val="right"/>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1456948442"/>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Net charge-offs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b/>
                <w:bCs/>
                <w:color w:val="000000"/>
                <w:sz w:val="20"/>
                <w:szCs w:val="20"/>
              </w:rPr>
              <w:t>3,973</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20"/>
                <w:szCs w:val="20"/>
              </w:rPr>
              <w:t>2,234</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20"/>
                <w:szCs w:val="20"/>
              </w:rPr>
              <w:t>5,225</w:t>
            </w:r>
          </w:p>
        </w:tc>
        <w:tc>
          <w:tcPr>
            <w:tcW w:w="0" w:type="auto"/>
            <w:vAlign w:val="center"/>
            <w:hideMark/>
          </w:tcPr>
          <w:p w:rsidR="00000000" w:rsidRDefault="0094004B">
            <w:pPr>
              <w:spacing w:after="100"/>
              <w:jc w:val="right"/>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1456948442"/>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Net charge-off rate</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20"/>
                <w:szCs w:val="20"/>
              </w:rPr>
              <w:t>1.36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0.88 </w:t>
            </w:r>
          </w:p>
        </w:tc>
        <w:tc>
          <w:tcPr>
            <w:tcW w:w="0" w:type="auto"/>
            <w:shd w:val="clear" w:color="auto" w:fill="CCEEFF"/>
            <w:tcMar>
              <w:top w:w="30" w:type="dxa"/>
              <w:left w:w="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20"/>
                <w:szCs w:val="20"/>
              </w:rPr>
              <w:t>2.06 </w:t>
            </w:r>
          </w:p>
        </w:tc>
        <w:tc>
          <w:tcPr>
            <w:tcW w:w="0" w:type="auto"/>
            <w:shd w:val="clear" w:color="auto" w:fill="CCEEFF"/>
            <w:tcMar>
              <w:top w:w="30" w:type="dxa"/>
              <w:left w:w="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bl>
    <w:p w:rsidR="00000000" w:rsidRDefault="0094004B">
      <w:pPr>
        <w:divId w:val="199099644"/>
        <w:rPr>
          <w:rFonts w:eastAsia="Times New Roman"/>
        </w:rPr>
      </w:pPr>
      <w:r>
        <w:rPr>
          <w:rFonts w:eastAsia="Times New Roman"/>
          <w:b/>
          <w:bCs/>
          <w:color w:val="000000"/>
          <w:sz w:val="18"/>
          <w:szCs w:val="18"/>
        </w:rPr>
        <w:t>Table B—Rec</w:t>
      </w:r>
      <w:r>
        <w:rPr>
          <w:rFonts w:eastAsia="Times New Roman"/>
          <w:b/>
          <w:bCs/>
          <w:color w:val="000000"/>
          <w:sz w:val="18"/>
          <w:szCs w:val="18"/>
        </w:rPr>
        <w:t>onciliation of Non-GAAP Measures</w:t>
      </w:r>
    </w:p>
    <w:p w:rsidR="00000000" w:rsidRDefault="0094004B">
      <w:pPr>
        <w:jc w:val="both"/>
        <w:divId w:val="1096512606"/>
        <w:rPr>
          <w:rFonts w:eastAsia="Times New Roman"/>
        </w:rPr>
      </w:pPr>
      <w:r>
        <w:rPr>
          <w:rFonts w:eastAsia="Times New Roman"/>
          <w:color w:val="000000"/>
          <w:sz w:val="20"/>
          <w:szCs w:val="20"/>
        </w:rPr>
        <w:t>The following non-GAAP measure consists of our adjusted results that we believe helps investors and users of our financial information understand the effect of adjusting items on our selected reported results; however, it m</w:t>
      </w:r>
      <w:r>
        <w:rPr>
          <w:rFonts w:eastAsia="Times New Roman"/>
          <w:color w:val="000000"/>
          <w:sz w:val="20"/>
          <w:szCs w:val="20"/>
        </w:rPr>
        <w:t>ay not be comparable to similarly-titled measures reported by other companies. This adjusted result provides alternate measurements of our operating performance, both for the current period and trends across multiple periods. The following table presents r</w:t>
      </w:r>
      <w:r>
        <w:rPr>
          <w:rFonts w:eastAsia="Times New Roman"/>
          <w:color w:val="000000"/>
          <w:sz w:val="20"/>
          <w:szCs w:val="20"/>
        </w:rPr>
        <w:t xml:space="preserve">econciliations of the non-GAAP measure to the applicable amounts measured in accordance with GAAP. The non-GAAP measure below should not be viewed as a substitute for reported results determined in accordance with GAAP. </w:t>
      </w:r>
    </w:p>
    <w:tbl>
      <w:tblPr>
        <w:tblW w:w="5000" w:type="pct"/>
        <w:tblCellMar>
          <w:top w:w="15" w:type="dxa"/>
          <w:left w:w="15" w:type="dxa"/>
          <w:bottom w:w="15" w:type="dxa"/>
          <w:right w:w="15" w:type="dxa"/>
        </w:tblCellMar>
        <w:tblLook w:val="04A0" w:firstRow="1" w:lastRow="0" w:firstColumn="1" w:lastColumn="0" w:noHBand="0" w:noVBand="1"/>
      </w:tblPr>
      <w:tblGrid>
        <w:gridCol w:w="40"/>
        <w:gridCol w:w="5314"/>
        <w:gridCol w:w="39"/>
        <w:gridCol w:w="36"/>
        <w:gridCol w:w="36"/>
        <w:gridCol w:w="36"/>
        <w:gridCol w:w="112"/>
        <w:gridCol w:w="704"/>
        <w:gridCol w:w="37"/>
        <w:gridCol w:w="37"/>
        <w:gridCol w:w="37"/>
        <w:gridCol w:w="37"/>
        <w:gridCol w:w="112"/>
        <w:gridCol w:w="637"/>
        <w:gridCol w:w="36"/>
        <w:gridCol w:w="37"/>
        <w:gridCol w:w="119"/>
        <w:gridCol w:w="36"/>
        <w:gridCol w:w="112"/>
        <w:gridCol w:w="716"/>
        <w:gridCol w:w="36"/>
      </w:tblGrid>
      <w:tr w:rsidR="00000000">
        <w:trPr>
          <w:divId w:val="1480225951"/>
        </w:trPr>
        <w:tc>
          <w:tcPr>
            <w:tcW w:w="50" w:type="pct"/>
            <w:vAlign w:val="center"/>
            <w:hideMark/>
          </w:tcPr>
          <w:p w:rsidR="00000000" w:rsidRDefault="0094004B">
            <w:pPr>
              <w:jc w:val="both"/>
              <w:rPr>
                <w:rFonts w:eastAsia="Times New Roman"/>
              </w:rPr>
            </w:pPr>
          </w:p>
        </w:tc>
        <w:tc>
          <w:tcPr>
            <w:tcW w:w="326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1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71"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71"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71"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480225951"/>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rPr>
              <w:t>December 31,</w:t>
            </w:r>
          </w:p>
        </w:tc>
      </w:tr>
      <w:tr w:rsidR="00000000">
        <w:trPr>
          <w:divId w:val="1480225951"/>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8"/>
                <w:szCs w:val="18"/>
              </w:rPr>
              <w:t>(Dollars in millions, except as noted)</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rPr>
              <w:t>2020</w:t>
            </w:r>
          </w:p>
        </w:tc>
      </w:tr>
      <w:tr w:rsidR="00000000">
        <w:trPr>
          <w:divId w:val="1480225951"/>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Adjusted operating efficiency ratio:</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480225951"/>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Operating expense (GAAP)</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2"/>
            <w:shd w:val="clear" w:color="auto" w:fill="FFFFFF"/>
            <w:tcMar>
              <w:top w:w="30" w:type="dxa"/>
              <w:left w:w="0" w:type="dxa"/>
              <w:bottom w:w="30" w:type="dxa"/>
              <w:right w:w="140" w:type="dxa"/>
            </w:tcMar>
            <w:vAlign w:val="center"/>
            <w:hideMark/>
          </w:tcPr>
          <w:p w:rsidR="00000000" w:rsidRDefault="0094004B">
            <w:pPr>
              <w:spacing w:after="100"/>
              <w:jc w:val="right"/>
              <w:rPr>
                <w:rFonts w:eastAsia="Times New Roman"/>
              </w:rPr>
            </w:pPr>
            <w:r>
              <w:rPr>
                <w:rFonts w:eastAsia="Times New Roman"/>
                <w:b/>
                <w:bCs/>
                <w:color w:val="000000"/>
                <w:sz w:val="18"/>
                <w:szCs w:val="18"/>
              </w:rPr>
              <w:t>15,146</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13,699</w:t>
            </w:r>
          </w:p>
        </w:tc>
        <w:tc>
          <w:tcPr>
            <w:tcW w:w="0" w:type="auto"/>
            <w:gridSpan w:val="3"/>
            <w:shd w:val="clear" w:color="auto" w:fill="FFFFFF"/>
            <w:tcMar>
              <w:top w:w="0" w:type="dxa"/>
              <w:left w:w="14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13,446</w:t>
            </w:r>
          </w:p>
        </w:tc>
      </w:tr>
      <w:tr w:rsidR="00000000">
        <w:trPr>
          <w:divId w:val="1480225951"/>
        </w:trPr>
        <w:tc>
          <w:tcPr>
            <w:tcW w:w="0" w:type="auto"/>
            <w:gridSpan w:val="3"/>
            <w:shd w:val="clear" w:color="auto" w:fill="CCEEFF"/>
            <w:tcMar>
              <w:top w:w="30" w:type="dxa"/>
              <w:left w:w="26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Insurance recoveries and legal reserve activity</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b/>
                <w:bCs/>
                <w:color w:val="000000"/>
                <w:sz w:val="18"/>
                <w:szCs w:val="18"/>
              </w:rPr>
              <w:t>177</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(100)</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(313)</w:t>
            </w:r>
          </w:p>
        </w:tc>
      </w:tr>
      <w:tr w:rsidR="00000000">
        <w:trPr>
          <w:divId w:val="1480225951"/>
        </w:trPr>
        <w:tc>
          <w:tcPr>
            <w:tcW w:w="0" w:type="auto"/>
            <w:gridSpan w:val="3"/>
            <w:shd w:val="clear" w:color="auto" w:fill="FFFFFF"/>
            <w:tcMar>
              <w:top w:w="30" w:type="dxa"/>
              <w:left w:w="26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Restructuring charges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b/>
                <w:bCs/>
                <w:color w:val="000000"/>
                <w:sz w:val="18"/>
                <w:szCs w:val="18"/>
              </w:rPr>
              <w:t>(72)</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w:t>
            </w:r>
          </w:p>
        </w:tc>
      </w:tr>
      <w:tr w:rsidR="00000000">
        <w:trPr>
          <w:divId w:val="1480225951"/>
        </w:trPr>
        <w:tc>
          <w:tcPr>
            <w:tcW w:w="0" w:type="auto"/>
            <w:gridSpan w:val="3"/>
            <w:shd w:val="clear" w:color="auto" w:fill="CCEEFF"/>
            <w:tcMar>
              <w:top w:w="30" w:type="dxa"/>
              <w:left w:w="26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Cybersecurity Incident expenses, net of insurance</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(27)</w:t>
            </w:r>
          </w:p>
        </w:tc>
      </w:tr>
      <w:tr w:rsidR="00000000">
        <w:trPr>
          <w:divId w:val="1480225951"/>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Adjusted operating expense (non-GAAP)</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2"/>
            <w:tcBorders>
              <w:top w:val="single" w:sz="8" w:space="0" w:color="000000"/>
            </w:tcBorders>
            <w:shd w:val="clear" w:color="auto" w:fill="FFFFFF"/>
            <w:tcMar>
              <w:top w:w="30" w:type="dxa"/>
              <w:left w:w="0" w:type="dxa"/>
              <w:bottom w:w="30" w:type="dxa"/>
              <w:right w:w="140" w:type="dxa"/>
            </w:tcMar>
            <w:vAlign w:val="center"/>
            <w:hideMark/>
          </w:tcPr>
          <w:p w:rsidR="00000000" w:rsidRDefault="0094004B">
            <w:pPr>
              <w:spacing w:after="100"/>
              <w:jc w:val="right"/>
              <w:rPr>
                <w:rFonts w:eastAsia="Times New Roman"/>
              </w:rPr>
            </w:pPr>
            <w:r>
              <w:rPr>
                <w:rFonts w:eastAsia="Times New Roman"/>
                <w:b/>
                <w:bCs/>
                <w:color w:val="000000"/>
                <w:sz w:val="18"/>
                <w:szCs w:val="18"/>
              </w:rPr>
              <w:t>15,251</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gridSpan w:val="2"/>
            <w:tcBorders>
              <w:top w:val="single" w:sz="8" w:space="0" w:color="000000"/>
            </w:tcBorders>
            <w:shd w:val="clear" w:color="auto" w:fill="FFFFFF"/>
            <w:tcMar>
              <w:top w:w="30" w:type="dxa"/>
              <w:left w:w="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13,599</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gridSpan w:val="2"/>
            <w:tcBorders>
              <w:top w:val="single" w:sz="8" w:space="0" w:color="000000"/>
            </w:tcBorders>
            <w:shd w:val="clear" w:color="auto" w:fill="FFFFFF"/>
            <w:tcMar>
              <w:top w:w="30" w:type="dxa"/>
              <w:left w:w="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13,106</w:t>
            </w:r>
          </w:p>
        </w:tc>
      </w:tr>
      <w:tr w:rsidR="00000000">
        <w:trPr>
          <w:divId w:val="1480225951"/>
          <w:trHeight w:val="240"/>
        </w:trPr>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480225951"/>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 net revenue (GAAP)</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2"/>
            <w:shd w:val="clear" w:color="auto" w:fill="FFFFFF"/>
            <w:tcMar>
              <w:top w:w="30" w:type="dxa"/>
              <w:left w:w="0" w:type="dxa"/>
              <w:bottom w:w="30" w:type="dxa"/>
              <w:right w:w="140" w:type="dxa"/>
            </w:tcMar>
            <w:vAlign w:val="center"/>
            <w:hideMark/>
          </w:tcPr>
          <w:p w:rsidR="00000000" w:rsidRDefault="0094004B">
            <w:pPr>
              <w:spacing w:after="100"/>
              <w:jc w:val="right"/>
              <w:rPr>
                <w:rFonts w:eastAsia="Times New Roman"/>
              </w:rPr>
            </w:pPr>
            <w:r>
              <w:rPr>
                <w:rFonts w:eastAsia="Times New Roman"/>
                <w:b/>
                <w:bCs/>
                <w:color w:val="000000"/>
                <w:sz w:val="18"/>
                <w:szCs w:val="18"/>
              </w:rPr>
              <w:t>34,250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30,435</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28,523</w:t>
            </w:r>
          </w:p>
        </w:tc>
      </w:tr>
      <w:tr w:rsidR="00000000">
        <w:trPr>
          <w:divId w:val="1480225951"/>
        </w:trPr>
        <w:tc>
          <w:tcPr>
            <w:tcW w:w="0" w:type="auto"/>
            <w:gridSpan w:val="3"/>
            <w:shd w:val="clear" w:color="auto" w:fill="CCEEFF"/>
            <w:tcMar>
              <w:top w:w="30" w:type="dxa"/>
              <w:left w:w="26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U.K. PPI Reserve</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(36)</w:t>
            </w:r>
          </w:p>
        </w:tc>
      </w:tr>
      <w:tr w:rsidR="00000000">
        <w:trPr>
          <w:divId w:val="1480225951"/>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Adjusted net revenue (non-GAAP)</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2"/>
            <w:tcBorders>
              <w:top w:val="single" w:sz="8" w:space="0" w:color="000000"/>
            </w:tcBorders>
            <w:shd w:val="clear" w:color="auto" w:fill="FFFFFF"/>
            <w:tcMar>
              <w:top w:w="30" w:type="dxa"/>
              <w:left w:w="0" w:type="dxa"/>
              <w:bottom w:w="30" w:type="dxa"/>
              <w:right w:w="140" w:type="dxa"/>
            </w:tcMar>
            <w:vAlign w:val="center"/>
            <w:hideMark/>
          </w:tcPr>
          <w:p w:rsidR="00000000" w:rsidRDefault="0094004B">
            <w:pPr>
              <w:spacing w:after="100"/>
              <w:jc w:val="right"/>
              <w:rPr>
                <w:rFonts w:eastAsia="Times New Roman"/>
              </w:rPr>
            </w:pPr>
            <w:r>
              <w:rPr>
                <w:rFonts w:eastAsia="Times New Roman"/>
                <w:b/>
                <w:bCs/>
                <w:color w:val="000000"/>
                <w:sz w:val="18"/>
                <w:szCs w:val="18"/>
              </w:rPr>
              <w:t>34,250</w:t>
            </w:r>
          </w:p>
        </w:tc>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 </w:t>
            </w: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gridSpan w:val="2"/>
            <w:tcBorders>
              <w:top w:val="single" w:sz="8" w:space="0" w:color="000000"/>
            </w:tcBorders>
            <w:shd w:val="clear" w:color="auto" w:fill="FFFFFF"/>
            <w:tcMar>
              <w:top w:w="30" w:type="dxa"/>
              <w:left w:w="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30,435</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gridSpan w:val="2"/>
            <w:tcBorders>
              <w:top w:val="single" w:sz="8" w:space="0" w:color="000000"/>
            </w:tcBorders>
            <w:shd w:val="clear" w:color="auto" w:fill="FFFFFF"/>
            <w:tcMar>
              <w:top w:w="30" w:type="dxa"/>
              <w:left w:w="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28,487</w:t>
            </w:r>
          </w:p>
        </w:tc>
      </w:tr>
      <w:tr w:rsidR="00000000">
        <w:trPr>
          <w:divId w:val="1480225951"/>
          <w:trHeight w:val="240"/>
        </w:trPr>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480225951"/>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Operating efficiency ratio (GAAP)</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b/>
                <w:bCs/>
                <w:color w:val="000000"/>
                <w:sz w:val="18"/>
                <w:szCs w:val="18"/>
              </w:rPr>
              <w:t>44.22%</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45.01%</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47.14%</w:t>
            </w:r>
          </w:p>
        </w:tc>
      </w:tr>
      <w:tr w:rsidR="00000000">
        <w:trPr>
          <w:divId w:val="1480225951"/>
        </w:trPr>
        <w:tc>
          <w:tcPr>
            <w:tcW w:w="0" w:type="auto"/>
            <w:gridSpan w:val="3"/>
            <w:shd w:val="clear" w:color="auto" w:fill="CCEEFF"/>
            <w:tcMar>
              <w:top w:w="30" w:type="dxa"/>
              <w:left w:w="26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Impact of adjustments noted above</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b/>
                <w:bCs/>
                <w:color w:val="000000"/>
                <w:sz w:val="18"/>
                <w:szCs w:val="18"/>
              </w:rPr>
              <w:t>31bps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(33)bps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(113)bps</w:t>
            </w:r>
          </w:p>
        </w:tc>
      </w:tr>
      <w:tr w:rsidR="00000000">
        <w:trPr>
          <w:divId w:val="1480225951"/>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Adjusted operating efficiency ratio (non-GAAP)</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bottom w:val="double" w:sz="6" w:space="0" w:color="000000"/>
            </w:tcBorders>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b/>
                <w:bCs/>
                <w:color w:val="000000"/>
                <w:sz w:val="18"/>
                <w:szCs w:val="18"/>
              </w:rPr>
              <w:t>44.53%</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tcBorders>
              <w:top w:val="single" w:sz="8" w:space="0" w:color="000000"/>
              <w:bottom w:val="double" w:sz="6" w:space="0" w:color="000000"/>
            </w:tcBorders>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44.68%</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tcBorders>
              <w:top w:val="single" w:sz="8" w:space="0" w:color="000000"/>
              <w:bottom w:val="double" w:sz="6" w:space="0" w:color="000000"/>
            </w:tcBorders>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46.01%</w:t>
            </w:r>
          </w:p>
        </w:tc>
      </w:tr>
    </w:tbl>
    <w:p w:rsidR="00000000" w:rsidRDefault="0094004B">
      <w:pPr>
        <w:jc w:val="both"/>
        <w:divId w:val="545214026"/>
        <w:rPr>
          <w:rFonts w:eastAsia="Times New Roman"/>
        </w:rPr>
      </w:pPr>
    </w:p>
    <w:p w:rsidR="00000000" w:rsidRDefault="0094004B">
      <w:pPr>
        <w:jc w:val="both"/>
        <w:divId w:val="21636920"/>
        <w:rPr>
          <w:rFonts w:eastAsia="Times New Roman"/>
        </w:rPr>
      </w:pPr>
    </w:p>
    <w:p w:rsidR="00000000" w:rsidRDefault="0094004B">
      <w:pPr>
        <w:jc w:val="both"/>
        <w:divId w:val="751971266"/>
        <w:rPr>
          <w:rFonts w:eastAsia="Times New Roman"/>
        </w:rPr>
      </w:pPr>
    </w:p>
    <w:p w:rsidR="00000000" w:rsidRDefault="0094004B">
      <w:pPr>
        <w:jc w:val="both"/>
        <w:divId w:val="1226720226"/>
        <w:rPr>
          <w:rFonts w:eastAsia="Times New Roman"/>
        </w:rPr>
      </w:pPr>
    </w:p>
    <w:p w:rsidR="00000000" w:rsidRDefault="0094004B">
      <w:pPr>
        <w:jc w:val="both"/>
        <w:divId w:val="1301307940"/>
        <w:rPr>
          <w:rFonts w:eastAsia="Times New Roman"/>
        </w:rPr>
      </w:pPr>
    </w:p>
    <w:p w:rsidR="00000000" w:rsidRDefault="0094004B">
      <w:pPr>
        <w:jc w:val="both"/>
        <w:divId w:val="582034149"/>
        <w:rPr>
          <w:rFonts w:eastAsia="Times New Roman"/>
        </w:rPr>
      </w:pPr>
    </w:p>
    <w:p w:rsidR="00000000" w:rsidRDefault="0094004B">
      <w:pPr>
        <w:jc w:val="both"/>
        <w:divId w:val="1228030920"/>
        <w:rPr>
          <w:rFonts w:eastAsia="Times New Roman"/>
        </w:rPr>
      </w:pPr>
    </w:p>
    <w:p w:rsidR="00000000" w:rsidRDefault="0094004B">
      <w:pPr>
        <w:jc w:val="both"/>
        <w:divId w:val="2076736060"/>
        <w:rPr>
          <w:rFonts w:eastAsia="Times New Roman"/>
        </w:rPr>
      </w:pPr>
    </w:p>
    <w:p w:rsidR="00000000" w:rsidRDefault="0094004B">
      <w:pPr>
        <w:jc w:val="both"/>
        <w:divId w:val="233392321"/>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874808285"/>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874808285"/>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874808285"/>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102</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28" style="width:0;height:1.5pt" o:hralign="center" o:hrstd="t" o:hr="t" fillcolor="#a0a0a0" stroked="f"/>
        </w:pict>
      </w:r>
    </w:p>
    <w:p w:rsidR="00000000" w:rsidRDefault="0094004B">
      <w:pPr>
        <w:ind w:hanging="360"/>
        <w:jc w:val="both"/>
        <w:divId w:val="2006977910"/>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both"/>
        <w:divId w:val="221992376"/>
        <w:rPr>
          <w:rFonts w:eastAsia="Times New Roman"/>
        </w:rPr>
      </w:pPr>
      <w:r>
        <w:rPr>
          <w:rFonts w:eastAsia="Times New Roman"/>
          <w:color w:val="000000"/>
          <w:sz w:val="20"/>
          <w:szCs w:val="20"/>
        </w:rPr>
        <w:t>The following non-GAAP measures consist of TCE, tangible assets and metrics computed using these amounts, which include tangible book value per</w:t>
      </w:r>
      <w:r>
        <w:rPr>
          <w:rFonts w:eastAsia="Times New Roman"/>
          <w:color w:val="000000"/>
          <w:sz w:val="20"/>
          <w:szCs w:val="20"/>
        </w:rPr>
        <w:t xml:space="preserve"> common share, return on average tangible assets, return on average TCE and TCE ratio. We consider these metrics to be key financial performance measures that management uses in assessing capital adequacy and the level of returns generated. While these non</w:t>
      </w:r>
      <w:r>
        <w:rPr>
          <w:rFonts w:eastAsia="Times New Roman"/>
          <w:color w:val="000000"/>
          <w:sz w:val="20"/>
          <w:szCs w:val="20"/>
        </w:rPr>
        <w:t>-GAAP measures are widely used by investors, analysts and bank regulatory agencies to assess the capital position of financial services companies, they may not be comparable to similarly-titled measures reported by other companies. The following table pres</w:t>
      </w:r>
      <w:r>
        <w:rPr>
          <w:rFonts w:eastAsia="Times New Roman"/>
          <w:color w:val="000000"/>
          <w:sz w:val="20"/>
          <w:szCs w:val="20"/>
        </w:rPr>
        <w:t>ents reconciliations of these non-GAAP measures to the applicable amounts measured in accordance with GAAP. These non-GAAP measures should not be viewed as a substitute for reported results determined in accordance with GAAP.</w:t>
      </w:r>
    </w:p>
    <w:tbl>
      <w:tblPr>
        <w:tblW w:w="5000" w:type="pct"/>
        <w:tblCellMar>
          <w:top w:w="15" w:type="dxa"/>
          <w:left w:w="15" w:type="dxa"/>
          <w:bottom w:w="15" w:type="dxa"/>
          <w:right w:w="15" w:type="dxa"/>
        </w:tblCellMar>
        <w:tblLook w:val="04A0" w:firstRow="1" w:lastRow="0" w:firstColumn="1" w:lastColumn="0" w:noHBand="0" w:noVBand="1"/>
      </w:tblPr>
      <w:tblGrid>
        <w:gridCol w:w="40"/>
        <w:gridCol w:w="5220"/>
        <w:gridCol w:w="39"/>
        <w:gridCol w:w="36"/>
        <w:gridCol w:w="36"/>
        <w:gridCol w:w="36"/>
        <w:gridCol w:w="110"/>
        <w:gridCol w:w="651"/>
        <w:gridCol w:w="36"/>
        <w:gridCol w:w="36"/>
        <w:gridCol w:w="36"/>
        <w:gridCol w:w="36"/>
        <w:gridCol w:w="111"/>
        <w:gridCol w:w="718"/>
        <w:gridCol w:w="36"/>
        <w:gridCol w:w="37"/>
        <w:gridCol w:w="119"/>
        <w:gridCol w:w="36"/>
        <w:gridCol w:w="111"/>
        <w:gridCol w:w="718"/>
        <w:gridCol w:w="36"/>
        <w:gridCol w:w="36"/>
        <w:gridCol w:w="36"/>
      </w:tblGrid>
      <w:tr w:rsidR="00000000">
        <w:trPr>
          <w:divId w:val="1076707287"/>
        </w:trPr>
        <w:tc>
          <w:tcPr>
            <w:tcW w:w="50" w:type="pct"/>
            <w:vAlign w:val="center"/>
            <w:hideMark/>
          </w:tcPr>
          <w:p w:rsidR="00000000" w:rsidRDefault="0094004B">
            <w:pPr>
              <w:jc w:val="both"/>
              <w:rPr>
                <w:rFonts w:eastAsia="Times New Roman"/>
              </w:rPr>
            </w:pPr>
          </w:p>
        </w:tc>
        <w:tc>
          <w:tcPr>
            <w:tcW w:w="326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1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71"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71"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71"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1076707287"/>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rPr>
              <w:t>December 31,</w:t>
            </w:r>
          </w:p>
        </w:tc>
        <w:tc>
          <w:tcPr>
            <w:tcW w:w="0" w:type="auto"/>
            <w:vAlign w:val="center"/>
            <w:hideMark/>
          </w:tcPr>
          <w:p w:rsidR="00000000" w:rsidRDefault="0094004B">
            <w:pPr>
              <w:spacing w:after="100"/>
              <w:jc w:val="center"/>
              <w:rPr>
                <w:rFonts w:eastAsia="Times New Roman"/>
              </w:rPr>
            </w:pPr>
          </w:p>
        </w:tc>
        <w:tc>
          <w:tcPr>
            <w:tcW w:w="0" w:type="auto"/>
            <w:vAlign w:val="center"/>
            <w:hideMark/>
          </w:tcPr>
          <w:p w:rsidR="00000000" w:rsidRDefault="0094004B">
            <w:pPr>
              <w:spacing w:after="100"/>
              <w:rPr>
                <w:rFonts w:eastAsia="Times New Roman"/>
                <w:sz w:val="20"/>
                <w:szCs w:val="20"/>
              </w:rPr>
            </w:pPr>
          </w:p>
        </w:tc>
      </w:tr>
      <w:tr w:rsidR="00000000">
        <w:trPr>
          <w:divId w:val="1076707287"/>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8"/>
                <w:szCs w:val="18"/>
              </w:rPr>
              <w:t>(Dollars in millions, except as noted)</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rPr>
              <w:t>2020</w:t>
            </w:r>
          </w:p>
        </w:tc>
        <w:tc>
          <w:tcPr>
            <w:tcW w:w="0" w:type="auto"/>
            <w:vAlign w:val="center"/>
            <w:hideMark/>
          </w:tcPr>
          <w:p w:rsidR="00000000" w:rsidRDefault="0094004B">
            <w:pPr>
              <w:spacing w:after="100"/>
              <w:jc w:val="center"/>
              <w:rPr>
                <w:rFonts w:eastAsia="Times New Roman"/>
              </w:rPr>
            </w:pPr>
          </w:p>
        </w:tc>
        <w:tc>
          <w:tcPr>
            <w:tcW w:w="0" w:type="auto"/>
            <w:vAlign w:val="center"/>
            <w:hideMark/>
          </w:tcPr>
          <w:p w:rsidR="00000000" w:rsidRDefault="0094004B">
            <w:pPr>
              <w:spacing w:after="100"/>
              <w:rPr>
                <w:rFonts w:eastAsia="Times New Roman"/>
                <w:sz w:val="20"/>
                <w:szCs w:val="20"/>
              </w:rPr>
            </w:pPr>
          </w:p>
        </w:tc>
      </w:tr>
      <w:tr w:rsidR="00000000">
        <w:trPr>
          <w:divId w:val="107670728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Tangible Common Equity (Period-End):</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1076707287"/>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Stockholders’ equity</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52,582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61,029</w:t>
            </w:r>
          </w:p>
        </w:tc>
        <w:tc>
          <w:tcPr>
            <w:tcW w:w="0" w:type="auto"/>
            <w:gridSpan w:val="3"/>
            <w:shd w:val="clear" w:color="auto" w:fill="FFFFFF"/>
            <w:tcMar>
              <w:top w:w="0" w:type="dxa"/>
              <w:left w:w="14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60,204</w:t>
            </w:r>
          </w:p>
        </w:tc>
        <w:tc>
          <w:tcPr>
            <w:tcW w:w="0" w:type="auto"/>
            <w:vAlign w:val="center"/>
            <w:hideMark/>
          </w:tcPr>
          <w:p w:rsidR="00000000" w:rsidRDefault="0094004B">
            <w:pPr>
              <w:spacing w:after="100"/>
              <w:jc w:val="right"/>
              <w:rPr>
                <w:rFonts w:eastAsia="Times New Roman"/>
              </w:rPr>
            </w:pPr>
          </w:p>
        </w:tc>
        <w:tc>
          <w:tcPr>
            <w:tcW w:w="0" w:type="auto"/>
            <w:vAlign w:val="center"/>
            <w:hideMark/>
          </w:tcPr>
          <w:p w:rsidR="00000000" w:rsidRDefault="0094004B">
            <w:pPr>
              <w:spacing w:after="100"/>
              <w:rPr>
                <w:rFonts w:eastAsia="Times New Roman"/>
                <w:sz w:val="20"/>
                <w:szCs w:val="20"/>
              </w:rPr>
            </w:pPr>
          </w:p>
        </w:tc>
      </w:tr>
      <w:tr w:rsidR="00000000">
        <w:trPr>
          <w:divId w:val="1076707287"/>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divId w:val="493570462"/>
              <w:rPr>
                <w:rFonts w:eastAsia="Times New Roman"/>
              </w:rPr>
            </w:pPr>
            <w:r>
              <w:rPr>
                <w:rFonts w:eastAsia="Times New Roman"/>
                <w:color w:val="000000"/>
                <w:sz w:val="18"/>
                <w:szCs w:val="18"/>
              </w:rPr>
              <w:t>Goodwill and other intangible asset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(14,902)</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(14,907)</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(14,809)</w:t>
            </w:r>
          </w:p>
        </w:tc>
        <w:tc>
          <w:tcPr>
            <w:tcW w:w="0" w:type="auto"/>
            <w:vAlign w:val="center"/>
            <w:hideMark/>
          </w:tcPr>
          <w:p w:rsidR="00000000" w:rsidRDefault="0094004B">
            <w:pPr>
              <w:spacing w:after="100"/>
              <w:jc w:val="right"/>
              <w:rPr>
                <w:rFonts w:eastAsia="Times New Roman"/>
              </w:rPr>
            </w:pPr>
          </w:p>
        </w:tc>
        <w:tc>
          <w:tcPr>
            <w:tcW w:w="0" w:type="auto"/>
            <w:vAlign w:val="center"/>
            <w:hideMark/>
          </w:tcPr>
          <w:p w:rsidR="00000000" w:rsidRDefault="0094004B">
            <w:pPr>
              <w:spacing w:after="100"/>
              <w:rPr>
                <w:rFonts w:eastAsia="Times New Roman"/>
                <w:sz w:val="20"/>
                <w:szCs w:val="20"/>
              </w:rPr>
            </w:pPr>
          </w:p>
        </w:tc>
      </w:tr>
      <w:tr w:rsidR="00000000">
        <w:trPr>
          <w:divId w:val="1076707287"/>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Noncumulative perpetual preferred stock</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(4,845)</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(4,845)</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(4,847)</w:t>
            </w:r>
          </w:p>
        </w:tc>
        <w:tc>
          <w:tcPr>
            <w:tcW w:w="0" w:type="auto"/>
            <w:vAlign w:val="center"/>
            <w:hideMark/>
          </w:tcPr>
          <w:p w:rsidR="00000000" w:rsidRDefault="0094004B">
            <w:pPr>
              <w:spacing w:after="100"/>
              <w:jc w:val="right"/>
              <w:rPr>
                <w:rFonts w:eastAsia="Times New Roman"/>
              </w:rPr>
            </w:pPr>
          </w:p>
        </w:tc>
        <w:tc>
          <w:tcPr>
            <w:tcW w:w="0" w:type="auto"/>
            <w:vAlign w:val="center"/>
            <w:hideMark/>
          </w:tcPr>
          <w:p w:rsidR="00000000" w:rsidRDefault="0094004B">
            <w:pPr>
              <w:spacing w:after="100"/>
              <w:rPr>
                <w:rFonts w:eastAsia="Times New Roman"/>
                <w:sz w:val="20"/>
                <w:szCs w:val="20"/>
              </w:rPr>
            </w:pPr>
          </w:p>
        </w:tc>
      </w:tr>
      <w:tr w:rsidR="00000000">
        <w:trPr>
          <w:divId w:val="1076707287"/>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Tangible common equity</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32,835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gridSpan w:val="2"/>
            <w:tcBorders>
              <w:top w:val="single" w:sz="8" w:space="0" w:color="000000"/>
            </w:tcBorders>
            <w:shd w:val="clear" w:color="auto" w:fill="CCEEFF"/>
            <w:tcMar>
              <w:top w:w="30" w:type="dxa"/>
              <w:left w:w="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41,277</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gridSpan w:val="2"/>
            <w:tcBorders>
              <w:top w:val="single" w:sz="8" w:space="0" w:color="000000"/>
            </w:tcBorders>
            <w:shd w:val="clear" w:color="auto" w:fill="CCEEFF"/>
            <w:tcMar>
              <w:top w:w="30" w:type="dxa"/>
              <w:left w:w="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40,548</w:t>
            </w:r>
          </w:p>
        </w:tc>
        <w:tc>
          <w:tcPr>
            <w:tcW w:w="0" w:type="auto"/>
            <w:vAlign w:val="center"/>
            <w:hideMark/>
          </w:tcPr>
          <w:p w:rsidR="00000000" w:rsidRDefault="0094004B">
            <w:pPr>
              <w:spacing w:after="100"/>
              <w:jc w:val="right"/>
              <w:rPr>
                <w:rFonts w:eastAsia="Times New Roman"/>
              </w:rPr>
            </w:pPr>
          </w:p>
        </w:tc>
        <w:tc>
          <w:tcPr>
            <w:tcW w:w="0" w:type="auto"/>
            <w:vAlign w:val="center"/>
            <w:hideMark/>
          </w:tcPr>
          <w:p w:rsidR="00000000" w:rsidRDefault="0094004B">
            <w:pPr>
              <w:spacing w:after="100"/>
              <w:rPr>
                <w:rFonts w:eastAsia="Times New Roman"/>
                <w:sz w:val="20"/>
                <w:szCs w:val="20"/>
              </w:rPr>
            </w:pPr>
          </w:p>
        </w:tc>
      </w:tr>
      <w:tr w:rsidR="00000000">
        <w:trPr>
          <w:divId w:val="1076707287"/>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Tangible Common Equity (Average):</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14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140" w:type="dxa"/>
              <w:bottom w:w="0" w:type="dxa"/>
              <w:right w:w="20" w:type="dxa"/>
            </w:tcMar>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1076707287"/>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Stockholders’ equity</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55,125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gridSpan w:val="2"/>
            <w:shd w:val="clear" w:color="auto" w:fill="CCEEFF"/>
            <w:tcMar>
              <w:top w:w="30" w:type="dxa"/>
              <w:left w:w="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62,556</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gridSpan w:val="2"/>
            <w:shd w:val="clear" w:color="auto" w:fill="CCEEFF"/>
            <w:tcMar>
              <w:top w:w="30" w:type="dxa"/>
              <w:left w:w="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58,201</w:t>
            </w:r>
          </w:p>
        </w:tc>
        <w:tc>
          <w:tcPr>
            <w:tcW w:w="0" w:type="auto"/>
            <w:vAlign w:val="center"/>
            <w:hideMark/>
          </w:tcPr>
          <w:p w:rsidR="00000000" w:rsidRDefault="0094004B">
            <w:pPr>
              <w:spacing w:after="100"/>
              <w:jc w:val="right"/>
              <w:rPr>
                <w:rFonts w:eastAsia="Times New Roman"/>
              </w:rPr>
            </w:pPr>
          </w:p>
        </w:tc>
        <w:tc>
          <w:tcPr>
            <w:tcW w:w="0" w:type="auto"/>
            <w:vAlign w:val="center"/>
            <w:hideMark/>
          </w:tcPr>
          <w:p w:rsidR="00000000" w:rsidRDefault="0094004B">
            <w:pPr>
              <w:spacing w:after="100"/>
              <w:rPr>
                <w:rFonts w:eastAsia="Times New Roman"/>
                <w:sz w:val="20"/>
                <w:szCs w:val="20"/>
              </w:rPr>
            </w:pPr>
          </w:p>
        </w:tc>
      </w:tr>
      <w:tr w:rsidR="00000000">
        <w:trPr>
          <w:divId w:val="1076707287"/>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divId w:val="1264731363"/>
              <w:rPr>
                <w:rFonts w:eastAsia="Times New Roman"/>
              </w:rPr>
            </w:pPr>
            <w:r>
              <w:rPr>
                <w:rFonts w:eastAsia="Times New Roman"/>
                <w:color w:val="000000"/>
                <w:sz w:val="18"/>
                <w:szCs w:val="18"/>
              </w:rPr>
              <w:t>Goodwill and other intangible asset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(14,905)</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(14,805)</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(14,875)</w:t>
            </w:r>
          </w:p>
        </w:tc>
        <w:tc>
          <w:tcPr>
            <w:tcW w:w="0" w:type="auto"/>
            <w:vAlign w:val="center"/>
            <w:hideMark/>
          </w:tcPr>
          <w:p w:rsidR="00000000" w:rsidRDefault="0094004B">
            <w:pPr>
              <w:spacing w:after="100"/>
              <w:jc w:val="right"/>
              <w:rPr>
                <w:rFonts w:eastAsia="Times New Roman"/>
              </w:rPr>
            </w:pPr>
          </w:p>
        </w:tc>
        <w:tc>
          <w:tcPr>
            <w:tcW w:w="0" w:type="auto"/>
            <w:vAlign w:val="center"/>
            <w:hideMark/>
          </w:tcPr>
          <w:p w:rsidR="00000000" w:rsidRDefault="0094004B">
            <w:pPr>
              <w:spacing w:after="100"/>
              <w:rPr>
                <w:rFonts w:eastAsia="Times New Roman"/>
                <w:sz w:val="20"/>
                <w:szCs w:val="20"/>
              </w:rPr>
            </w:pPr>
          </w:p>
        </w:tc>
      </w:tr>
      <w:tr w:rsidR="00000000">
        <w:trPr>
          <w:divId w:val="1076707287"/>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Noncumulative perpetual preferred stock</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(4,845)</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(5,590)</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(5,247)</w:t>
            </w:r>
          </w:p>
        </w:tc>
        <w:tc>
          <w:tcPr>
            <w:tcW w:w="0" w:type="auto"/>
            <w:vAlign w:val="center"/>
            <w:hideMark/>
          </w:tcPr>
          <w:p w:rsidR="00000000" w:rsidRDefault="0094004B">
            <w:pPr>
              <w:spacing w:after="100"/>
              <w:jc w:val="right"/>
              <w:rPr>
                <w:rFonts w:eastAsia="Times New Roman"/>
              </w:rPr>
            </w:pPr>
          </w:p>
        </w:tc>
        <w:tc>
          <w:tcPr>
            <w:tcW w:w="0" w:type="auto"/>
            <w:vAlign w:val="center"/>
            <w:hideMark/>
          </w:tcPr>
          <w:p w:rsidR="00000000" w:rsidRDefault="0094004B">
            <w:pPr>
              <w:spacing w:after="100"/>
              <w:rPr>
                <w:rFonts w:eastAsia="Times New Roman"/>
                <w:sz w:val="20"/>
                <w:szCs w:val="20"/>
              </w:rPr>
            </w:pPr>
          </w:p>
        </w:tc>
      </w:tr>
      <w:tr w:rsidR="00000000">
        <w:trPr>
          <w:divId w:val="1076707287"/>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Tangible common equity</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35,375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gridSpan w:val="2"/>
            <w:tcBorders>
              <w:top w:val="single" w:sz="8" w:space="0" w:color="000000"/>
            </w:tcBorders>
            <w:shd w:val="clear" w:color="auto" w:fill="FFFFFF"/>
            <w:tcMar>
              <w:top w:w="30" w:type="dxa"/>
              <w:left w:w="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42,161</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gridSpan w:val="2"/>
            <w:tcBorders>
              <w:top w:val="single" w:sz="8" w:space="0" w:color="000000"/>
            </w:tcBorders>
            <w:shd w:val="clear" w:color="auto" w:fill="FFFFFF"/>
            <w:tcMar>
              <w:top w:w="30" w:type="dxa"/>
              <w:left w:w="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38,079</w:t>
            </w:r>
          </w:p>
        </w:tc>
        <w:tc>
          <w:tcPr>
            <w:tcW w:w="0" w:type="auto"/>
            <w:vAlign w:val="center"/>
            <w:hideMark/>
          </w:tcPr>
          <w:p w:rsidR="00000000" w:rsidRDefault="0094004B">
            <w:pPr>
              <w:spacing w:after="100"/>
              <w:jc w:val="right"/>
              <w:rPr>
                <w:rFonts w:eastAsia="Times New Roman"/>
              </w:rPr>
            </w:pPr>
          </w:p>
        </w:tc>
        <w:tc>
          <w:tcPr>
            <w:tcW w:w="0" w:type="auto"/>
            <w:vAlign w:val="center"/>
            <w:hideMark/>
          </w:tcPr>
          <w:p w:rsidR="00000000" w:rsidRDefault="0094004B">
            <w:pPr>
              <w:spacing w:after="100"/>
              <w:rPr>
                <w:rFonts w:eastAsia="Times New Roman"/>
                <w:sz w:val="20"/>
                <w:szCs w:val="20"/>
              </w:rPr>
            </w:pPr>
          </w:p>
        </w:tc>
      </w:tr>
      <w:tr w:rsidR="00000000">
        <w:trPr>
          <w:divId w:val="1076707287"/>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Tangible Assets (Period-End):</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14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140" w:type="dxa"/>
              <w:bottom w:w="0" w:type="dxa"/>
              <w:right w:w="20" w:type="dxa"/>
            </w:tcMar>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1076707287"/>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 assets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455,249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432,381</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421,602</w:t>
            </w:r>
          </w:p>
        </w:tc>
        <w:tc>
          <w:tcPr>
            <w:tcW w:w="0" w:type="auto"/>
            <w:vAlign w:val="center"/>
            <w:hideMark/>
          </w:tcPr>
          <w:p w:rsidR="00000000" w:rsidRDefault="0094004B">
            <w:pPr>
              <w:spacing w:after="100"/>
              <w:jc w:val="right"/>
              <w:rPr>
                <w:rFonts w:eastAsia="Times New Roman"/>
              </w:rPr>
            </w:pPr>
          </w:p>
        </w:tc>
        <w:tc>
          <w:tcPr>
            <w:tcW w:w="0" w:type="auto"/>
            <w:vAlign w:val="center"/>
            <w:hideMark/>
          </w:tcPr>
          <w:p w:rsidR="00000000" w:rsidRDefault="0094004B">
            <w:pPr>
              <w:spacing w:after="100"/>
              <w:rPr>
                <w:rFonts w:eastAsia="Times New Roman"/>
                <w:sz w:val="20"/>
                <w:szCs w:val="20"/>
              </w:rPr>
            </w:pPr>
          </w:p>
        </w:tc>
      </w:tr>
      <w:tr w:rsidR="00000000">
        <w:trPr>
          <w:divId w:val="1076707287"/>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divId w:val="1159421674"/>
              <w:rPr>
                <w:rFonts w:eastAsia="Times New Roman"/>
              </w:rPr>
            </w:pPr>
            <w:r>
              <w:rPr>
                <w:rFonts w:eastAsia="Times New Roman"/>
                <w:color w:val="000000"/>
                <w:sz w:val="18"/>
                <w:szCs w:val="18"/>
              </w:rPr>
              <w:t>Goodwill and other intangible asset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(14,902)</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(14,907)</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(14,809)</w:t>
            </w:r>
          </w:p>
        </w:tc>
        <w:tc>
          <w:tcPr>
            <w:tcW w:w="0" w:type="auto"/>
            <w:vAlign w:val="center"/>
            <w:hideMark/>
          </w:tcPr>
          <w:p w:rsidR="00000000" w:rsidRDefault="0094004B">
            <w:pPr>
              <w:spacing w:after="100"/>
              <w:jc w:val="right"/>
              <w:rPr>
                <w:rFonts w:eastAsia="Times New Roman"/>
              </w:rPr>
            </w:pPr>
          </w:p>
        </w:tc>
        <w:tc>
          <w:tcPr>
            <w:tcW w:w="0" w:type="auto"/>
            <w:vAlign w:val="center"/>
            <w:hideMark/>
          </w:tcPr>
          <w:p w:rsidR="00000000" w:rsidRDefault="0094004B">
            <w:pPr>
              <w:spacing w:after="100"/>
              <w:rPr>
                <w:rFonts w:eastAsia="Times New Roman"/>
                <w:sz w:val="20"/>
                <w:szCs w:val="20"/>
              </w:rPr>
            </w:pPr>
          </w:p>
        </w:tc>
      </w:tr>
      <w:tr w:rsidR="00000000">
        <w:trPr>
          <w:divId w:val="1076707287"/>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Tangible assets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440,347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gridSpan w:val="2"/>
            <w:tcBorders>
              <w:top w:val="single" w:sz="8" w:space="0" w:color="000000"/>
            </w:tcBorders>
            <w:shd w:val="clear" w:color="auto" w:fill="FFFFFF"/>
            <w:tcMar>
              <w:top w:w="30" w:type="dxa"/>
              <w:left w:w="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417,474</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gridSpan w:val="2"/>
            <w:tcBorders>
              <w:top w:val="single" w:sz="8" w:space="0" w:color="000000"/>
            </w:tcBorders>
            <w:shd w:val="clear" w:color="auto" w:fill="FFFFFF"/>
            <w:tcMar>
              <w:top w:w="30" w:type="dxa"/>
              <w:left w:w="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406,793</w:t>
            </w:r>
          </w:p>
        </w:tc>
        <w:tc>
          <w:tcPr>
            <w:tcW w:w="0" w:type="auto"/>
            <w:vAlign w:val="center"/>
            <w:hideMark/>
          </w:tcPr>
          <w:p w:rsidR="00000000" w:rsidRDefault="0094004B">
            <w:pPr>
              <w:spacing w:after="100"/>
              <w:jc w:val="right"/>
              <w:rPr>
                <w:rFonts w:eastAsia="Times New Roman"/>
              </w:rPr>
            </w:pPr>
          </w:p>
        </w:tc>
        <w:tc>
          <w:tcPr>
            <w:tcW w:w="0" w:type="auto"/>
            <w:vAlign w:val="center"/>
            <w:hideMark/>
          </w:tcPr>
          <w:p w:rsidR="00000000" w:rsidRDefault="0094004B">
            <w:pPr>
              <w:spacing w:after="100"/>
              <w:rPr>
                <w:rFonts w:eastAsia="Times New Roman"/>
                <w:sz w:val="20"/>
                <w:szCs w:val="20"/>
              </w:rPr>
            </w:pPr>
          </w:p>
        </w:tc>
      </w:tr>
      <w:tr w:rsidR="00000000">
        <w:trPr>
          <w:divId w:val="1076707287"/>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Tangible Assets (Average):</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14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140" w:type="dxa"/>
              <w:bottom w:w="0" w:type="dxa"/>
              <w:right w:w="20" w:type="dxa"/>
            </w:tcMar>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1076707287"/>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 assets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440,538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424,521</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411,187</w:t>
            </w:r>
          </w:p>
        </w:tc>
        <w:tc>
          <w:tcPr>
            <w:tcW w:w="0" w:type="auto"/>
            <w:vAlign w:val="center"/>
            <w:hideMark/>
          </w:tcPr>
          <w:p w:rsidR="00000000" w:rsidRDefault="0094004B">
            <w:pPr>
              <w:spacing w:after="100"/>
              <w:jc w:val="right"/>
              <w:rPr>
                <w:rFonts w:eastAsia="Times New Roman"/>
              </w:rPr>
            </w:pPr>
          </w:p>
        </w:tc>
        <w:tc>
          <w:tcPr>
            <w:tcW w:w="0" w:type="auto"/>
            <w:vAlign w:val="center"/>
            <w:hideMark/>
          </w:tcPr>
          <w:p w:rsidR="00000000" w:rsidRDefault="0094004B">
            <w:pPr>
              <w:spacing w:after="100"/>
              <w:rPr>
                <w:rFonts w:eastAsia="Times New Roman"/>
                <w:sz w:val="20"/>
                <w:szCs w:val="20"/>
              </w:rPr>
            </w:pPr>
          </w:p>
        </w:tc>
      </w:tr>
      <w:tr w:rsidR="00000000">
        <w:trPr>
          <w:divId w:val="1076707287"/>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divId w:val="1651783864"/>
              <w:rPr>
                <w:rFonts w:eastAsia="Times New Roman"/>
              </w:rPr>
            </w:pPr>
            <w:r>
              <w:rPr>
                <w:rFonts w:eastAsia="Times New Roman"/>
                <w:color w:val="000000"/>
                <w:sz w:val="18"/>
                <w:szCs w:val="18"/>
              </w:rPr>
              <w:t>Goodwill and other intangible asset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(14,905)</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(14,805)</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(14,875)</w:t>
            </w:r>
          </w:p>
        </w:tc>
        <w:tc>
          <w:tcPr>
            <w:tcW w:w="0" w:type="auto"/>
            <w:vAlign w:val="center"/>
            <w:hideMark/>
          </w:tcPr>
          <w:p w:rsidR="00000000" w:rsidRDefault="0094004B">
            <w:pPr>
              <w:spacing w:after="100"/>
              <w:jc w:val="right"/>
              <w:rPr>
                <w:rFonts w:eastAsia="Times New Roman"/>
              </w:rPr>
            </w:pPr>
          </w:p>
        </w:tc>
        <w:tc>
          <w:tcPr>
            <w:tcW w:w="0" w:type="auto"/>
            <w:vAlign w:val="center"/>
            <w:hideMark/>
          </w:tcPr>
          <w:p w:rsidR="00000000" w:rsidRDefault="0094004B">
            <w:pPr>
              <w:spacing w:after="100"/>
              <w:rPr>
                <w:rFonts w:eastAsia="Times New Roman"/>
                <w:sz w:val="20"/>
                <w:szCs w:val="20"/>
              </w:rPr>
            </w:pPr>
          </w:p>
        </w:tc>
      </w:tr>
      <w:tr w:rsidR="00000000">
        <w:trPr>
          <w:divId w:val="1076707287"/>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Tangible assets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425,633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gridSpan w:val="2"/>
            <w:tcBorders>
              <w:top w:val="single" w:sz="8" w:space="0" w:color="000000"/>
            </w:tcBorders>
            <w:shd w:val="clear" w:color="auto" w:fill="FFFFFF"/>
            <w:tcMar>
              <w:top w:w="30" w:type="dxa"/>
              <w:left w:w="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409,716</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gridSpan w:val="2"/>
            <w:tcBorders>
              <w:top w:val="single" w:sz="8" w:space="0" w:color="000000"/>
            </w:tcBorders>
            <w:shd w:val="clear" w:color="auto" w:fill="FFFFFF"/>
            <w:tcMar>
              <w:top w:w="30" w:type="dxa"/>
              <w:left w:w="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396,312</w:t>
            </w:r>
          </w:p>
        </w:tc>
        <w:tc>
          <w:tcPr>
            <w:tcW w:w="0" w:type="auto"/>
            <w:vAlign w:val="center"/>
            <w:hideMark/>
          </w:tcPr>
          <w:p w:rsidR="00000000" w:rsidRDefault="0094004B">
            <w:pPr>
              <w:spacing w:after="100"/>
              <w:jc w:val="right"/>
              <w:rPr>
                <w:rFonts w:eastAsia="Times New Roman"/>
              </w:rPr>
            </w:pPr>
          </w:p>
        </w:tc>
        <w:tc>
          <w:tcPr>
            <w:tcW w:w="0" w:type="auto"/>
            <w:vAlign w:val="center"/>
            <w:hideMark/>
          </w:tcPr>
          <w:p w:rsidR="00000000" w:rsidRDefault="0094004B">
            <w:pPr>
              <w:spacing w:after="100"/>
              <w:rPr>
                <w:rFonts w:eastAsia="Times New Roman"/>
                <w:sz w:val="20"/>
                <w:szCs w:val="20"/>
              </w:rPr>
            </w:pPr>
          </w:p>
        </w:tc>
      </w:tr>
      <w:tr w:rsidR="00000000">
        <w:trPr>
          <w:divId w:val="1076707287"/>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Non-GAAP Ratio:</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1076707287"/>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divId w:val="245069074"/>
              <w:rPr>
                <w:rFonts w:eastAsia="Times New Roman"/>
              </w:rPr>
            </w:pPr>
            <w:r>
              <w:rPr>
                <w:rFonts w:eastAsia="Times New Roman"/>
                <w:color w:val="000000"/>
                <w:sz w:val="18"/>
                <w:szCs w:val="18"/>
              </w:rPr>
              <w:t>TC</w:t>
            </w:r>
            <w:r>
              <w:rPr>
                <w:rFonts w:eastAsia="Times New Roman"/>
                <w:color w:val="000000"/>
                <w:sz w:val="18"/>
                <w:szCs w:val="18"/>
              </w:rPr>
              <w:t>E</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b/>
                <w:bCs/>
                <w:color w:val="000000"/>
                <w:sz w:val="18"/>
                <w:szCs w:val="18"/>
              </w:rPr>
              <w:t>7.5%</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9.9%</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10.0%</w:t>
            </w:r>
          </w:p>
        </w:tc>
        <w:tc>
          <w:tcPr>
            <w:tcW w:w="0" w:type="auto"/>
            <w:vAlign w:val="center"/>
            <w:hideMark/>
          </w:tcPr>
          <w:p w:rsidR="00000000" w:rsidRDefault="0094004B">
            <w:pPr>
              <w:spacing w:after="100"/>
              <w:jc w:val="right"/>
              <w:rPr>
                <w:rFonts w:eastAsia="Times New Roman"/>
              </w:rPr>
            </w:pPr>
          </w:p>
        </w:tc>
        <w:tc>
          <w:tcPr>
            <w:tcW w:w="0" w:type="auto"/>
            <w:vAlign w:val="center"/>
            <w:hideMark/>
          </w:tcPr>
          <w:p w:rsidR="00000000" w:rsidRDefault="0094004B">
            <w:pPr>
              <w:spacing w:after="100"/>
              <w:rPr>
                <w:rFonts w:eastAsia="Times New Roman"/>
                <w:sz w:val="20"/>
                <w:szCs w:val="20"/>
              </w:rPr>
            </w:pPr>
          </w:p>
        </w:tc>
      </w:tr>
    </w:tbl>
    <w:p w:rsidR="00000000" w:rsidRDefault="0094004B">
      <w:pPr>
        <w:divId w:val="1211190274"/>
        <w:rPr>
          <w:rFonts w:eastAsia="Times New Roman"/>
        </w:rPr>
      </w:pPr>
      <w:r>
        <w:rPr>
          <w:rFonts w:eastAsia="Times New Roman"/>
          <w:color w:val="000000"/>
          <w:sz w:val="20"/>
          <w:szCs w:val="20"/>
        </w:rPr>
        <w:t>__________</w:t>
      </w:r>
    </w:p>
    <w:p w:rsidR="00000000" w:rsidRDefault="0094004B">
      <w:pPr>
        <w:ind w:hanging="360"/>
        <w:jc w:val="both"/>
        <w:divId w:val="131557360"/>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Includes impact of related deferred taxes.</w:t>
      </w:r>
    </w:p>
    <w:p w:rsidR="00000000" w:rsidRDefault="0094004B">
      <w:pPr>
        <w:ind w:hanging="360"/>
        <w:jc w:val="both"/>
        <w:divId w:val="283579867"/>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TCE ratio is a non-GAAP measure calculated based on TCE divided by period-end tangible assets.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549264487"/>
          <w:jc w:val="center"/>
        </w:trPr>
        <w:tc>
          <w:tcPr>
            <w:tcW w:w="50" w:type="pct"/>
            <w:vAlign w:val="center"/>
            <w:hideMark/>
          </w:tcPr>
          <w:p w:rsidR="00000000" w:rsidRDefault="0094004B">
            <w:pPr>
              <w:ind w:hanging="360"/>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549264487"/>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549264487"/>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103</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29" style="width:0;height:1.5pt" o:hralign="center" o:hrstd="t" o:hr="t" fillcolor="#a0a0a0" stroked="f"/>
        </w:pict>
      </w:r>
    </w:p>
    <w:p w:rsidR="00000000" w:rsidRDefault="0094004B">
      <w:pPr>
        <w:ind w:hanging="360"/>
        <w:jc w:val="both"/>
        <w:divId w:val="1065222752"/>
        <w:rPr>
          <w:rFonts w:eastAsia="Times New Roman"/>
        </w:rPr>
      </w:pPr>
      <w:hyperlink w:anchor="ia820611622d9441b977884dac00e0ebd_16"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754714933"/>
        </w:trPr>
        <w:tc>
          <w:tcPr>
            <w:tcW w:w="50" w:type="pct"/>
            <w:vAlign w:val="center"/>
            <w:hideMark/>
          </w:tcPr>
          <w:p w:rsidR="00000000" w:rsidRDefault="0094004B">
            <w:pPr>
              <w:ind w:hanging="360"/>
              <w:jc w:val="both"/>
              <w:rPr>
                <w:rFonts w:eastAsia="Times New Roman"/>
              </w:rPr>
            </w:pPr>
          </w:p>
        </w:tc>
        <w:tc>
          <w:tcPr>
            <w:tcW w:w="494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754714933"/>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20"/>
                <w:szCs w:val="20"/>
              </w:rPr>
              <w:t>Glossary and Acronyms</w:t>
            </w:r>
          </w:p>
        </w:tc>
      </w:tr>
    </w:tbl>
    <w:p w:rsidR="00000000" w:rsidRDefault="0094004B">
      <w:pPr>
        <w:jc w:val="both"/>
        <w:divId w:val="938877073"/>
        <w:rPr>
          <w:rFonts w:eastAsia="Times New Roman"/>
        </w:rPr>
      </w:pPr>
      <w:r>
        <w:rPr>
          <w:rFonts w:eastAsia="Times New Roman"/>
          <w:b/>
          <w:bCs/>
          <w:color w:val="000000"/>
          <w:sz w:val="20"/>
          <w:szCs w:val="20"/>
        </w:rPr>
        <w:t>Alternative Reference Rates Committee (“ARRC”):</w:t>
      </w:r>
      <w:r>
        <w:rPr>
          <w:rFonts w:eastAsia="Times New Roman"/>
          <w:color w:val="000000"/>
          <w:sz w:val="20"/>
          <w:szCs w:val="20"/>
        </w:rPr>
        <w:t xml:space="preserve"> </w:t>
      </w:r>
      <w:r>
        <w:rPr>
          <w:rFonts w:eastAsia="Times New Roman"/>
          <w:color w:val="000000"/>
          <w:sz w:val="20"/>
          <w:szCs w:val="20"/>
        </w:rPr>
        <w:t>A group of private-market participants convened by the Federal Reserve Board and the Federal Reserve Bank of New York that has recommended SOFR as the preferred alternative to replace U.S. dollar (USD) LIBOR referenced instruments.</w:t>
      </w:r>
    </w:p>
    <w:p w:rsidR="00000000" w:rsidRDefault="0094004B">
      <w:pPr>
        <w:jc w:val="both"/>
        <w:divId w:val="1630281564"/>
        <w:rPr>
          <w:rFonts w:eastAsia="Times New Roman"/>
        </w:rPr>
      </w:pPr>
      <w:r>
        <w:rPr>
          <w:rFonts w:eastAsia="Times New Roman"/>
          <w:b/>
          <w:bCs/>
          <w:color w:val="000000"/>
          <w:sz w:val="20"/>
          <w:szCs w:val="20"/>
        </w:rPr>
        <w:t>Amortized cost:</w:t>
      </w:r>
      <w:r>
        <w:rPr>
          <w:rFonts w:eastAsia="Times New Roman"/>
          <w:color w:val="000000"/>
          <w:sz w:val="20"/>
          <w:szCs w:val="20"/>
        </w:rPr>
        <w:t xml:space="preserve"> The amou</w:t>
      </w:r>
      <w:r>
        <w:rPr>
          <w:rFonts w:eastAsia="Times New Roman"/>
          <w:color w:val="000000"/>
          <w:sz w:val="20"/>
          <w:szCs w:val="20"/>
        </w:rPr>
        <w:t>nt at which a financing receivable or investment is originated or acquired, adjusted for applicable accrued interest, accretion, or amortization of premium, discount, and net deferred fees or costs, collection of cash, write-offs, foreign exchange and fair</w:t>
      </w:r>
      <w:r>
        <w:rPr>
          <w:rFonts w:eastAsia="Times New Roman"/>
          <w:color w:val="000000"/>
          <w:sz w:val="20"/>
          <w:szCs w:val="20"/>
        </w:rPr>
        <w:t xml:space="preserve"> value hedge accounting adjustments.</w:t>
      </w:r>
    </w:p>
    <w:p w:rsidR="00000000" w:rsidRDefault="0094004B">
      <w:pPr>
        <w:jc w:val="both"/>
        <w:divId w:val="691878716"/>
        <w:rPr>
          <w:rFonts w:eastAsia="Times New Roman"/>
        </w:rPr>
      </w:pPr>
      <w:r>
        <w:rPr>
          <w:rFonts w:eastAsia="Times New Roman"/>
          <w:b/>
          <w:bCs/>
          <w:color w:val="000000"/>
          <w:sz w:val="20"/>
          <w:szCs w:val="20"/>
        </w:rPr>
        <w:t xml:space="preserve">Annual Report: </w:t>
      </w:r>
      <w:r>
        <w:rPr>
          <w:rFonts w:eastAsia="Times New Roman"/>
          <w:color w:val="000000"/>
          <w:sz w:val="20"/>
          <w:szCs w:val="20"/>
        </w:rPr>
        <w:t>References to “this Report” or our “2022 Form 10-K” or “2022 Annual Report” are to our Annual Report on Form 10-K for the fiscal year ended December 31, 2022.</w:t>
      </w:r>
    </w:p>
    <w:p w:rsidR="00000000" w:rsidRDefault="0094004B">
      <w:pPr>
        <w:jc w:val="both"/>
        <w:divId w:val="1990865134"/>
        <w:rPr>
          <w:rFonts w:eastAsia="Times New Roman"/>
        </w:rPr>
      </w:pPr>
      <w:r>
        <w:rPr>
          <w:rFonts w:eastAsia="Times New Roman"/>
          <w:b/>
          <w:bCs/>
          <w:color w:val="000000"/>
          <w:sz w:val="20"/>
          <w:szCs w:val="20"/>
        </w:rPr>
        <w:t xml:space="preserve">Bank: </w:t>
      </w:r>
      <w:r>
        <w:rPr>
          <w:rFonts w:eastAsia="Times New Roman"/>
          <w:color w:val="000000"/>
          <w:sz w:val="20"/>
          <w:szCs w:val="20"/>
        </w:rPr>
        <w:t>Refers to (i) CONA from and after the B</w:t>
      </w:r>
      <w:r>
        <w:rPr>
          <w:rFonts w:eastAsia="Times New Roman"/>
          <w:color w:val="000000"/>
          <w:sz w:val="20"/>
          <w:szCs w:val="20"/>
        </w:rPr>
        <w:t>ank Merger and (ii) CONA and COBNA collectively prior to the Bank Merger.</w:t>
      </w:r>
    </w:p>
    <w:p w:rsidR="00000000" w:rsidRDefault="0094004B">
      <w:pPr>
        <w:jc w:val="both"/>
        <w:divId w:val="1120615116"/>
        <w:rPr>
          <w:rFonts w:eastAsia="Times New Roman"/>
        </w:rPr>
      </w:pPr>
      <w:r>
        <w:rPr>
          <w:rFonts w:eastAsia="Times New Roman"/>
          <w:b/>
          <w:bCs/>
          <w:color w:val="000000"/>
          <w:sz w:val="20"/>
          <w:szCs w:val="20"/>
        </w:rPr>
        <w:t>Bank Merger:</w:t>
      </w:r>
      <w:r>
        <w:rPr>
          <w:rFonts w:eastAsia="Times New Roman"/>
          <w:color w:val="000000"/>
          <w:sz w:val="20"/>
          <w:szCs w:val="20"/>
        </w:rPr>
        <w:t xml:space="preserve"> The merger of Capital One Bank (USA), National Association (“COBNA”), with and into CONA, with CONA as the surviving entity, that occurred on October 1, 2022.</w:t>
      </w:r>
    </w:p>
    <w:p w:rsidR="00000000" w:rsidRDefault="0094004B">
      <w:pPr>
        <w:jc w:val="both"/>
        <w:divId w:val="1136411373"/>
        <w:rPr>
          <w:rFonts w:eastAsia="Times New Roman"/>
        </w:rPr>
      </w:pPr>
      <w:r>
        <w:rPr>
          <w:rFonts w:eastAsia="Times New Roman"/>
          <w:b/>
          <w:bCs/>
          <w:color w:val="000000"/>
          <w:sz w:val="20"/>
          <w:szCs w:val="20"/>
        </w:rPr>
        <w:t>Basel Comm</w:t>
      </w:r>
      <w:r>
        <w:rPr>
          <w:rFonts w:eastAsia="Times New Roman"/>
          <w:b/>
          <w:bCs/>
          <w:color w:val="000000"/>
          <w:sz w:val="20"/>
          <w:szCs w:val="20"/>
        </w:rPr>
        <w:t>ittee:</w:t>
      </w:r>
      <w:r>
        <w:rPr>
          <w:rFonts w:eastAsia="Times New Roman"/>
          <w:color w:val="000000"/>
          <w:sz w:val="20"/>
          <w:szCs w:val="20"/>
        </w:rPr>
        <w:t xml:space="preserve"> The Basel Committee on Banking Supervision.</w:t>
      </w:r>
    </w:p>
    <w:p w:rsidR="00000000" w:rsidRDefault="0094004B">
      <w:pPr>
        <w:jc w:val="both"/>
        <w:divId w:val="471219866"/>
        <w:rPr>
          <w:rFonts w:eastAsia="Times New Roman"/>
        </w:rPr>
      </w:pPr>
      <w:r>
        <w:rPr>
          <w:rFonts w:eastAsia="Times New Roman"/>
          <w:b/>
          <w:bCs/>
          <w:color w:val="000000"/>
          <w:sz w:val="20"/>
          <w:szCs w:val="20"/>
        </w:rPr>
        <w:t>Basel III Capital Rules:</w:t>
      </w:r>
      <w:r>
        <w:rPr>
          <w:rFonts w:eastAsia="Times New Roman"/>
          <w:color w:val="000000"/>
          <w:sz w:val="20"/>
          <w:szCs w:val="20"/>
        </w:rPr>
        <w:t xml:space="preserve"> The regulatory capital requirements established by the Federal Banking Agencies in July 2013 to implement the Basel III capital framework developed by the Basel Committee as well a</w:t>
      </w:r>
      <w:r>
        <w:rPr>
          <w:rFonts w:eastAsia="Times New Roman"/>
          <w:color w:val="000000"/>
          <w:sz w:val="20"/>
          <w:szCs w:val="20"/>
        </w:rPr>
        <w:t>s certain Dodd-Frank Act and other capital provisions.</w:t>
      </w:r>
    </w:p>
    <w:p w:rsidR="00000000" w:rsidRDefault="0094004B">
      <w:pPr>
        <w:jc w:val="both"/>
        <w:divId w:val="699016919"/>
        <w:rPr>
          <w:rFonts w:eastAsia="Times New Roman"/>
        </w:rPr>
      </w:pPr>
      <w:r>
        <w:rPr>
          <w:rFonts w:eastAsia="Times New Roman"/>
          <w:b/>
          <w:bCs/>
          <w:color w:val="000000"/>
          <w:sz w:val="20"/>
          <w:szCs w:val="20"/>
        </w:rPr>
        <w:t xml:space="preserve">Basel III standardized approach: </w:t>
      </w:r>
      <w:r>
        <w:rPr>
          <w:rFonts w:eastAsia="Times New Roman"/>
          <w:color w:val="000000"/>
          <w:sz w:val="20"/>
          <w:szCs w:val="20"/>
        </w:rPr>
        <w:t>The Basel III Capital Rules modified Basel I to create the Basel III standardized approach.</w:t>
      </w:r>
    </w:p>
    <w:p w:rsidR="00000000" w:rsidRDefault="0094004B">
      <w:pPr>
        <w:jc w:val="both"/>
        <w:divId w:val="201868144"/>
        <w:rPr>
          <w:rFonts w:eastAsia="Times New Roman"/>
        </w:rPr>
      </w:pPr>
      <w:r>
        <w:rPr>
          <w:rFonts w:eastAsia="Times New Roman"/>
          <w:b/>
          <w:bCs/>
          <w:color w:val="000000"/>
          <w:sz w:val="20"/>
          <w:szCs w:val="20"/>
        </w:rPr>
        <w:t xml:space="preserve">Capital One </w:t>
      </w:r>
      <w:r>
        <w:rPr>
          <w:rFonts w:eastAsia="Times New Roman"/>
          <w:color w:val="000000"/>
          <w:sz w:val="20"/>
          <w:szCs w:val="20"/>
        </w:rPr>
        <w:t xml:space="preserve">or the </w:t>
      </w:r>
      <w:r>
        <w:rPr>
          <w:rFonts w:eastAsia="Times New Roman"/>
          <w:b/>
          <w:bCs/>
          <w:color w:val="000000"/>
          <w:sz w:val="20"/>
          <w:szCs w:val="20"/>
        </w:rPr>
        <w:t>Company:</w:t>
      </w:r>
      <w:r>
        <w:rPr>
          <w:rFonts w:eastAsia="Times New Roman"/>
          <w:color w:val="000000"/>
          <w:sz w:val="20"/>
          <w:szCs w:val="20"/>
        </w:rPr>
        <w:t xml:space="preserve"> Capital One Financial Corporation and its subsid</w:t>
      </w:r>
      <w:r>
        <w:rPr>
          <w:rFonts w:eastAsia="Times New Roman"/>
          <w:color w:val="000000"/>
          <w:sz w:val="20"/>
          <w:szCs w:val="20"/>
        </w:rPr>
        <w:t>iaries.</w:t>
      </w:r>
    </w:p>
    <w:p w:rsidR="00000000" w:rsidRDefault="0094004B">
      <w:pPr>
        <w:jc w:val="both"/>
        <w:divId w:val="1081410239"/>
        <w:rPr>
          <w:rFonts w:eastAsia="Times New Roman"/>
        </w:rPr>
      </w:pPr>
      <w:r>
        <w:rPr>
          <w:rFonts w:eastAsia="Times New Roman"/>
          <w:b/>
          <w:bCs/>
          <w:color w:val="000000"/>
          <w:sz w:val="20"/>
          <w:szCs w:val="20"/>
        </w:rPr>
        <w:t>The Coronavirus Aid, Relief, and Economic Security Act (“CARES Act”):</w:t>
      </w:r>
      <w:r>
        <w:rPr>
          <w:rFonts w:eastAsia="Times New Roman"/>
          <w:color w:val="000000"/>
          <w:sz w:val="20"/>
          <w:szCs w:val="20"/>
        </w:rPr>
        <w:t xml:space="preserve"> Legislation signed into law on March 27, 2020, which expired on January 1, 2022. This law, while in effect, among other things, authorized a number of lending programs to support</w:t>
      </w:r>
      <w:r>
        <w:rPr>
          <w:rFonts w:eastAsia="Times New Roman"/>
          <w:color w:val="000000"/>
          <w:sz w:val="20"/>
          <w:szCs w:val="20"/>
        </w:rPr>
        <w:t xml:space="preserve"> the flow of credit to consumers and businesses and gave the banking organizations an option to temporarily suspend the determination of certain qualified loans modified as a result of COVID-19 as being TDRs, which was extended by the Consolidated Appropri</w:t>
      </w:r>
      <w:r>
        <w:rPr>
          <w:rFonts w:eastAsia="Times New Roman"/>
          <w:color w:val="000000"/>
          <w:sz w:val="20"/>
          <w:szCs w:val="20"/>
        </w:rPr>
        <w:t>ations Act 2021.</w:t>
      </w:r>
    </w:p>
    <w:p w:rsidR="00000000" w:rsidRDefault="0094004B">
      <w:pPr>
        <w:jc w:val="both"/>
        <w:divId w:val="1697579361"/>
        <w:rPr>
          <w:rFonts w:eastAsia="Times New Roman"/>
        </w:rPr>
      </w:pPr>
      <w:r>
        <w:rPr>
          <w:rFonts w:eastAsia="Times New Roman"/>
          <w:b/>
          <w:bCs/>
          <w:color w:val="000000"/>
          <w:sz w:val="20"/>
          <w:szCs w:val="20"/>
        </w:rPr>
        <w:t>Carrying value (with respect to loans</w:t>
      </w:r>
      <w:r>
        <w:rPr>
          <w:rFonts w:eastAsia="Times New Roman"/>
          <w:color w:val="000000"/>
          <w:sz w:val="20"/>
          <w:szCs w:val="20"/>
        </w:rPr>
        <w:t>)</w:t>
      </w:r>
      <w:r>
        <w:rPr>
          <w:rFonts w:eastAsia="Times New Roman"/>
          <w:b/>
          <w:bCs/>
          <w:color w:val="000000"/>
          <w:sz w:val="20"/>
          <w:szCs w:val="20"/>
        </w:rPr>
        <w:t>:</w:t>
      </w:r>
      <w:r>
        <w:rPr>
          <w:rFonts w:eastAsia="Times New Roman"/>
          <w:color w:val="000000"/>
          <w:sz w:val="20"/>
          <w:szCs w:val="20"/>
        </w:rPr>
        <w:t xml:space="preserve"> The amount at which a loan is recorded on the consolidated balance sheets. For loans recorded at amortized cost, carrying value is the unpaid principal balance net of unamortized deferred loan origin</w:t>
      </w:r>
      <w:r>
        <w:rPr>
          <w:rFonts w:eastAsia="Times New Roman"/>
          <w:color w:val="000000"/>
          <w:sz w:val="20"/>
          <w:szCs w:val="20"/>
        </w:rPr>
        <w:t>ation fees and costs, and unamortized purchase premium or discount. For loans that are or have been on nonaccrual status, the carrying value is also reduced by any net charge-offs that have been recorded and the amount of interest payments applied as a red</w:t>
      </w:r>
      <w:r>
        <w:rPr>
          <w:rFonts w:eastAsia="Times New Roman"/>
          <w:color w:val="000000"/>
          <w:sz w:val="20"/>
          <w:szCs w:val="20"/>
        </w:rPr>
        <w:t>uction of principal under the cost recovery method. For credit card loans, the carrying value also includes interest that has been billed to the customer, net of any related reserves. Loans held for sale are recorded at either fair value (if we elect the f</w:t>
      </w:r>
      <w:r>
        <w:rPr>
          <w:rFonts w:eastAsia="Times New Roman"/>
          <w:color w:val="000000"/>
          <w:sz w:val="20"/>
          <w:szCs w:val="20"/>
        </w:rPr>
        <w:t>air value option) or at the lower of cost or fair value.</w:t>
      </w:r>
    </w:p>
    <w:p w:rsidR="00000000" w:rsidRDefault="0094004B">
      <w:pPr>
        <w:jc w:val="both"/>
        <w:divId w:val="1991134719"/>
        <w:rPr>
          <w:rFonts w:eastAsia="Times New Roman"/>
        </w:rPr>
      </w:pPr>
      <w:r>
        <w:rPr>
          <w:rFonts w:eastAsia="Times New Roman"/>
          <w:b/>
          <w:bCs/>
          <w:color w:val="000000"/>
          <w:sz w:val="20"/>
          <w:szCs w:val="20"/>
        </w:rPr>
        <w:t>CECL:</w:t>
      </w:r>
      <w:r>
        <w:rPr>
          <w:rFonts w:eastAsia="Times New Roman"/>
          <w:color w:val="000000"/>
          <w:sz w:val="20"/>
          <w:szCs w:val="20"/>
        </w:rPr>
        <w:t xml:space="preserve"> In June 2016, the Financial Accounting Standards Board (“FASB”) issued Accounting Standards Update (“ASU”) No. 2016-13, Financial Instruments—Credit Losses (Topic 326): </w:t>
      </w:r>
      <w:r>
        <w:rPr>
          <w:rFonts w:eastAsia="Times New Roman"/>
          <w:i/>
          <w:iCs/>
          <w:color w:val="000000"/>
          <w:sz w:val="20"/>
          <w:szCs w:val="20"/>
        </w:rPr>
        <w:t>Measurement of Credit Lo</w:t>
      </w:r>
      <w:r>
        <w:rPr>
          <w:rFonts w:eastAsia="Times New Roman"/>
          <w:i/>
          <w:iCs/>
          <w:color w:val="000000"/>
          <w:sz w:val="20"/>
          <w:szCs w:val="20"/>
        </w:rPr>
        <w:t>sses on Financial Instruments</w:t>
      </w:r>
      <w:r>
        <w:rPr>
          <w:rFonts w:eastAsia="Times New Roman"/>
          <w:color w:val="000000"/>
          <w:sz w:val="20"/>
          <w:szCs w:val="20"/>
        </w:rPr>
        <w:t xml:space="preserve">. This ASU requires an impairment model (known as the CECL model) that is based on expected rather than incurred losses, with an anticipated result of more timely loss recognition. This guidance was effective for us on January </w:t>
      </w:r>
      <w:r>
        <w:rPr>
          <w:rFonts w:eastAsia="Times New Roman"/>
          <w:color w:val="000000"/>
          <w:sz w:val="20"/>
          <w:szCs w:val="20"/>
        </w:rPr>
        <w:t>1, 2020.</w:t>
      </w:r>
    </w:p>
    <w:p w:rsidR="00000000" w:rsidRDefault="0094004B">
      <w:pPr>
        <w:jc w:val="both"/>
        <w:rPr>
          <w:rFonts w:eastAsia="Times New Roman"/>
        </w:rPr>
      </w:pPr>
      <w:r>
        <w:rPr>
          <w:rFonts w:eastAsia="Times New Roman"/>
          <w:b/>
          <w:bCs/>
          <w:color w:val="000000"/>
          <w:sz w:val="20"/>
          <w:szCs w:val="20"/>
        </w:rPr>
        <w:t>CECL Transition Rule:</w:t>
      </w:r>
      <w:r>
        <w:rPr>
          <w:rFonts w:eastAsia="Times New Roman"/>
          <w:b/>
          <w:bCs/>
          <w:color w:val="000000"/>
        </w:rPr>
        <w:t xml:space="preserve"> </w:t>
      </w:r>
      <w:r>
        <w:rPr>
          <w:rFonts w:eastAsia="Times New Roman"/>
          <w:color w:val="000000"/>
          <w:sz w:val="20"/>
          <w:szCs w:val="20"/>
        </w:rPr>
        <w:t xml:space="preserve">A rule adopted by the Federal Banking Agencies and effective in 2020 that provides banking institutions an optional five-year transition period to phase in the impact of the CECL standard on their regulatory capital. </w:t>
      </w:r>
    </w:p>
    <w:p w:rsidR="00000000" w:rsidRDefault="0094004B">
      <w:pPr>
        <w:jc w:val="both"/>
        <w:divId w:val="1145976049"/>
        <w:rPr>
          <w:rFonts w:eastAsia="Times New Roman"/>
        </w:rPr>
      </w:pPr>
      <w:r>
        <w:rPr>
          <w:rFonts w:eastAsia="Times New Roman"/>
          <w:b/>
          <w:bCs/>
          <w:color w:val="000000"/>
          <w:sz w:val="20"/>
          <w:szCs w:val="20"/>
          <w:shd w:val="clear" w:color="auto" w:fill="FFFFFF"/>
        </w:rPr>
        <w:t>COBNA:</w:t>
      </w:r>
      <w:r>
        <w:rPr>
          <w:rFonts w:eastAsia="Times New Roman"/>
          <w:color w:val="000000"/>
          <w:sz w:val="20"/>
          <w:szCs w:val="20"/>
          <w:shd w:val="clear" w:color="auto" w:fill="FFFFFF"/>
        </w:rPr>
        <w:t xml:space="preserve"> </w:t>
      </w:r>
      <w:r>
        <w:rPr>
          <w:rFonts w:eastAsia="Times New Roman"/>
          <w:color w:val="000000"/>
          <w:sz w:val="20"/>
          <w:szCs w:val="20"/>
          <w:shd w:val="clear" w:color="auto" w:fill="FFFFFF"/>
        </w:rPr>
        <w:t>Capital One Bank (USA), National Association, one of our wholly-owned subsidiaries through September 30, 2022, offered credit card products along with other lending products and consumer services. On October 1, 2022, the Company completed the merger of COB</w:t>
      </w:r>
      <w:r>
        <w:rPr>
          <w:rFonts w:eastAsia="Times New Roman"/>
          <w:color w:val="000000"/>
          <w:sz w:val="20"/>
          <w:szCs w:val="20"/>
          <w:shd w:val="clear" w:color="auto" w:fill="FFFFFF"/>
        </w:rPr>
        <w:t xml:space="preserve">NA with and into CONA, with CONA as the surviving entity. </w:t>
      </w:r>
    </w:p>
    <w:p w:rsidR="00000000" w:rsidRDefault="0094004B">
      <w:pPr>
        <w:jc w:val="both"/>
        <w:divId w:val="627668496"/>
        <w:rPr>
          <w:rFonts w:eastAsia="Times New Roman"/>
        </w:rPr>
      </w:pPr>
      <w:r>
        <w:rPr>
          <w:rFonts w:eastAsia="Times New Roman"/>
          <w:b/>
          <w:bCs/>
          <w:color w:val="000000"/>
          <w:sz w:val="20"/>
          <w:szCs w:val="20"/>
        </w:rPr>
        <w:t>Common equity Tier 1 (“CET1”) capital:</w:t>
      </w:r>
      <w:r>
        <w:rPr>
          <w:rFonts w:eastAsia="Times New Roman"/>
          <w:color w:val="000000"/>
          <w:sz w:val="20"/>
          <w:szCs w:val="20"/>
        </w:rPr>
        <w:t xml:space="preserve"> CET1 capital primarily includes qualifying common shareholders’ equity, retained earnings and certain AOCI amounts less certain deductions for goodwill, intan</w:t>
      </w:r>
      <w:r>
        <w:rPr>
          <w:rFonts w:eastAsia="Times New Roman"/>
          <w:color w:val="000000"/>
          <w:sz w:val="20"/>
          <w:szCs w:val="20"/>
        </w:rPr>
        <w:t>gible assets, and certain deferred tax assets.</w:t>
      </w:r>
    </w:p>
    <w:p w:rsidR="00000000" w:rsidRDefault="0094004B">
      <w:pPr>
        <w:jc w:val="both"/>
        <w:divId w:val="1546332045"/>
        <w:rPr>
          <w:rFonts w:eastAsia="Times New Roman"/>
        </w:rPr>
      </w:pPr>
      <w:r>
        <w:rPr>
          <w:rFonts w:eastAsia="Times New Roman"/>
          <w:b/>
          <w:bCs/>
          <w:color w:val="000000"/>
          <w:sz w:val="20"/>
          <w:szCs w:val="20"/>
        </w:rPr>
        <w:t xml:space="preserve">CONA: </w:t>
      </w:r>
      <w:r>
        <w:rPr>
          <w:rFonts w:eastAsia="Times New Roman"/>
          <w:color w:val="000000"/>
          <w:sz w:val="20"/>
          <w:szCs w:val="20"/>
        </w:rPr>
        <w:t>Capital One, National Association, one of our wholly-owned subsidiaries, which offers a broad spectrum of banking products and financial services to consumers, small businesses and commercial clients.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195191364"/>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195191364"/>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195191364"/>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104</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30" style="width:0;height:1.5pt" o:hralign="center" o:hrstd="t" o:hr="t" fillcolor="#a0a0a0" stroked="f"/>
        </w:pict>
      </w:r>
    </w:p>
    <w:p w:rsidR="00000000" w:rsidRDefault="0094004B">
      <w:pPr>
        <w:ind w:hanging="360"/>
        <w:jc w:val="both"/>
        <w:divId w:val="1657681141"/>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both"/>
        <w:divId w:val="367098714"/>
        <w:rPr>
          <w:rFonts w:eastAsia="Times New Roman"/>
        </w:rPr>
      </w:pPr>
      <w:r>
        <w:rPr>
          <w:rFonts w:eastAsia="Times New Roman"/>
          <w:b/>
          <w:bCs/>
          <w:color w:val="000000"/>
          <w:sz w:val="20"/>
          <w:szCs w:val="20"/>
        </w:rPr>
        <w:t xml:space="preserve">Consolidated EEO-1 Report: </w:t>
      </w:r>
      <w:r>
        <w:rPr>
          <w:rFonts w:eastAsia="Times New Roman"/>
          <w:color w:val="000000"/>
          <w:sz w:val="20"/>
          <w:szCs w:val="20"/>
        </w:rPr>
        <w:t>Mandatory annual data collection requiring private sector employers with 100 or more employees or federal contractors with 50 or more employees meeting certain criteria to submit demographic workforce data including race/ethnicity, gender and job category.</w:t>
      </w:r>
    </w:p>
    <w:p w:rsidR="00000000" w:rsidRDefault="0094004B">
      <w:pPr>
        <w:jc w:val="both"/>
        <w:divId w:val="1337683490"/>
        <w:rPr>
          <w:rFonts w:eastAsia="Times New Roman"/>
        </w:rPr>
      </w:pPr>
      <w:r>
        <w:rPr>
          <w:rFonts w:eastAsia="Times New Roman"/>
          <w:b/>
          <w:bCs/>
          <w:color w:val="000000"/>
          <w:sz w:val="20"/>
          <w:szCs w:val="20"/>
        </w:rPr>
        <w:t>Credit risk:</w:t>
      </w:r>
      <w:r>
        <w:rPr>
          <w:rFonts w:eastAsia="Times New Roman"/>
          <w:color w:val="000000"/>
          <w:sz w:val="20"/>
          <w:szCs w:val="20"/>
        </w:rPr>
        <w:t xml:space="preserve"> The risk to current or projected financial condition and resilience arising from an obligor’s failure to meet the terms of any contract with the Company or otherwise perform as agreed.</w:t>
      </w:r>
    </w:p>
    <w:p w:rsidR="00000000" w:rsidRDefault="0094004B">
      <w:pPr>
        <w:jc w:val="both"/>
        <w:divId w:val="870146088"/>
        <w:rPr>
          <w:rFonts w:eastAsia="Times New Roman"/>
        </w:rPr>
      </w:pPr>
      <w:r>
        <w:rPr>
          <w:rFonts w:eastAsia="Times New Roman"/>
          <w:b/>
          <w:bCs/>
          <w:color w:val="000000"/>
          <w:sz w:val="20"/>
          <w:szCs w:val="20"/>
        </w:rPr>
        <w:t>Cybersecurity Incident:</w:t>
      </w:r>
      <w:r>
        <w:rPr>
          <w:rFonts w:eastAsia="Times New Roman"/>
          <w:color w:val="000000"/>
          <w:sz w:val="20"/>
          <w:szCs w:val="20"/>
        </w:rPr>
        <w:t xml:space="preserve"> The unauthorized access by an out</w:t>
      </w:r>
      <w:r>
        <w:rPr>
          <w:rFonts w:eastAsia="Times New Roman"/>
          <w:color w:val="000000"/>
          <w:sz w:val="20"/>
          <w:szCs w:val="20"/>
        </w:rPr>
        <w:t>side individual who obtained certain types of personal information relating to people who had applied for our credit card products and to our credit card customers that we announced on July 29, 2019.</w:t>
      </w:r>
    </w:p>
    <w:p w:rsidR="00000000" w:rsidRDefault="0094004B">
      <w:pPr>
        <w:jc w:val="both"/>
        <w:divId w:val="2098553631"/>
        <w:rPr>
          <w:rFonts w:eastAsia="Times New Roman"/>
        </w:rPr>
      </w:pPr>
      <w:r>
        <w:rPr>
          <w:rFonts w:eastAsia="Times New Roman"/>
          <w:b/>
          <w:bCs/>
          <w:color w:val="000000"/>
          <w:sz w:val="20"/>
          <w:szCs w:val="20"/>
        </w:rPr>
        <w:t>Deposit Insurance Fund (“DIF”):</w:t>
      </w:r>
      <w:r>
        <w:rPr>
          <w:rFonts w:eastAsia="Times New Roman"/>
          <w:color w:val="000000"/>
          <w:sz w:val="20"/>
          <w:szCs w:val="20"/>
        </w:rPr>
        <w:t xml:space="preserve"> A fund maintained by the</w:t>
      </w:r>
      <w:r>
        <w:rPr>
          <w:rFonts w:eastAsia="Times New Roman"/>
          <w:color w:val="000000"/>
          <w:sz w:val="20"/>
          <w:szCs w:val="20"/>
        </w:rPr>
        <w:t xml:space="preserve"> FDIC to provide insurance coverage for certain deposits. It is funded through assessments on banks.</w:t>
      </w:r>
    </w:p>
    <w:p w:rsidR="00000000" w:rsidRDefault="0094004B">
      <w:pPr>
        <w:jc w:val="both"/>
        <w:divId w:val="1032001637"/>
        <w:rPr>
          <w:rFonts w:eastAsia="Times New Roman"/>
        </w:rPr>
      </w:pPr>
      <w:r>
        <w:rPr>
          <w:rFonts w:eastAsia="Times New Roman"/>
          <w:b/>
          <w:bCs/>
          <w:color w:val="000000"/>
          <w:sz w:val="20"/>
          <w:szCs w:val="20"/>
        </w:rPr>
        <w:t>Derivative:</w:t>
      </w:r>
      <w:r>
        <w:rPr>
          <w:rFonts w:eastAsia="Times New Roman"/>
          <w:color w:val="000000"/>
          <w:sz w:val="20"/>
          <w:szCs w:val="20"/>
        </w:rPr>
        <w:t xml:space="preserve"> A contract or agreement whose value is derived from changes in interest rates, foreign exchange rates, prices of securities or commodities, cre</w:t>
      </w:r>
      <w:r>
        <w:rPr>
          <w:rFonts w:eastAsia="Times New Roman"/>
          <w:color w:val="000000"/>
          <w:sz w:val="20"/>
          <w:szCs w:val="20"/>
        </w:rPr>
        <w:t>dit worthiness for credit default swaps or financial or commodity indices.</w:t>
      </w:r>
    </w:p>
    <w:p w:rsidR="00000000" w:rsidRDefault="0094004B">
      <w:pPr>
        <w:jc w:val="both"/>
        <w:divId w:val="1605191980"/>
        <w:rPr>
          <w:rFonts w:eastAsia="Times New Roman"/>
        </w:rPr>
      </w:pPr>
      <w:r>
        <w:rPr>
          <w:rFonts w:eastAsia="Times New Roman"/>
          <w:b/>
          <w:bCs/>
          <w:color w:val="000000"/>
          <w:sz w:val="20"/>
          <w:szCs w:val="20"/>
        </w:rPr>
        <w:t>Discontinued operations:</w:t>
      </w:r>
      <w:r>
        <w:rPr>
          <w:rFonts w:eastAsia="Times New Roman"/>
          <w:color w:val="000000"/>
          <w:sz w:val="20"/>
          <w:szCs w:val="20"/>
        </w:rPr>
        <w:t xml:space="preserve"> The operating results of a component of an entity, as defined by Accounting Standards Codification (“ASC”) 205, that are removed from continuing operations </w:t>
      </w:r>
      <w:r>
        <w:rPr>
          <w:rFonts w:eastAsia="Times New Roman"/>
          <w:color w:val="000000"/>
          <w:sz w:val="20"/>
          <w:szCs w:val="20"/>
        </w:rPr>
        <w:t>when that component has been disposed of or it is management’s intention to sell the component.</w:t>
      </w:r>
    </w:p>
    <w:p w:rsidR="00000000" w:rsidRDefault="0094004B">
      <w:pPr>
        <w:jc w:val="both"/>
        <w:divId w:val="913508275"/>
        <w:rPr>
          <w:rFonts w:eastAsia="Times New Roman"/>
        </w:rPr>
      </w:pPr>
      <w:r>
        <w:rPr>
          <w:rFonts w:eastAsia="Times New Roman"/>
          <w:b/>
          <w:bCs/>
          <w:color w:val="000000"/>
          <w:sz w:val="20"/>
          <w:szCs w:val="20"/>
        </w:rPr>
        <w:t>Dodd-Frank Wall Street Reform and Consumer Protection Act (“Dodd-Frank Act”):</w:t>
      </w:r>
      <w:r>
        <w:rPr>
          <w:rFonts w:eastAsia="Times New Roman"/>
          <w:color w:val="000000"/>
          <w:sz w:val="20"/>
          <w:szCs w:val="20"/>
        </w:rPr>
        <w:t xml:space="preserve"> Regulatory reform legislation signed into law on July 21, 2010. This law broadly a</w:t>
      </w:r>
      <w:r>
        <w:rPr>
          <w:rFonts w:eastAsia="Times New Roman"/>
          <w:color w:val="000000"/>
          <w:sz w:val="20"/>
          <w:szCs w:val="20"/>
        </w:rPr>
        <w:t>ffects the financial services industry and contains numerous provisions aimed at strengthening the sound operation of the financial services sector.</w:t>
      </w:r>
    </w:p>
    <w:p w:rsidR="00000000" w:rsidRDefault="0094004B">
      <w:pPr>
        <w:jc w:val="both"/>
        <w:divId w:val="1560240848"/>
        <w:rPr>
          <w:rFonts w:eastAsia="Times New Roman"/>
        </w:rPr>
      </w:pPr>
      <w:r>
        <w:rPr>
          <w:rFonts w:eastAsia="Times New Roman"/>
          <w:b/>
          <w:bCs/>
          <w:color w:val="000000"/>
          <w:sz w:val="20"/>
          <w:szCs w:val="20"/>
        </w:rPr>
        <w:t xml:space="preserve">Exchange Act: </w:t>
      </w:r>
      <w:r>
        <w:rPr>
          <w:rFonts w:eastAsia="Times New Roman"/>
          <w:color w:val="000000"/>
          <w:sz w:val="20"/>
          <w:szCs w:val="20"/>
        </w:rPr>
        <w:t>The Securities Exchange Act of 1934, as amended.</w:t>
      </w:r>
    </w:p>
    <w:p w:rsidR="00000000" w:rsidRDefault="0094004B">
      <w:pPr>
        <w:jc w:val="both"/>
        <w:divId w:val="2021664444"/>
        <w:rPr>
          <w:rFonts w:eastAsia="Times New Roman"/>
        </w:rPr>
      </w:pPr>
      <w:r>
        <w:rPr>
          <w:rFonts w:eastAsia="Times New Roman"/>
          <w:b/>
          <w:bCs/>
          <w:color w:val="000000"/>
          <w:sz w:val="20"/>
          <w:szCs w:val="20"/>
        </w:rPr>
        <w:t>eXtensible Business Reporting Language (“</w:t>
      </w:r>
      <w:r>
        <w:rPr>
          <w:rFonts w:eastAsia="Times New Roman"/>
          <w:b/>
          <w:bCs/>
          <w:color w:val="000000"/>
          <w:sz w:val="20"/>
          <w:szCs w:val="20"/>
        </w:rPr>
        <w:t>XBRL”):</w:t>
      </w:r>
      <w:r>
        <w:rPr>
          <w:rFonts w:eastAsia="Times New Roman"/>
          <w:color w:val="000000"/>
          <w:sz w:val="20"/>
          <w:szCs w:val="20"/>
        </w:rPr>
        <w:t xml:space="preserve"> A language for the electronic communication of business and financial data.</w:t>
      </w:r>
    </w:p>
    <w:p w:rsidR="00000000" w:rsidRDefault="0094004B">
      <w:pPr>
        <w:jc w:val="both"/>
        <w:divId w:val="544027302"/>
        <w:rPr>
          <w:rFonts w:eastAsia="Times New Roman"/>
        </w:rPr>
      </w:pPr>
      <w:r>
        <w:rPr>
          <w:rFonts w:eastAsia="Times New Roman"/>
          <w:b/>
          <w:bCs/>
          <w:color w:val="000000"/>
          <w:sz w:val="20"/>
          <w:szCs w:val="20"/>
        </w:rPr>
        <w:t>Federal Banking Agencies:</w:t>
      </w:r>
      <w:r>
        <w:rPr>
          <w:rFonts w:eastAsia="Times New Roman"/>
          <w:color w:val="000000"/>
          <w:sz w:val="20"/>
          <w:szCs w:val="20"/>
        </w:rPr>
        <w:t xml:space="preserve"> The Federal Reserve, Office of the Comptroller of the Currency and Federal Deposit Insurance Corporation.</w:t>
      </w:r>
    </w:p>
    <w:p w:rsidR="00000000" w:rsidRDefault="0094004B">
      <w:pPr>
        <w:jc w:val="both"/>
        <w:divId w:val="729962423"/>
        <w:rPr>
          <w:rFonts w:eastAsia="Times New Roman"/>
        </w:rPr>
      </w:pPr>
      <w:r>
        <w:rPr>
          <w:rFonts w:eastAsia="Times New Roman"/>
          <w:b/>
          <w:bCs/>
          <w:color w:val="000000"/>
          <w:sz w:val="20"/>
          <w:szCs w:val="20"/>
        </w:rPr>
        <w:t>Federal Deposit Insurance Corporation (“</w:t>
      </w:r>
      <w:r>
        <w:rPr>
          <w:rFonts w:eastAsia="Times New Roman"/>
          <w:b/>
          <w:bCs/>
          <w:color w:val="000000"/>
          <w:sz w:val="20"/>
          <w:szCs w:val="20"/>
        </w:rPr>
        <w:t>FDIC”):</w:t>
      </w:r>
      <w:r>
        <w:rPr>
          <w:rFonts w:eastAsia="Times New Roman"/>
          <w:color w:val="000000"/>
          <w:sz w:val="20"/>
          <w:szCs w:val="20"/>
        </w:rPr>
        <w:t xml:space="preserve"> An independent U.S. governmental agency that administers the DIF.</w:t>
      </w:r>
    </w:p>
    <w:p w:rsidR="00000000" w:rsidRDefault="0094004B">
      <w:pPr>
        <w:jc w:val="both"/>
        <w:divId w:val="817962111"/>
        <w:rPr>
          <w:rFonts w:eastAsia="Times New Roman"/>
        </w:rPr>
      </w:pPr>
      <w:r>
        <w:rPr>
          <w:rFonts w:eastAsia="Times New Roman"/>
          <w:b/>
          <w:bCs/>
          <w:color w:val="000000"/>
          <w:sz w:val="20"/>
          <w:szCs w:val="20"/>
        </w:rPr>
        <w:t>Federal Reserve:</w:t>
      </w:r>
      <w:r>
        <w:rPr>
          <w:rFonts w:eastAsia="Times New Roman"/>
          <w:color w:val="000000"/>
          <w:sz w:val="20"/>
          <w:szCs w:val="20"/>
        </w:rPr>
        <w:t xml:space="preserve"> The Board of Governors of the Federal Reserve System.</w:t>
      </w:r>
    </w:p>
    <w:p w:rsidR="00000000" w:rsidRDefault="0094004B">
      <w:pPr>
        <w:jc w:val="both"/>
        <w:divId w:val="1382751763"/>
        <w:rPr>
          <w:rFonts w:eastAsia="Times New Roman"/>
        </w:rPr>
      </w:pPr>
      <w:r>
        <w:rPr>
          <w:rFonts w:eastAsia="Times New Roman"/>
          <w:b/>
          <w:bCs/>
          <w:color w:val="000000"/>
          <w:sz w:val="20"/>
          <w:szCs w:val="20"/>
        </w:rPr>
        <w:t>FICO score:</w:t>
      </w:r>
      <w:r>
        <w:rPr>
          <w:rFonts w:eastAsia="Times New Roman"/>
          <w:color w:val="000000"/>
          <w:sz w:val="20"/>
          <w:szCs w:val="20"/>
        </w:rPr>
        <w:t xml:space="preserve"> A measure of consumer credit risk provided by credit bureaus, typically produced from statistical m</w:t>
      </w:r>
      <w:r>
        <w:rPr>
          <w:rFonts w:eastAsia="Times New Roman"/>
          <w:color w:val="000000"/>
          <w:sz w:val="20"/>
          <w:szCs w:val="20"/>
        </w:rPr>
        <w:t>odeling software created by FICO (formerly known as “Fair Isaac Corporation”) utilizing data collected by the credit bureaus.</w:t>
      </w:r>
    </w:p>
    <w:p w:rsidR="00000000" w:rsidRDefault="0094004B">
      <w:pPr>
        <w:jc w:val="both"/>
        <w:divId w:val="1057557321"/>
        <w:rPr>
          <w:rFonts w:eastAsia="Times New Roman"/>
        </w:rPr>
      </w:pPr>
      <w:r>
        <w:rPr>
          <w:rFonts w:eastAsia="Times New Roman"/>
          <w:b/>
          <w:bCs/>
          <w:color w:val="000000"/>
          <w:sz w:val="20"/>
          <w:szCs w:val="20"/>
        </w:rPr>
        <w:t>Foreign exchange contracts:</w:t>
      </w:r>
      <w:r>
        <w:rPr>
          <w:rFonts w:eastAsia="Times New Roman"/>
          <w:color w:val="000000"/>
          <w:sz w:val="20"/>
          <w:szCs w:val="20"/>
        </w:rPr>
        <w:t xml:space="preserve"> Contracts that provide for the future receipt or delivery of foreign currency at previously agreed-upo</w:t>
      </w:r>
      <w:r>
        <w:rPr>
          <w:rFonts w:eastAsia="Times New Roman"/>
          <w:color w:val="000000"/>
          <w:sz w:val="20"/>
          <w:szCs w:val="20"/>
        </w:rPr>
        <w:t>n terms.</w:t>
      </w:r>
    </w:p>
    <w:p w:rsidR="00000000" w:rsidRDefault="0094004B">
      <w:pPr>
        <w:jc w:val="both"/>
        <w:divId w:val="1751190860"/>
        <w:rPr>
          <w:rFonts w:eastAsia="Times New Roman"/>
        </w:rPr>
      </w:pPr>
      <w:r>
        <w:rPr>
          <w:rFonts w:eastAsia="Times New Roman"/>
          <w:b/>
          <w:bCs/>
          <w:color w:val="000000"/>
          <w:sz w:val="20"/>
          <w:szCs w:val="20"/>
        </w:rPr>
        <w:t>Framework:</w:t>
      </w:r>
      <w:r>
        <w:rPr>
          <w:rFonts w:eastAsia="Times New Roman"/>
          <w:color w:val="000000"/>
          <w:sz w:val="20"/>
          <w:szCs w:val="20"/>
        </w:rPr>
        <w:t xml:space="preserve"> the Capital One enterprise-wide risk management framework.</w:t>
      </w:r>
    </w:p>
    <w:p w:rsidR="00000000" w:rsidRDefault="0094004B">
      <w:pPr>
        <w:jc w:val="both"/>
        <w:divId w:val="621544728"/>
        <w:rPr>
          <w:rFonts w:eastAsia="Times New Roman"/>
        </w:rPr>
      </w:pPr>
      <w:r>
        <w:rPr>
          <w:rFonts w:eastAsia="Times New Roman"/>
          <w:b/>
          <w:bCs/>
          <w:color w:val="000000"/>
          <w:sz w:val="20"/>
          <w:szCs w:val="20"/>
        </w:rPr>
        <w:t xml:space="preserve">GSE </w:t>
      </w:r>
      <w:r>
        <w:rPr>
          <w:rFonts w:eastAsia="Times New Roman"/>
          <w:color w:val="000000"/>
          <w:sz w:val="20"/>
          <w:szCs w:val="20"/>
        </w:rPr>
        <w:t>or</w:t>
      </w:r>
      <w:r>
        <w:rPr>
          <w:rFonts w:eastAsia="Times New Roman"/>
          <w:b/>
          <w:bCs/>
          <w:color w:val="000000"/>
          <w:sz w:val="20"/>
          <w:szCs w:val="20"/>
        </w:rPr>
        <w:t xml:space="preserve"> Agency:</w:t>
      </w:r>
      <w:r>
        <w:rPr>
          <w:rFonts w:eastAsia="Times New Roman"/>
          <w:color w:val="000000"/>
          <w:sz w:val="20"/>
          <w:szCs w:val="20"/>
        </w:rPr>
        <w:t xml:space="preserve"> A government-sponsored enterprise or agency is a financial services corporation created by the United States Congress. Examples of U.S. government agencies includ</w:t>
      </w:r>
      <w:r>
        <w:rPr>
          <w:rFonts w:eastAsia="Times New Roman"/>
          <w:color w:val="000000"/>
          <w:sz w:val="20"/>
          <w:szCs w:val="20"/>
        </w:rPr>
        <w:t>e Federal National Mortgage Association (“Fannie Mae”), Federal Home Loan Mortgage Corporation (“Freddie Mac”), Government National Mortgage Association (“Ginnie Mae”) and the Federal Home Loan Banks (“FHLB”).</w:t>
      </w:r>
    </w:p>
    <w:p w:rsidR="00000000" w:rsidRDefault="0094004B">
      <w:pPr>
        <w:jc w:val="both"/>
        <w:divId w:val="1886520963"/>
        <w:rPr>
          <w:rFonts w:eastAsia="Times New Roman"/>
        </w:rPr>
      </w:pPr>
      <w:r>
        <w:rPr>
          <w:rFonts w:eastAsia="Times New Roman"/>
          <w:b/>
          <w:bCs/>
          <w:color w:val="000000"/>
          <w:sz w:val="20"/>
          <w:szCs w:val="20"/>
        </w:rPr>
        <w:t xml:space="preserve">Interest method: </w:t>
      </w:r>
      <w:r>
        <w:rPr>
          <w:rFonts w:eastAsia="Times New Roman"/>
          <w:color w:val="000000"/>
          <w:sz w:val="20"/>
          <w:szCs w:val="20"/>
        </w:rPr>
        <w:t>Method of amortization used t</w:t>
      </w:r>
      <w:r>
        <w:rPr>
          <w:rFonts w:eastAsia="Times New Roman"/>
          <w:color w:val="000000"/>
          <w:sz w:val="20"/>
          <w:szCs w:val="20"/>
        </w:rPr>
        <w:t>o arrive at periodic interest income at a constant effective yield on the net investment in a financial asset.</w:t>
      </w:r>
    </w:p>
    <w:p w:rsidR="00000000" w:rsidRDefault="0094004B">
      <w:pPr>
        <w:jc w:val="both"/>
        <w:divId w:val="1470395820"/>
        <w:rPr>
          <w:rFonts w:eastAsia="Times New Roman"/>
        </w:rPr>
      </w:pPr>
      <w:r>
        <w:rPr>
          <w:rFonts w:eastAsia="Times New Roman"/>
          <w:b/>
          <w:bCs/>
          <w:color w:val="000000"/>
          <w:sz w:val="20"/>
          <w:szCs w:val="20"/>
        </w:rPr>
        <w:t>Interest rate sensitivity:</w:t>
      </w:r>
      <w:r>
        <w:rPr>
          <w:rFonts w:eastAsia="Times New Roman"/>
          <w:color w:val="000000"/>
          <w:sz w:val="20"/>
          <w:szCs w:val="20"/>
        </w:rPr>
        <w:t xml:space="preserve"> The exposure to interest rate movements.</w:t>
      </w:r>
    </w:p>
    <w:p w:rsidR="00000000" w:rsidRDefault="0094004B">
      <w:pPr>
        <w:jc w:val="both"/>
        <w:divId w:val="67189399"/>
        <w:rPr>
          <w:rFonts w:eastAsia="Times New Roman"/>
        </w:rPr>
      </w:pPr>
      <w:r>
        <w:rPr>
          <w:rFonts w:eastAsia="Times New Roman"/>
          <w:b/>
          <w:bCs/>
          <w:color w:val="000000"/>
          <w:sz w:val="20"/>
          <w:szCs w:val="20"/>
        </w:rPr>
        <w:t>Interest rate swaps:</w:t>
      </w:r>
      <w:r>
        <w:rPr>
          <w:rFonts w:eastAsia="Times New Roman"/>
          <w:color w:val="000000"/>
          <w:sz w:val="20"/>
          <w:szCs w:val="20"/>
        </w:rPr>
        <w:t xml:space="preserve"> Contracts in which a series of interest rate flows in a </w:t>
      </w:r>
      <w:r>
        <w:rPr>
          <w:rFonts w:eastAsia="Times New Roman"/>
          <w:color w:val="000000"/>
          <w:sz w:val="20"/>
          <w:szCs w:val="20"/>
        </w:rPr>
        <w:t>single currency are exchanged over a prescribed period. Interest rate swaps are the most common type of derivative contract that we use in our asset/liability management activities.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307248837"/>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307248837"/>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307248837"/>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105</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31" style="width:0;height:1.5pt" o:hralign="center" o:hrstd="t" o:hr="t" fillcolor="#a0a0a0" stroked="f"/>
        </w:pict>
      </w:r>
    </w:p>
    <w:p w:rsidR="00000000" w:rsidRDefault="0094004B">
      <w:pPr>
        <w:ind w:hanging="360"/>
        <w:jc w:val="both"/>
        <w:divId w:val="314535877"/>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both"/>
        <w:divId w:val="536696304"/>
        <w:rPr>
          <w:rFonts w:eastAsia="Times New Roman"/>
        </w:rPr>
      </w:pPr>
      <w:r>
        <w:rPr>
          <w:rFonts w:eastAsia="Times New Roman"/>
          <w:b/>
          <w:bCs/>
          <w:color w:val="000000"/>
          <w:sz w:val="20"/>
          <w:szCs w:val="20"/>
        </w:rPr>
        <w:t>Investment grade:</w:t>
      </w:r>
      <w:r>
        <w:rPr>
          <w:rFonts w:eastAsia="Times New Roman"/>
          <w:color w:val="000000"/>
          <w:sz w:val="20"/>
          <w:szCs w:val="20"/>
        </w:rPr>
        <w:t xml:space="preserve"> Represents a Moody’s long-term rating of Baa3 or better; and/or a S&amp;P long-term rating of BBB- or better; and/or a Fitch long</w:t>
      </w:r>
      <w:r>
        <w:rPr>
          <w:rFonts w:eastAsia="Times New Roman"/>
          <w:color w:val="000000"/>
          <w:sz w:val="20"/>
          <w:szCs w:val="20"/>
        </w:rPr>
        <w:t>-term rating of BBB- or better; or if unrated, an equivalent rating using our internal risk ratings. Instruments that fall below these levels are considered to be non-investment grade.</w:t>
      </w:r>
    </w:p>
    <w:p w:rsidR="00000000" w:rsidRDefault="0094004B">
      <w:pPr>
        <w:jc w:val="both"/>
        <w:divId w:val="2110661177"/>
        <w:rPr>
          <w:rFonts w:eastAsia="Times New Roman"/>
        </w:rPr>
      </w:pPr>
      <w:r>
        <w:rPr>
          <w:rFonts w:eastAsia="Times New Roman"/>
          <w:b/>
          <w:bCs/>
          <w:color w:val="000000"/>
          <w:sz w:val="20"/>
          <w:szCs w:val="20"/>
        </w:rPr>
        <w:t xml:space="preserve">Investor entities: </w:t>
      </w:r>
      <w:r>
        <w:rPr>
          <w:rFonts w:eastAsia="Times New Roman"/>
          <w:color w:val="000000"/>
          <w:sz w:val="20"/>
          <w:szCs w:val="20"/>
        </w:rPr>
        <w:t>Entities that invest in community development entities (“CDE”) that provide debt financing to businesses and non-profit entities in low-income and rural communities.</w:t>
      </w:r>
    </w:p>
    <w:p w:rsidR="00000000" w:rsidRDefault="0094004B">
      <w:pPr>
        <w:jc w:val="both"/>
        <w:divId w:val="122045576"/>
        <w:rPr>
          <w:rFonts w:eastAsia="Times New Roman"/>
        </w:rPr>
      </w:pPr>
      <w:r>
        <w:rPr>
          <w:rFonts w:eastAsia="Times New Roman"/>
          <w:b/>
          <w:bCs/>
          <w:color w:val="000000"/>
          <w:sz w:val="20"/>
          <w:szCs w:val="20"/>
        </w:rPr>
        <w:t>LCR Rule:</w:t>
      </w:r>
      <w:r>
        <w:rPr>
          <w:rFonts w:eastAsia="Times New Roman"/>
          <w:color w:val="000000"/>
          <w:sz w:val="20"/>
          <w:szCs w:val="20"/>
        </w:rPr>
        <w:t xml:space="preserve"> In September 2014, the Federal Banking Agencies issued final rules implementing </w:t>
      </w:r>
      <w:r>
        <w:rPr>
          <w:rFonts w:eastAsia="Times New Roman"/>
          <w:color w:val="000000"/>
          <w:sz w:val="20"/>
          <w:szCs w:val="20"/>
        </w:rPr>
        <w:t>the Basel III Liquidity Coverage Ratio (“LCR”) in the United States. The LCR is calculated by dividing the amount of an institution’s high quality, unencumbered liquid assets by its estimated net cash outflow, as defined and calculated in accordance with t</w:t>
      </w:r>
      <w:r>
        <w:rPr>
          <w:rFonts w:eastAsia="Times New Roman"/>
          <w:color w:val="000000"/>
          <w:sz w:val="20"/>
          <w:szCs w:val="20"/>
        </w:rPr>
        <w:t xml:space="preserve">he LCR Rule. </w:t>
      </w:r>
    </w:p>
    <w:p w:rsidR="00000000" w:rsidRDefault="0094004B">
      <w:pPr>
        <w:jc w:val="both"/>
        <w:divId w:val="1012996291"/>
        <w:rPr>
          <w:rFonts w:eastAsia="Times New Roman"/>
        </w:rPr>
      </w:pPr>
      <w:r>
        <w:rPr>
          <w:rFonts w:eastAsia="Times New Roman"/>
          <w:b/>
          <w:bCs/>
          <w:color w:val="000000"/>
          <w:sz w:val="20"/>
          <w:szCs w:val="20"/>
        </w:rPr>
        <w:t>Leverage ratio:</w:t>
      </w:r>
      <w:r>
        <w:rPr>
          <w:rFonts w:eastAsia="Times New Roman"/>
          <w:color w:val="000000"/>
          <w:sz w:val="20"/>
          <w:szCs w:val="20"/>
        </w:rPr>
        <w:t xml:space="preserve"> Tier 1 capital divided by average assets after certain adjustments, as defined by regulators.</w:t>
      </w:r>
    </w:p>
    <w:p w:rsidR="00000000" w:rsidRDefault="0094004B">
      <w:pPr>
        <w:jc w:val="both"/>
        <w:divId w:val="73550261"/>
        <w:rPr>
          <w:rFonts w:eastAsia="Times New Roman"/>
        </w:rPr>
      </w:pPr>
      <w:r>
        <w:rPr>
          <w:rFonts w:eastAsia="Times New Roman"/>
          <w:b/>
          <w:bCs/>
          <w:color w:val="000000"/>
          <w:sz w:val="20"/>
          <w:szCs w:val="20"/>
        </w:rPr>
        <w:t>Liquidity risk:</w:t>
      </w:r>
      <w:r>
        <w:rPr>
          <w:rFonts w:eastAsia="Times New Roman"/>
          <w:color w:val="000000"/>
          <w:sz w:val="20"/>
          <w:szCs w:val="20"/>
        </w:rPr>
        <w:t xml:space="preserve"> The risk that the Company will not be able to meet its future financial obligations as they come due, or invest in f</w:t>
      </w:r>
      <w:r>
        <w:rPr>
          <w:rFonts w:eastAsia="Times New Roman"/>
          <w:color w:val="000000"/>
          <w:sz w:val="20"/>
          <w:szCs w:val="20"/>
        </w:rPr>
        <w:t>uture asset growth because of an inability to obtain funds at a reasonable price within a reasonable time.</w:t>
      </w:r>
    </w:p>
    <w:p w:rsidR="00000000" w:rsidRDefault="0094004B">
      <w:pPr>
        <w:jc w:val="both"/>
        <w:divId w:val="1056589369"/>
        <w:rPr>
          <w:rFonts w:eastAsia="Times New Roman"/>
        </w:rPr>
      </w:pPr>
      <w:r>
        <w:rPr>
          <w:rFonts w:eastAsia="Times New Roman"/>
          <w:b/>
          <w:bCs/>
          <w:color w:val="000000"/>
          <w:sz w:val="20"/>
          <w:szCs w:val="20"/>
        </w:rPr>
        <w:t xml:space="preserve">Loan-to-value (“LTV”) ratio: </w:t>
      </w:r>
      <w:r>
        <w:rPr>
          <w:rFonts w:eastAsia="Times New Roman"/>
          <w:color w:val="000000"/>
          <w:sz w:val="20"/>
          <w:szCs w:val="20"/>
        </w:rPr>
        <w:t>The relationship, expressed as a percentage, between the principal amount of a loan and the appraised value of the collateral securing the loan.</w:t>
      </w:r>
    </w:p>
    <w:p w:rsidR="00000000" w:rsidRDefault="0094004B">
      <w:pPr>
        <w:jc w:val="both"/>
        <w:divId w:val="131021121"/>
        <w:rPr>
          <w:rFonts w:eastAsia="Times New Roman"/>
        </w:rPr>
      </w:pPr>
      <w:r>
        <w:rPr>
          <w:rFonts w:eastAsia="Times New Roman"/>
          <w:b/>
          <w:bCs/>
          <w:color w:val="000000"/>
          <w:sz w:val="20"/>
          <w:szCs w:val="20"/>
        </w:rPr>
        <w:t xml:space="preserve">Managed presentation: </w:t>
      </w:r>
      <w:r>
        <w:rPr>
          <w:rFonts w:eastAsia="Times New Roman"/>
          <w:color w:val="000000"/>
          <w:sz w:val="20"/>
          <w:szCs w:val="20"/>
        </w:rPr>
        <w:t xml:space="preserve">A non-GAAP presentation of business segment results derived from our internal management </w:t>
      </w:r>
      <w:r>
        <w:rPr>
          <w:rFonts w:eastAsia="Times New Roman"/>
          <w:color w:val="000000"/>
          <w:sz w:val="20"/>
          <w:szCs w:val="20"/>
        </w:rPr>
        <w:t>accounting and reporting process, which employs various allocation methodologies, including funds transfer pricing, to assign certain balance sheet assets, deposits and other liabilities and their related revenues and expenses directly or indirectly attrib</w:t>
      </w:r>
      <w:r>
        <w:rPr>
          <w:rFonts w:eastAsia="Times New Roman"/>
          <w:color w:val="000000"/>
          <w:sz w:val="20"/>
          <w:szCs w:val="20"/>
        </w:rPr>
        <w:t xml:space="preserve">utable to each business segment. The results of our individual businesses reflect the manner in which management evaluates performance and makes decisions about funding our operations and allocating resources and are intended to reflect each segment as if </w:t>
      </w:r>
      <w:r>
        <w:rPr>
          <w:rFonts w:eastAsia="Times New Roman"/>
          <w:color w:val="000000"/>
          <w:sz w:val="20"/>
          <w:szCs w:val="20"/>
        </w:rPr>
        <w:t xml:space="preserve">it were a stand-alone business. </w:t>
      </w:r>
    </w:p>
    <w:p w:rsidR="00000000" w:rsidRDefault="0094004B">
      <w:pPr>
        <w:jc w:val="both"/>
        <w:divId w:val="102119171"/>
        <w:rPr>
          <w:rFonts w:eastAsia="Times New Roman"/>
        </w:rPr>
      </w:pPr>
      <w:r>
        <w:rPr>
          <w:rFonts w:eastAsia="Times New Roman"/>
          <w:b/>
          <w:bCs/>
          <w:color w:val="000000"/>
          <w:sz w:val="20"/>
          <w:szCs w:val="20"/>
        </w:rPr>
        <w:t>Market risk:</w:t>
      </w:r>
      <w:r>
        <w:rPr>
          <w:rFonts w:eastAsia="Times New Roman"/>
          <w:color w:val="000000"/>
          <w:sz w:val="20"/>
          <w:szCs w:val="20"/>
        </w:rPr>
        <w:t xml:space="preserve"> The risk that an institution’s earnings or the economic value of equity could be adversely impacted by changes in interest rates, foreign exchange rates or other market factors.</w:t>
      </w:r>
    </w:p>
    <w:p w:rsidR="00000000" w:rsidRDefault="0094004B">
      <w:pPr>
        <w:jc w:val="both"/>
        <w:divId w:val="324238522"/>
        <w:rPr>
          <w:rFonts w:eastAsia="Times New Roman"/>
        </w:rPr>
      </w:pPr>
      <w:r>
        <w:rPr>
          <w:rFonts w:eastAsia="Times New Roman"/>
          <w:b/>
          <w:bCs/>
          <w:color w:val="000000"/>
          <w:sz w:val="20"/>
          <w:szCs w:val="20"/>
        </w:rPr>
        <w:t>Master netting agreement:</w:t>
      </w:r>
      <w:r>
        <w:rPr>
          <w:rFonts w:eastAsia="Times New Roman"/>
          <w:color w:val="000000"/>
          <w:sz w:val="20"/>
          <w:szCs w:val="20"/>
        </w:rPr>
        <w:t xml:space="preserve"> An agr</w:t>
      </w:r>
      <w:r>
        <w:rPr>
          <w:rFonts w:eastAsia="Times New Roman"/>
          <w:color w:val="000000"/>
          <w:sz w:val="20"/>
          <w:szCs w:val="20"/>
        </w:rPr>
        <w:t>eement between two counterparties that have multiple contracts with each other that provides for the net settlement of all contracts through a single payment in the event of default or termination of any one contract.</w:t>
      </w:r>
    </w:p>
    <w:p w:rsidR="00000000" w:rsidRDefault="0094004B">
      <w:pPr>
        <w:jc w:val="both"/>
        <w:divId w:val="735014543"/>
        <w:rPr>
          <w:rFonts w:eastAsia="Times New Roman"/>
        </w:rPr>
      </w:pPr>
      <w:r>
        <w:rPr>
          <w:rFonts w:eastAsia="Times New Roman"/>
          <w:b/>
          <w:bCs/>
          <w:color w:val="000000"/>
          <w:sz w:val="20"/>
          <w:szCs w:val="20"/>
        </w:rPr>
        <w:t>Mortgage servicing rights (“MSRs”):</w:t>
      </w:r>
      <w:r>
        <w:rPr>
          <w:rFonts w:eastAsia="Times New Roman"/>
          <w:color w:val="000000"/>
          <w:sz w:val="20"/>
          <w:szCs w:val="20"/>
        </w:rPr>
        <w:t xml:space="preserve"> Th</w:t>
      </w:r>
      <w:r>
        <w:rPr>
          <w:rFonts w:eastAsia="Times New Roman"/>
          <w:color w:val="000000"/>
          <w:sz w:val="20"/>
          <w:szCs w:val="20"/>
        </w:rPr>
        <w:t>e right to service a mortgage loan when the underlying loan is sold or securitized. Servicing includes collections for principal, interest and escrow payments from borrowers and accounting for and remitting principal and interest payments to investors.</w:t>
      </w:r>
    </w:p>
    <w:p w:rsidR="00000000" w:rsidRDefault="0094004B">
      <w:pPr>
        <w:jc w:val="both"/>
        <w:divId w:val="150099399"/>
        <w:rPr>
          <w:rFonts w:eastAsia="Times New Roman"/>
        </w:rPr>
      </w:pPr>
      <w:r>
        <w:rPr>
          <w:rFonts w:eastAsia="Times New Roman"/>
          <w:b/>
          <w:bCs/>
          <w:color w:val="000000"/>
          <w:sz w:val="20"/>
          <w:szCs w:val="20"/>
        </w:rPr>
        <w:t>Net</w:t>
      </w:r>
      <w:r>
        <w:rPr>
          <w:rFonts w:eastAsia="Times New Roman"/>
          <w:b/>
          <w:bCs/>
          <w:color w:val="000000"/>
          <w:sz w:val="20"/>
          <w:szCs w:val="20"/>
        </w:rPr>
        <w:t xml:space="preserve"> charge-off rate</w:t>
      </w:r>
      <w:r>
        <w:rPr>
          <w:rFonts w:eastAsia="Times New Roman"/>
          <w:color w:val="000000"/>
          <w:sz w:val="20"/>
          <w:szCs w:val="20"/>
        </w:rPr>
        <w:t>: Represents (annualized) net charge-offs divided by average loans held for investment for the period. Negative net charge-offs and related rates are captioned as net recoveries.</w:t>
      </w:r>
    </w:p>
    <w:p w:rsidR="00000000" w:rsidRDefault="0094004B">
      <w:pPr>
        <w:jc w:val="both"/>
        <w:divId w:val="1274020113"/>
        <w:rPr>
          <w:rFonts w:eastAsia="Times New Roman"/>
        </w:rPr>
      </w:pPr>
      <w:r>
        <w:rPr>
          <w:rFonts w:eastAsia="Times New Roman"/>
          <w:b/>
          <w:bCs/>
          <w:color w:val="000000"/>
          <w:sz w:val="20"/>
          <w:szCs w:val="20"/>
        </w:rPr>
        <w:t>Net interest margin:</w:t>
      </w:r>
      <w:r>
        <w:rPr>
          <w:rFonts w:eastAsia="Times New Roman"/>
          <w:color w:val="000000"/>
          <w:sz w:val="20"/>
          <w:szCs w:val="20"/>
        </w:rPr>
        <w:t xml:space="preserve"> Represents (annualized) net interest inc</w:t>
      </w:r>
      <w:r>
        <w:rPr>
          <w:rFonts w:eastAsia="Times New Roman"/>
          <w:color w:val="000000"/>
          <w:sz w:val="20"/>
          <w:szCs w:val="20"/>
        </w:rPr>
        <w:t>ome divided by average interest-earning assets for the period.</w:t>
      </w:r>
    </w:p>
    <w:p w:rsidR="00000000" w:rsidRDefault="0094004B">
      <w:pPr>
        <w:jc w:val="both"/>
        <w:divId w:val="2089107569"/>
        <w:rPr>
          <w:rFonts w:eastAsia="Times New Roman"/>
        </w:rPr>
      </w:pPr>
      <w:r>
        <w:rPr>
          <w:rFonts w:eastAsia="Times New Roman"/>
          <w:b/>
          <w:bCs/>
          <w:color w:val="000000"/>
          <w:sz w:val="20"/>
          <w:szCs w:val="20"/>
        </w:rPr>
        <w:t>Nonperforming loans:</w:t>
      </w:r>
      <w:r>
        <w:rPr>
          <w:rFonts w:eastAsia="Times New Roman"/>
          <w:color w:val="000000"/>
          <w:sz w:val="20"/>
          <w:szCs w:val="20"/>
        </w:rPr>
        <w:t xml:space="preserve"> Generally include loans that have been placed on nonaccrual status. We do not report loans classified as held for sale as nonperforming.</w:t>
      </w:r>
    </w:p>
    <w:p w:rsidR="00000000" w:rsidRDefault="0094004B">
      <w:pPr>
        <w:jc w:val="both"/>
        <w:divId w:val="1203713024"/>
        <w:rPr>
          <w:rFonts w:eastAsia="Times New Roman"/>
        </w:rPr>
      </w:pPr>
      <w:r>
        <w:rPr>
          <w:rFonts w:eastAsia="Times New Roman"/>
          <w:b/>
          <w:bCs/>
          <w:color w:val="000000"/>
          <w:sz w:val="20"/>
          <w:szCs w:val="20"/>
        </w:rPr>
        <w:t>NSFR rule:</w:t>
      </w:r>
      <w:r>
        <w:rPr>
          <w:rFonts w:eastAsia="Times New Roman"/>
          <w:color w:val="000000"/>
          <w:sz w:val="20"/>
          <w:szCs w:val="20"/>
        </w:rPr>
        <w:t xml:space="preserve"> The Federal Banking Agen</w:t>
      </w:r>
      <w:r>
        <w:rPr>
          <w:rFonts w:eastAsia="Times New Roman"/>
          <w:color w:val="000000"/>
          <w:sz w:val="20"/>
          <w:szCs w:val="20"/>
        </w:rPr>
        <w:t>cies issued a rule in October 2020 implementing the net stable funding ratio (“NSFR”). The NSFR measures the stability of our funding profile and requires us to maintain minimum amounts of stable funding to support our assets, commitments and derivatives e</w:t>
      </w:r>
      <w:r>
        <w:rPr>
          <w:rFonts w:eastAsia="Times New Roman"/>
          <w:color w:val="000000"/>
          <w:sz w:val="20"/>
          <w:szCs w:val="20"/>
        </w:rPr>
        <w:t>xposures over a one-year period.</w:t>
      </w:r>
    </w:p>
    <w:p w:rsidR="00000000" w:rsidRDefault="0094004B">
      <w:pPr>
        <w:jc w:val="both"/>
        <w:divId w:val="1837530854"/>
        <w:rPr>
          <w:rFonts w:eastAsia="Times New Roman"/>
        </w:rPr>
      </w:pPr>
      <w:r>
        <w:rPr>
          <w:rFonts w:eastAsia="Times New Roman"/>
          <w:b/>
          <w:bCs/>
          <w:color w:val="000000"/>
          <w:sz w:val="20"/>
          <w:szCs w:val="20"/>
        </w:rPr>
        <w:t xml:space="preserve">Public Fund Deposits: </w:t>
      </w:r>
      <w:r>
        <w:rPr>
          <w:rFonts w:eastAsia="Times New Roman"/>
          <w:color w:val="000000"/>
          <w:sz w:val="20"/>
          <w:szCs w:val="20"/>
        </w:rPr>
        <w:t xml:space="preserve">Deposits that are derived from a variety of political subdivisions such as school districts and municipalities. </w:t>
      </w:r>
    </w:p>
    <w:p w:rsidR="00000000" w:rsidRDefault="0094004B">
      <w:pPr>
        <w:jc w:val="both"/>
        <w:divId w:val="1947735575"/>
        <w:rPr>
          <w:rFonts w:eastAsia="Times New Roman"/>
        </w:rPr>
      </w:pPr>
      <w:r>
        <w:rPr>
          <w:rFonts w:eastAsia="Times New Roman"/>
          <w:b/>
          <w:bCs/>
          <w:color w:val="000000"/>
          <w:sz w:val="20"/>
          <w:szCs w:val="20"/>
        </w:rPr>
        <w:t>Purchase volume:</w:t>
      </w:r>
      <w:r>
        <w:rPr>
          <w:rFonts w:eastAsia="Times New Roman"/>
          <w:color w:val="000000"/>
          <w:sz w:val="20"/>
          <w:szCs w:val="20"/>
        </w:rPr>
        <w:t xml:space="preserve"> Consists of purchase transactions, net of returns, for the period, and </w:t>
      </w:r>
      <w:r>
        <w:rPr>
          <w:rFonts w:eastAsia="Times New Roman"/>
          <w:color w:val="000000"/>
          <w:sz w:val="20"/>
          <w:szCs w:val="20"/>
        </w:rPr>
        <w:t>excludes cash advance and balance transfer transactions.</w:t>
      </w:r>
    </w:p>
    <w:p w:rsidR="00000000" w:rsidRDefault="0094004B">
      <w:pPr>
        <w:jc w:val="both"/>
        <w:divId w:val="2004383556"/>
        <w:rPr>
          <w:rFonts w:eastAsia="Times New Roman"/>
        </w:rPr>
      </w:pPr>
      <w:r>
        <w:rPr>
          <w:rFonts w:eastAsia="Times New Roman"/>
          <w:b/>
          <w:bCs/>
          <w:color w:val="000000"/>
          <w:sz w:val="20"/>
          <w:szCs w:val="20"/>
        </w:rPr>
        <w:t>Rating agency:</w:t>
      </w:r>
      <w:r>
        <w:rPr>
          <w:rFonts w:eastAsia="Times New Roman"/>
          <w:color w:val="000000"/>
          <w:sz w:val="20"/>
          <w:szCs w:val="20"/>
        </w:rPr>
        <w:t xml:space="preserve"> An independent agency that assesses the credit quality and likelihood of default of an issue or issuer and assigns a rating to that issue or issuer.</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513449643"/>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513449643"/>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513449643"/>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106</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32" style="width:0;height:1.5pt" o:hralign="center" o:hrstd="t" o:hr="t" fillcolor="#a0a0a0" stroked="f"/>
        </w:pict>
      </w:r>
    </w:p>
    <w:p w:rsidR="00000000" w:rsidRDefault="0094004B">
      <w:pPr>
        <w:ind w:hanging="360"/>
        <w:jc w:val="both"/>
        <w:divId w:val="885218439"/>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both"/>
        <w:divId w:val="1578124076"/>
        <w:rPr>
          <w:rFonts w:eastAsia="Times New Roman"/>
        </w:rPr>
      </w:pPr>
      <w:r>
        <w:rPr>
          <w:rFonts w:eastAsia="Times New Roman"/>
          <w:b/>
          <w:bCs/>
          <w:color w:val="000000"/>
          <w:sz w:val="20"/>
          <w:szCs w:val="20"/>
        </w:rPr>
        <w:t>Repurchase agreement:</w:t>
      </w:r>
      <w:r>
        <w:rPr>
          <w:rFonts w:eastAsia="Times New Roman"/>
          <w:color w:val="000000"/>
          <w:sz w:val="20"/>
          <w:szCs w:val="20"/>
        </w:rPr>
        <w:t xml:space="preserve"> An instrument used to raise short-term funds whereby securities are sold with an agreement for the seller to buy back the</w:t>
      </w:r>
      <w:r>
        <w:rPr>
          <w:rFonts w:eastAsia="Times New Roman"/>
          <w:color w:val="000000"/>
          <w:sz w:val="20"/>
          <w:szCs w:val="20"/>
        </w:rPr>
        <w:t xml:space="preserve"> securities at a later date. </w:t>
      </w:r>
    </w:p>
    <w:p w:rsidR="00000000" w:rsidRDefault="0094004B">
      <w:pPr>
        <w:jc w:val="both"/>
        <w:divId w:val="241063366"/>
        <w:rPr>
          <w:rFonts w:eastAsia="Times New Roman"/>
        </w:rPr>
      </w:pPr>
      <w:r>
        <w:rPr>
          <w:rFonts w:eastAsia="Times New Roman"/>
          <w:b/>
          <w:bCs/>
          <w:color w:val="000000"/>
          <w:sz w:val="20"/>
          <w:szCs w:val="20"/>
        </w:rPr>
        <w:t>Restructuring charges:</w:t>
      </w:r>
      <w:r>
        <w:rPr>
          <w:rFonts w:eastAsia="Times New Roman"/>
          <w:color w:val="000000"/>
          <w:sz w:val="20"/>
          <w:szCs w:val="20"/>
        </w:rPr>
        <w:t xml:space="preserve"> Charges associated with the realignment of resources supporting various businesses, primarily consisting of severance and related benefits pursuant to our ongoing benefit programs and impairment of certa</w:t>
      </w:r>
      <w:r>
        <w:rPr>
          <w:rFonts w:eastAsia="Times New Roman"/>
          <w:color w:val="000000"/>
          <w:sz w:val="20"/>
          <w:szCs w:val="20"/>
        </w:rPr>
        <w:t>in assets related to the business locations and/or activities being exited.</w:t>
      </w:r>
    </w:p>
    <w:p w:rsidR="00000000" w:rsidRDefault="0094004B">
      <w:pPr>
        <w:jc w:val="both"/>
        <w:divId w:val="479882171"/>
        <w:rPr>
          <w:rFonts w:eastAsia="Times New Roman"/>
        </w:rPr>
      </w:pPr>
      <w:r>
        <w:rPr>
          <w:rFonts w:eastAsia="Times New Roman"/>
          <w:b/>
          <w:bCs/>
          <w:color w:val="000000"/>
          <w:sz w:val="20"/>
          <w:szCs w:val="20"/>
        </w:rPr>
        <w:t xml:space="preserve">Risk-weighted assets: </w:t>
      </w:r>
      <w:r>
        <w:rPr>
          <w:rFonts w:eastAsia="Times New Roman"/>
          <w:color w:val="000000"/>
          <w:sz w:val="20"/>
          <w:szCs w:val="20"/>
        </w:rPr>
        <w:t>On- and off-balance sheet assets that are assigned to one of several broad risk categories and weighted by factors representing their risk and potential for d</w:t>
      </w:r>
      <w:r>
        <w:rPr>
          <w:rFonts w:eastAsia="Times New Roman"/>
          <w:color w:val="000000"/>
          <w:sz w:val="20"/>
          <w:szCs w:val="20"/>
        </w:rPr>
        <w:t xml:space="preserve">efault. </w:t>
      </w:r>
    </w:p>
    <w:p w:rsidR="00000000" w:rsidRDefault="0094004B">
      <w:pPr>
        <w:jc w:val="both"/>
        <w:divId w:val="198785126"/>
        <w:rPr>
          <w:rFonts w:eastAsia="Times New Roman"/>
        </w:rPr>
      </w:pPr>
      <w:r>
        <w:rPr>
          <w:rFonts w:eastAsia="Times New Roman"/>
          <w:b/>
          <w:bCs/>
          <w:color w:val="000000"/>
          <w:sz w:val="20"/>
          <w:szCs w:val="20"/>
        </w:rPr>
        <w:t>Securitized debt obligations:</w:t>
      </w:r>
      <w:r>
        <w:rPr>
          <w:rFonts w:eastAsia="Times New Roman"/>
          <w:color w:val="000000"/>
          <w:sz w:val="20"/>
          <w:szCs w:val="20"/>
        </w:rPr>
        <w:t xml:space="preserve"> </w:t>
      </w:r>
      <w:r>
        <w:rPr>
          <w:rFonts w:eastAsia="Times New Roman"/>
          <w:color w:val="000000"/>
          <w:sz w:val="20"/>
          <w:szCs w:val="20"/>
        </w:rPr>
        <w:t>A type of asset-backed security and structured credit product constructed from a portfolio of fixed-income assets.</w:t>
      </w:r>
    </w:p>
    <w:p w:rsidR="00000000" w:rsidRDefault="0094004B">
      <w:pPr>
        <w:jc w:val="both"/>
        <w:divId w:val="1003316738"/>
        <w:rPr>
          <w:rFonts w:eastAsia="Times New Roman"/>
        </w:rPr>
      </w:pPr>
      <w:r>
        <w:rPr>
          <w:rFonts w:eastAsia="Times New Roman"/>
          <w:b/>
          <w:bCs/>
          <w:color w:val="000000"/>
          <w:sz w:val="20"/>
          <w:szCs w:val="20"/>
        </w:rPr>
        <w:t xml:space="preserve">Stress capital buffer requirement: </w:t>
      </w:r>
      <w:r>
        <w:rPr>
          <w:rFonts w:eastAsia="Times New Roman"/>
          <w:color w:val="000000"/>
          <w:sz w:val="20"/>
          <w:szCs w:val="20"/>
        </w:rPr>
        <w:t xml:space="preserve">A component of our standardized approach capital conservation buffer, which is recalibrated annually based on the results of our supervisory stress tests. </w:t>
      </w:r>
    </w:p>
    <w:p w:rsidR="00000000" w:rsidRDefault="0094004B">
      <w:pPr>
        <w:jc w:val="both"/>
        <w:divId w:val="323360328"/>
        <w:rPr>
          <w:rFonts w:eastAsia="Times New Roman"/>
        </w:rPr>
      </w:pPr>
      <w:r>
        <w:rPr>
          <w:rFonts w:eastAsia="Times New Roman"/>
          <w:b/>
          <w:bCs/>
          <w:color w:val="000000"/>
          <w:sz w:val="20"/>
          <w:szCs w:val="20"/>
        </w:rPr>
        <w:t>Stress Capital Buffer Rule:</w:t>
      </w:r>
      <w:r>
        <w:rPr>
          <w:rFonts w:eastAsia="Times New Roman"/>
          <w:color w:val="000000"/>
          <w:sz w:val="20"/>
          <w:szCs w:val="20"/>
        </w:rPr>
        <w:t xml:space="preserve"> In March 2020, the Federal Reserve issued a final rule to implement the </w:t>
      </w:r>
      <w:r>
        <w:rPr>
          <w:rFonts w:eastAsia="Times New Roman"/>
          <w:color w:val="000000"/>
          <w:sz w:val="20"/>
          <w:szCs w:val="20"/>
        </w:rPr>
        <w:t>stress capital buffer requirement.</w:t>
      </w:r>
    </w:p>
    <w:p w:rsidR="00000000" w:rsidRDefault="0094004B">
      <w:pPr>
        <w:jc w:val="both"/>
        <w:divId w:val="1324236203"/>
        <w:rPr>
          <w:rFonts w:eastAsia="Times New Roman"/>
        </w:rPr>
      </w:pPr>
      <w:r>
        <w:rPr>
          <w:rFonts w:eastAsia="Times New Roman"/>
          <w:b/>
          <w:bCs/>
          <w:color w:val="000000"/>
          <w:sz w:val="20"/>
          <w:szCs w:val="20"/>
        </w:rPr>
        <w:t xml:space="preserve">Subprime: </w:t>
      </w:r>
      <w:r>
        <w:rPr>
          <w:rFonts w:eastAsia="Times New Roman"/>
          <w:color w:val="000000"/>
          <w:sz w:val="20"/>
          <w:szCs w:val="20"/>
        </w:rPr>
        <w:t>For purposes of lending in our Credit Card business, we generally consider FICO scores of 660 or below, or other equivalent risk scores, to be subprime. For purposes of auto lending in our Consumer Banking busin</w:t>
      </w:r>
      <w:r>
        <w:rPr>
          <w:rFonts w:eastAsia="Times New Roman"/>
          <w:color w:val="000000"/>
          <w:sz w:val="20"/>
          <w:szCs w:val="20"/>
        </w:rPr>
        <w:t>ess, we generally consider FICO scores of 620 or below to be subprime.</w:t>
      </w:r>
    </w:p>
    <w:p w:rsidR="00000000" w:rsidRDefault="0094004B">
      <w:pPr>
        <w:jc w:val="both"/>
        <w:divId w:val="1901136762"/>
        <w:rPr>
          <w:rFonts w:eastAsia="Times New Roman"/>
        </w:rPr>
      </w:pPr>
      <w:r>
        <w:rPr>
          <w:rFonts w:eastAsia="Times New Roman"/>
          <w:b/>
          <w:bCs/>
          <w:color w:val="000000"/>
          <w:sz w:val="20"/>
          <w:szCs w:val="20"/>
        </w:rPr>
        <w:t>Tangible common equity (“TCE”):</w:t>
      </w:r>
      <w:r>
        <w:rPr>
          <w:rFonts w:eastAsia="Times New Roman"/>
          <w:color w:val="000000"/>
          <w:sz w:val="20"/>
          <w:szCs w:val="20"/>
        </w:rPr>
        <w:t xml:space="preserve"> A non-GAAP financial measure calculated as common equity less goodwill and other intangible assets inclusive of any related deferred tax liabilities.</w:t>
      </w:r>
    </w:p>
    <w:p w:rsidR="00000000" w:rsidRDefault="0094004B">
      <w:pPr>
        <w:jc w:val="both"/>
        <w:divId w:val="1093238648"/>
        <w:rPr>
          <w:rFonts w:eastAsia="Times New Roman"/>
        </w:rPr>
      </w:pPr>
      <w:r>
        <w:rPr>
          <w:rFonts w:eastAsia="Times New Roman"/>
          <w:b/>
          <w:bCs/>
          <w:color w:val="000000"/>
          <w:sz w:val="20"/>
          <w:szCs w:val="20"/>
        </w:rPr>
        <w:t>Tro</w:t>
      </w:r>
      <w:r>
        <w:rPr>
          <w:rFonts w:eastAsia="Times New Roman"/>
          <w:b/>
          <w:bCs/>
          <w:color w:val="000000"/>
          <w:sz w:val="20"/>
          <w:szCs w:val="20"/>
        </w:rPr>
        <w:t>ubled debt restructuring (“TDR”):</w:t>
      </w:r>
      <w:r>
        <w:rPr>
          <w:rFonts w:eastAsia="Times New Roman"/>
          <w:color w:val="000000"/>
          <w:sz w:val="20"/>
          <w:szCs w:val="20"/>
        </w:rPr>
        <w:t xml:space="preserve"> A TDR is deemed to occur when the contractual terms of a loan agreement are modified by granting a concession to a borrower that is experiencing financial difficulty.</w:t>
      </w:r>
    </w:p>
    <w:p w:rsidR="00000000" w:rsidRDefault="0094004B">
      <w:pPr>
        <w:jc w:val="both"/>
        <w:divId w:val="1270699528"/>
        <w:rPr>
          <w:rFonts w:eastAsia="Times New Roman"/>
        </w:rPr>
      </w:pPr>
      <w:r>
        <w:rPr>
          <w:rFonts w:eastAsia="Times New Roman"/>
          <w:b/>
          <w:bCs/>
          <w:color w:val="000000"/>
          <w:sz w:val="20"/>
          <w:szCs w:val="20"/>
        </w:rPr>
        <w:t>Unfunded commitments:</w:t>
      </w:r>
      <w:r>
        <w:rPr>
          <w:rFonts w:eastAsia="Times New Roman"/>
          <w:color w:val="000000"/>
          <w:sz w:val="20"/>
          <w:szCs w:val="20"/>
        </w:rPr>
        <w:t xml:space="preserve"> Legally binding agreements to pro</w:t>
      </w:r>
      <w:r>
        <w:rPr>
          <w:rFonts w:eastAsia="Times New Roman"/>
          <w:color w:val="000000"/>
          <w:sz w:val="20"/>
          <w:szCs w:val="20"/>
        </w:rPr>
        <w:t>vide a defined level of financing until a specified future date.</w:t>
      </w:r>
    </w:p>
    <w:p w:rsidR="00000000" w:rsidRDefault="0094004B">
      <w:pPr>
        <w:jc w:val="both"/>
        <w:divId w:val="3559897"/>
        <w:rPr>
          <w:rFonts w:eastAsia="Times New Roman"/>
        </w:rPr>
      </w:pPr>
      <w:r>
        <w:rPr>
          <w:rFonts w:eastAsia="Times New Roman"/>
          <w:b/>
          <w:bCs/>
          <w:color w:val="000000"/>
          <w:sz w:val="20"/>
          <w:szCs w:val="20"/>
        </w:rPr>
        <w:t>U.S. GAAP:</w:t>
      </w:r>
      <w:r>
        <w:rPr>
          <w:rFonts w:eastAsia="Times New Roman"/>
          <w:color w:val="000000"/>
          <w:sz w:val="20"/>
          <w:szCs w:val="20"/>
        </w:rPr>
        <w:t xml:space="preserve"> Accounting principles generally accepted in the United States of America. Accounting rules and conventions defining acceptable practices in preparing financial statements in the U.</w:t>
      </w:r>
      <w:r>
        <w:rPr>
          <w:rFonts w:eastAsia="Times New Roman"/>
          <w:color w:val="000000"/>
          <w:sz w:val="20"/>
          <w:szCs w:val="20"/>
        </w:rPr>
        <w:t>S.</w:t>
      </w:r>
    </w:p>
    <w:p w:rsidR="00000000" w:rsidRDefault="0094004B">
      <w:pPr>
        <w:jc w:val="both"/>
        <w:divId w:val="314604602"/>
        <w:rPr>
          <w:rFonts w:eastAsia="Times New Roman"/>
        </w:rPr>
      </w:pPr>
      <w:r>
        <w:rPr>
          <w:rFonts w:eastAsia="Times New Roman"/>
          <w:b/>
          <w:bCs/>
          <w:color w:val="000000"/>
          <w:sz w:val="20"/>
          <w:szCs w:val="20"/>
        </w:rPr>
        <w:t>U.S. Real Gross Domestic Product (“GDP”) Rate</w:t>
      </w:r>
      <w:r>
        <w:rPr>
          <w:rFonts w:eastAsia="Times New Roman"/>
          <w:color w:val="000000"/>
          <w:sz w:val="20"/>
          <w:szCs w:val="20"/>
        </w:rPr>
        <w:t>: An inflation-adjusted measure that reflects the value of all goods and services produced by an economy in a given year.</w:t>
      </w:r>
    </w:p>
    <w:p w:rsidR="00000000" w:rsidRDefault="0094004B">
      <w:pPr>
        <w:jc w:val="both"/>
        <w:divId w:val="1520242920"/>
        <w:rPr>
          <w:rFonts w:eastAsia="Times New Roman"/>
        </w:rPr>
      </w:pPr>
      <w:r>
        <w:rPr>
          <w:rFonts w:eastAsia="Times New Roman"/>
          <w:b/>
          <w:bCs/>
          <w:color w:val="000000"/>
          <w:sz w:val="20"/>
          <w:szCs w:val="20"/>
        </w:rPr>
        <w:t>Variable interest entity (“VIE”):</w:t>
      </w:r>
      <w:r>
        <w:rPr>
          <w:rFonts w:eastAsia="Times New Roman"/>
          <w:color w:val="000000"/>
          <w:sz w:val="20"/>
          <w:szCs w:val="20"/>
        </w:rPr>
        <w:t xml:space="preserve"> An entity that, by design, either (i) lacks sufficie</w:t>
      </w:r>
      <w:r>
        <w:rPr>
          <w:rFonts w:eastAsia="Times New Roman"/>
          <w:color w:val="000000"/>
          <w:sz w:val="20"/>
          <w:szCs w:val="20"/>
        </w:rPr>
        <w:t>nt equity to permit the entity to finance its activities without additional subordinated financial support from other parties; or (ii) has equity investors that do not have (a) the ability to make significant decisions relating to the entity’s operations t</w:t>
      </w:r>
      <w:r>
        <w:rPr>
          <w:rFonts w:eastAsia="Times New Roman"/>
          <w:color w:val="000000"/>
          <w:sz w:val="20"/>
          <w:szCs w:val="20"/>
        </w:rPr>
        <w:t>hrough voting rights, (b) the obligation to absorb the expected losses, and/or (c) the right to receive the residual returns of the entity.</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30441758"/>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30441758"/>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30441758"/>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107</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33" style="width:0;height:1.5pt" o:hralign="center" o:hrstd="t" o:hr="t" fillcolor="#a0a0a0" stroked="f"/>
        </w:pict>
      </w:r>
    </w:p>
    <w:p w:rsidR="00000000" w:rsidRDefault="0094004B">
      <w:pPr>
        <w:ind w:hanging="360"/>
        <w:jc w:val="both"/>
        <w:divId w:val="737438002"/>
        <w:rPr>
          <w:rFonts w:eastAsia="Times New Roman"/>
        </w:rPr>
      </w:pPr>
      <w:hyperlink w:anchor="ia820611622d9441b977884dac00e0ebd_16"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342393572"/>
        </w:trPr>
        <w:tc>
          <w:tcPr>
            <w:tcW w:w="50" w:type="pct"/>
            <w:vAlign w:val="center"/>
            <w:hideMark/>
          </w:tcPr>
          <w:p w:rsidR="00000000" w:rsidRDefault="0094004B">
            <w:pPr>
              <w:ind w:hanging="360"/>
              <w:jc w:val="both"/>
              <w:rPr>
                <w:rFonts w:eastAsia="Times New Roman"/>
              </w:rPr>
            </w:pPr>
          </w:p>
        </w:tc>
        <w:tc>
          <w:tcPr>
            <w:tcW w:w="494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342393572"/>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94004B">
            <w:pPr>
              <w:spacing w:after="100"/>
              <w:divId w:val="1595046652"/>
              <w:rPr>
                <w:rFonts w:eastAsia="Times New Roman"/>
              </w:rPr>
            </w:pPr>
            <w:r>
              <w:rPr>
                <w:rFonts w:eastAsia="Times New Roman"/>
                <w:b/>
                <w:bCs/>
                <w:i/>
                <w:iCs/>
                <w:color w:val="000000"/>
                <w:sz w:val="20"/>
                <w:szCs w:val="20"/>
              </w:rPr>
              <w:t>Acronyms</w:t>
            </w:r>
          </w:p>
        </w:tc>
      </w:tr>
    </w:tbl>
    <w:p w:rsidR="00000000" w:rsidRDefault="0094004B">
      <w:pPr>
        <w:jc w:val="both"/>
        <w:divId w:val="1972244324"/>
        <w:rPr>
          <w:rFonts w:eastAsia="Times New Roman"/>
        </w:rPr>
      </w:pPr>
      <w:r>
        <w:rPr>
          <w:rFonts w:eastAsia="Times New Roman"/>
          <w:b/>
          <w:bCs/>
          <w:color w:val="000000"/>
          <w:sz w:val="20"/>
          <w:szCs w:val="20"/>
        </w:rPr>
        <w:t xml:space="preserve">ABS: </w:t>
      </w:r>
      <w:r>
        <w:rPr>
          <w:rFonts w:eastAsia="Times New Roman"/>
          <w:color w:val="000000"/>
          <w:sz w:val="20"/>
          <w:szCs w:val="20"/>
        </w:rPr>
        <w:t>Asset-backed securities</w:t>
      </w:r>
    </w:p>
    <w:p w:rsidR="00000000" w:rsidRDefault="0094004B">
      <w:pPr>
        <w:jc w:val="both"/>
        <w:divId w:val="210116504"/>
        <w:rPr>
          <w:rFonts w:eastAsia="Times New Roman"/>
        </w:rPr>
      </w:pPr>
      <w:r>
        <w:rPr>
          <w:rFonts w:eastAsia="Times New Roman"/>
          <w:b/>
          <w:bCs/>
          <w:color w:val="000000"/>
          <w:sz w:val="20"/>
          <w:szCs w:val="20"/>
        </w:rPr>
        <w:t>ACH:</w:t>
      </w:r>
      <w:r>
        <w:rPr>
          <w:rFonts w:eastAsia="Times New Roman"/>
          <w:color w:val="000000"/>
          <w:sz w:val="20"/>
          <w:szCs w:val="20"/>
        </w:rPr>
        <w:t xml:space="preserve"> Automated Clearing House</w:t>
      </w:r>
    </w:p>
    <w:p w:rsidR="00000000" w:rsidRDefault="0094004B">
      <w:pPr>
        <w:jc w:val="both"/>
        <w:divId w:val="720330654"/>
        <w:rPr>
          <w:rFonts w:eastAsia="Times New Roman"/>
        </w:rPr>
      </w:pPr>
      <w:r>
        <w:rPr>
          <w:rFonts w:eastAsia="Times New Roman"/>
          <w:b/>
          <w:bCs/>
          <w:color w:val="000000"/>
          <w:sz w:val="20"/>
          <w:szCs w:val="20"/>
        </w:rPr>
        <w:t>ACL:</w:t>
      </w:r>
      <w:r>
        <w:rPr>
          <w:rFonts w:eastAsia="Times New Roman"/>
          <w:color w:val="000000"/>
          <w:sz w:val="20"/>
          <w:szCs w:val="20"/>
        </w:rPr>
        <w:t xml:space="preserve"> Allowance for credit losses</w:t>
      </w:r>
    </w:p>
    <w:p w:rsidR="00000000" w:rsidRDefault="0094004B">
      <w:pPr>
        <w:jc w:val="both"/>
        <w:divId w:val="1543594965"/>
        <w:rPr>
          <w:rFonts w:eastAsia="Times New Roman"/>
        </w:rPr>
      </w:pPr>
      <w:r>
        <w:rPr>
          <w:rFonts w:eastAsia="Times New Roman"/>
          <w:b/>
          <w:bCs/>
          <w:color w:val="000000"/>
          <w:sz w:val="20"/>
          <w:szCs w:val="20"/>
        </w:rPr>
        <w:t xml:space="preserve">AML: </w:t>
      </w:r>
      <w:r>
        <w:rPr>
          <w:rFonts w:eastAsia="Times New Roman"/>
          <w:color w:val="000000"/>
          <w:sz w:val="20"/>
          <w:szCs w:val="20"/>
        </w:rPr>
        <w:t>Anti-money laundering</w:t>
      </w:r>
    </w:p>
    <w:p w:rsidR="00000000" w:rsidRDefault="0094004B">
      <w:pPr>
        <w:jc w:val="both"/>
        <w:divId w:val="2037652343"/>
        <w:rPr>
          <w:rFonts w:eastAsia="Times New Roman"/>
        </w:rPr>
      </w:pPr>
      <w:r>
        <w:rPr>
          <w:rFonts w:eastAsia="Times New Roman"/>
          <w:b/>
          <w:bCs/>
          <w:color w:val="000000"/>
          <w:sz w:val="20"/>
          <w:szCs w:val="20"/>
        </w:rPr>
        <w:t>AOCI:</w:t>
      </w:r>
      <w:r>
        <w:rPr>
          <w:rFonts w:eastAsia="Times New Roman"/>
          <w:color w:val="000000"/>
          <w:sz w:val="20"/>
          <w:szCs w:val="20"/>
        </w:rPr>
        <w:t xml:space="preserve"> Accumulated other comprehensive income</w:t>
      </w:r>
    </w:p>
    <w:p w:rsidR="00000000" w:rsidRDefault="0094004B">
      <w:pPr>
        <w:jc w:val="both"/>
        <w:divId w:val="1106123810"/>
        <w:rPr>
          <w:rFonts w:eastAsia="Times New Roman"/>
        </w:rPr>
      </w:pPr>
      <w:r>
        <w:rPr>
          <w:rFonts w:eastAsia="Times New Roman"/>
          <w:b/>
          <w:bCs/>
          <w:color w:val="000000"/>
          <w:sz w:val="20"/>
          <w:szCs w:val="20"/>
        </w:rPr>
        <w:t xml:space="preserve">ARRC: </w:t>
      </w:r>
      <w:r>
        <w:rPr>
          <w:rFonts w:eastAsia="Times New Roman"/>
          <w:color w:val="000000"/>
          <w:sz w:val="20"/>
          <w:szCs w:val="20"/>
        </w:rPr>
        <w:t>Alternative Reference Rates Committee</w:t>
      </w:r>
    </w:p>
    <w:p w:rsidR="00000000" w:rsidRDefault="0094004B">
      <w:pPr>
        <w:jc w:val="both"/>
        <w:divId w:val="1469012735"/>
        <w:rPr>
          <w:rFonts w:eastAsia="Times New Roman"/>
        </w:rPr>
      </w:pPr>
      <w:r>
        <w:rPr>
          <w:rFonts w:eastAsia="Times New Roman"/>
          <w:b/>
          <w:bCs/>
          <w:color w:val="000000"/>
          <w:sz w:val="20"/>
          <w:szCs w:val="20"/>
        </w:rPr>
        <w:t>ASU:</w:t>
      </w:r>
      <w:r>
        <w:rPr>
          <w:rFonts w:eastAsia="Times New Roman"/>
          <w:color w:val="000000"/>
          <w:sz w:val="20"/>
          <w:szCs w:val="20"/>
        </w:rPr>
        <w:t xml:space="preserve"> Accounting Standards Update</w:t>
      </w:r>
    </w:p>
    <w:p w:rsidR="00000000" w:rsidRDefault="0094004B">
      <w:pPr>
        <w:jc w:val="both"/>
        <w:divId w:val="504052420"/>
        <w:rPr>
          <w:rFonts w:eastAsia="Times New Roman"/>
        </w:rPr>
      </w:pPr>
      <w:r>
        <w:rPr>
          <w:rFonts w:eastAsia="Times New Roman"/>
          <w:b/>
          <w:bCs/>
          <w:color w:val="000000"/>
          <w:sz w:val="20"/>
          <w:szCs w:val="20"/>
        </w:rPr>
        <w:t>ASC:</w:t>
      </w:r>
      <w:r>
        <w:rPr>
          <w:rFonts w:eastAsia="Times New Roman"/>
          <w:color w:val="000000"/>
          <w:sz w:val="20"/>
          <w:szCs w:val="20"/>
        </w:rPr>
        <w:t xml:space="preserve"> Accounting Standards Codification</w:t>
      </w:r>
    </w:p>
    <w:p w:rsidR="00000000" w:rsidRDefault="0094004B">
      <w:pPr>
        <w:jc w:val="both"/>
        <w:divId w:val="163908850"/>
        <w:rPr>
          <w:rFonts w:eastAsia="Times New Roman"/>
        </w:rPr>
      </w:pPr>
      <w:r>
        <w:rPr>
          <w:rFonts w:eastAsia="Times New Roman"/>
          <w:b/>
          <w:bCs/>
          <w:color w:val="000000"/>
          <w:sz w:val="20"/>
          <w:szCs w:val="20"/>
        </w:rPr>
        <w:t>ATM:</w:t>
      </w:r>
      <w:r>
        <w:rPr>
          <w:rFonts w:eastAsia="Times New Roman"/>
          <w:color w:val="000000"/>
          <w:sz w:val="20"/>
          <w:szCs w:val="20"/>
        </w:rPr>
        <w:t xml:space="preserve"> Automated teller machine</w:t>
      </w:r>
    </w:p>
    <w:p w:rsidR="00000000" w:rsidRDefault="0094004B">
      <w:pPr>
        <w:jc w:val="both"/>
        <w:divId w:val="877619109"/>
        <w:rPr>
          <w:rFonts w:eastAsia="Times New Roman"/>
        </w:rPr>
      </w:pPr>
      <w:r>
        <w:rPr>
          <w:rFonts w:eastAsia="Times New Roman"/>
          <w:b/>
          <w:bCs/>
          <w:color w:val="000000"/>
          <w:sz w:val="20"/>
          <w:szCs w:val="20"/>
        </w:rPr>
        <w:t>AWS:</w:t>
      </w:r>
      <w:r>
        <w:rPr>
          <w:rFonts w:eastAsia="Times New Roman"/>
          <w:color w:val="000000"/>
          <w:sz w:val="20"/>
          <w:szCs w:val="20"/>
        </w:rPr>
        <w:t xml:space="preserve"> </w:t>
      </w:r>
      <w:r>
        <w:rPr>
          <w:rFonts w:eastAsia="Times New Roman"/>
          <w:color w:val="000000"/>
          <w:sz w:val="20"/>
          <w:szCs w:val="20"/>
        </w:rPr>
        <w:t>Amazon Web Services, Inc.</w:t>
      </w:r>
    </w:p>
    <w:p w:rsidR="00000000" w:rsidRDefault="0094004B">
      <w:pPr>
        <w:jc w:val="both"/>
        <w:divId w:val="1011681481"/>
        <w:rPr>
          <w:rFonts w:eastAsia="Times New Roman"/>
        </w:rPr>
      </w:pPr>
      <w:r>
        <w:rPr>
          <w:rFonts w:eastAsia="Times New Roman"/>
          <w:b/>
          <w:bCs/>
          <w:color w:val="000000"/>
          <w:sz w:val="20"/>
          <w:szCs w:val="20"/>
        </w:rPr>
        <w:t>BHC:</w:t>
      </w:r>
      <w:r>
        <w:rPr>
          <w:rFonts w:eastAsia="Times New Roman"/>
          <w:color w:val="000000"/>
          <w:sz w:val="20"/>
          <w:szCs w:val="20"/>
        </w:rPr>
        <w:t xml:space="preserve"> Bank holding company</w:t>
      </w:r>
    </w:p>
    <w:p w:rsidR="00000000" w:rsidRDefault="0094004B">
      <w:pPr>
        <w:jc w:val="both"/>
        <w:divId w:val="159320404"/>
        <w:rPr>
          <w:rFonts w:eastAsia="Times New Roman"/>
        </w:rPr>
      </w:pPr>
      <w:r>
        <w:rPr>
          <w:rFonts w:eastAsia="Times New Roman"/>
          <w:b/>
          <w:bCs/>
          <w:color w:val="000000"/>
          <w:sz w:val="20"/>
          <w:szCs w:val="20"/>
        </w:rPr>
        <w:t>bps:</w:t>
      </w:r>
      <w:r>
        <w:rPr>
          <w:rFonts w:eastAsia="Times New Roman"/>
          <w:color w:val="000000"/>
          <w:sz w:val="20"/>
          <w:szCs w:val="20"/>
        </w:rPr>
        <w:t xml:space="preserve"> Basis points</w:t>
      </w:r>
    </w:p>
    <w:p w:rsidR="00000000" w:rsidRDefault="0094004B">
      <w:pPr>
        <w:jc w:val="both"/>
        <w:divId w:val="1898010848"/>
        <w:rPr>
          <w:rFonts w:eastAsia="Times New Roman"/>
        </w:rPr>
      </w:pPr>
      <w:r>
        <w:rPr>
          <w:rFonts w:eastAsia="Times New Roman"/>
          <w:b/>
          <w:bCs/>
          <w:color w:val="000000"/>
          <w:sz w:val="20"/>
          <w:szCs w:val="20"/>
        </w:rPr>
        <w:t xml:space="preserve">CAD: </w:t>
      </w:r>
      <w:r>
        <w:rPr>
          <w:rFonts w:eastAsia="Times New Roman"/>
          <w:color w:val="000000"/>
          <w:sz w:val="20"/>
          <w:szCs w:val="20"/>
        </w:rPr>
        <w:t>Canadian dollar</w:t>
      </w:r>
    </w:p>
    <w:p w:rsidR="00000000" w:rsidRDefault="0094004B">
      <w:pPr>
        <w:jc w:val="both"/>
        <w:divId w:val="1010912547"/>
        <w:rPr>
          <w:rFonts w:eastAsia="Times New Roman"/>
        </w:rPr>
      </w:pPr>
      <w:r>
        <w:rPr>
          <w:rFonts w:eastAsia="Times New Roman"/>
          <w:b/>
          <w:bCs/>
          <w:color w:val="000000"/>
          <w:sz w:val="20"/>
          <w:szCs w:val="20"/>
        </w:rPr>
        <w:t>CAP:</w:t>
      </w:r>
      <w:r>
        <w:rPr>
          <w:rFonts w:eastAsia="Times New Roman"/>
          <w:color w:val="000000"/>
          <w:sz w:val="20"/>
          <w:szCs w:val="20"/>
        </w:rPr>
        <w:t xml:space="preserve"> Compliance Assurance Process</w:t>
      </w:r>
    </w:p>
    <w:p w:rsidR="00000000" w:rsidRDefault="0094004B">
      <w:pPr>
        <w:jc w:val="both"/>
        <w:divId w:val="1530483765"/>
        <w:rPr>
          <w:rFonts w:eastAsia="Times New Roman"/>
        </w:rPr>
      </w:pPr>
      <w:r>
        <w:rPr>
          <w:rFonts w:eastAsia="Times New Roman"/>
          <w:b/>
          <w:bCs/>
          <w:color w:val="000000"/>
          <w:sz w:val="20"/>
          <w:szCs w:val="20"/>
        </w:rPr>
        <w:t xml:space="preserve">CARES: </w:t>
      </w:r>
      <w:r>
        <w:rPr>
          <w:rFonts w:eastAsia="Times New Roman"/>
          <w:color w:val="000000"/>
          <w:sz w:val="20"/>
          <w:szCs w:val="20"/>
        </w:rPr>
        <w:t>Coronavirus Aid, Relief, and Economic Security</w:t>
      </w:r>
    </w:p>
    <w:p w:rsidR="00000000" w:rsidRDefault="0094004B">
      <w:pPr>
        <w:jc w:val="both"/>
        <w:divId w:val="381712901"/>
        <w:rPr>
          <w:rFonts w:eastAsia="Times New Roman"/>
        </w:rPr>
      </w:pPr>
      <w:r>
        <w:rPr>
          <w:rFonts w:eastAsia="Times New Roman"/>
          <w:b/>
          <w:bCs/>
          <w:color w:val="000000"/>
          <w:sz w:val="20"/>
          <w:szCs w:val="20"/>
        </w:rPr>
        <w:t xml:space="preserve">CCAR: </w:t>
      </w:r>
      <w:r>
        <w:rPr>
          <w:rFonts w:eastAsia="Times New Roman"/>
          <w:color w:val="000000"/>
          <w:sz w:val="20"/>
          <w:szCs w:val="20"/>
        </w:rPr>
        <w:t>Comprehensive Capital Analysis and Review</w:t>
      </w:r>
    </w:p>
    <w:p w:rsidR="00000000" w:rsidRDefault="0094004B">
      <w:pPr>
        <w:jc w:val="both"/>
        <w:divId w:val="750126053"/>
        <w:rPr>
          <w:rFonts w:eastAsia="Times New Roman"/>
        </w:rPr>
      </w:pPr>
      <w:r>
        <w:rPr>
          <w:rFonts w:eastAsia="Times New Roman"/>
          <w:b/>
          <w:bCs/>
          <w:color w:val="000000"/>
          <w:sz w:val="20"/>
          <w:szCs w:val="20"/>
        </w:rPr>
        <w:t>CCP:</w:t>
      </w:r>
      <w:r>
        <w:rPr>
          <w:rFonts w:eastAsia="Times New Roman"/>
          <w:color w:val="000000"/>
          <w:sz w:val="20"/>
          <w:szCs w:val="20"/>
        </w:rPr>
        <w:t xml:space="preserve"> Central Counterparty Clearinghouse, or Central Clearinghouse</w:t>
      </w:r>
    </w:p>
    <w:p w:rsidR="00000000" w:rsidRDefault="0094004B">
      <w:pPr>
        <w:divId w:val="1661692334"/>
        <w:rPr>
          <w:rFonts w:eastAsia="Times New Roman"/>
        </w:rPr>
      </w:pPr>
      <w:r>
        <w:rPr>
          <w:rFonts w:eastAsia="Times New Roman"/>
          <w:b/>
          <w:bCs/>
          <w:color w:val="000000"/>
          <w:sz w:val="20"/>
          <w:szCs w:val="20"/>
        </w:rPr>
        <w:t>CDE:</w:t>
      </w:r>
      <w:r>
        <w:rPr>
          <w:rFonts w:eastAsia="Times New Roman"/>
          <w:color w:val="000000"/>
          <w:sz w:val="20"/>
          <w:szCs w:val="20"/>
        </w:rPr>
        <w:t xml:space="preserve"> Community development entities </w:t>
      </w:r>
    </w:p>
    <w:p w:rsidR="00000000" w:rsidRDefault="0094004B">
      <w:pPr>
        <w:jc w:val="both"/>
        <w:divId w:val="1483234804"/>
        <w:rPr>
          <w:rFonts w:eastAsia="Times New Roman"/>
        </w:rPr>
      </w:pPr>
      <w:r>
        <w:rPr>
          <w:rFonts w:eastAsia="Times New Roman"/>
          <w:b/>
          <w:bCs/>
          <w:color w:val="000000"/>
          <w:sz w:val="20"/>
          <w:szCs w:val="20"/>
        </w:rPr>
        <w:t xml:space="preserve">CECL: </w:t>
      </w:r>
      <w:r>
        <w:rPr>
          <w:rFonts w:eastAsia="Times New Roman"/>
          <w:color w:val="000000"/>
          <w:sz w:val="20"/>
          <w:szCs w:val="20"/>
        </w:rPr>
        <w:t>Current expected credit loss</w:t>
      </w:r>
    </w:p>
    <w:p w:rsidR="00000000" w:rsidRDefault="0094004B">
      <w:pPr>
        <w:jc w:val="both"/>
        <w:divId w:val="2094161931"/>
        <w:rPr>
          <w:rFonts w:eastAsia="Times New Roman"/>
        </w:rPr>
      </w:pPr>
      <w:r>
        <w:rPr>
          <w:rFonts w:eastAsia="Times New Roman"/>
          <w:b/>
          <w:bCs/>
          <w:color w:val="000000"/>
          <w:sz w:val="20"/>
          <w:szCs w:val="20"/>
        </w:rPr>
        <w:t xml:space="preserve">CET1: </w:t>
      </w:r>
      <w:r>
        <w:rPr>
          <w:rFonts w:eastAsia="Times New Roman"/>
          <w:color w:val="000000"/>
          <w:sz w:val="20"/>
          <w:szCs w:val="20"/>
        </w:rPr>
        <w:t>Common equity Tier 1 capital</w:t>
      </w:r>
    </w:p>
    <w:p w:rsidR="00000000" w:rsidRDefault="0094004B">
      <w:pPr>
        <w:divId w:val="413207236"/>
        <w:rPr>
          <w:rFonts w:eastAsia="Times New Roman"/>
        </w:rPr>
      </w:pPr>
      <w:r>
        <w:rPr>
          <w:rFonts w:eastAsia="Times New Roman"/>
          <w:b/>
          <w:bCs/>
          <w:color w:val="000000"/>
          <w:sz w:val="20"/>
          <w:szCs w:val="20"/>
        </w:rPr>
        <w:t xml:space="preserve">CFPB: </w:t>
      </w:r>
      <w:r>
        <w:rPr>
          <w:rFonts w:eastAsia="Times New Roman"/>
          <w:color w:val="000000"/>
          <w:sz w:val="20"/>
          <w:szCs w:val="20"/>
        </w:rPr>
        <w:t>Consumer Financial Protection Burea</w:t>
      </w:r>
      <w:r>
        <w:rPr>
          <w:rFonts w:eastAsia="Times New Roman"/>
          <w:color w:val="000000"/>
          <w:sz w:val="20"/>
          <w:szCs w:val="20"/>
        </w:rPr>
        <w:t>u</w:t>
      </w:r>
    </w:p>
    <w:p w:rsidR="00000000" w:rsidRDefault="0094004B">
      <w:pPr>
        <w:divId w:val="208732219"/>
        <w:rPr>
          <w:rFonts w:eastAsia="Times New Roman"/>
        </w:rPr>
      </w:pPr>
      <w:r>
        <w:rPr>
          <w:rFonts w:eastAsia="Times New Roman"/>
          <w:b/>
          <w:bCs/>
          <w:color w:val="000000"/>
          <w:sz w:val="20"/>
          <w:szCs w:val="20"/>
        </w:rPr>
        <w:t>CFTC:</w:t>
      </w:r>
      <w:r>
        <w:rPr>
          <w:rFonts w:eastAsia="Times New Roman"/>
          <w:color w:val="000000"/>
          <w:sz w:val="20"/>
          <w:szCs w:val="20"/>
        </w:rPr>
        <w:t xml:space="preserve"> Commodity Futures Trading Commission</w:t>
      </w:r>
    </w:p>
    <w:p w:rsidR="00000000" w:rsidRDefault="0094004B">
      <w:pPr>
        <w:divId w:val="1609462845"/>
        <w:rPr>
          <w:rFonts w:eastAsia="Times New Roman"/>
        </w:rPr>
      </w:pPr>
      <w:r>
        <w:rPr>
          <w:rFonts w:eastAsia="Times New Roman"/>
          <w:b/>
          <w:bCs/>
          <w:color w:val="000000"/>
          <w:sz w:val="20"/>
          <w:szCs w:val="20"/>
        </w:rPr>
        <w:t>CIBC:</w:t>
      </w:r>
      <w:r>
        <w:rPr>
          <w:rFonts w:eastAsia="Times New Roman"/>
          <w:color w:val="000000"/>
          <w:sz w:val="20"/>
          <w:szCs w:val="20"/>
        </w:rPr>
        <w:t xml:space="preserve"> the Change in Bank Control Act</w:t>
      </w:r>
    </w:p>
    <w:p w:rsidR="00000000" w:rsidRDefault="0094004B">
      <w:pPr>
        <w:divId w:val="1743793847"/>
        <w:rPr>
          <w:rFonts w:eastAsia="Times New Roman"/>
        </w:rPr>
      </w:pPr>
      <w:r>
        <w:rPr>
          <w:rFonts w:eastAsia="Times New Roman"/>
          <w:b/>
          <w:bCs/>
          <w:color w:val="000000"/>
          <w:sz w:val="20"/>
          <w:szCs w:val="20"/>
        </w:rPr>
        <w:t xml:space="preserve">CISA: </w:t>
      </w:r>
      <w:r>
        <w:rPr>
          <w:rFonts w:eastAsia="Times New Roman"/>
          <w:color w:val="000000"/>
          <w:sz w:val="20"/>
          <w:szCs w:val="20"/>
        </w:rPr>
        <w:t>Cybersecurity and Infrastructure Security Agency</w:t>
      </w:r>
    </w:p>
    <w:p w:rsidR="00000000" w:rsidRDefault="0094004B">
      <w:pPr>
        <w:jc w:val="both"/>
        <w:divId w:val="828210282"/>
        <w:rPr>
          <w:rFonts w:eastAsia="Times New Roman"/>
        </w:rPr>
      </w:pPr>
      <w:r>
        <w:rPr>
          <w:rFonts w:eastAsia="Times New Roman"/>
          <w:b/>
          <w:bCs/>
          <w:color w:val="000000"/>
          <w:sz w:val="20"/>
          <w:szCs w:val="20"/>
        </w:rPr>
        <w:t xml:space="preserve">CMBS: </w:t>
      </w:r>
      <w:r>
        <w:rPr>
          <w:rFonts w:eastAsia="Times New Roman"/>
          <w:color w:val="000000"/>
          <w:sz w:val="20"/>
          <w:szCs w:val="20"/>
        </w:rPr>
        <w:t>Commercial mortgage-backed securities</w:t>
      </w:r>
    </w:p>
    <w:p w:rsidR="00000000" w:rsidRDefault="0094004B">
      <w:pPr>
        <w:jc w:val="both"/>
        <w:divId w:val="364719901"/>
        <w:rPr>
          <w:rFonts w:eastAsia="Times New Roman"/>
        </w:rPr>
      </w:pPr>
      <w:r>
        <w:rPr>
          <w:rFonts w:eastAsia="Times New Roman"/>
          <w:b/>
          <w:bCs/>
          <w:color w:val="000000"/>
          <w:sz w:val="20"/>
          <w:szCs w:val="20"/>
        </w:rPr>
        <w:t>CME:</w:t>
      </w:r>
      <w:r>
        <w:rPr>
          <w:rFonts w:eastAsia="Times New Roman"/>
          <w:color w:val="000000"/>
          <w:sz w:val="20"/>
          <w:szCs w:val="20"/>
        </w:rPr>
        <w:t xml:space="preserve"> Chicago Mercantile Exchange</w:t>
      </w:r>
    </w:p>
    <w:p w:rsidR="00000000" w:rsidRDefault="0094004B">
      <w:pPr>
        <w:divId w:val="192351365"/>
        <w:rPr>
          <w:rFonts w:eastAsia="Times New Roman"/>
        </w:rPr>
      </w:pPr>
      <w:r>
        <w:rPr>
          <w:rFonts w:eastAsia="Times New Roman"/>
          <w:b/>
          <w:bCs/>
          <w:color w:val="000000"/>
          <w:sz w:val="20"/>
          <w:szCs w:val="20"/>
        </w:rPr>
        <w:t>CPRA:</w:t>
      </w:r>
      <w:r>
        <w:rPr>
          <w:rFonts w:eastAsia="Times New Roman"/>
          <w:color w:val="000000"/>
          <w:sz w:val="20"/>
          <w:szCs w:val="20"/>
        </w:rPr>
        <w:t xml:space="preserve"> California Privacy Rights Act </w:t>
      </w:r>
    </w:p>
    <w:p w:rsidR="00000000" w:rsidRDefault="0094004B">
      <w:pPr>
        <w:jc w:val="both"/>
        <w:divId w:val="1478110621"/>
        <w:rPr>
          <w:rFonts w:eastAsia="Times New Roman"/>
        </w:rPr>
      </w:pPr>
      <w:r>
        <w:rPr>
          <w:rFonts w:eastAsia="Times New Roman"/>
          <w:b/>
          <w:bCs/>
          <w:color w:val="000000"/>
          <w:sz w:val="20"/>
          <w:szCs w:val="20"/>
        </w:rPr>
        <w:t>COBNA</w:t>
      </w:r>
      <w:r>
        <w:rPr>
          <w:rFonts w:eastAsia="Times New Roman"/>
          <w:b/>
          <w:bCs/>
          <w:color w:val="000000"/>
          <w:sz w:val="20"/>
          <w:szCs w:val="20"/>
        </w:rPr>
        <w:t xml:space="preserve">: </w:t>
      </w:r>
      <w:r>
        <w:rPr>
          <w:rFonts w:eastAsia="Times New Roman"/>
          <w:color w:val="000000"/>
          <w:sz w:val="20"/>
          <w:szCs w:val="20"/>
        </w:rPr>
        <w:t>Capital One Bank (USA), National Association</w:t>
      </w:r>
    </w:p>
    <w:p w:rsidR="00000000" w:rsidRDefault="0094004B">
      <w:pPr>
        <w:jc w:val="both"/>
        <w:divId w:val="1793551148"/>
        <w:rPr>
          <w:rFonts w:eastAsia="Times New Roman"/>
        </w:rPr>
      </w:pPr>
      <w:r>
        <w:rPr>
          <w:rFonts w:eastAsia="Times New Roman"/>
          <w:b/>
          <w:bCs/>
          <w:color w:val="000000"/>
          <w:sz w:val="20"/>
          <w:szCs w:val="20"/>
        </w:rPr>
        <w:t>COEP:</w:t>
      </w:r>
      <w:r>
        <w:rPr>
          <w:rFonts w:eastAsia="Times New Roman"/>
          <w:color w:val="000000"/>
          <w:sz w:val="20"/>
          <w:szCs w:val="20"/>
        </w:rPr>
        <w:t xml:space="preserve"> Capital One (Europe) plc</w:t>
      </w:r>
    </w:p>
    <w:p w:rsidR="00000000" w:rsidRDefault="0094004B">
      <w:pPr>
        <w:jc w:val="both"/>
        <w:divId w:val="217478005"/>
        <w:rPr>
          <w:rFonts w:eastAsia="Times New Roman"/>
        </w:rPr>
      </w:pPr>
      <w:r>
        <w:rPr>
          <w:rFonts w:eastAsia="Times New Roman"/>
          <w:b/>
          <w:bCs/>
          <w:color w:val="000000"/>
          <w:sz w:val="20"/>
          <w:szCs w:val="20"/>
        </w:rPr>
        <w:t>COF:</w:t>
      </w:r>
      <w:r>
        <w:rPr>
          <w:rFonts w:eastAsia="Times New Roman"/>
          <w:color w:val="000000"/>
          <w:sz w:val="20"/>
          <w:szCs w:val="20"/>
        </w:rPr>
        <w:t xml:space="preserve"> Capital One Financial Corporation</w:t>
      </w:r>
    </w:p>
    <w:p w:rsidR="00000000" w:rsidRDefault="0094004B">
      <w:pPr>
        <w:jc w:val="both"/>
        <w:divId w:val="2131629989"/>
        <w:rPr>
          <w:rFonts w:eastAsia="Times New Roman"/>
        </w:rPr>
      </w:pPr>
      <w:r>
        <w:rPr>
          <w:rFonts w:eastAsia="Times New Roman"/>
          <w:b/>
          <w:bCs/>
          <w:color w:val="000000"/>
          <w:sz w:val="20"/>
          <w:szCs w:val="20"/>
        </w:rPr>
        <w:t>CONA</w:t>
      </w:r>
      <w:r>
        <w:rPr>
          <w:rFonts w:eastAsia="Times New Roman"/>
          <w:color w:val="000000"/>
          <w:sz w:val="20"/>
          <w:szCs w:val="20"/>
        </w:rPr>
        <w:t>: Capital One, National Association</w:t>
      </w:r>
    </w:p>
    <w:p w:rsidR="00000000" w:rsidRDefault="0094004B">
      <w:pPr>
        <w:jc w:val="both"/>
        <w:divId w:val="845171504"/>
        <w:rPr>
          <w:rFonts w:eastAsia="Times New Roman"/>
        </w:rPr>
      </w:pPr>
      <w:r>
        <w:rPr>
          <w:rFonts w:eastAsia="Times New Roman"/>
          <w:b/>
          <w:bCs/>
          <w:color w:val="000000"/>
          <w:sz w:val="20"/>
          <w:szCs w:val="20"/>
        </w:rPr>
        <w:t xml:space="preserve">COSO: </w:t>
      </w:r>
      <w:r>
        <w:rPr>
          <w:rFonts w:eastAsia="Times New Roman"/>
          <w:color w:val="000000"/>
          <w:sz w:val="20"/>
          <w:szCs w:val="20"/>
        </w:rPr>
        <w:t>Committee of the Treadway Commission</w:t>
      </w:r>
    </w:p>
    <w:p w:rsidR="00000000" w:rsidRDefault="0094004B">
      <w:pPr>
        <w:jc w:val="both"/>
        <w:divId w:val="301691915"/>
        <w:rPr>
          <w:rFonts w:eastAsia="Times New Roman"/>
        </w:rPr>
      </w:pPr>
      <w:r>
        <w:rPr>
          <w:rFonts w:eastAsia="Times New Roman"/>
          <w:b/>
          <w:bCs/>
          <w:color w:val="000000"/>
          <w:sz w:val="20"/>
          <w:szCs w:val="20"/>
        </w:rPr>
        <w:t xml:space="preserve">COVID-19: </w:t>
      </w:r>
      <w:r>
        <w:rPr>
          <w:rFonts w:eastAsia="Times New Roman"/>
          <w:color w:val="000000"/>
          <w:sz w:val="20"/>
          <w:szCs w:val="20"/>
        </w:rPr>
        <w:t>Coronavirus disease of 2019</w:t>
      </w:r>
    </w:p>
    <w:p w:rsidR="00000000" w:rsidRDefault="0094004B">
      <w:pPr>
        <w:divId w:val="1754667562"/>
        <w:rPr>
          <w:rFonts w:eastAsia="Times New Roman"/>
        </w:rPr>
      </w:pPr>
      <w:r>
        <w:rPr>
          <w:rFonts w:eastAsia="Times New Roman"/>
          <w:b/>
          <w:bCs/>
          <w:color w:val="000000"/>
          <w:sz w:val="20"/>
          <w:szCs w:val="20"/>
        </w:rPr>
        <w:t>CRA:</w:t>
      </w:r>
      <w:r>
        <w:rPr>
          <w:rFonts w:eastAsia="Times New Roman"/>
          <w:color w:val="000000"/>
          <w:sz w:val="20"/>
          <w:szCs w:val="20"/>
        </w:rPr>
        <w:t xml:space="preserve"> Community Rei</w:t>
      </w:r>
      <w:r>
        <w:rPr>
          <w:rFonts w:eastAsia="Times New Roman"/>
          <w:color w:val="000000"/>
          <w:sz w:val="20"/>
          <w:szCs w:val="20"/>
        </w:rPr>
        <w:t xml:space="preserve">nvestment Act </w:t>
      </w:r>
    </w:p>
    <w:p w:rsidR="00000000" w:rsidRDefault="0094004B">
      <w:pPr>
        <w:jc w:val="both"/>
        <w:divId w:val="1245997103"/>
        <w:rPr>
          <w:rFonts w:eastAsia="Times New Roman"/>
        </w:rPr>
      </w:pPr>
      <w:r>
        <w:rPr>
          <w:rFonts w:eastAsia="Times New Roman"/>
          <w:b/>
          <w:bCs/>
          <w:color w:val="000000"/>
          <w:sz w:val="20"/>
          <w:szCs w:val="20"/>
        </w:rPr>
        <w:t xml:space="preserve">CVA: </w:t>
      </w:r>
      <w:r>
        <w:rPr>
          <w:rFonts w:eastAsia="Times New Roman"/>
          <w:color w:val="000000"/>
          <w:sz w:val="20"/>
          <w:szCs w:val="20"/>
        </w:rPr>
        <w:t>Credit valuation adjustment</w:t>
      </w:r>
    </w:p>
    <w:p w:rsidR="00000000" w:rsidRDefault="0094004B">
      <w:pPr>
        <w:jc w:val="both"/>
        <w:divId w:val="61879965"/>
        <w:rPr>
          <w:rFonts w:eastAsia="Times New Roman"/>
        </w:rPr>
      </w:pPr>
      <w:r>
        <w:rPr>
          <w:rFonts w:eastAsia="Times New Roman"/>
          <w:b/>
          <w:bCs/>
          <w:color w:val="000000"/>
          <w:sz w:val="20"/>
          <w:szCs w:val="20"/>
        </w:rPr>
        <w:t>DCF:</w:t>
      </w:r>
      <w:r>
        <w:rPr>
          <w:rFonts w:eastAsia="Times New Roman"/>
          <w:color w:val="000000"/>
          <w:sz w:val="20"/>
          <w:szCs w:val="20"/>
        </w:rPr>
        <w:t xml:space="preserve"> Discounted cash flow</w:t>
      </w:r>
    </w:p>
    <w:p w:rsidR="00000000" w:rsidRDefault="0094004B">
      <w:pPr>
        <w:jc w:val="both"/>
        <w:divId w:val="975993992"/>
        <w:rPr>
          <w:rFonts w:eastAsia="Times New Roman"/>
        </w:rPr>
      </w:pPr>
      <w:r>
        <w:rPr>
          <w:rFonts w:eastAsia="Times New Roman"/>
          <w:b/>
          <w:bCs/>
          <w:color w:val="000000"/>
          <w:sz w:val="20"/>
          <w:szCs w:val="20"/>
        </w:rPr>
        <w:t>DFAST:</w:t>
      </w:r>
      <w:r>
        <w:rPr>
          <w:rFonts w:eastAsia="Times New Roman"/>
          <w:color w:val="000000"/>
          <w:sz w:val="20"/>
          <w:szCs w:val="20"/>
        </w:rPr>
        <w:t xml:space="preserve"> Dodd-Frank Act Stress Tests</w:t>
      </w:r>
    </w:p>
    <w:p w:rsidR="00000000" w:rsidRDefault="0094004B">
      <w:pPr>
        <w:divId w:val="397946304"/>
        <w:rPr>
          <w:rFonts w:eastAsia="Times New Roman"/>
        </w:rPr>
      </w:pPr>
      <w:r>
        <w:rPr>
          <w:rFonts w:eastAsia="Times New Roman"/>
          <w:b/>
          <w:bCs/>
          <w:color w:val="000000"/>
          <w:sz w:val="20"/>
          <w:szCs w:val="20"/>
        </w:rPr>
        <w:t xml:space="preserve">DIB: </w:t>
      </w:r>
      <w:r>
        <w:rPr>
          <w:rFonts w:eastAsia="Times New Roman"/>
          <w:color w:val="000000"/>
          <w:sz w:val="20"/>
          <w:szCs w:val="20"/>
        </w:rPr>
        <w:t>Diversity Inclusion and Belonging</w:t>
      </w:r>
    </w:p>
    <w:p w:rsidR="00000000" w:rsidRDefault="0094004B">
      <w:pPr>
        <w:jc w:val="both"/>
        <w:divId w:val="561720023"/>
        <w:rPr>
          <w:rFonts w:eastAsia="Times New Roman"/>
        </w:rPr>
      </w:pPr>
      <w:r>
        <w:rPr>
          <w:rFonts w:eastAsia="Times New Roman"/>
          <w:b/>
          <w:bCs/>
          <w:color w:val="000000"/>
          <w:sz w:val="20"/>
          <w:szCs w:val="20"/>
        </w:rPr>
        <w:t>DIF</w:t>
      </w:r>
      <w:r>
        <w:rPr>
          <w:rFonts w:eastAsia="Times New Roman"/>
          <w:color w:val="000000"/>
          <w:sz w:val="20"/>
          <w:szCs w:val="20"/>
        </w:rPr>
        <w:t>: Deposit Insurance Fund</w:t>
      </w:r>
    </w:p>
    <w:p w:rsidR="00000000" w:rsidRDefault="0094004B">
      <w:pPr>
        <w:divId w:val="136340662"/>
        <w:rPr>
          <w:rFonts w:eastAsia="Times New Roman"/>
        </w:rPr>
      </w:pPr>
      <w:r>
        <w:rPr>
          <w:rFonts w:eastAsia="Times New Roman"/>
          <w:b/>
          <w:bCs/>
          <w:color w:val="000000"/>
          <w:sz w:val="20"/>
          <w:szCs w:val="20"/>
        </w:rPr>
        <w:t>DRR:</w:t>
      </w:r>
      <w:r>
        <w:rPr>
          <w:rFonts w:eastAsia="Times New Roman"/>
          <w:color w:val="000000"/>
          <w:sz w:val="20"/>
          <w:szCs w:val="20"/>
        </w:rPr>
        <w:t xml:space="preserve"> Designated Reserve Ratio</w:t>
      </w:r>
    </w:p>
    <w:p w:rsidR="00000000" w:rsidRDefault="0094004B">
      <w:pPr>
        <w:jc w:val="both"/>
        <w:divId w:val="838468107"/>
        <w:rPr>
          <w:rFonts w:eastAsia="Times New Roman"/>
        </w:rPr>
      </w:pPr>
      <w:r>
        <w:rPr>
          <w:rFonts w:eastAsia="Times New Roman"/>
          <w:b/>
          <w:bCs/>
          <w:color w:val="000000"/>
          <w:sz w:val="20"/>
          <w:szCs w:val="20"/>
        </w:rPr>
        <w:t xml:space="preserve">DVA: </w:t>
      </w:r>
      <w:r>
        <w:rPr>
          <w:rFonts w:eastAsia="Times New Roman"/>
          <w:color w:val="000000"/>
          <w:sz w:val="20"/>
          <w:szCs w:val="20"/>
        </w:rPr>
        <w:t>Debit valuation adjustment</w:t>
      </w:r>
    </w:p>
    <w:p w:rsidR="00000000" w:rsidRDefault="0094004B">
      <w:pPr>
        <w:divId w:val="1609774882"/>
        <w:rPr>
          <w:rFonts w:eastAsia="Times New Roman"/>
        </w:rPr>
      </w:pPr>
      <w:r>
        <w:rPr>
          <w:rFonts w:eastAsia="Times New Roman"/>
          <w:b/>
          <w:bCs/>
          <w:color w:val="000000"/>
          <w:sz w:val="20"/>
          <w:szCs w:val="20"/>
        </w:rPr>
        <w:t>EGRRCPA:</w:t>
      </w:r>
      <w:r>
        <w:rPr>
          <w:rFonts w:eastAsia="Times New Roman"/>
          <w:color w:val="000000"/>
          <w:sz w:val="20"/>
          <w:szCs w:val="20"/>
        </w:rPr>
        <w:t xml:space="preserve"> Economic Growth, Regulatory Relief, and Consumer Protection Act </w:t>
      </w:r>
    </w:p>
    <w:p w:rsidR="00000000" w:rsidRDefault="0094004B">
      <w:pPr>
        <w:jc w:val="both"/>
        <w:divId w:val="528565756"/>
        <w:rPr>
          <w:rFonts w:eastAsia="Times New Roman"/>
        </w:rPr>
      </w:pPr>
      <w:r>
        <w:rPr>
          <w:rFonts w:eastAsia="Times New Roman"/>
          <w:b/>
          <w:bCs/>
          <w:color w:val="000000"/>
          <w:sz w:val="20"/>
          <w:szCs w:val="20"/>
        </w:rPr>
        <w:t xml:space="preserve">EU: </w:t>
      </w:r>
      <w:r>
        <w:rPr>
          <w:rFonts w:eastAsia="Times New Roman"/>
          <w:color w:val="000000"/>
          <w:sz w:val="20"/>
          <w:szCs w:val="20"/>
        </w:rPr>
        <w:t>European Union</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047610107"/>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047610107"/>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047610107"/>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108</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34" style="width:0;height:1.5pt" o:hralign="center" o:hrstd="t" o:hr="t" fillcolor="#a0a0a0" stroked="f"/>
        </w:pict>
      </w:r>
    </w:p>
    <w:p w:rsidR="00000000" w:rsidRDefault="0094004B">
      <w:pPr>
        <w:ind w:hanging="360"/>
        <w:jc w:val="both"/>
        <w:divId w:val="1818255523"/>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both"/>
        <w:divId w:val="1599750588"/>
        <w:rPr>
          <w:rFonts w:eastAsia="Times New Roman"/>
        </w:rPr>
      </w:pPr>
      <w:r>
        <w:rPr>
          <w:rFonts w:eastAsia="Times New Roman"/>
          <w:b/>
          <w:bCs/>
          <w:color w:val="000000"/>
          <w:sz w:val="20"/>
          <w:szCs w:val="20"/>
        </w:rPr>
        <w:t>EU GDPR:</w:t>
      </w:r>
      <w:r>
        <w:rPr>
          <w:rFonts w:eastAsia="Times New Roman"/>
          <w:color w:val="000000"/>
          <w:sz w:val="20"/>
          <w:szCs w:val="20"/>
        </w:rPr>
        <w:t xml:space="preserve"> EU General Data Protection Regulation</w:t>
      </w:r>
    </w:p>
    <w:p w:rsidR="00000000" w:rsidRDefault="0094004B">
      <w:pPr>
        <w:jc w:val="both"/>
        <w:divId w:val="1813402173"/>
        <w:rPr>
          <w:rFonts w:eastAsia="Times New Roman"/>
        </w:rPr>
      </w:pPr>
      <w:r>
        <w:rPr>
          <w:rFonts w:eastAsia="Times New Roman"/>
          <w:b/>
          <w:bCs/>
          <w:color w:val="000000"/>
          <w:sz w:val="20"/>
          <w:szCs w:val="20"/>
        </w:rPr>
        <w:t>EUR:</w:t>
      </w:r>
      <w:r>
        <w:rPr>
          <w:rFonts w:eastAsia="Times New Roman"/>
          <w:color w:val="000000"/>
          <w:sz w:val="20"/>
          <w:szCs w:val="20"/>
        </w:rPr>
        <w:t xml:space="preserve"> Euro</w:t>
      </w:r>
    </w:p>
    <w:p w:rsidR="00000000" w:rsidRDefault="0094004B">
      <w:pPr>
        <w:jc w:val="both"/>
        <w:divId w:val="503789277"/>
        <w:rPr>
          <w:rFonts w:eastAsia="Times New Roman"/>
        </w:rPr>
      </w:pPr>
      <w:r>
        <w:rPr>
          <w:rFonts w:eastAsia="Times New Roman"/>
          <w:b/>
          <w:bCs/>
          <w:color w:val="000000"/>
          <w:sz w:val="20"/>
          <w:szCs w:val="20"/>
        </w:rPr>
        <w:t xml:space="preserve">Fannie Mae: </w:t>
      </w:r>
      <w:r>
        <w:rPr>
          <w:rFonts w:eastAsia="Times New Roman"/>
          <w:color w:val="000000"/>
          <w:sz w:val="20"/>
          <w:szCs w:val="20"/>
        </w:rPr>
        <w:t>Federal National Mortgage Association</w:t>
      </w:r>
    </w:p>
    <w:p w:rsidR="00000000" w:rsidRDefault="0094004B">
      <w:pPr>
        <w:jc w:val="both"/>
        <w:divId w:val="1418286527"/>
        <w:rPr>
          <w:rFonts w:eastAsia="Times New Roman"/>
        </w:rPr>
      </w:pPr>
      <w:r>
        <w:rPr>
          <w:rFonts w:eastAsia="Times New Roman"/>
          <w:b/>
          <w:bCs/>
          <w:color w:val="000000"/>
          <w:sz w:val="20"/>
          <w:szCs w:val="20"/>
        </w:rPr>
        <w:t>FASB:</w:t>
      </w:r>
      <w:r>
        <w:rPr>
          <w:rFonts w:eastAsia="Times New Roman"/>
          <w:color w:val="000000"/>
          <w:sz w:val="20"/>
          <w:szCs w:val="20"/>
        </w:rPr>
        <w:t xml:space="preserve"> Financial Accounting Standards</w:t>
      </w:r>
      <w:r>
        <w:rPr>
          <w:rFonts w:eastAsia="Times New Roman"/>
          <w:color w:val="000000"/>
          <w:sz w:val="20"/>
          <w:szCs w:val="20"/>
        </w:rPr>
        <w:t xml:space="preserve"> Board</w:t>
      </w:r>
    </w:p>
    <w:p w:rsidR="00000000" w:rsidRDefault="0094004B">
      <w:pPr>
        <w:jc w:val="both"/>
        <w:divId w:val="325329796"/>
        <w:rPr>
          <w:rFonts w:eastAsia="Times New Roman"/>
        </w:rPr>
      </w:pPr>
      <w:r>
        <w:rPr>
          <w:rFonts w:eastAsia="Times New Roman"/>
          <w:b/>
          <w:bCs/>
          <w:color w:val="000000"/>
          <w:sz w:val="20"/>
          <w:szCs w:val="20"/>
        </w:rPr>
        <w:t xml:space="preserve">FCA: </w:t>
      </w:r>
      <w:r>
        <w:rPr>
          <w:rFonts w:eastAsia="Times New Roman"/>
          <w:color w:val="000000"/>
          <w:sz w:val="20"/>
          <w:szCs w:val="20"/>
        </w:rPr>
        <w:t>U.K. Financial Conduct Authority</w:t>
      </w:r>
    </w:p>
    <w:p w:rsidR="00000000" w:rsidRDefault="0094004B">
      <w:pPr>
        <w:jc w:val="both"/>
        <w:divId w:val="431362442"/>
        <w:rPr>
          <w:rFonts w:eastAsia="Times New Roman"/>
        </w:rPr>
      </w:pPr>
      <w:r>
        <w:rPr>
          <w:rFonts w:eastAsia="Times New Roman"/>
          <w:b/>
          <w:bCs/>
          <w:color w:val="000000"/>
          <w:sz w:val="20"/>
          <w:szCs w:val="20"/>
        </w:rPr>
        <w:t>FCM:</w:t>
      </w:r>
      <w:r>
        <w:rPr>
          <w:rFonts w:eastAsia="Times New Roman"/>
          <w:color w:val="000000"/>
          <w:sz w:val="20"/>
          <w:szCs w:val="20"/>
        </w:rPr>
        <w:t xml:space="preserve"> Futures commission merchant</w:t>
      </w:r>
    </w:p>
    <w:p w:rsidR="00000000" w:rsidRDefault="0094004B">
      <w:pPr>
        <w:jc w:val="both"/>
        <w:divId w:val="2034915522"/>
        <w:rPr>
          <w:rFonts w:eastAsia="Times New Roman"/>
        </w:rPr>
      </w:pPr>
      <w:r>
        <w:rPr>
          <w:rFonts w:eastAsia="Times New Roman"/>
          <w:b/>
          <w:bCs/>
          <w:color w:val="000000"/>
          <w:sz w:val="20"/>
          <w:szCs w:val="20"/>
        </w:rPr>
        <w:t>FDIC:</w:t>
      </w:r>
      <w:r>
        <w:rPr>
          <w:rFonts w:eastAsia="Times New Roman"/>
          <w:color w:val="000000"/>
          <w:sz w:val="20"/>
          <w:szCs w:val="20"/>
        </w:rPr>
        <w:t xml:space="preserve"> Federal Deposit Insurance Corporation </w:t>
      </w:r>
    </w:p>
    <w:p w:rsidR="00000000" w:rsidRDefault="0094004B">
      <w:pPr>
        <w:jc w:val="both"/>
        <w:divId w:val="761489731"/>
        <w:rPr>
          <w:rFonts w:eastAsia="Times New Roman"/>
        </w:rPr>
      </w:pPr>
      <w:r>
        <w:rPr>
          <w:rFonts w:eastAsia="Times New Roman"/>
          <w:b/>
          <w:bCs/>
          <w:color w:val="000000"/>
          <w:sz w:val="20"/>
          <w:szCs w:val="20"/>
        </w:rPr>
        <w:t>FDICIA:</w:t>
      </w:r>
      <w:r>
        <w:rPr>
          <w:rFonts w:eastAsia="Times New Roman"/>
          <w:color w:val="000000"/>
          <w:sz w:val="20"/>
          <w:szCs w:val="20"/>
        </w:rPr>
        <w:t xml:space="preserve"> Federal Deposit Insurance Corporation Improvement Act of 1991 </w:t>
      </w:r>
    </w:p>
    <w:p w:rsidR="00000000" w:rsidRDefault="0094004B">
      <w:pPr>
        <w:divId w:val="1250894924"/>
        <w:rPr>
          <w:rFonts w:eastAsia="Times New Roman"/>
        </w:rPr>
      </w:pPr>
      <w:r>
        <w:rPr>
          <w:rFonts w:eastAsia="Times New Roman"/>
          <w:b/>
          <w:bCs/>
          <w:color w:val="000000"/>
          <w:sz w:val="20"/>
          <w:szCs w:val="20"/>
        </w:rPr>
        <w:t xml:space="preserve">FFIEC: </w:t>
      </w:r>
      <w:r>
        <w:rPr>
          <w:rFonts w:eastAsia="Times New Roman"/>
          <w:color w:val="000000"/>
          <w:sz w:val="20"/>
          <w:szCs w:val="20"/>
        </w:rPr>
        <w:t>Federal Financial Institutions Examination Council</w:t>
      </w:r>
    </w:p>
    <w:p w:rsidR="00000000" w:rsidRDefault="0094004B">
      <w:pPr>
        <w:jc w:val="both"/>
        <w:divId w:val="356348502"/>
        <w:rPr>
          <w:rFonts w:eastAsia="Times New Roman"/>
        </w:rPr>
      </w:pPr>
      <w:r>
        <w:rPr>
          <w:rFonts w:eastAsia="Times New Roman"/>
          <w:b/>
          <w:bCs/>
          <w:color w:val="000000"/>
          <w:sz w:val="20"/>
          <w:szCs w:val="20"/>
        </w:rPr>
        <w:t xml:space="preserve">FHC: </w:t>
      </w:r>
      <w:r>
        <w:rPr>
          <w:rFonts w:eastAsia="Times New Roman"/>
          <w:color w:val="000000"/>
          <w:sz w:val="20"/>
          <w:szCs w:val="20"/>
        </w:rPr>
        <w:t>Financial Holding Company</w:t>
      </w:r>
    </w:p>
    <w:p w:rsidR="00000000" w:rsidRDefault="0094004B">
      <w:pPr>
        <w:jc w:val="both"/>
        <w:divId w:val="14427828"/>
        <w:rPr>
          <w:rFonts w:eastAsia="Times New Roman"/>
        </w:rPr>
      </w:pPr>
      <w:r>
        <w:rPr>
          <w:rFonts w:eastAsia="Times New Roman"/>
          <w:b/>
          <w:bCs/>
          <w:color w:val="000000"/>
          <w:sz w:val="20"/>
          <w:szCs w:val="20"/>
        </w:rPr>
        <w:t xml:space="preserve">FHLB: </w:t>
      </w:r>
      <w:r>
        <w:rPr>
          <w:rFonts w:eastAsia="Times New Roman"/>
          <w:color w:val="000000"/>
          <w:sz w:val="20"/>
          <w:szCs w:val="20"/>
        </w:rPr>
        <w:t>Federal Home Loan Banks</w:t>
      </w:r>
    </w:p>
    <w:p w:rsidR="00000000" w:rsidRDefault="0094004B">
      <w:pPr>
        <w:jc w:val="both"/>
        <w:divId w:val="1452630695"/>
        <w:rPr>
          <w:rFonts w:eastAsia="Times New Roman"/>
        </w:rPr>
      </w:pPr>
      <w:r>
        <w:rPr>
          <w:rFonts w:eastAsia="Times New Roman"/>
          <w:b/>
          <w:bCs/>
          <w:color w:val="000000"/>
          <w:sz w:val="20"/>
          <w:szCs w:val="20"/>
        </w:rPr>
        <w:t xml:space="preserve">FICO: </w:t>
      </w:r>
      <w:r>
        <w:rPr>
          <w:rFonts w:eastAsia="Times New Roman"/>
          <w:color w:val="000000"/>
          <w:sz w:val="20"/>
          <w:szCs w:val="20"/>
        </w:rPr>
        <w:t>Fair Isaac Corporation</w:t>
      </w:r>
    </w:p>
    <w:p w:rsidR="00000000" w:rsidRDefault="0094004B">
      <w:pPr>
        <w:jc w:val="both"/>
        <w:divId w:val="1161970605"/>
        <w:rPr>
          <w:rFonts w:eastAsia="Times New Roman"/>
        </w:rPr>
      </w:pPr>
      <w:r>
        <w:rPr>
          <w:rFonts w:eastAsia="Times New Roman"/>
          <w:b/>
          <w:bCs/>
          <w:color w:val="000000"/>
          <w:sz w:val="20"/>
          <w:szCs w:val="20"/>
        </w:rPr>
        <w:t xml:space="preserve">FinCEN: </w:t>
      </w:r>
      <w:r>
        <w:rPr>
          <w:rFonts w:eastAsia="Times New Roman"/>
          <w:color w:val="000000"/>
          <w:sz w:val="20"/>
          <w:szCs w:val="20"/>
        </w:rPr>
        <w:t>Financial Crimes Enforcement Network</w:t>
      </w:r>
    </w:p>
    <w:p w:rsidR="00000000" w:rsidRDefault="0094004B">
      <w:pPr>
        <w:jc w:val="both"/>
        <w:divId w:val="1291941419"/>
        <w:rPr>
          <w:rFonts w:eastAsia="Times New Roman"/>
        </w:rPr>
      </w:pPr>
      <w:r>
        <w:rPr>
          <w:rFonts w:eastAsia="Times New Roman"/>
          <w:b/>
          <w:bCs/>
          <w:color w:val="000000"/>
          <w:sz w:val="20"/>
          <w:szCs w:val="20"/>
        </w:rPr>
        <w:t xml:space="preserve">Fitch: </w:t>
      </w:r>
      <w:r>
        <w:rPr>
          <w:rFonts w:eastAsia="Times New Roman"/>
          <w:color w:val="000000"/>
          <w:sz w:val="20"/>
          <w:szCs w:val="20"/>
        </w:rPr>
        <w:t>Fitch Ratings</w:t>
      </w:r>
    </w:p>
    <w:p w:rsidR="00000000" w:rsidRDefault="0094004B">
      <w:pPr>
        <w:jc w:val="both"/>
        <w:divId w:val="18043660"/>
        <w:rPr>
          <w:rFonts w:eastAsia="Times New Roman"/>
        </w:rPr>
      </w:pPr>
      <w:r>
        <w:rPr>
          <w:rFonts w:eastAsia="Times New Roman"/>
          <w:b/>
          <w:bCs/>
          <w:color w:val="000000"/>
          <w:sz w:val="20"/>
          <w:szCs w:val="20"/>
        </w:rPr>
        <w:t>FSOC:</w:t>
      </w:r>
      <w:r>
        <w:rPr>
          <w:rFonts w:eastAsia="Times New Roman"/>
          <w:color w:val="000000"/>
          <w:sz w:val="20"/>
          <w:szCs w:val="20"/>
        </w:rPr>
        <w:t xml:space="preserve"> The Financial Stability Oversight Council</w:t>
      </w:r>
    </w:p>
    <w:p w:rsidR="00000000" w:rsidRDefault="0094004B">
      <w:pPr>
        <w:jc w:val="both"/>
        <w:divId w:val="602809165"/>
        <w:rPr>
          <w:rFonts w:eastAsia="Times New Roman"/>
        </w:rPr>
      </w:pPr>
      <w:r>
        <w:rPr>
          <w:rFonts w:eastAsia="Times New Roman"/>
          <w:b/>
          <w:bCs/>
          <w:color w:val="000000"/>
          <w:sz w:val="20"/>
          <w:szCs w:val="20"/>
        </w:rPr>
        <w:t>F</w:t>
      </w:r>
      <w:r>
        <w:rPr>
          <w:rFonts w:eastAsia="Times New Roman"/>
          <w:b/>
          <w:bCs/>
          <w:color w:val="000000"/>
          <w:sz w:val="20"/>
          <w:szCs w:val="20"/>
        </w:rPr>
        <w:t>reddie Mac:</w:t>
      </w:r>
      <w:r>
        <w:rPr>
          <w:rFonts w:ascii="Arial" w:eastAsia="Times New Roman" w:hAnsi="Arial" w:cs="Arial"/>
          <w:color w:val="000000"/>
          <w:sz w:val="20"/>
          <w:szCs w:val="20"/>
        </w:rPr>
        <w:t xml:space="preserve"> </w:t>
      </w:r>
      <w:r>
        <w:rPr>
          <w:rFonts w:eastAsia="Times New Roman"/>
          <w:color w:val="000000"/>
          <w:sz w:val="20"/>
          <w:szCs w:val="20"/>
        </w:rPr>
        <w:t>Federal Home Loan Mortgage Corporation</w:t>
      </w:r>
    </w:p>
    <w:p w:rsidR="00000000" w:rsidRDefault="0094004B">
      <w:pPr>
        <w:jc w:val="both"/>
        <w:divId w:val="1240947232"/>
        <w:rPr>
          <w:rFonts w:eastAsia="Times New Roman"/>
        </w:rPr>
      </w:pPr>
      <w:r>
        <w:rPr>
          <w:rFonts w:eastAsia="Times New Roman"/>
          <w:b/>
          <w:bCs/>
          <w:color w:val="000000"/>
          <w:sz w:val="20"/>
          <w:szCs w:val="20"/>
        </w:rPr>
        <w:t>FVC:</w:t>
      </w:r>
      <w:r>
        <w:rPr>
          <w:rFonts w:eastAsia="Times New Roman"/>
          <w:color w:val="000000"/>
          <w:sz w:val="20"/>
          <w:szCs w:val="20"/>
        </w:rPr>
        <w:t xml:space="preserve"> Fair Value Committee</w:t>
      </w:r>
    </w:p>
    <w:p w:rsidR="00000000" w:rsidRDefault="0094004B">
      <w:pPr>
        <w:jc w:val="both"/>
        <w:divId w:val="860707765"/>
        <w:rPr>
          <w:rFonts w:eastAsia="Times New Roman"/>
        </w:rPr>
      </w:pPr>
      <w:r>
        <w:rPr>
          <w:rFonts w:eastAsia="Times New Roman"/>
          <w:b/>
          <w:bCs/>
          <w:color w:val="000000"/>
          <w:sz w:val="20"/>
          <w:szCs w:val="20"/>
        </w:rPr>
        <w:t xml:space="preserve">GAAP: </w:t>
      </w:r>
      <w:r>
        <w:rPr>
          <w:rFonts w:eastAsia="Times New Roman"/>
          <w:color w:val="000000"/>
          <w:sz w:val="20"/>
          <w:szCs w:val="20"/>
        </w:rPr>
        <w:t>Generally accepted accounting principles in the U.S.</w:t>
      </w:r>
    </w:p>
    <w:p w:rsidR="00000000" w:rsidRDefault="0094004B">
      <w:pPr>
        <w:jc w:val="both"/>
        <w:divId w:val="1291934656"/>
        <w:rPr>
          <w:rFonts w:eastAsia="Times New Roman"/>
        </w:rPr>
      </w:pPr>
      <w:r>
        <w:rPr>
          <w:rFonts w:eastAsia="Times New Roman"/>
          <w:b/>
          <w:bCs/>
          <w:color w:val="000000"/>
          <w:sz w:val="20"/>
          <w:szCs w:val="20"/>
        </w:rPr>
        <w:t xml:space="preserve">GBP: </w:t>
      </w:r>
      <w:r>
        <w:rPr>
          <w:rFonts w:eastAsia="Times New Roman"/>
          <w:color w:val="000000"/>
          <w:sz w:val="20"/>
          <w:szCs w:val="20"/>
        </w:rPr>
        <w:t>Pound sterling</w:t>
      </w:r>
    </w:p>
    <w:p w:rsidR="00000000" w:rsidRDefault="0094004B">
      <w:pPr>
        <w:jc w:val="both"/>
        <w:divId w:val="2051227454"/>
        <w:rPr>
          <w:rFonts w:eastAsia="Times New Roman"/>
        </w:rPr>
      </w:pPr>
      <w:r>
        <w:rPr>
          <w:rFonts w:eastAsia="Times New Roman"/>
          <w:b/>
          <w:bCs/>
          <w:color w:val="000000"/>
          <w:sz w:val="20"/>
          <w:szCs w:val="20"/>
        </w:rPr>
        <w:t>GDP:</w:t>
      </w:r>
      <w:r>
        <w:rPr>
          <w:rFonts w:eastAsia="Times New Roman"/>
          <w:color w:val="000000"/>
          <w:sz w:val="20"/>
          <w:szCs w:val="20"/>
        </w:rPr>
        <w:t xml:space="preserve"> U.S. Real Gross Domestic Product</w:t>
      </w:r>
    </w:p>
    <w:p w:rsidR="00000000" w:rsidRDefault="0094004B">
      <w:pPr>
        <w:jc w:val="both"/>
        <w:divId w:val="1001784399"/>
        <w:rPr>
          <w:rFonts w:eastAsia="Times New Roman"/>
        </w:rPr>
      </w:pPr>
      <w:r>
        <w:rPr>
          <w:rFonts w:eastAsia="Times New Roman"/>
          <w:b/>
          <w:bCs/>
          <w:color w:val="000000"/>
          <w:sz w:val="20"/>
          <w:szCs w:val="20"/>
        </w:rPr>
        <w:t>GDPR:</w:t>
      </w:r>
      <w:r>
        <w:rPr>
          <w:rFonts w:eastAsia="Times New Roman"/>
          <w:color w:val="000000"/>
          <w:sz w:val="20"/>
          <w:szCs w:val="20"/>
        </w:rPr>
        <w:t xml:space="preserve"> </w:t>
      </w:r>
      <w:r>
        <w:rPr>
          <w:rFonts w:eastAsia="Times New Roman"/>
          <w:color w:val="000000"/>
          <w:sz w:val="20"/>
          <w:szCs w:val="20"/>
        </w:rPr>
        <w:t>General Data Protection Regulation</w:t>
      </w:r>
    </w:p>
    <w:p w:rsidR="00000000" w:rsidRDefault="0094004B">
      <w:pPr>
        <w:jc w:val="both"/>
        <w:divId w:val="1687445048"/>
        <w:rPr>
          <w:rFonts w:eastAsia="Times New Roman"/>
        </w:rPr>
      </w:pPr>
      <w:r>
        <w:rPr>
          <w:rFonts w:eastAsia="Times New Roman"/>
          <w:b/>
          <w:bCs/>
          <w:color w:val="000000"/>
          <w:sz w:val="20"/>
          <w:szCs w:val="20"/>
        </w:rPr>
        <w:t>Ginnie Mae:</w:t>
      </w:r>
      <w:r>
        <w:rPr>
          <w:rFonts w:ascii="Arial" w:eastAsia="Times New Roman" w:hAnsi="Arial" w:cs="Arial"/>
          <w:color w:val="000000"/>
          <w:sz w:val="20"/>
          <w:szCs w:val="20"/>
        </w:rPr>
        <w:t xml:space="preserve"> </w:t>
      </w:r>
      <w:r>
        <w:rPr>
          <w:rFonts w:eastAsia="Times New Roman"/>
          <w:color w:val="000000"/>
          <w:sz w:val="20"/>
          <w:szCs w:val="20"/>
        </w:rPr>
        <w:t>Government National Mortgage Association</w:t>
      </w:r>
    </w:p>
    <w:p w:rsidR="00000000" w:rsidRDefault="0094004B">
      <w:pPr>
        <w:jc w:val="both"/>
        <w:divId w:val="768240171"/>
        <w:rPr>
          <w:rFonts w:eastAsia="Times New Roman"/>
        </w:rPr>
      </w:pPr>
      <w:r>
        <w:rPr>
          <w:rFonts w:eastAsia="Times New Roman"/>
          <w:b/>
          <w:bCs/>
          <w:color w:val="000000"/>
          <w:sz w:val="20"/>
          <w:szCs w:val="20"/>
        </w:rPr>
        <w:t xml:space="preserve">GLBA: </w:t>
      </w:r>
      <w:r>
        <w:rPr>
          <w:rFonts w:eastAsia="Times New Roman"/>
          <w:color w:val="000000"/>
          <w:sz w:val="20"/>
          <w:szCs w:val="20"/>
        </w:rPr>
        <w:t>Gramm-Leach Bliley Act</w:t>
      </w:r>
    </w:p>
    <w:p w:rsidR="00000000" w:rsidRDefault="0094004B">
      <w:pPr>
        <w:jc w:val="both"/>
        <w:divId w:val="732852318"/>
        <w:rPr>
          <w:rFonts w:eastAsia="Times New Roman"/>
        </w:rPr>
      </w:pPr>
      <w:r>
        <w:rPr>
          <w:rFonts w:eastAsia="Times New Roman"/>
          <w:b/>
          <w:bCs/>
          <w:color w:val="000000"/>
          <w:sz w:val="20"/>
          <w:szCs w:val="20"/>
        </w:rPr>
        <w:t>G-SIB:</w:t>
      </w:r>
      <w:r>
        <w:rPr>
          <w:rFonts w:ascii="Arial" w:eastAsia="Times New Roman" w:hAnsi="Arial" w:cs="Arial"/>
          <w:color w:val="000000"/>
          <w:sz w:val="20"/>
          <w:szCs w:val="20"/>
        </w:rPr>
        <w:t xml:space="preserve"> </w:t>
      </w:r>
      <w:r>
        <w:rPr>
          <w:rFonts w:eastAsia="Times New Roman"/>
          <w:color w:val="000000"/>
          <w:sz w:val="20"/>
          <w:szCs w:val="20"/>
        </w:rPr>
        <w:t>Global systemically important banks</w:t>
      </w:r>
    </w:p>
    <w:p w:rsidR="00000000" w:rsidRDefault="0094004B">
      <w:pPr>
        <w:jc w:val="both"/>
        <w:divId w:val="1657874769"/>
        <w:rPr>
          <w:rFonts w:eastAsia="Times New Roman"/>
        </w:rPr>
      </w:pPr>
      <w:r>
        <w:rPr>
          <w:rFonts w:eastAsia="Times New Roman"/>
          <w:b/>
          <w:bCs/>
          <w:color w:val="000000"/>
          <w:sz w:val="20"/>
          <w:szCs w:val="20"/>
        </w:rPr>
        <w:t>GSE or Agency:</w:t>
      </w:r>
      <w:r>
        <w:rPr>
          <w:rFonts w:eastAsia="Times New Roman"/>
          <w:color w:val="000000"/>
          <w:sz w:val="20"/>
          <w:szCs w:val="20"/>
        </w:rPr>
        <w:t xml:space="preserve"> Government-sponsored enterprise</w:t>
      </w:r>
    </w:p>
    <w:p w:rsidR="00000000" w:rsidRDefault="0094004B">
      <w:pPr>
        <w:jc w:val="both"/>
        <w:divId w:val="277375195"/>
        <w:rPr>
          <w:rFonts w:eastAsia="Times New Roman"/>
        </w:rPr>
      </w:pPr>
      <w:r>
        <w:rPr>
          <w:rFonts w:eastAsia="Times New Roman"/>
          <w:b/>
          <w:bCs/>
          <w:color w:val="000000"/>
          <w:sz w:val="20"/>
          <w:szCs w:val="20"/>
        </w:rPr>
        <w:t xml:space="preserve">HQLA: </w:t>
      </w:r>
      <w:r>
        <w:rPr>
          <w:rFonts w:eastAsia="Times New Roman"/>
          <w:color w:val="000000"/>
          <w:sz w:val="20"/>
          <w:szCs w:val="20"/>
        </w:rPr>
        <w:t>High-Quality Liquid Assets</w:t>
      </w:r>
    </w:p>
    <w:p w:rsidR="00000000" w:rsidRDefault="0094004B">
      <w:pPr>
        <w:jc w:val="both"/>
        <w:divId w:val="1228492590"/>
        <w:rPr>
          <w:rFonts w:eastAsia="Times New Roman"/>
        </w:rPr>
      </w:pPr>
      <w:r>
        <w:rPr>
          <w:rFonts w:eastAsia="Times New Roman"/>
          <w:b/>
          <w:bCs/>
          <w:color w:val="000000"/>
          <w:sz w:val="20"/>
          <w:szCs w:val="20"/>
        </w:rPr>
        <w:t>IBA:</w:t>
      </w:r>
      <w:r>
        <w:rPr>
          <w:rFonts w:eastAsia="Times New Roman"/>
          <w:color w:val="000000"/>
          <w:sz w:val="20"/>
          <w:szCs w:val="20"/>
        </w:rPr>
        <w:t xml:space="preserve"> ICE Benchma</w:t>
      </w:r>
      <w:r>
        <w:rPr>
          <w:rFonts w:eastAsia="Times New Roman"/>
          <w:color w:val="000000"/>
          <w:sz w:val="20"/>
          <w:szCs w:val="20"/>
        </w:rPr>
        <w:t>rk Administration </w:t>
      </w:r>
    </w:p>
    <w:p w:rsidR="00000000" w:rsidRDefault="0094004B">
      <w:pPr>
        <w:jc w:val="both"/>
        <w:divId w:val="704868309"/>
        <w:rPr>
          <w:rFonts w:eastAsia="Times New Roman"/>
        </w:rPr>
      </w:pPr>
      <w:r>
        <w:rPr>
          <w:rFonts w:eastAsia="Times New Roman"/>
          <w:b/>
          <w:bCs/>
          <w:color w:val="000000"/>
          <w:sz w:val="20"/>
          <w:szCs w:val="20"/>
        </w:rPr>
        <w:t xml:space="preserve">ICE: </w:t>
      </w:r>
      <w:r>
        <w:rPr>
          <w:rFonts w:eastAsia="Times New Roman"/>
          <w:color w:val="000000"/>
          <w:sz w:val="20"/>
          <w:szCs w:val="20"/>
        </w:rPr>
        <w:t>Intercontinental Exchange</w:t>
      </w:r>
    </w:p>
    <w:p w:rsidR="00000000" w:rsidRDefault="0094004B">
      <w:pPr>
        <w:jc w:val="both"/>
        <w:divId w:val="1527061351"/>
        <w:rPr>
          <w:rFonts w:eastAsia="Times New Roman"/>
        </w:rPr>
      </w:pPr>
      <w:r>
        <w:rPr>
          <w:rFonts w:eastAsia="Times New Roman"/>
          <w:b/>
          <w:bCs/>
          <w:color w:val="000000"/>
          <w:sz w:val="20"/>
          <w:szCs w:val="20"/>
        </w:rPr>
        <w:t>IRM:</w:t>
      </w:r>
      <w:r>
        <w:rPr>
          <w:rFonts w:eastAsia="Times New Roman"/>
          <w:color w:val="000000"/>
          <w:sz w:val="20"/>
          <w:szCs w:val="20"/>
        </w:rPr>
        <w:t xml:space="preserve"> Independent Risk Management</w:t>
      </w:r>
    </w:p>
    <w:p w:rsidR="00000000" w:rsidRDefault="0094004B">
      <w:pPr>
        <w:jc w:val="both"/>
        <w:divId w:val="1037122747"/>
        <w:rPr>
          <w:rFonts w:eastAsia="Times New Roman"/>
        </w:rPr>
      </w:pPr>
      <w:r>
        <w:rPr>
          <w:rFonts w:eastAsia="Times New Roman"/>
          <w:b/>
          <w:bCs/>
          <w:color w:val="000000"/>
          <w:sz w:val="20"/>
          <w:szCs w:val="20"/>
        </w:rPr>
        <w:t xml:space="preserve">IRS: </w:t>
      </w:r>
      <w:r>
        <w:rPr>
          <w:rFonts w:eastAsia="Times New Roman"/>
          <w:color w:val="000000"/>
          <w:sz w:val="20"/>
          <w:szCs w:val="20"/>
        </w:rPr>
        <w:t>Internal Revenue Service</w:t>
      </w:r>
    </w:p>
    <w:p w:rsidR="00000000" w:rsidRDefault="0094004B">
      <w:pPr>
        <w:jc w:val="both"/>
        <w:divId w:val="2031181361"/>
        <w:rPr>
          <w:rFonts w:eastAsia="Times New Roman"/>
        </w:rPr>
      </w:pPr>
      <w:r>
        <w:rPr>
          <w:rFonts w:eastAsia="Times New Roman"/>
          <w:b/>
          <w:bCs/>
          <w:color w:val="000000"/>
          <w:sz w:val="20"/>
          <w:szCs w:val="20"/>
        </w:rPr>
        <w:t xml:space="preserve">ISDA: </w:t>
      </w:r>
      <w:r>
        <w:rPr>
          <w:rFonts w:eastAsia="Times New Roman"/>
          <w:color w:val="000000"/>
          <w:sz w:val="20"/>
          <w:szCs w:val="20"/>
        </w:rPr>
        <w:t>International Swaps and Derivatives Association</w:t>
      </w:r>
    </w:p>
    <w:p w:rsidR="00000000" w:rsidRDefault="0094004B">
      <w:pPr>
        <w:jc w:val="both"/>
        <w:divId w:val="427581444"/>
        <w:rPr>
          <w:rFonts w:eastAsia="Times New Roman"/>
        </w:rPr>
      </w:pPr>
      <w:r>
        <w:rPr>
          <w:rFonts w:eastAsia="Times New Roman"/>
          <w:b/>
          <w:bCs/>
          <w:color w:val="000000"/>
          <w:sz w:val="20"/>
          <w:szCs w:val="20"/>
        </w:rPr>
        <w:t>LCH:</w:t>
      </w:r>
      <w:r>
        <w:rPr>
          <w:rFonts w:eastAsia="Times New Roman"/>
          <w:color w:val="000000"/>
          <w:sz w:val="20"/>
          <w:szCs w:val="20"/>
        </w:rPr>
        <w:t xml:space="preserve"> LCH Group</w:t>
      </w:r>
    </w:p>
    <w:p w:rsidR="00000000" w:rsidRDefault="0094004B">
      <w:pPr>
        <w:jc w:val="both"/>
        <w:divId w:val="530992590"/>
        <w:rPr>
          <w:rFonts w:eastAsia="Times New Roman"/>
        </w:rPr>
      </w:pPr>
      <w:r>
        <w:rPr>
          <w:rFonts w:eastAsia="Times New Roman"/>
          <w:b/>
          <w:bCs/>
          <w:color w:val="000000"/>
          <w:sz w:val="20"/>
          <w:szCs w:val="20"/>
        </w:rPr>
        <w:t>LCR:</w:t>
      </w:r>
      <w:r>
        <w:rPr>
          <w:rFonts w:eastAsia="Times New Roman"/>
          <w:color w:val="000000"/>
          <w:sz w:val="20"/>
          <w:szCs w:val="20"/>
        </w:rPr>
        <w:t xml:space="preserve"> Liquidity coverage ratio</w:t>
      </w:r>
    </w:p>
    <w:p w:rsidR="00000000" w:rsidRDefault="0094004B">
      <w:pPr>
        <w:jc w:val="both"/>
        <w:divId w:val="1865093943"/>
        <w:rPr>
          <w:rFonts w:eastAsia="Times New Roman"/>
        </w:rPr>
      </w:pPr>
      <w:r>
        <w:rPr>
          <w:rFonts w:eastAsia="Times New Roman"/>
          <w:b/>
          <w:bCs/>
          <w:color w:val="000000"/>
          <w:sz w:val="20"/>
          <w:szCs w:val="20"/>
        </w:rPr>
        <w:t>LIBOR:</w:t>
      </w:r>
      <w:r>
        <w:rPr>
          <w:rFonts w:ascii="Arial" w:eastAsia="Times New Roman" w:hAnsi="Arial" w:cs="Arial"/>
          <w:color w:val="000000"/>
          <w:sz w:val="20"/>
          <w:szCs w:val="20"/>
        </w:rPr>
        <w:t xml:space="preserve"> </w:t>
      </w:r>
      <w:r>
        <w:rPr>
          <w:rFonts w:eastAsia="Times New Roman"/>
          <w:color w:val="000000"/>
          <w:sz w:val="20"/>
          <w:szCs w:val="20"/>
        </w:rPr>
        <w:t>London Interbank Offered Rate</w:t>
      </w:r>
    </w:p>
    <w:p w:rsidR="00000000" w:rsidRDefault="0094004B">
      <w:pPr>
        <w:jc w:val="both"/>
        <w:divId w:val="714813949"/>
        <w:rPr>
          <w:rFonts w:eastAsia="Times New Roman"/>
        </w:rPr>
      </w:pPr>
      <w:r>
        <w:rPr>
          <w:rFonts w:eastAsia="Times New Roman"/>
          <w:b/>
          <w:bCs/>
          <w:color w:val="000000"/>
          <w:sz w:val="20"/>
          <w:szCs w:val="20"/>
        </w:rPr>
        <w:t xml:space="preserve">LLC: </w:t>
      </w:r>
      <w:r>
        <w:rPr>
          <w:rFonts w:eastAsia="Times New Roman"/>
          <w:color w:val="000000"/>
          <w:sz w:val="20"/>
          <w:szCs w:val="20"/>
        </w:rPr>
        <w:t>Limited liability company</w:t>
      </w:r>
    </w:p>
    <w:p w:rsidR="00000000" w:rsidRDefault="0094004B">
      <w:pPr>
        <w:jc w:val="both"/>
        <w:divId w:val="1374430283"/>
        <w:rPr>
          <w:rFonts w:eastAsia="Times New Roman"/>
        </w:rPr>
      </w:pPr>
      <w:r>
        <w:rPr>
          <w:rFonts w:eastAsia="Times New Roman"/>
          <w:b/>
          <w:bCs/>
          <w:color w:val="000000"/>
          <w:sz w:val="20"/>
          <w:szCs w:val="20"/>
        </w:rPr>
        <w:t xml:space="preserve">LTV: </w:t>
      </w:r>
      <w:r>
        <w:rPr>
          <w:rFonts w:eastAsia="Times New Roman"/>
          <w:color w:val="000000"/>
          <w:sz w:val="20"/>
          <w:szCs w:val="20"/>
        </w:rPr>
        <w:t>Loan-to-Value</w:t>
      </w:r>
    </w:p>
    <w:p w:rsidR="00000000" w:rsidRDefault="0094004B">
      <w:pPr>
        <w:jc w:val="both"/>
        <w:divId w:val="1373191879"/>
        <w:rPr>
          <w:rFonts w:eastAsia="Times New Roman"/>
        </w:rPr>
      </w:pPr>
      <w:r>
        <w:rPr>
          <w:rFonts w:eastAsia="Times New Roman"/>
          <w:b/>
          <w:bCs/>
          <w:color w:val="000000"/>
          <w:sz w:val="20"/>
          <w:szCs w:val="20"/>
        </w:rPr>
        <w:t>MDL:</w:t>
      </w:r>
      <w:r>
        <w:rPr>
          <w:rFonts w:eastAsia="Times New Roman"/>
          <w:color w:val="000000"/>
          <w:sz w:val="20"/>
          <w:szCs w:val="20"/>
        </w:rPr>
        <w:t xml:space="preserve"> Multi-district litigation</w:t>
      </w:r>
    </w:p>
    <w:p w:rsidR="00000000" w:rsidRDefault="0094004B">
      <w:pPr>
        <w:jc w:val="both"/>
        <w:divId w:val="1988119625"/>
        <w:rPr>
          <w:rFonts w:eastAsia="Times New Roman"/>
        </w:rPr>
      </w:pPr>
      <w:r>
        <w:rPr>
          <w:rFonts w:eastAsia="Times New Roman"/>
          <w:b/>
          <w:bCs/>
          <w:color w:val="000000"/>
          <w:sz w:val="20"/>
          <w:szCs w:val="20"/>
        </w:rPr>
        <w:t>Moody’s:</w:t>
      </w:r>
      <w:r>
        <w:rPr>
          <w:rFonts w:eastAsia="Times New Roman"/>
          <w:color w:val="000000"/>
          <w:sz w:val="20"/>
          <w:szCs w:val="20"/>
        </w:rPr>
        <w:t xml:space="preserve"> Moody’s Investors Service</w:t>
      </w:r>
    </w:p>
    <w:p w:rsidR="00000000" w:rsidRDefault="0094004B">
      <w:pPr>
        <w:jc w:val="both"/>
        <w:divId w:val="732042704"/>
        <w:rPr>
          <w:rFonts w:eastAsia="Times New Roman"/>
        </w:rPr>
      </w:pPr>
      <w:r>
        <w:rPr>
          <w:rFonts w:eastAsia="Times New Roman"/>
          <w:b/>
          <w:bCs/>
          <w:color w:val="000000"/>
          <w:sz w:val="20"/>
          <w:szCs w:val="20"/>
        </w:rPr>
        <w:t xml:space="preserve">MSRs: </w:t>
      </w:r>
      <w:r>
        <w:rPr>
          <w:rFonts w:eastAsia="Times New Roman"/>
          <w:color w:val="000000"/>
          <w:sz w:val="20"/>
          <w:szCs w:val="20"/>
        </w:rPr>
        <w:t>Mortgage servicing rights</w:t>
      </w:r>
    </w:p>
    <w:p w:rsidR="00000000" w:rsidRDefault="0094004B">
      <w:pPr>
        <w:jc w:val="both"/>
        <w:divId w:val="1826432316"/>
        <w:rPr>
          <w:rFonts w:eastAsia="Times New Roman"/>
        </w:rPr>
      </w:pPr>
      <w:r>
        <w:rPr>
          <w:rFonts w:eastAsia="Times New Roman"/>
          <w:b/>
          <w:bCs/>
          <w:color w:val="000000"/>
          <w:sz w:val="20"/>
          <w:szCs w:val="20"/>
        </w:rPr>
        <w:t>NSFR:</w:t>
      </w:r>
      <w:r>
        <w:rPr>
          <w:rFonts w:eastAsia="Times New Roman"/>
          <w:color w:val="000000"/>
          <w:sz w:val="20"/>
          <w:szCs w:val="20"/>
        </w:rPr>
        <w:t xml:space="preserve"> Net stable funding ratio</w:t>
      </w:r>
    </w:p>
    <w:p w:rsidR="00000000" w:rsidRDefault="0094004B">
      <w:pPr>
        <w:jc w:val="both"/>
        <w:divId w:val="146017076"/>
        <w:rPr>
          <w:rFonts w:eastAsia="Times New Roman"/>
        </w:rPr>
      </w:pPr>
      <w:r>
        <w:rPr>
          <w:rFonts w:eastAsia="Times New Roman"/>
          <w:b/>
          <w:bCs/>
          <w:color w:val="000000"/>
          <w:sz w:val="20"/>
          <w:szCs w:val="20"/>
        </w:rPr>
        <w:t>NYSE:</w:t>
      </w:r>
      <w:r>
        <w:rPr>
          <w:rFonts w:eastAsia="Times New Roman"/>
          <w:color w:val="000000"/>
          <w:sz w:val="20"/>
          <w:szCs w:val="20"/>
        </w:rPr>
        <w:t xml:space="preserve"> New York Stock Exchange</w:t>
      </w:r>
    </w:p>
    <w:p w:rsidR="00000000" w:rsidRDefault="0094004B">
      <w:pPr>
        <w:jc w:val="both"/>
        <w:divId w:val="1478109585"/>
        <w:rPr>
          <w:rFonts w:eastAsia="Times New Roman"/>
        </w:rPr>
      </w:pPr>
      <w:r>
        <w:rPr>
          <w:rFonts w:eastAsia="Times New Roman"/>
          <w:b/>
          <w:bCs/>
          <w:color w:val="000000"/>
          <w:sz w:val="20"/>
          <w:szCs w:val="20"/>
        </w:rPr>
        <w:t>OCC:</w:t>
      </w:r>
      <w:r>
        <w:rPr>
          <w:rFonts w:eastAsia="Times New Roman"/>
          <w:color w:val="000000"/>
          <w:sz w:val="20"/>
          <w:szCs w:val="20"/>
        </w:rPr>
        <w:t xml:space="preserve"> Office of the Comptroller of the Currency </w:t>
      </w:r>
    </w:p>
    <w:p w:rsidR="00000000" w:rsidRDefault="0094004B">
      <w:pPr>
        <w:jc w:val="both"/>
        <w:divId w:val="664629094"/>
        <w:rPr>
          <w:rFonts w:eastAsia="Times New Roman"/>
        </w:rPr>
      </w:pPr>
      <w:r>
        <w:rPr>
          <w:rFonts w:eastAsia="Times New Roman"/>
          <w:b/>
          <w:bCs/>
          <w:color w:val="000000"/>
          <w:sz w:val="20"/>
          <w:szCs w:val="20"/>
        </w:rPr>
        <w:t>OCI:</w:t>
      </w:r>
      <w:r>
        <w:rPr>
          <w:rFonts w:eastAsia="Times New Roman"/>
          <w:color w:val="000000"/>
          <w:sz w:val="20"/>
          <w:szCs w:val="20"/>
        </w:rPr>
        <w:t xml:space="preserve"> Other comprehensive income</w:t>
      </w:r>
    </w:p>
    <w:p w:rsidR="00000000" w:rsidRDefault="0094004B">
      <w:pPr>
        <w:jc w:val="both"/>
        <w:divId w:val="1480610980"/>
        <w:rPr>
          <w:rFonts w:eastAsia="Times New Roman"/>
        </w:rPr>
      </w:pPr>
      <w:r>
        <w:rPr>
          <w:rFonts w:eastAsia="Times New Roman"/>
          <w:b/>
          <w:bCs/>
          <w:color w:val="000000"/>
          <w:sz w:val="20"/>
          <w:szCs w:val="20"/>
        </w:rPr>
        <w:t xml:space="preserve">OTC: </w:t>
      </w:r>
      <w:r>
        <w:rPr>
          <w:rFonts w:eastAsia="Times New Roman"/>
          <w:color w:val="000000"/>
          <w:sz w:val="20"/>
          <w:szCs w:val="20"/>
        </w:rPr>
        <w:t xml:space="preserve">Over-the-counter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121072778"/>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121072778"/>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121072778"/>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109</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35" style="width:0;height:1.5pt" o:hralign="center" o:hrstd="t" o:hr="t" fillcolor="#a0a0a0" stroked="f"/>
        </w:pict>
      </w:r>
    </w:p>
    <w:p w:rsidR="00000000" w:rsidRDefault="0094004B">
      <w:pPr>
        <w:ind w:hanging="360"/>
        <w:jc w:val="both"/>
        <w:divId w:val="167453599"/>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both"/>
        <w:divId w:val="1867672195"/>
        <w:rPr>
          <w:rFonts w:eastAsia="Times New Roman"/>
        </w:rPr>
      </w:pPr>
      <w:r>
        <w:rPr>
          <w:rFonts w:eastAsia="Times New Roman"/>
          <w:b/>
          <w:bCs/>
          <w:color w:val="000000"/>
          <w:sz w:val="20"/>
          <w:szCs w:val="20"/>
        </w:rPr>
        <w:t>PCA:</w:t>
      </w:r>
      <w:r>
        <w:rPr>
          <w:rFonts w:ascii="Arial" w:eastAsia="Times New Roman" w:hAnsi="Arial" w:cs="Arial"/>
          <w:color w:val="000000"/>
          <w:sz w:val="20"/>
          <w:szCs w:val="20"/>
        </w:rPr>
        <w:t xml:space="preserve"> </w:t>
      </w:r>
      <w:r>
        <w:rPr>
          <w:rFonts w:eastAsia="Times New Roman"/>
          <w:color w:val="000000"/>
          <w:sz w:val="20"/>
          <w:szCs w:val="20"/>
        </w:rPr>
        <w:t>Prompt corrective action</w:t>
      </w:r>
    </w:p>
    <w:p w:rsidR="00000000" w:rsidRDefault="0094004B">
      <w:pPr>
        <w:divId w:val="1491676038"/>
        <w:rPr>
          <w:rFonts w:eastAsia="Times New Roman"/>
        </w:rPr>
      </w:pPr>
      <w:r>
        <w:rPr>
          <w:rFonts w:eastAsia="Times New Roman"/>
          <w:b/>
          <w:bCs/>
          <w:color w:val="000000"/>
          <w:sz w:val="20"/>
          <w:szCs w:val="20"/>
        </w:rPr>
        <w:t>PCAOB:</w:t>
      </w:r>
      <w:r>
        <w:rPr>
          <w:rFonts w:eastAsia="Times New Roman"/>
          <w:color w:val="000000"/>
          <w:sz w:val="20"/>
          <w:szCs w:val="20"/>
        </w:rPr>
        <w:t xml:space="preserve"> Public Company Accounting Oversight Board</w:t>
      </w:r>
    </w:p>
    <w:p w:rsidR="00000000" w:rsidRDefault="0094004B">
      <w:pPr>
        <w:jc w:val="both"/>
        <w:divId w:val="1148742193"/>
        <w:rPr>
          <w:rFonts w:eastAsia="Times New Roman"/>
        </w:rPr>
      </w:pPr>
      <w:r>
        <w:rPr>
          <w:rFonts w:eastAsia="Times New Roman"/>
          <w:b/>
          <w:bCs/>
          <w:color w:val="000000"/>
          <w:sz w:val="20"/>
          <w:szCs w:val="20"/>
        </w:rPr>
        <w:t xml:space="preserve">PCCR: </w:t>
      </w:r>
      <w:r>
        <w:rPr>
          <w:rFonts w:eastAsia="Times New Roman"/>
          <w:color w:val="000000"/>
          <w:sz w:val="20"/>
          <w:szCs w:val="20"/>
        </w:rPr>
        <w:t>Purchased credit card relationship</w:t>
      </w:r>
    </w:p>
    <w:p w:rsidR="00000000" w:rsidRDefault="0094004B">
      <w:pPr>
        <w:divId w:val="220480252"/>
        <w:rPr>
          <w:rFonts w:eastAsia="Times New Roman"/>
        </w:rPr>
      </w:pPr>
      <w:r>
        <w:rPr>
          <w:rFonts w:eastAsia="Times New Roman"/>
          <w:b/>
          <w:bCs/>
          <w:color w:val="000000"/>
          <w:sz w:val="20"/>
          <w:szCs w:val="20"/>
        </w:rPr>
        <w:t xml:space="preserve">PCD: </w:t>
      </w:r>
      <w:r>
        <w:rPr>
          <w:rFonts w:eastAsia="Times New Roman"/>
          <w:color w:val="000000"/>
          <w:sz w:val="20"/>
          <w:szCs w:val="20"/>
        </w:rPr>
        <w:t>Purchased Credit-Deteriorated</w:t>
      </w:r>
    </w:p>
    <w:p w:rsidR="00000000" w:rsidRDefault="0094004B">
      <w:pPr>
        <w:divId w:val="1441752738"/>
        <w:rPr>
          <w:rFonts w:eastAsia="Times New Roman"/>
        </w:rPr>
      </w:pPr>
      <w:r>
        <w:rPr>
          <w:rFonts w:eastAsia="Times New Roman"/>
          <w:b/>
          <w:bCs/>
          <w:color w:val="000000"/>
          <w:sz w:val="20"/>
          <w:szCs w:val="20"/>
        </w:rPr>
        <w:t xml:space="preserve">PIPEDA: </w:t>
      </w:r>
      <w:r>
        <w:rPr>
          <w:rFonts w:eastAsia="Times New Roman"/>
          <w:color w:val="000000"/>
          <w:sz w:val="20"/>
          <w:szCs w:val="20"/>
        </w:rPr>
        <w:t>Personal Information Protection and Electronic Document Act</w:t>
      </w:r>
    </w:p>
    <w:p w:rsidR="00000000" w:rsidRDefault="0094004B">
      <w:pPr>
        <w:jc w:val="both"/>
        <w:divId w:val="2091536092"/>
        <w:rPr>
          <w:rFonts w:eastAsia="Times New Roman"/>
        </w:rPr>
      </w:pPr>
      <w:r>
        <w:rPr>
          <w:rFonts w:eastAsia="Times New Roman"/>
          <w:b/>
          <w:bCs/>
          <w:color w:val="000000"/>
          <w:sz w:val="20"/>
          <w:szCs w:val="20"/>
        </w:rPr>
        <w:t xml:space="preserve">PPI: </w:t>
      </w:r>
      <w:r>
        <w:rPr>
          <w:rFonts w:eastAsia="Times New Roman"/>
          <w:color w:val="000000"/>
          <w:sz w:val="20"/>
          <w:szCs w:val="20"/>
        </w:rPr>
        <w:t>Payment protection insurance</w:t>
      </w:r>
    </w:p>
    <w:p w:rsidR="00000000" w:rsidRDefault="0094004B">
      <w:pPr>
        <w:jc w:val="both"/>
        <w:divId w:val="1898977087"/>
        <w:rPr>
          <w:rFonts w:eastAsia="Times New Roman"/>
        </w:rPr>
      </w:pPr>
      <w:r>
        <w:rPr>
          <w:rFonts w:eastAsia="Times New Roman"/>
          <w:b/>
          <w:bCs/>
          <w:color w:val="000000"/>
          <w:sz w:val="20"/>
          <w:szCs w:val="20"/>
        </w:rPr>
        <w:t xml:space="preserve">PSU: </w:t>
      </w:r>
      <w:r>
        <w:rPr>
          <w:rFonts w:eastAsia="Times New Roman"/>
          <w:color w:val="000000"/>
          <w:sz w:val="20"/>
          <w:szCs w:val="20"/>
        </w:rPr>
        <w:t>Performance share units</w:t>
      </w:r>
    </w:p>
    <w:p w:rsidR="00000000" w:rsidRDefault="0094004B">
      <w:pPr>
        <w:jc w:val="both"/>
        <w:divId w:val="1769541037"/>
        <w:rPr>
          <w:rFonts w:eastAsia="Times New Roman"/>
        </w:rPr>
      </w:pPr>
      <w:r>
        <w:rPr>
          <w:rFonts w:eastAsia="Times New Roman"/>
          <w:b/>
          <w:bCs/>
          <w:color w:val="000000"/>
          <w:sz w:val="20"/>
          <w:szCs w:val="20"/>
        </w:rPr>
        <w:t xml:space="preserve">RMBS: </w:t>
      </w:r>
      <w:r>
        <w:rPr>
          <w:rFonts w:eastAsia="Times New Roman"/>
          <w:color w:val="000000"/>
          <w:sz w:val="20"/>
          <w:szCs w:val="20"/>
        </w:rPr>
        <w:t>Residential mortgage-backed securities</w:t>
      </w:r>
    </w:p>
    <w:p w:rsidR="00000000" w:rsidRDefault="0094004B">
      <w:pPr>
        <w:jc w:val="both"/>
        <w:divId w:val="1074160337"/>
        <w:rPr>
          <w:rFonts w:eastAsia="Times New Roman"/>
        </w:rPr>
      </w:pPr>
      <w:r>
        <w:rPr>
          <w:rFonts w:eastAsia="Times New Roman"/>
          <w:b/>
          <w:bCs/>
          <w:color w:val="000000"/>
          <w:sz w:val="20"/>
          <w:szCs w:val="20"/>
        </w:rPr>
        <w:t>RSU:</w:t>
      </w:r>
      <w:r>
        <w:rPr>
          <w:rFonts w:eastAsia="Times New Roman"/>
          <w:color w:val="000000"/>
          <w:sz w:val="20"/>
          <w:szCs w:val="20"/>
        </w:rPr>
        <w:t xml:space="preserve"> Restricted stock unit</w:t>
      </w:r>
    </w:p>
    <w:p w:rsidR="00000000" w:rsidRDefault="0094004B">
      <w:pPr>
        <w:jc w:val="both"/>
        <w:divId w:val="100804104"/>
        <w:rPr>
          <w:rFonts w:eastAsia="Times New Roman"/>
        </w:rPr>
      </w:pPr>
      <w:r>
        <w:rPr>
          <w:rFonts w:eastAsia="Times New Roman"/>
          <w:b/>
          <w:bCs/>
          <w:color w:val="000000"/>
          <w:sz w:val="20"/>
          <w:szCs w:val="20"/>
        </w:rPr>
        <w:t>S&amp;P:</w:t>
      </w:r>
      <w:r>
        <w:rPr>
          <w:rFonts w:ascii="Arial" w:eastAsia="Times New Roman" w:hAnsi="Arial" w:cs="Arial"/>
          <w:color w:val="000000"/>
          <w:sz w:val="20"/>
          <w:szCs w:val="20"/>
        </w:rPr>
        <w:t xml:space="preserve"> </w:t>
      </w:r>
      <w:r>
        <w:rPr>
          <w:rFonts w:eastAsia="Times New Roman"/>
          <w:color w:val="000000"/>
          <w:sz w:val="20"/>
          <w:szCs w:val="20"/>
        </w:rPr>
        <w:t>Standard &amp; Poor’s</w:t>
      </w:r>
    </w:p>
    <w:p w:rsidR="00000000" w:rsidRDefault="0094004B">
      <w:pPr>
        <w:jc w:val="both"/>
        <w:divId w:val="422992551"/>
        <w:rPr>
          <w:rFonts w:eastAsia="Times New Roman"/>
        </w:rPr>
      </w:pPr>
      <w:r>
        <w:rPr>
          <w:rFonts w:eastAsia="Times New Roman"/>
          <w:b/>
          <w:bCs/>
          <w:color w:val="000000"/>
          <w:sz w:val="20"/>
          <w:szCs w:val="20"/>
        </w:rPr>
        <w:t>SEC:</w:t>
      </w:r>
      <w:r>
        <w:rPr>
          <w:rFonts w:eastAsia="Times New Roman"/>
          <w:color w:val="000000"/>
          <w:sz w:val="20"/>
          <w:szCs w:val="20"/>
        </w:rPr>
        <w:t xml:space="preserve"> U.S. Securities and Exchange Commission</w:t>
      </w:r>
    </w:p>
    <w:p w:rsidR="00000000" w:rsidRDefault="0094004B">
      <w:pPr>
        <w:jc w:val="both"/>
        <w:divId w:val="1329553309"/>
        <w:rPr>
          <w:rFonts w:eastAsia="Times New Roman"/>
        </w:rPr>
      </w:pPr>
      <w:r>
        <w:rPr>
          <w:rFonts w:eastAsia="Times New Roman"/>
          <w:b/>
          <w:bCs/>
          <w:color w:val="000000"/>
          <w:sz w:val="20"/>
          <w:szCs w:val="20"/>
        </w:rPr>
        <w:t>SOFR:</w:t>
      </w:r>
      <w:r>
        <w:rPr>
          <w:rFonts w:eastAsia="Times New Roman"/>
          <w:color w:val="000000"/>
          <w:sz w:val="20"/>
          <w:szCs w:val="20"/>
        </w:rPr>
        <w:t xml:space="preserve"> Secured Overnight Financing Rate</w:t>
      </w:r>
    </w:p>
    <w:p w:rsidR="00000000" w:rsidRDefault="0094004B">
      <w:pPr>
        <w:jc w:val="both"/>
        <w:divId w:val="562568648"/>
        <w:rPr>
          <w:rFonts w:eastAsia="Times New Roman"/>
        </w:rPr>
      </w:pPr>
      <w:r>
        <w:rPr>
          <w:rFonts w:eastAsia="Times New Roman"/>
          <w:b/>
          <w:bCs/>
          <w:color w:val="000000"/>
          <w:sz w:val="20"/>
          <w:szCs w:val="20"/>
        </w:rPr>
        <w:t>TCE:</w:t>
      </w:r>
      <w:r>
        <w:rPr>
          <w:rFonts w:eastAsia="Times New Roman"/>
          <w:color w:val="000000"/>
          <w:sz w:val="20"/>
          <w:szCs w:val="20"/>
        </w:rPr>
        <w:t xml:space="preserve"> Tangible common equity</w:t>
      </w:r>
    </w:p>
    <w:p w:rsidR="00000000" w:rsidRDefault="0094004B">
      <w:pPr>
        <w:jc w:val="both"/>
        <w:divId w:val="407192402"/>
        <w:rPr>
          <w:rFonts w:eastAsia="Times New Roman"/>
        </w:rPr>
      </w:pPr>
      <w:r>
        <w:rPr>
          <w:rFonts w:eastAsia="Times New Roman"/>
          <w:b/>
          <w:bCs/>
          <w:color w:val="000000"/>
          <w:sz w:val="20"/>
          <w:szCs w:val="20"/>
        </w:rPr>
        <w:t>TDR:</w:t>
      </w:r>
      <w:r>
        <w:rPr>
          <w:rFonts w:eastAsia="Times New Roman"/>
          <w:color w:val="000000"/>
          <w:sz w:val="20"/>
          <w:szCs w:val="20"/>
        </w:rPr>
        <w:t xml:space="preserve"> Troubled debt restructuring</w:t>
      </w:r>
    </w:p>
    <w:p w:rsidR="00000000" w:rsidRDefault="0094004B">
      <w:pPr>
        <w:jc w:val="both"/>
        <w:divId w:val="1138837178"/>
        <w:rPr>
          <w:rFonts w:eastAsia="Times New Roman"/>
        </w:rPr>
      </w:pPr>
      <w:r>
        <w:rPr>
          <w:rFonts w:eastAsia="Times New Roman"/>
          <w:b/>
          <w:bCs/>
          <w:color w:val="000000"/>
          <w:sz w:val="20"/>
          <w:szCs w:val="20"/>
        </w:rPr>
        <w:t xml:space="preserve">TILA: </w:t>
      </w:r>
      <w:r>
        <w:rPr>
          <w:rFonts w:eastAsia="Times New Roman"/>
          <w:color w:val="000000"/>
          <w:sz w:val="20"/>
          <w:szCs w:val="20"/>
        </w:rPr>
        <w:t>Truth in Lending Act</w:t>
      </w:r>
    </w:p>
    <w:p w:rsidR="00000000" w:rsidRDefault="0094004B">
      <w:pPr>
        <w:jc w:val="both"/>
        <w:divId w:val="1731146458"/>
        <w:rPr>
          <w:rFonts w:eastAsia="Times New Roman"/>
        </w:rPr>
      </w:pPr>
      <w:r>
        <w:rPr>
          <w:rFonts w:eastAsia="Times New Roman"/>
          <w:b/>
          <w:bCs/>
          <w:color w:val="000000"/>
          <w:sz w:val="20"/>
          <w:szCs w:val="20"/>
        </w:rPr>
        <w:t>U.K.:</w:t>
      </w:r>
      <w:r>
        <w:rPr>
          <w:rFonts w:eastAsia="Times New Roman"/>
          <w:color w:val="000000"/>
          <w:sz w:val="20"/>
          <w:szCs w:val="20"/>
        </w:rPr>
        <w:t xml:space="preserve"> United Kingdom</w:t>
      </w:r>
    </w:p>
    <w:p w:rsidR="00000000" w:rsidRDefault="0094004B">
      <w:pPr>
        <w:jc w:val="both"/>
        <w:divId w:val="1729836184"/>
        <w:rPr>
          <w:rFonts w:eastAsia="Times New Roman"/>
        </w:rPr>
      </w:pPr>
      <w:r>
        <w:rPr>
          <w:rFonts w:eastAsia="Times New Roman"/>
          <w:b/>
          <w:bCs/>
          <w:color w:val="000000"/>
          <w:sz w:val="20"/>
          <w:szCs w:val="20"/>
        </w:rPr>
        <w:t>U.K. GDPR:</w:t>
      </w:r>
      <w:r>
        <w:rPr>
          <w:rFonts w:eastAsia="Times New Roman"/>
          <w:color w:val="000000"/>
          <w:sz w:val="20"/>
          <w:szCs w:val="20"/>
        </w:rPr>
        <w:t xml:space="preserve"> U.K. General Data Protection Regulation </w:t>
      </w:r>
    </w:p>
    <w:p w:rsidR="00000000" w:rsidRDefault="0094004B">
      <w:pPr>
        <w:jc w:val="both"/>
        <w:divId w:val="1262026796"/>
        <w:rPr>
          <w:rFonts w:eastAsia="Times New Roman"/>
        </w:rPr>
      </w:pPr>
      <w:r>
        <w:rPr>
          <w:rFonts w:eastAsia="Times New Roman"/>
          <w:b/>
          <w:bCs/>
          <w:color w:val="000000"/>
          <w:sz w:val="20"/>
          <w:szCs w:val="20"/>
        </w:rPr>
        <w:t>U.S.:</w:t>
      </w:r>
      <w:r>
        <w:rPr>
          <w:rFonts w:eastAsia="Times New Roman"/>
          <w:color w:val="000000"/>
          <w:sz w:val="20"/>
          <w:szCs w:val="20"/>
        </w:rPr>
        <w:t xml:space="preserve"> </w:t>
      </w:r>
      <w:r>
        <w:rPr>
          <w:rFonts w:eastAsia="Times New Roman"/>
          <w:color w:val="000000"/>
          <w:sz w:val="20"/>
          <w:szCs w:val="20"/>
        </w:rPr>
        <w:t>United States of America</w:t>
      </w:r>
    </w:p>
    <w:p w:rsidR="00000000" w:rsidRDefault="0094004B">
      <w:pPr>
        <w:jc w:val="both"/>
        <w:divId w:val="738745810"/>
        <w:rPr>
          <w:rFonts w:eastAsia="Times New Roman"/>
        </w:rPr>
      </w:pPr>
      <w:r>
        <w:rPr>
          <w:rFonts w:eastAsia="Times New Roman"/>
          <w:b/>
          <w:bCs/>
          <w:color w:val="000000"/>
          <w:sz w:val="20"/>
          <w:szCs w:val="20"/>
        </w:rPr>
        <w:t xml:space="preserve">USD: </w:t>
      </w:r>
      <w:r>
        <w:rPr>
          <w:rFonts w:eastAsia="Times New Roman"/>
          <w:color w:val="000000"/>
          <w:sz w:val="20"/>
          <w:szCs w:val="20"/>
        </w:rPr>
        <w:t>United States Dollar</w:t>
      </w:r>
    </w:p>
    <w:p w:rsidR="00000000" w:rsidRDefault="0094004B">
      <w:pPr>
        <w:jc w:val="both"/>
        <w:divId w:val="1664235640"/>
        <w:rPr>
          <w:rFonts w:eastAsia="Times New Roman"/>
        </w:rPr>
      </w:pPr>
      <w:r>
        <w:rPr>
          <w:rFonts w:eastAsia="Times New Roman"/>
          <w:b/>
          <w:bCs/>
          <w:color w:val="000000"/>
          <w:sz w:val="20"/>
          <w:szCs w:val="20"/>
        </w:rPr>
        <w:t xml:space="preserve">VAC: </w:t>
      </w:r>
      <w:r>
        <w:rPr>
          <w:rFonts w:eastAsia="Times New Roman"/>
          <w:color w:val="000000"/>
          <w:sz w:val="20"/>
          <w:szCs w:val="20"/>
        </w:rPr>
        <w:t>Valuations Advisory Committee</w:t>
      </w:r>
    </w:p>
    <w:p w:rsidR="00000000" w:rsidRDefault="0094004B">
      <w:pPr>
        <w:jc w:val="both"/>
        <w:divId w:val="1972125444"/>
        <w:rPr>
          <w:rFonts w:eastAsia="Times New Roman"/>
        </w:rPr>
      </w:pPr>
      <w:r>
        <w:rPr>
          <w:rFonts w:eastAsia="Times New Roman"/>
          <w:b/>
          <w:bCs/>
          <w:color w:val="000000"/>
          <w:sz w:val="20"/>
          <w:szCs w:val="20"/>
        </w:rPr>
        <w:t>VIE:</w:t>
      </w:r>
      <w:r>
        <w:rPr>
          <w:rFonts w:eastAsia="Times New Roman"/>
          <w:color w:val="000000"/>
          <w:sz w:val="20"/>
          <w:szCs w:val="20"/>
        </w:rPr>
        <w:t xml:space="preserve"> Variable interest entity</w:t>
      </w:r>
    </w:p>
    <w:p w:rsidR="00000000" w:rsidRDefault="0094004B">
      <w:pPr>
        <w:jc w:val="both"/>
        <w:divId w:val="538972779"/>
        <w:rPr>
          <w:rFonts w:eastAsia="Times New Roman"/>
        </w:rPr>
      </w:pPr>
      <w:r>
        <w:rPr>
          <w:rFonts w:eastAsia="Times New Roman"/>
          <w:b/>
          <w:bCs/>
          <w:color w:val="000000"/>
          <w:sz w:val="20"/>
          <w:szCs w:val="20"/>
        </w:rPr>
        <w:t>XBRL:</w:t>
      </w:r>
      <w:r>
        <w:rPr>
          <w:rFonts w:eastAsia="Times New Roman"/>
          <w:color w:val="000000"/>
          <w:sz w:val="20"/>
          <w:szCs w:val="20"/>
        </w:rPr>
        <w:t xml:space="preserve"> Extensible business reporting language</w:t>
      </w:r>
    </w:p>
    <w:p w:rsidR="00000000" w:rsidRDefault="0094004B">
      <w:pPr>
        <w:jc w:val="both"/>
        <w:divId w:val="649990357"/>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270045981"/>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270045981"/>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270045981"/>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110</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36" style="width:0;height:1.5pt" o:hralign="center" o:hrstd="t" o:hr="t" fillcolor="#a0a0a0" stroked="f"/>
        </w:pict>
      </w:r>
    </w:p>
    <w:p w:rsidR="00000000" w:rsidRDefault="0094004B">
      <w:pPr>
        <w:jc w:val="both"/>
        <w:divId w:val="78985507"/>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divId w:val="604073977"/>
        <w:rPr>
          <w:rFonts w:eastAsia="Times New Roman"/>
        </w:rPr>
      </w:pPr>
      <w:r>
        <w:rPr>
          <w:rFonts w:eastAsia="Times New Roman"/>
          <w:b/>
          <w:bCs/>
          <w:color w:val="000000"/>
          <w:sz w:val="20"/>
          <w:szCs w:val="20"/>
        </w:rPr>
        <w:t xml:space="preserve">Item 7A. Quantitative and Qualitative Disclosures about Market Risk </w:t>
      </w:r>
    </w:p>
    <w:p w:rsidR="00000000" w:rsidRDefault="0094004B">
      <w:pPr>
        <w:jc w:val="both"/>
        <w:divId w:val="1169755000"/>
        <w:rPr>
          <w:rFonts w:eastAsia="Times New Roman"/>
        </w:rPr>
      </w:pPr>
      <w:r>
        <w:rPr>
          <w:rFonts w:eastAsia="Times New Roman"/>
          <w:color w:val="000000"/>
          <w:sz w:val="20"/>
          <w:szCs w:val="20"/>
        </w:rPr>
        <w:t>For a discussion of the quantitative and qualitative disclosures about market risk, see “Part II—Item 7. MD&amp;A—Market Risk Profile.”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600063213"/>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600063213"/>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600063213"/>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111</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37" style="width:0;height:1.5pt" o:hralign="center" o:hrstd="t" o:hr="t" fillcolor="#a0a0a0" stroked="f"/>
        </w:pict>
      </w:r>
    </w:p>
    <w:p w:rsidR="00000000" w:rsidRDefault="0094004B">
      <w:pPr>
        <w:jc w:val="both"/>
        <w:divId w:val="317851713"/>
        <w:rPr>
          <w:rFonts w:eastAsia="Times New Roman"/>
        </w:rPr>
      </w:pPr>
      <w:hyperlink w:anchor="ia820611622d9441b977884dac00e0ebd_16"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7679"/>
        <w:gridCol w:w="36"/>
        <w:gridCol w:w="72"/>
        <w:gridCol w:w="413"/>
        <w:gridCol w:w="37"/>
      </w:tblGrid>
      <w:tr w:rsidR="00000000">
        <w:trPr>
          <w:divId w:val="867643586"/>
        </w:trPr>
        <w:tc>
          <w:tcPr>
            <w:tcW w:w="50" w:type="pct"/>
            <w:vAlign w:val="center"/>
            <w:hideMark/>
          </w:tcPr>
          <w:p w:rsidR="00000000" w:rsidRDefault="0094004B">
            <w:pPr>
              <w:jc w:val="both"/>
              <w:rPr>
                <w:rFonts w:eastAsia="Times New Roman"/>
              </w:rPr>
            </w:pPr>
          </w:p>
        </w:tc>
        <w:tc>
          <w:tcPr>
            <w:tcW w:w="4630"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5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867643586"/>
        </w:trPr>
        <w:tc>
          <w:tcPr>
            <w:tcW w:w="0" w:type="auto"/>
            <w:gridSpan w:val="6"/>
            <w:tcMar>
              <w:top w:w="30" w:type="dxa"/>
              <w:left w:w="20" w:type="dxa"/>
              <w:bottom w:w="30" w:type="dxa"/>
              <w:right w:w="20" w:type="dxa"/>
            </w:tcMar>
            <w:vAlign w:val="bottom"/>
            <w:hideMark/>
          </w:tcPr>
          <w:p w:rsidR="00000000" w:rsidRDefault="0094004B">
            <w:pPr>
              <w:spacing w:after="100"/>
              <w:divId w:val="1573199396"/>
              <w:rPr>
                <w:rFonts w:eastAsia="Times New Roman"/>
              </w:rPr>
            </w:pPr>
            <w:hyperlink w:anchor="ia820611622d9441b977884dac00e0ebd_328" w:history="1">
              <w:r>
                <w:rPr>
                  <w:rStyle w:val="a3"/>
                  <w:rFonts w:eastAsia="Times New Roman"/>
                  <w:b/>
                  <w:bCs/>
                  <w:color w:val="000000"/>
                  <w:sz w:val="20"/>
                  <w:szCs w:val="20"/>
                  <w:u w:val="none"/>
                </w:rPr>
                <w:t>Item </w:t>
              </w:r>
              <w:r>
                <w:rPr>
                  <w:rStyle w:val="a3"/>
                  <w:rFonts w:eastAsia="Times New Roman"/>
                  <w:b/>
                  <w:bCs/>
                  <w:color w:val="000000"/>
                  <w:sz w:val="20"/>
                  <w:szCs w:val="20"/>
                  <w:u w:val="none"/>
                </w:rPr>
                <w:t>8. Financial Statements and Supplementary Data</w:t>
              </w:r>
            </w:hyperlink>
          </w:p>
        </w:tc>
      </w:tr>
      <w:tr w:rsidR="00000000">
        <w:trPr>
          <w:divId w:val="867643586"/>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20"/>
                <w:szCs w:val="20"/>
              </w:rPr>
              <w:t>Page</w:t>
            </w:r>
          </w:p>
        </w:tc>
      </w:tr>
      <w:tr w:rsidR="00000000">
        <w:trPr>
          <w:divId w:val="867643586"/>
        </w:trPr>
        <w:tc>
          <w:tcPr>
            <w:tcW w:w="0" w:type="auto"/>
            <w:gridSpan w:val="3"/>
            <w:tcMar>
              <w:top w:w="30" w:type="dxa"/>
              <w:left w:w="20" w:type="dxa"/>
              <w:bottom w:w="30" w:type="dxa"/>
              <w:right w:w="20" w:type="dxa"/>
            </w:tcMar>
            <w:hideMark/>
          </w:tcPr>
          <w:p w:rsidR="00000000" w:rsidRDefault="0094004B">
            <w:pPr>
              <w:spacing w:after="100"/>
              <w:divId w:val="1720591572"/>
              <w:rPr>
                <w:rFonts w:eastAsia="Times New Roman"/>
              </w:rPr>
            </w:pPr>
            <w:hyperlink w:anchor="ia820611622d9441b977884dac00e0ebd_331" w:history="1">
              <w:r>
                <w:rPr>
                  <w:rStyle w:val="a3"/>
                  <w:rFonts w:eastAsia="Times New Roman"/>
                  <w:color w:val="000000"/>
                  <w:sz w:val="20"/>
                  <w:szCs w:val="20"/>
                  <w:u w:val="none"/>
                </w:rPr>
                <w:t>Management’s Report on Internal Control Over Financial Reporting</w:t>
              </w:r>
            </w:hyperlink>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331" w:history="1">
              <w:r>
                <w:rPr>
                  <w:rStyle w:val="a3"/>
                  <w:rFonts w:eastAsia="Times New Roman"/>
                  <w:color w:val="000000"/>
                  <w:sz w:val="20"/>
                  <w:szCs w:val="20"/>
                  <w:u w:val="none"/>
                </w:rPr>
                <w:t>113</w:t>
              </w:r>
            </w:hyperlink>
          </w:p>
        </w:tc>
      </w:tr>
      <w:tr w:rsidR="00000000">
        <w:trPr>
          <w:divId w:val="867643586"/>
        </w:trPr>
        <w:tc>
          <w:tcPr>
            <w:tcW w:w="0" w:type="auto"/>
            <w:gridSpan w:val="3"/>
            <w:tcMar>
              <w:top w:w="30" w:type="dxa"/>
              <w:left w:w="20" w:type="dxa"/>
              <w:bottom w:w="30" w:type="dxa"/>
              <w:right w:w="20" w:type="dxa"/>
            </w:tcMar>
            <w:hideMark/>
          </w:tcPr>
          <w:p w:rsidR="00000000" w:rsidRDefault="0094004B">
            <w:pPr>
              <w:spacing w:after="100"/>
              <w:divId w:val="2112119931"/>
              <w:rPr>
                <w:rFonts w:eastAsia="Times New Roman"/>
              </w:rPr>
            </w:pPr>
            <w:hyperlink w:anchor="ia820611622d9441b977884dac00e0ebd_334" w:history="1">
              <w:r>
                <w:rPr>
                  <w:rStyle w:val="a3"/>
                  <w:rFonts w:eastAsia="Times New Roman"/>
                  <w:color w:val="000000"/>
                  <w:sz w:val="20"/>
                  <w:szCs w:val="20"/>
                  <w:u w:val="none"/>
                </w:rPr>
                <w:t>Report of Independent Registered Public Accounting Firm on Internal Control Over Financial Reporting</w:t>
              </w:r>
            </w:hyperlink>
            <w:r>
              <w:rPr>
                <w:rFonts w:eastAsia="Times New Roman"/>
                <w:color w:val="000000"/>
                <w:sz w:val="20"/>
                <w:szCs w:val="20"/>
              </w:rPr>
              <w:t xml:space="preserve"> (PCAOB ID 42)</w:t>
            </w:r>
          </w:p>
        </w:tc>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hyperlink w:anchor="ia820611622d9441b977884dac00e0ebd_334" w:history="1">
              <w:r>
                <w:rPr>
                  <w:rStyle w:val="a3"/>
                  <w:rFonts w:eastAsia="Times New Roman"/>
                  <w:color w:val="000000"/>
                  <w:sz w:val="20"/>
                  <w:szCs w:val="20"/>
                  <w:u w:val="none"/>
                </w:rPr>
                <w:t>114</w:t>
              </w:r>
            </w:hyperlink>
          </w:p>
        </w:tc>
      </w:tr>
      <w:tr w:rsidR="00000000">
        <w:trPr>
          <w:divId w:val="867643586"/>
        </w:trPr>
        <w:tc>
          <w:tcPr>
            <w:tcW w:w="0" w:type="auto"/>
            <w:gridSpan w:val="3"/>
            <w:tcMar>
              <w:top w:w="30" w:type="dxa"/>
              <w:left w:w="20" w:type="dxa"/>
              <w:bottom w:w="30" w:type="dxa"/>
              <w:right w:w="20" w:type="dxa"/>
            </w:tcMar>
            <w:hideMark/>
          </w:tcPr>
          <w:p w:rsidR="00000000" w:rsidRDefault="0094004B">
            <w:pPr>
              <w:spacing w:after="100"/>
              <w:divId w:val="1700007733"/>
              <w:rPr>
                <w:rFonts w:eastAsia="Times New Roman"/>
              </w:rPr>
            </w:pPr>
            <w:hyperlink w:anchor="ia820611622d9441b977884dac00e0ebd_337" w:history="1">
              <w:r>
                <w:rPr>
                  <w:rStyle w:val="a3"/>
                  <w:rFonts w:eastAsia="Times New Roman"/>
                  <w:color w:val="000000"/>
                  <w:sz w:val="20"/>
                  <w:szCs w:val="20"/>
                  <w:u w:val="none"/>
                </w:rPr>
                <w:t>Report of In</w:t>
              </w:r>
              <w:r>
                <w:rPr>
                  <w:rStyle w:val="a3"/>
                  <w:rFonts w:eastAsia="Times New Roman"/>
                  <w:color w:val="000000"/>
                  <w:sz w:val="20"/>
                  <w:szCs w:val="20"/>
                  <w:u w:val="none"/>
                </w:rPr>
                <w:t>dependent Registered Public Accounting Firm on the Consolidated Financial Statements</w:t>
              </w:r>
            </w:hyperlink>
            <w:r>
              <w:rPr>
                <w:rFonts w:eastAsia="Times New Roman"/>
                <w:color w:val="000000"/>
                <w:sz w:val="20"/>
                <w:szCs w:val="20"/>
              </w:rPr>
              <w:t xml:space="preserve"> (PCAOB ID 42)</w:t>
            </w: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hyperlink w:anchor="ia820611622d9441b977884dac00e0ebd_337" w:history="1">
              <w:r>
                <w:rPr>
                  <w:rStyle w:val="a3"/>
                  <w:rFonts w:eastAsia="Times New Roman"/>
                  <w:color w:val="000000"/>
                  <w:sz w:val="20"/>
                  <w:szCs w:val="20"/>
                  <w:u w:val="none"/>
                </w:rPr>
                <w:t>115</w:t>
              </w:r>
            </w:hyperlink>
          </w:p>
        </w:tc>
      </w:tr>
      <w:tr w:rsidR="00000000">
        <w:trPr>
          <w:divId w:val="867643586"/>
        </w:trPr>
        <w:tc>
          <w:tcPr>
            <w:tcW w:w="0" w:type="auto"/>
            <w:gridSpan w:val="3"/>
            <w:tcMar>
              <w:top w:w="30" w:type="dxa"/>
              <w:left w:w="20" w:type="dxa"/>
              <w:bottom w:w="30" w:type="dxa"/>
              <w:right w:w="20" w:type="dxa"/>
            </w:tcMar>
            <w:hideMark/>
          </w:tcPr>
          <w:p w:rsidR="00000000" w:rsidRDefault="0094004B">
            <w:pPr>
              <w:spacing w:after="100"/>
              <w:divId w:val="1987469304"/>
              <w:rPr>
                <w:rFonts w:eastAsia="Times New Roman"/>
              </w:rPr>
            </w:pPr>
            <w:hyperlink w:anchor="ia820611622d9441b977884dac00e0ebd_340" w:history="1">
              <w:r>
                <w:rPr>
                  <w:rStyle w:val="a3"/>
                  <w:rFonts w:eastAsia="Times New Roman"/>
                  <w:color w:val="000000"/>
                  <w:sz w:val="20"/>
                  <w:szCs w:val="20"/>
                  <w:u w:val="none"/>
                </w:rPr>
                <w:t>Consolidated Financial State</w:t>
              </w:r>
              <w:r>
                <w:rPr>
                  <w:rStyle w:val="a3"/>
                  <w:rFonts w:eastAsia="Times New Roman"/>
                  <w:color w:val="000000"/>
                  <w:sz w:val="20"/>
                  <w:szCs w:val="20"/>
                  <w:u w:val="none"/>
                </w:rPr>
                <w:t>ments</w:t>
              </w:r>
            </w:hyperlink>
          </w:p>
        </w:tc>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hyperlink w:anchor="ia820611622d9441b977884dac00e0ebd_340" w:history="1">
              <w:r>
                <w:rPr>
                  <w:rStyle w:val="a3"/>
                  <w:rFonts w:eastAsia="Times New Roman"/>
                  <w:color w:val="000000"/>
                  <w:sz w:val="20"/>
                  <w:szCs w:val="20"/>
                  <w:u w:val="none"/>
                </w:rPr>
                <w:t>117</w:t>
              </w:r>
            </w:hyperlink>
          </w:p>
        </w:tc>
      </w:tr>
      <w:tr w:rsidR="00000000">
        <w:trPr>
          <w:divId w:val="867643586"/>
        </w:trPr>
        <w:tc>
          <w:tcPr>
            <w:tcW w:w="0" w:type="auto"/>
            <w:gridSpan w:val="3"/>
            <w:tcMar>
              <w:top w:w="30" w:type="dxa"/>
              <w:left w:w="20" w:type="dxa"/>
              <w:bottom w:w="30" w:type="dxa"/>
              <w:right w:w="20" w:type="dxa"/>
            </w:tcMar>
            <w:hideMark/>
          </w:tcPr>
          <w:p w:rsidR="00000000" w:rsidRDefault="0094004B">
            <w:pPr>
              <w:spacing w:after="100"/>
              <w:divId w:val="1206795824"/>
              <w:rPr>
                <w:rFonts w:eastAsia="Times New Roman"/>
              </w:rPr>
            </w:pPr>
            <w:hyperlink w:anchor="ia820611622d9441b977884dac00e0ebd_343" w:history="1">
              <w:r>
                <w:rPr>
                  <w:rStyle w:val="a3"/>
                  <w:rFonts w:eastAsia="Times New Roman"/>
                  <w:color w:val="000000"/>
                  <w:sz w:val="20"/>
                  <w:szCs w:val="20"/>
                  <w:u w:val="none"/>
                </w:rPr>
                <w:t>Consolidated Statements of Income</w:t>
              </w:r>
            </w:hyperlink>
          </w:p>
        </w:tc>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hyperlink w:anchor="ia820611622d9441b977884dac00e0ebd_343" w:history="1">
              <w:r>
                <w:rPr>
                  <w:rStyle w:val="a3"/>
                  <w:rFonts w:eastAsia="Times New Roman"/>
                  <w:color w:val="000000"/>
                  <w:sz w:val="20"/>
                  <w:szCs w:val="20"/>
                  <w:u w:val="none"/>
                </w:rPr>
                <w:t>117</w:t>
              </w:r>
            </w:hyperlink>
          </w:p>
        </w:tc>
      </w:tr>
      <w:tr w:rsidR="00000000">
        <w:trPr>
          <w:divId w:val="867643586"/>
        </w:trPr>
        <w:tc>
          <w:tcPr>
            <w:tcW w:w="0" w:type="auto"/>
            <w:gridSpan w:val="3"/>
            <w:tcMar>
              <w:top w:w="30" w:type="dxa"/>
              <w:left w:w="20" w:type="dxa"/>
              <w:bottom w:w="30" w:type="dxa"/>
              <w:right w:w="20" w:type="dxa"/>
            </w:tcMar>
            <w:hideMark/>
          </w:tcPr>
          <w:p w:rsidR="00000000" w:rsidRDefault="0094004B">
            <w:pPr>
              <w:spacing w:after="100"/>
              <w:divId w:val="1054160141"/>
              <w:rPr>
                <w:rFonts w:eastAsia="Times New Roman"/>
              </w:rPr>
            </w:pPr>
            <w:hyperlink w:anchor="ia820611622d9441b977884dac00e0ebd_346" w:history="1">
              <w:r>
                <w:rPr>
                  <w:rStyle w:val="a3"/>
                  <w:rFonts w:eastAsia="Times New Roman"/>
                  <w:color w:val="000000"/>
                  <w:sz w:val="20"/>
                  <w:szCs w:val="20"/>
                  <w:u w:val="none"/>
                </w:rPr>
                <w:t>Consolidated Statements of Comprehensive Income</w:t>
              </w:r>
            </w:hyperlink>
          </w:p>
        </w:tc>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hyperlink w:anchor="ia820611622d9441b977884dac00e0ebd_346" w:history="1">
              <w:r>
                <w:rPr>
                  <w:rStyle w:val="a3"/>
                  <w:rFonts w:eastAsia="Times New Roman"/>
                  <w:color w:val="000000"/>
                  <w:sz w:val="20"/>
                  <w:szCs w:val="20"/>
                  <w:u w:val="none"/>
                </w:rPr>
                <w:t>118</w:t>
              </w:r>
            </w:hyperlink>
          </w:p>
        </w:tc>
      </w:tr>
      <w:tr w:rsidR="00000000">
        <w:trPr>
          <w:divId w:val="867643586"/>
        </w:trPr>
        <w:tc>
          <w:tcPr>
            <w:tcW w:w="0" w:type="auto"/>
            <w:gridSpan w:val="3"/>
            <w:tcMar>
              <w:top w:w="30" w:type="dxa"/>
              <w:left w:w="20" w:type="dxa"/>
              <w:bottom w:w="30" w:type="dxa"/>
              <w:right w:w="20" w:type="dxa"/>
            </w:tcMar>
            <w:hideMark/>
          </w:tcPr>
          <w:p w:rsidR="00000000" w:rsidRDefault="0094004B">
            <w:pPr>
              <w:spacing w:after="100"/>
              <w:divId w:val="1156647802"/>
              <w:rPr>
                <w:rFonts w:eastAsia="Times New Roman"/>
              </w:rPr>
            </w:pPr>
            <w:hyperlink w:anchor="ia820611622d9441b977884dac00e0ebd_349" w:history="1">
              <w:r>
                <w:rPr>
                  <w:rStyle w:val="a3"/>
                  <w:rFonts w:eastAsia="Times New Roman"/>
                  <w:color w:val="000000"/>
                  <w:sz w:val="20"/>
                  <w:szCs w:val="20"/>
                  <w:u w:val="none"/>
                </w:rPr>
                <w:t>Consolidated Balance Sheets</w:t>
              </w:r>
            </w:hyperlink>
          </w:p>
        </w:tc>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hyperlink w:anchor="ia820611622d9441b977884dac00e0ebd_349" w:history="1">
              <w:r>
                <w:rPr>
                  <w:rStyle w:val="a3"/>
                  <w:rFonts w:eastAsia="Times New Roman"/>
                  <w:color w:val="000000"/>
                  <w:sz w:val="20"/>
                  <w:szCs w:val="20"/>
                  <w:u w:val="none"/>
                </w:rPr>
                <w:t>119</w:t>
              </w:r>
            </w:hyperlink>
          </w:p>
        </w:tc>
      </w:tr>
      <w:tr w:rsidR="00000000">
        <w:trPr>
          <w:divId w:val="867643586"/>
        </w:trPr>
        <w:tc>
          <w:tcPr>
            <w:tcW w:w="0" w:type="auto"/>
            <w:gridSpan w:val="3"/>
            <w:tcMar>
              <w:top w:w="30" w:type="dxa"/>
              <w:left w:w="20" w:type="dxa"/>
              <w:bottom w:w="30" w:type="dxa"/>
              <w:right w:w="20" w:type="dxa"/>
            </w:tcMar>
            <w:hideMark/>
          </w:tcPr>
          <w:p w:rsidR="00000000" w:rsidRDefault="0094004B">
            <w:pPr>
              <w:spacing w:after="100"/>
              <w:divId w:val="1685089431"/>
              <w:rPr>
                <w:rFonts w:eastAsia="Times New Roman"/>
              </w:rPr>
            </w:pPr>
            <w:hyperlink w:anchor="ia820611622d9441b977884dac00e0ebd_352" w:history="1">
              <w:r>
                <w:rPr>
                  <w:rStyle w:val="a3"/>
                  <w:rFonts w:eastAsia="Times New Roman"/>
                  <w:color w:val="000000"/>
                  <w:sz w:val="20"/>
                  <w:szCs w:val="20"/>
                  <w:u w:val="none"/>
                </w:rPr>
                <w:t>Consolidated Statements of Changes in S</w:t>
              </w:r>
              <w:r>
                <w:rPr>
                  <w:rStyle w:val="a3"/>
                  <w:rFonts w:eastAsia="Times New Roman"/>
                  <w:color w:val="000000"/>
                  <w:sz w:val="20"/>
                  <w:szCs w:val="20"/>
                  <w:u w:val="none"/>
                </w:rPr>
                <w:t>tockholders’ Equity</w:t>
              </w:r>
            </w:hyperlink>
          </w:p>
        </w:tc>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hyperlink w:anchor="ia820611622d9441b977884dac00e0ebd_352" w:history="1">
              <w:r>
                <w:rPr>
                  <w:rStyle w:val="a3"/>
                  <w:rFonts w:eastAsia="Times New Roman"/>
                  <w:color w:val="000000"/>
                  <w:sz w:val="20"/>
                  <w:szCs w:val="20"/>
                  <w:u w:val="none"/>
                </w:rPr>
                <w:t>120</w:t>
              </w:r>
            </w:hyperlink>
          </w:p>
        </w:tc>
      </w:tr>
      <w:tr w:rsidR="00000000">
        <w:trPr>
          <w:divId w:val="867643586"/>
        </w:trPr>
        <w:tc>
          <w:tcPr>
            <w:tcW w:w="0" w:type="auto"/>
            <w:gridSpan w:val="3"/>
            <w:tcMar>
              <w:top w:w="30" w:type="dxa"/>
              <w:left w:w="20" w:type="dxa"/>
              <w:bottom w:w="30" w:type="dxa"/>
              <w:right w:w="20" w:type="dxa"/>
            </w:tcMar>
            <w:hideMark/>
          </w:tcPr>
          <w:p w:rsidR="00000000" w:rsidRDefault="0094004B">
            <w:pPr>
              <w:spacing w:after="100"/>
              <w:divId w:val="143133621"/>
              <w:rPr>
                <w:rFonts w:eastAsia="Times New Roman"/>
              </w:rPr>
            </w:pPr>
            <w:hyperlink w:anchor="ia820611622d9441b977884dac00e0ebd_355" w:history="1">
              <w:r>
                <w:rPr>
                  <w:rStyle w:val="a3"/>
                  <w:rFonts w:eastAsia="Times New Roman"/>
                  <w:color w:val="000000"/>
                  <w:sz w:val="20"/>
                  <w:szCs w:val="20"/>
                  <w:u w:val="none"/>
                </w:rPr>
                <w:t>Consolidated Statements of Cash Flows</w:t>
              </w:r>
            </w:hyperlink>
          </w:p>
        </w:tc>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hyperlink w:anchor="ia820611622d9441b977884dac00e0ebd_355" w:history="1">
              <w:r>
                <w:rPr>
                  <w:rStyle w:val="a3"/>
                  <w:rFonts w:eastAsia="Times New Roman"/>
                  <w:color w:val="000000"/>
                  <w:sz w:val="20"/>
                  <w:szCs w:val="20"/>
                  <w:u w:val="none"/>
                </w:rPr>
                <w:t>121</w:t>
              </w:r>
            </w:hyperlink>
          </w:p>
        </w:tc>
      </w:tr>
      <w:tr w:rsidR="00000000">
        <w:trPr>
          <w:divId w:val="867643586"/>
        </w:trPr>
        <w:tc>
          <w:tcPr>
            <w:tcW w:w="0" w:type="auto"/>
            <w:gridSpan w:val="3"/>
            <w:tcMar>
              <w:top w:w="30" w:type="dxa"/>
              <w:left w:w="20" w:type="dxa"/>
              <w:bottom w:w="30" w:type="dxa"/>
              <w:right w:w="20" w:type="dxa"/>
            </w:tcMar>
            <w:hideMark/>
          </w:tcPr>
          <w:p w:rsidR="00000000" w:rsidRDefault="0094004B">
            <w:pPr>
              <w:spacing w:after="100"/>
              <w:divId w:val="976958994"/>
              <w:rPr>
                <w:rFonts w:eastAsia="Times New Roman"/>
              </w:rPr>
            </w:pPr>
            <w:hyperlink w:anchor="ia820611622d9441b977884dac00e0ebd_361" w:history="1">
              <w:r>
                <w:rPr>
                  <w:rStyle w:val="a3"/>
                  <w:rFonts w:eastAsia="Times New Roman"/>
                  <w:color w:val="000000"/>
                  <w:sz w:val="20"/>
                  <w:szCs w:val="20"/>
                  <w:u w:val="none"/>
                </w:rPr>
                <w:t>Notes to Consolidated Financial Statements</w:t>
              </w:r>
            </w:hyperlink>
          </w:p>
        </w:tc>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hyperlink w:anchor="ia820611622d9441b977884dac00e0ebd_361" w:history="1">
              <w:r>
                <w:rPr>
                  <w:rStyle w:val="a3"/>
                  <w:rFonts w:eastAsia="Times New Roman"/>
                  <w:color w:val="000000"/>
                  <w:sz w:val="20"/>
                  <w:szCs w:val="20"/>
                  <w:u w:val="none"/>
                </w:rPr>
                <w:t>123</w:t>
              </w:r>
            </w:hyperlink>
          </w:p>
        </w:tc>
      </w:tr>
      <w:tr w:rsidR="00000000">
        <w:trPr>
          <w:divId w:val="867643586"/>
        </w:trPr>
        <w:tc>
          <w:tcPr>
            <w:tcW w:w="0" w:type="auto"/>
            <w:gridSpan w:val="3"/>
            <w:tcMar>
              <w:top w:w="30" w:type="dxa"/>
              <w:left w:w="20" w:type="dxa"/>
              <w:bottom w:w="30" w:type="dxa"/>
              <w:right w:w="20" w:type="dxa"/>
            </w:tcMar>
            <w:hideMark/>
          </w:tcPr>
          <w:p w:rsidR="00000000" w:rsidRDefault="0094004B">
            <w:pPr>
              <w:spacing w:after="100"/>
              <w:divId w:val="2045325748"/>
              <w:rPr>
                <w:rFonts w:eastAsia="Times New Roman"/>
              </w:rPr>
            </w:pPr>
            <w:hyperlink w:anchor="ia820611622d9441b977884dac00e0ebd_361" w:history="1">
              <w:r>
                <w:rPr>
                  <w:rStyle w:val="a3"/>
                  <w:rFonts w:eastAsia="Times New Roman"/>
                  <w:color w:val="000000"/>
                  <w:sz w:val="20"/>
                  <w:szCs w:val="20"/>
                  <w:u w:val="none"/>
                </w:rPr>
                <w:t>Note 1—Summary of Significant Accounting Policies</w:t>
              </w:r>
            </w:hyperlink>
          </w:p>
        </w:tc>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hyperlink w:anchor="ia820611622d9441b977884dac00e0ebd_361" w:history="1">
              <w:r>
                <w:rPr>
                  <w:rStyle w:val="a3"/>
                  <w:rFonts w:eastAsia="Times New Roman"/>
                  <w:color w:val="000000"/>
                  <w:sz w:val="20"/>
                  <w:szCs w:val="20"/>
                  <w:u w:val="none"/>
                </w:rPr>
                <w:t>123</w:t>
              </w:r>
            </w:hyperlink>
          </w:p>
        </w:tc>
      </w:tr>
      <w:tr w:rsidR="00000000">
        <w:trPr>
          <w:divId w:val="867643586"/>
        </w:trPr>
        <w:tc>
          <w:tcPr>
            <w:tcW w:w="0" w:type="auto"/>
            <w:gridSpan w:val="3"/>
            <w:tcMar>
              <w:top w:w="30" w:type="dxa"/>
              <w:left w:w="20" w:type="dxa"/>
              <w:bottom w:w="30" w:type="dxa"/>
              <w:right w:w="20" w:type="dxa"/>
            </w:tcMar>
            <w:hideMark/>
          </w:tcPr>
          <w:p w:rsidR="00000000" w:rsidRDefault="0094004B">
            <w:pPr>
              <w:spacing w:after="100"/>
              <w:divId w:val="1322153393"/>
              <w:rPr>
                <w:rFonts w:eastAsia="Times New Roman"/>
              </w:rPr>
            </w:pPr>
            <w:hyperlink w:anchor="ia820611622d9441b977884dac00e0ebd_364" w:history="1">
              <w:r>
                <w:rPr>
                  <w:rStyle w:val="a3"/>
                  <w:rFonts w:eastAsia="Times New Roman"/>
                  <w:color w:val="000000"/>
                  <w:sz w:val="20"/>
                  <w:szCs w:val="20"/>
                  <w:u w:val="none"/>
                </w:rPr>
                <w:t>Note 2—Investment Securities</w:t>
              </w:r>
            </w:hyperlink>
          </w:p>
        </w:tc>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hyperlink w:anchor="ia820611622d9441b977884dac00e0ebd_364" w:history="1">
              <w:r>
                <w:rPr>
                  <w:rStyle w:val="a3"/>
                  <w:rFonts w:eastAsia="Times New Roman"/>
                  <w:color w:val="000000"/>
                  <w:sz w:val="20"/>
                  <w:szCs w:val="20"/>
                  <w:u w:val="none"/>
                </w:rPr>
                <w:t>138</w:t>
              </w:r>
            </w:hyperlink>
          </w:p>
        </w:tc>
      </w:tr>
      <w:tr w:rsidR="00000000">
        <w:trPr>
          <w:divId w:val="867643586"/>
        </w:trPr>
        <w:tc>
          <w:tcPr>
            <w:tcW w:w="0" w:type="auto"/>
            <w:gridSpan w:val="3"/>
            <w:tcMar>
              <w:top w:w="30" w:type="dxa"/>
              <w:left w:w="20" w:type="dxa"/>
              <w:bottom w:w="30" w:type="dxa"/>
              <w:right w:w="20" w:type="dxa"/>
            </w:tcMar>
            <w:hideMark/>
          </w:tcPr>
          <w:p w:rsidR="00000000" w:rsidRDefault="0094004B">
            <w:pPr>
              <w:spacing w:after="100"/>
              <w:divId w:val="663624181"/>
              <w:rPr>
                <w:rFonts w:eastAsia="Times New Roman"/>
              </w:rPr>
            </w:pPr>
            <w:hyperlink w:anchor="ia820611622d9441b977884dac00e0ebd_367" w:history="1">
              <w:r>
                <w:rPr>
                  <w:rStyle w:val="a3"/>
                  <w:rFonts w:eastAsia="Times New Roman"/>
                  <w:color w:val="000000"/>
                  <w:sz w:val="20"/>
                  <w:szCs w:val="20"/>
                  <w:u w:val="none"/>
                </w:rPr>
                <w:t>Note 3—Loans</w:t>
              </w:r>
            </w:hyperlink>
          </w:p>
        </w:tc>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hyperlink w:anchor="ia820611622d9441b977884dac00e0ebd_367" w:history="1">
              <w:r>
                <w:rPr>
                  <w:rStyle w:val="a3"/>
                  <w:rFonts w:eastAsia="Times New Roman"/>
                  <w:color w:val="000000"/>
                  <w:sz w:val="20"/>
                  <w:szCs w:val="20"/>
                  <w:u w:val="none"/>
                </w:rPr>
                <w:t>141</w:t>
              </w:r>
            </w:hyperlink>
          </w:p>
        </w:tc>
      </w:tr>
      <w:tr w:rsidR="00000000">
        <w:trPr>
          <w:divId w:val="867643586"/>
        </w:trPr>
        <w:tc>
          <w:tcPr>
            <w:tcW w:w="0" w:type="auto"/>
            <w:gridSpan w:val="3"/>
            <w:tcMar>
              <w:top w:w="30" w:type="dxa"/>
              <w:left w:w="20" w:type="dxa"/>
              <w:bottom w:w="30" w:type="dxa"/>
              <w:right w:w="20" w:type="dxa"/>
            </w:tcMar>
            <w:hideMark/>
          </w:tcPr>
          <w:p w:rsidR="00000000" w:rsidRDefault="0094004B">
            <w:pPr>
              <w:spacing w:after="100"/>
              <w:divId w:val="1267613886"/>
              <w:rPr>
                <w:rFonts w:eastAsia="Times New Roman"/>
              </w:rPr>
            </w:pPr>
            <w:hyperlink w:anchor="ia820611622d9441b977884dac00e0ebd_391" w:history="1">
              <w:r>
                <w:rPr>
                  <w:rStyle w:val="a3"/>
                  <w:rFonts w:eastAsia="Times New Roman"/>
                  <w:color w:val="000000"/>
                  <w:sz w:val="20"/>
                  <w:szCs w:val="20"/>
                  <w:u w:val="none"/>
                </w:rPr>
                <w:t>Note 4—Allowance for Credit Losses and Reserve for Unfunded Lending Commitments</w:t>
              </w:r>
            </w:hyperlink>
          </w:p>
        </w:tc>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hyperlink w:anchor="ia820611622d9441b977884dac00e0ebd_391" w:history="1">
              <w:r>
                <w:rPr>
                  <w:rStyle w:val="a3"/>
                  <w:rFonts w:eastAsia="Times New Roman"/>
                  <w:color w:val="000000"/>
                  <w:sz w:val="20"/>
                  <w:szCs w:val="20"/>
                  <w:u w:val="none"/>
                </w:rPr>
                <w:t>151</w:t>
              </w:r>
            </w:hyperlink>
          </w:p>
        </w:tc>
      </w:tr>
      <w:tr w:rsidR="00000000">
        <w:trPr>
          <w:divId w:val="867643586"/>
        </w:trPr>
        <w:tc>
          <w:tcPr>
            <w:tcW w:w="0" w:type="auto"/>
            <w:gridSpan w:val="3"/>
            <w:tcMar>
              <w:top w:w="30" w:type="dxa"/>
              <w:left w:w="20" w:type="dxa"/>
              <w:bottom w:w="30" w:type="dxa"/>
              <w:right w:w="20" w:type="dxa"/>
            </w:tcMar>
            <w:hideMark/>
          </w:tcPr>
          <w:p w:rsidR="00000000" w:rsidRDefault="0094004B">
            <w:pPr>
              <w:spacing w:after="100"/>
              <w:divId w:val="1150169571"/>
              <w:rPr>
                <w:rFonts w:eastAsia="Times New Roman"/>
              </w:rPr>
            </w:pPr>
            <w:hyperlink w:anchor="ia820611622d9441b977884dac00e0ebd_394" w:history="1">
              <w:r>
                <w:rPr>
                  <w:rStyle w:val="a3"/>
                  <w:rFonts w:eastAsia="Times New Roman"/>
                  <w:color w:val="000000"/>
                  <w:sz w:val="20"/>
                  <w:szCs w:val="20"/>
                  <w:u w:val="none"/>
                </w:rPr>
                <w:t>Note 5—Variable Interest Entities and Securitizations</w:t>
              </w:r>
            </w:hyperlink>
          </w:p>
        </w:tc>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hyperlink w:anchor="ia820611622d9441b977884dac00e0ebd_394" w:history="1">
              <w:r>
                <w:rPr>
                  <w:rStyle w:val="a3"/>
                  <w:rFonts w:eastAsia="Times New Roman"/>
                  <w:color w:val="000000"/>
                  <w:sz w:val="20"/>
                  <w:szCs w:val="20"/>
                  <w:u w:val="none"/>
                </w:rPr>
                <w:t>154</w:t>
              </w:r>
            </w:hyperlink>
          </w:p>
        </w:tc>
      </w:tr>
      <w:tr w:rsidR="00000000">
        <w:trPr>
          <w:divId w:val="867643586"/>
        </w:trPr>
        <w:tc>
          <w:tcPr>
            <w:tcW w:w="0" w:type="auto"/>
            <w:gridSpan w:val="3"/>
            <w:tcMar>
              <w:top w:w="30" w:type="dxa"/>
              <w:left w:w="20" w:type="dxa"/>
              <w:bottom w:w="30" w:type="dxa"/>
              <w:right w:w="20" w:type="dxa"/>
            </w:tcMar>
            <w:hideMark/>
          </w:tcPr>
          <w:p w:rsidR="00000000" w:rsidRDefault="0094004B">
            <w:pPr>
              <w:spacing w:after="100"/>
              <w:divId w:val="1750541946"/>
              <w:rPr>
                <w:rFonts w:eastAsia="Times New Roman"/>
              </w:rPr>
            </w:pPr>
            <w:hyperlink w:anchor="ia820611622d9441b977884dac00e0ebd_397" w:history="1">
              <w:r>
                <w:rPr>
                  <w:rStyle w:val="a3"/>
                  <w:rFonts w:eastAsia="Times New Roman"/>
                  <w:color w:val="000000"/>
                  <w:sz w:val="20"/>
                  <w:szCs w:val="20"/>
                  <w:u w:val="none"/>
                </w:rPr>
                <w:t>Note 6—</w:t>
              </w:r>
              <w:r>
                <w:rPr>
                  <w:rStyle w:val="a3"/>
                  <w:rFonts w:eastAsia="Times New Roman"/>
                  <w:color w:val="000000"/>
                  <w:sz w:val="20"/>
                  <w:szCs w:val="20"/>
                  <w:u w:val="none"/>
                </w:rPr>
                <w:t>Goodwill and Other Intangible Assets</w:t>
              </w:r>
            </w:hyperlink>
          </w:p>
        </w:tc>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hyperlink w:anchor="ia820611622d9441b977884dac00e0ebd_397" w:history="1">
              <w:r>
                <w:rPr>
                  <w:rStyle w:val="a3"/>
                  <w:rFonts w:eastAsia="Times New Roman"/>
                  <w:color w:val="000000"/>
                  <w:sz w:val="20"/>
                  <w:szCs w:val="20"/>
                  <w:u w:val="none"/>
                </w:rPr>
                <w:t>158</w:t>
              </w:r>
            </w:hyperlink>
          </w:p>
        </w:tc>
      </w:tr>
      <w:tr w:rsidR="00000000">
        <w:trPr>
          <w:divId w:val="867643586"/>
        </w:trPr>
        <w:tc>
          <w:tcPr>
            <w:tcW w:w="0" w:type="auto"/>
            <w:gridSpan w:val="3"/>
            <w:tcMar>
              <w:top w:w="30" w:type="dxa"/>
              <w:left w:w="20" w:type="dxa"/>
              <w:bottom w:w="30" w:type="dxa"/>
              <w:right w:w="20" w:type="dxa"/>
            </w:tcMar>
            <w:hideMark/>
          </w:tcPr>
          <w:p w:rsidR="00000000" w:rsidRDefault="0094004B">
            <w:pPr>
              <w:spacing w:after="100"/>
              <w:divId w:val="812521764"/>
              <w:rPr>
                <w:rFonts w:eastAsia="Times New Roman"/>
              </w:rPr>
            </w:pPr>
            <w:hyperlink w:anchor="ia820611622d9441b977884dac00e0ebd_400" w:history="1">
              <w:r>
                <w:rPr>
                  <w:rStyle w:val="a3"/>
                  <w:rFonts w:eastAsia="Times New Roman"/>
                  <w:color w:val="000000"/>
                  <w:sz w:val="20"/>
                  <w:szCs w:val="20"/>
                  <w:u w:val="none"/>
                </w:rPr>
                <w:t>Note 7—Premises, Equipment and Lease</w:t>
              </w:r>
            </w:hyperlink>
            <w:r>
              <w:rPr>
                <w:rFonts w:eastAsia="Times New Roman"/>
                <w:color w:val="000000"/>
                <w:sz w:val="20"/>
                <w:szCs w:val="20"/>
              </w:rPr>
              <w:t>s</w:t>
            </w:r>
          </w:p>
        </w:tc>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hyperlink w:anchor="ia820611622d9441b977884dac00e0ebd_400" w:history="1">
              <w:r>
                <w:rPr>
                  <w:rStyle w:val="a3"/>
                  <w:rFonts w:eastAsia="Times New Roman"/>
                  <w:color w:val="000000"/>
                  <w:sz w:val="20"/>
                  <w:szCs w:val="20"/>
                  <w:u w:val="none"/>
                </w:rPr>
                <w:t>161</w:t>
              </w:r>
            </w:hyperlink>
          </w:p>
        </w:tc>
      </w:tr>
      <w:tr w:rsidR="00000000">
        <w:trPr>
          <w:divId w:val="867643586"/>
        </w:trPr>
        <w:tc>
          <w:tcPr>
            <w:tcW w:w="0" w:type="auto"/>
            <w:gridSpan w:val="3"/>
            <w:tcMar>
              <w:top w:w="30" w:type="dxa"/>
              <w:left w:w="20" w:type="dxa"/>
              <w:bottom w:w="30" w:type="dxa"/>
              <w:right w:w="20" w:type="dxa"/>
            </w:tcMar>
            <w:hideMark/>
          </w:tcPr>
          <w:p w:rsidR="00000000" w:rsidRDefault="0094004B">
            <w:pPr>
              <w:spacing w:after="100"/>
              <w:divId w:val="2107529917"/>
              <w:rPr>
                <w:rFonts w:eastAsia="Times New Roman"/>
              </w:rPr>
            </w:pPr>
            <w:hyperlink w:anchor="ia820611622d9441b977884dac00e0ebd_403" w:history="1">
              <w:r>
                <w:rPr>
                  <w:rStyle w:val="a3"/>
                  <w:rFonts w:eastAsia="Times New Roman"/>
                  <w:color w:val="000000"/>
                  <w:sz w:val="20"/>
                  <w:szCs w:val="20"/>
                  <w:u w:val="none"/>
                </w:rPr>
                <w:t>Note </w:t>
              </w:r>
            </w:hyperlink>
            <w:hyperlink w:anchor="ia820611622d9441b977884dac00e0ebd_403" w:history="1">
              <w:r>
                <w:rPr>
                  <w:rStyle w:val="a3"/>
                  <w:rFonts w:eastAsia="Times New Roman"/>
                  <w:color w:val="000000"/>
                  <w:sz w:val="20"/>
                  <w:szCs w:val="20"/>
                  <w:u w:val="none"/>
                </w:rPr>
                <w:t>8</w:t>
              </w:r>
            </w:hyperlink>
            <w:hyperlink w:anchor="ia820611622d9441b977884dac00e0ebd_403" w:history="1">
              <w:r>
                <w:rPr>
                  <w:rStyle w:val="a3"/>
                  <w:rFonts w:eastAsia="Times New Roman"/>
                  <w:color w:val="000000"/>
                  <w:sz w:val="20"/>
                  <w:szCs w:val="20"/>
                  <w:u w:val="none"/>
                </w:rPr>
                <w:t>—Deposits and Borrowings</w:t>
              </w:r>
            </w:hyperlink>
          </w:p>
        </w:tc>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hyperlink w:anchor="ia820611622d9441b977884dac00e0ebd_403" w:history="1">
              <w:r>
                <w:rPr>
                  <w:rStyle w:val="a3"/>
                  <w:rFonts w:eastAsia="Times New Roman"/>
                  <w:color w:val="000000"/>
                  <w:sz w:val="20"/>
                  <w:szCs w:val="20"/>
                  <w:u w:val="none"/>
                </w:rPr>
                <w:t>163</w:t>
              </w:r>
            </w:hyperlink>
          </w:p>
        </w:tc>
      </w:tr>
      <w:tr w:rsidR="00000000">
        <w:trPr>
          <w:divId w:val="867643586"/>
        </w:trPr>
        <w:tc>
          <w:tcPr>
            <w:tcW w:w="0" w:type="auto"/>
            <w:gridSpan w:val="3"/>
            <w:tcMar>
              <w:top w:w="30" w:type="dxa"/>
              <w:left w:w="20" w:type="dxa"/>
              <w:bottom w:w="30" w:type="dxa"/>
              <w:right w:w="20" w:type="dxa"/>
            </w:tcMar>
            <w:hideMark/>
          </w:tcPr>
          <w:p w:rsidR="00000000" w:rsidRDefault="0094004B">
            <w:pPr>
              <w:spacing w:after="100"/>
              <w:divId w:val="465123145"/>
              <w:rPr>
                <w:rFonts w:eastAsia="Times New Roman"/>
              </w:rPr>
            </w:pPr>
            <w:hyperlink w:anchor="ia820611622d9441b977884dac00e0ebd_406" w:history="1">
              <w:r>
                <w:rPr>
                  <w:rStyle w:val="a3"/>
                  <w:rFonts w:eastAsia="Times New Roman"/>
                  <w:color w:val="000000"/>
                  <w:sz w:val="20"/>
                  <w:szCs w:val="20"/>
                  <w:u w:val="none"/>
                </w:rPr>
                <w:t xml:space="preserve">Note </w:t>
              </w:r>
            </w:hyperlink>
            <w:hyperlink w:anchor="ia820611622d9441b977884dac00e0ebd_406" w:history="1">
              <w:r>
                <w:rPr>
                  <w:rStyle w:val="a3"/>
                  <w:rFonts w:eastAsia="Times New Roman"/>
                  <w:color w:val="000000"/>
                  <w:sz w:val="20"/>
                  <w:szCs w:val="20"/>
                  <w:u w:val="none"/>
                </w:rPr>
                <w:t>9</w:t>
              </w:r>
            </w:hyperlink>
            <w:hyperlink w:anchor="ia820611622d9441b977884dac00e0ebd_406" w:history="1">
              <w:r>
                <w:rPr>
                  <w:rStyle w:val="a3"/>
                  <w:rFonts w:eastAsia="Times New Roman"/>
                  <w:color w:val="000000"/>
                  <w:sz w:val="20"/>
                  <w:szCs w:val="20"/>
                  <w:u w:val="none"/>
                </w:rPr>
                <w:t>—Derivative Instruments and Hedging Activities</w:t>
              </w:r>
            </w:hyperlink>
          </w:p>
        </w:tc>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hyperlink w:anchor="ia820611622d9441b977884dac00e0ebd_406" w:history="1">
              <w:r>
                <w:rPr>
                  <w:rStyle w:val="a3"/>
                  <w:rFonts w:eastAsia="Times New Roman"/>
                  <w:color w:val="000000"/>
                  <w:sz w:val="20"/>
                  <w:szCs w:val="20"/>
                  <w:u w:val="none"/>
                </w:rPr>
                <w:t>165</w:t>
              </w:r>
            </w:hyperlink>
          </w:p>
        </w:tc>
      </w:tr>
      <w:tr w:rsidR="00000000">
        <w:trPr>
          <w:divId w:val="867643586"/>
        </w:trPr>
        <w:tc>
          <w:tcPr>
            <w:tcW w:w="0" w:type="auto"/>
            <w:gridSpan w:val="3"/>
            <w:tcMar>
              <w:top w:w="30" w:type="dxa"/>
              <w:left w:w="20" w:type="dxa"/>
              <w:bottom w:w="30" w:type="dxa"/>
              <w:right w:w="20" w:type="dxa"/>
            </w:tcMar>
            <w:hideMark/>
          </w:tcPr>
          <w:p w:rsidR="00000000" w:rsidRDefault="0094004B">
            <w:pPr>
              <w:spacing w:after="100"/>
              <w:divId w:val="80026118"/>
              <w:rPr>
                <w:rFonts w:eastAsia="Times New Roman"/>
              </w:rPr>
            </w:pPr>
            <w:hyperlink w:anchor="ia820611622d9441b977884dac00e0ebd_409" w:history="1">
              <w:r>
                <w:rPr>
                  <w:rStyle w:val="a3"/>
                  <w:rFonts w:eastAsia="Times New Roman"/>
                  <w:color w:val="000000"/>
                  <w:sz w:val="20"/>
                  <w:szCs w:val="20"/>
                  <w:u w:val="none"/>
                </w:rPr>
                <w:t xml:space="preserve">Note </w:t>
              </w:r>
            </w:hyperlink>
            <w:hyperlink w:anchor="ia820611622d9441b977884dac00e0ebd_409" w:history="1">
              <w:r>
                <w:rPr>
                  <w:rStyle w:val="a3"/>
                  <w:rFonts w:eastAsia="Times New Roman"/>
                  <w:color w:val="000000"/>
                  <w:sz w:val="20"/>
                  <w:szCs w:val="20"/>
                  <w:u w:val="none"/>
                </w:rPr>
                <w:t>10</w:t>
              </w:r>
            </w:hyperlink>
            <w:hyperlink w:anchor="ia820611622d9441b977884dac00e0ebd_409" w:history="1">
              <w:r>
                <w:rPr>
                  <w:rStyle w:val="a3"/>
                  <w:rFonts w:eastAsia="Times New Roman"/>
                  <w:color w:val="000000"/>
                  <w:sz w:val="20"/>
                  <w:szCs w:val="20"/>
                  <w:u w:val="none"/>
                </w:rPr>
                <w:t>—Stockholders’ Equity</w:t>
              </w:r>
            </w:hyperlink>
          </w:p>
        </w:tc>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hyperlink w:anchor="ia820611622d9441b977884dac00e0ebd_409" w:history="1">
              <w:r>
                <w:rPr>
                  <w:rStyle w:val="a3"/>
                  <w:rFonts w:eastAsia="Times New Roman"/>
                  <w:color w:val="000000"/>
                  <w:sz w:val="20"/>
                  <w:szCs w:val="20"/>
                  <w:u w:val="none"/>
                </w:rPr>
                <w:t>174</w:t>
              </w:r>
            </w:hyperlink>
          </w:p>
        </w:tc>
      </w:tr>
      <w:tr w:rsidR="00000000">
        <w:trPr>
          <w:divId w:val="867643586"/>
        </w:trPr>
        <w:tc>
          <w:tcPr>
            <w:tcW w:w="0" w:type="auto"/>
            <w:gridSpan w:val="3"/>
            <w:tcMar>
              <w:top w:w="30" w:type="dxa"/>
              <w:left w:w="20" w:type="dxa"/>
              <w:bottom w:w="30" w:type="dxa"/>
              <w:right w:w="20" w:type="dxa"/>
            </w:tcMar>
            <w:hideMark/>
          </w:tcPr>
          <w:p w:rsidR="00000000" w:rsidRDefault="0094004B">
            <w:pPr>
              <w:spacing w:after="100"/>
              <w:divId w:val="1806701935"/>
              <w:rPr>
                <w:rFonts w:eastAsia="Times New Roman"/>
              </w:rPr>
            </w:pPr>
            <w:hyperlink w:anchor="ia820611622d9441b977884dac00e0ebd_412" w:history="1">
              <w:r>
                <w:rPr>
                  <w:rStyle w:val="a3"/>
                  <w:rFonts w:eastAsia="Times New Roman"/>
                  <w:color w:val="000000"/>
                  <w:sz w:val="20"/>
                  <w:szCs w:val="20"/>
                  <w:u w:val="none"/>
                </w:rPr>
                <w:t>Note 11—Regulatory and Capital Adequacy</w:t>
              </w:r>
            </w:hyperlink>
          </w:p>
        </w:tc>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hyperlink w:anchor="ia820611622d9441b977884dac00e0ebd_412" w:history="1">
              <w:r>
                <w:rPr>
                  <w:rStyle w:val="a3"/>
                  <w:rFonts w:eastAsia="Times New Roman"/>
                  <w:color w:val="000000"/>
                  <w:sz w:val="20"/>
                  <w:szCs w:val="20"/>
                  <w:u w:val="none"/>
                </w:rPr>
                <w:t>177</w:t>
              </w:r>
            </w:hyperlink>
          </w:p>
        </w:tc>
      </w:tr>
      <w:tr w:rsidR="00000000">
        <w:trPr>
          <w:divId w:val="867643586"/>
        </w:trPr>
        <w:tc>
          <w:tcPr>
            <w:tcW w:w="0" w:type="auto"/>
            <w:gridSpan w:val="3"/>
            <w:tcMar>
              <w:top w:w="30" w:type="dxa"/>
              <w:left w:w="20" w:type="dxa"/>
              <w:bottom w:w="30" w:type="dxa"/>
              <w:right w:w="20" w:type="dxa"/>
            </w:tcMar>
            <w:hideMark/>
          </w:tcPr>
          <w:p w:rsidR="00000000" w:rsidRDefault="0094004B">
            <w:pPr>
              <w:spacing w:after="100"/>
              <w:divId w:val="1155604790"/>
              <w:rPr>
                <w:rFonts w:eastAsia="Times New Roman"/>
              </w:rPr>
            </w:pPr>
            <w:hyperlink w:anchor="ia820611622d9441b977884dac00e0ebd_415" w:history="1">
              <w:r>
                <w:rPr>
                  <w:rStyle w:val="a3"/>
                  <w:rFonts w:eastAsia="Times New Roman"/>
                  <w:color w:val="000000"/>
                  <w:sz w:val="20"/>
                  <w:szCs w:val="20"/>
                  <w:u w:val="none"/>
                </w:rPr>
                <w:t>Note 1</w:t>
              </w:r>
            </w:hyperlink>
            <w:hyperlink w:anchor="ia820611622d9441b977884dac00e0ebd_415" w:history="1">
              <w:r>
                <w:rPr>
                  <w:rStyle w:val="a3"/>
                  <w:rFonts w:eastAsia="Times New Roman"/>
                  <w:color w:val="000000"/>
                  <w:sz w:val="20"/>
                  <w:szCs w:val="20"/>
                  <w:u w:val="none"/>
                </w:rPr>
                <w:t>2</w:t>
              </w:r>
            </w:hyperlink>
            <w:hyperlink w:anchor="ia820611622d9441b977884dac00e0ebd_415" w:history="1">
              <w:r>
                <w:rPr>
                  <w:rStyle w:val="a3"/>
                  <w:rFonts w:eastAsia="Times New Roman"/>
                  <w:color w:val="000000"/>
                  <w:sz w:val="20"/>
                  <w:szCs w:val="20"/>
                  <w:u w:val="none"/>
                </w:rPr>
                <w:t>—Earnings Per Common Share</w:t>
              </w:r>
            </w:hyperlink>
          </w:p>
        </w:tc>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hyperlink w:anchor="ia820611622d9441b977884dac00e0ebd_415" w:history="1">
              <w:r>
                <w:rPr>
                  <w:rStyle w:val="a3"/>
                  <w:rFonts w:eastAsia="Times New Roman"/>
                  <w:color w:val="000000"/>
                  <w:sz w:val="20"/>
                  <w:szCs w:val="20"/>
                  <w:u w:val="none"/>
                </w:rPr>
                <w:t>179</w:t>
              </w:r>
            </w:hyperlink>
          </w:p>
        </w:tc>
      </w:tr>
      <w:tr w:rsidR="00000000">
        <w:trPr>
          <w:divId w:val="867643586"/>
        </w:trPr>
        <w:tc>
          <w:tcPr>
            <w:tcW w:w="0" w:type="auto"/>
            <w:gridSpan w:val="3"/>
            <w:tcMar>
              <w:top w:w="30" w:type="dxa"/>
              <w:left w:w="20" w:type="dxa"/>
              <w:bottom w:w="30" w:type="dxa"/>
              <w:right w:w="20" w:type="dxa"/>
            </w:tcMar>
            <w:hideMark/>
          </w:tcPr>
          <w:p w:rsidR="00000000" w:rsidRDefault="0094004B">
            <w:pPr>
              <w:spacing w:after="100"/>
              <w:divId w:val="796872118"/>
              <w:rPr>
                <w:rFonts w:eastAsia="Times New Roman"/>
              </w:rPr>
            </w:pPr>
            <w:hyperlink w:anchor="ia820611622d9441b977884dac00e0ebd_418" w:history="1">
              <w:r>
                <w:rPr>
                  <w:rStyle w:val="a3"/>
                  <w:rFonts w:eastAsia="Times New Roman"/>
                  <w:color w:val="000000"/>
                  <w:sz w:val="20"/>
                  <w:szCs w:val="20"/>
                  <w:u w:val="none"/>
                </w:rPr>
                <w:t>Note 13—Stock-Based Compensation Plans</w:t>
              </w:r>
            </w:hyperlink>
          </w:p>
        </w:tc>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hyperlink w:anchor="ia820611622d9441b977884dac00e0ebd_418" w:history="1">
              <w:r>
                <w:rPr>
                  <w:rStyle w:val="a3"/>
                  <w:rFonts w:eastAsia="Times New Roman"/>
                  <w:color w:val="000000"/>
                  <w:sz w:val="20"/>
                  <w:szCs w:val="20"/>
                  <w:u w:val="none"/>
                </w:rPr>
                <w:t>180</w:t>
              </w:r>
            </w:hyperlink>
          </w:p>
        </w:tc>
      </w:tr>
      <w:tr w:rsidR="00000000">
        <w:trPr>
          <w:divId w:val="867643586"/>
        </w:trPr>
        <w:tc>
          <w:tcPr>
            <w:tcW w:w="0" w:type="auto"/>
            <w:gridSpan w:val="3"/>
            <w:tcMar>
              <w:top w:w="30" w:type="dxa"/>
              <w:left w:w="20" w:type="dxa"/>
              <w:bottom w:w="30" w:type="dxa"/>
              <w:right w:w="20" w:type="dxa"/>
            </w:tcMar>
            <w:hideMark/>
          </w:tcPr>
          <w:p w:rsidR="00000000" w:rsidRDefault="0094004B">
            <w:pPr>
              <w:spacing w:after="100"/>
              <w:divId w:val="1672490999"/>
              <w:rPr>
                <w:rFonts w:eastAsia="Times New Roman"/>
              </w:rPr>
            </w:pPr>
            <w:hyperlink w:anchor="ia820611622d9441b977884dac00e0ebd_421" w:history="1">
              <w:r>
                <w:rPr>
                  <w:rStyle w:val="a3"/>
                  <w:rFonts w:eastAsia="Times New Roman"/>
                  <w:color w:val="000000"/>
                  <w:sz w:val="20"/>
                  <w:szCs w:val="20"/>
                  <w:u w:val="none"/>
                </w:rPr>
                <w:t>Note 14—Employee Benefit Plans</w:t>
              </w:r>
            </w:hyperlink>
          </w:p>
        </w:tc>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hyperlink w:anchor="ia820611622d9441b977884dac00e0ebd_421" w:history="1">
              <w:r>
                <w:rPr>
                  <w:rStyle w:val="a3"/>
                  <w:rFonts w:eastAsia="Times New Roman"/>
                  <w:color w:val="000000"/>
                  <w:sz w:val="20"/>
                  <w:szCs w:val="20"/>
                  <w:u w:val="none"/>
                </w:rPr>
                <w:t>182</w:t>
              </w:r>
            </w:hyperlink>
          </w:p>
        </w:tc>
      </w:tr>
      <w:tr w:rsidR="00000000">
        <w:trPr>
          <w:divId w:val="867643586"/>
        </w:trPr>
        <w:tc>
          <w:tcPr>
            <w:tcW w:w="0" w:type="auto"/>
            <w:gridSpan w:val="3"/>
            <w:tcMar>
              <w:top w:w="30" w:type="dxa"/>
              <w:left w:w="20" w:type="dxa"/>
              <w:bottom w:w="30" w:type="dxa"/>
              <w:right w:w="20" w:type="dxa"/>
            </w:tcMar>
            <w:hideMark/>
          </w:tcPr>
          <w:p w:rsidR="00000000" w:rsidRDefault="0094004B">
            <w:pPr>
              <w:spacing w:after="100"/>
              <w:divId w:val="882715455"/>
              <w:rPr>
                <w:rFonts w:eastAsia="Times New Roman"/>
              </w:rPr>
            </w:pPr>
            <w:hyperlink w:anchor="ia820611622d9441b977884dac00e0ebd_427" w:history="1">
              <w:r>
                <w:rPr>
                  <w:rStyle w:val="a3"/>
                  <w:rFonts w:eastAsia="Times New Roman"/>
                  <w:color w:val="000000"/>
                  <w:sz w:val="20"/>
                  <w:szCs w:val="20"/>
                  <w:u w:val="none"/>
                </w:rPr>
                <w:t>Note 15—Income Taxes</w:t>
              </w:r>
            </w:hyperlink>
          </w:p>
        </w:tc>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hyperlink w:anchor="ia820611622d9441b977884dac00e0ebd_427" w:history="1">
              <w:r>
                <w:rPr>
                  <w:rStyle w:val="a3"/>
                  <w:rFonts w:eastAsia="Times New Roman"/>
                  <w:color w:val="000000"/>
                  <w:sz w:val="20"/>
                  <w:szCs w:val="20"/>
                  <w:u w:val="none"/>
                </w:rPr>
                <w:t>184</w:t>
              </w:r>
            </w:hyperlink>
          </w:p>
        </w:tc>
      </w:tr>
      <w:tr w:rsidR="00000000">
        <w:trPr>
          <w:divId w:val="867643586"/>
        </w:trPr>
        <w:tc>
          <w:tcPr>
            <w:tcW w:w="0" w:type="auto"/>
            <w:gridSpan w:val="3"/>
            <w:tcMar>
              <w:top w:w="30" w:type="dxa"/>
              <w:left w:w="20" w:type="dxa"/>
              <w:bottom w:w="30" w:type="dxa"/>
              <w:right w:w="20" w:type="dxa"/>
            </w:tcMar>
            <w:hideMark/>
          </w:tcPr>
          <w:p w:rsidR="00000000" w:rsidRDefault="0094004B">
            <w:pPr>
              <w:spacing w:after="100"/>
              <w:divId w:val="620259089"/>
              <w:rPr>
                <w:rFonts w:eastAsia="Times New Roman"/>
              </w:rPr>
            </w:pPr>
            <w:hyperlink w:anchor="ia820611622d9441b977884dac00e0ebd_424" w:history="1">
              <w:r>
                <w:rPr>
                  <w:rStyle w:val="a3"/>
                  <w:rFonts w:eastAsia="Times New Roman"/>
                  <w:color w:val="000000"/>
                  <w:sz w:val="20"/>
                  <w:szCs w:val="20"/>
                  <w:u w:val="none"/>
                </w:rPr>
                <w:t>Note 1</w:t>
              </w:r>
            </w:hyperlink>
            <w:hyperlink w:anchor="ia820611622d9441b977884dac00e0ebd_424" w:history="1">
              <w:r>
                <w:rPr>
                  <w:rStyle w:val="a3"/>
                  <w:rFonts w:eastAsia="Times New Roman"/>
                  <w:color w:val="000000"/>
                  <w:sz w:val="20"/>
                  <w:szCs w:val="20"/>
                  <w:u w:val="none"/>
                </w:rPr>
                <w:t>6</w:t>
              </w:r>
            </w:hyperlink>
            <w:hyperlink w:anchor="ia820611622d9441b977884dac00e0ebd_424" w:history="1">
              <w:r>
                <w:rPr>
                  <w:rStyle w:val="a3"/>
                  <w:rFonts w:eastAsia="Times New Roman"/>
                  <w:color w:val="000000"/>
                  <w:sz w:val="20"/>
                  <w:szCs w:val="20"/>
                  <w:u w:val="none"/>
                </w:rPr>
                <w:t>—Fair Value Measurement</w:t>
              </w:r>
            </w:hyperlink>
          </w:p>
        </w:tc>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hyperlink w:anchor="ia820611622d9441b977884dac00e0ebd_424" w:history="1">
              <w:r>
                <w:rPr>
                  <w:rStyle w:val="a3"/>
                  <w:rFonts w:eastAsia="Times New Roman"/>
                  <w:color w:val="000000"/>
                  <w:sz w:val="20"/>
                  <w:szCs w:val="20"/>
                  <w:u w:val="none"/>
                </w:rPr>
                <w:t>188</w:t>
              </w:r>
            </w:hyperlink>
          </w:p>
        </w:tc>
      </w:tr>
      <w:tr w:rsidR="00000000">
        <w:trPr>
          <w:divId w:val="867643586"/>
        </w:trPr>
        <w:tc>
          <w:tcPr>
            <w:tcW w:w="0" w:type="auto"/>
            <w:gridSpan w:val="3"/>
            <w:tcMar>
              <w:top w:w="30" w:type="dxa"/>
              <w:left w:w="20" w:type="dxa"/>
              <w:bottom w:w="30" w:type="dxa"/>
              <w:right w:w="20" w:type="dxa"/>
            </w:tcMar>
            <w:hideMark/>
          </w:tcPr>
          <w:p w:rsidR="00000000" w:rsidRDefault="0094004B">
            <w:pPr>
              <w:spacing w:after="100"/>
              <w:divId w:val="503587964"/>
              <w:rPr>
                <w:rFonts w:eastAsia="Times New Roman"/>
              </w:rPr>
            </w:pPr>
            <w:hyperlink w:anchor="ia820611622d9441b977884dac00e0ebd_430" w:history="1">
              <w:r>
                <w:rPr>
                  <w:rStyle w:val="a3"/>
                  <w:rFonts w:eastAsia="Times New Roman"/>
                  <w:color w:val="000000"/>
                  <w:sz w:val="20"/>
                  <w:szCs w:val="20"/>
                  <w:u w:val="none"/>
                </w:rPr>
                <w:t>Note 1</w:t>
              </w:r>
            </w:hyperlink>
            <w:hyperlink w:anchor="ia820611622d9441b977884dac00e0ebd_430" w:history="1">
              <w:r>
                <w:rPr>
                  <w:rStyle w:val="a3"/>
                  <w:rFonts w:eastAsia="Times New Roman"/>
                  <w:color w:val="000000"/>
                  <w:sz w:val="20"/>
                  <w:szCs w:val="20"/>
                  <w:u w:val="none"/>
                </w:rPr>
                <w:t>7</w:t>
              </w:r>
            </w:hyperlink>
            <w:hyperlink w:anchor="ia820611622d9441b977884dac00e0ebd_430" w:history="1">
              <w:r>
                <w:rPr>
                  <w:rStyle w:val="a3"/>
                  <w:rFonts w:eastAsia="Times New Roman"/>
                  <w:color w:val="000000"/>
                  <w:sz w:val="20"/>
                  <w:szCs w:val="20"/>
                  <w:u w:val="none"/>
                </w:rPr>
                <w:t>—Business Segments and Revenue from Contracts with Customers</w:t>
              </w:r>
            </w:hyperlink>
          </w:p>
        </w:tc>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hyperlink w:anchor="ia820611622d9441b977884dac00e0ebd_430" w:history="1">
              <w:r>
                <w:rPr>
                  <w:rStyle w:val="a3"/>
                  <w:rFonts w:eastAsia="Times New Roman"/>
                  <w:color w:val="000000"/>
                  <w:sz w:val="20"/>
                  <w:szCs w:val="20"/>
                  <w:u w:val="none"/>
                </w:rPr>
                <w:t>197</w:t>
              </w:r>
            </w:hyperlink>
          </w:p>
        </w:tc>
      </w:tr>
      <w:tr w:rsidR="00000000">
        <w:trPr>
          <w:divId w:val="867643586"/>
        </w:trPr>
        <w:tc>
          <w:tcPr>
            <w:tcW w:w="0" w:type="auto"/>
            <w:gridSpan w:val="3"/>
            <w:tcMar>
              <w:top w:w="30" w:type="dxa"/>
              <w:left w:w="20" w:type="dxa"/>
              <w:bottom w:w="30" w:type="dxa"/>
              <w:right w:w="20" w:type="dxa"/>
            </w:tcMar>
            <w:hideMark/>
          </w:tcPr>
          <w:p w:rsidR="00000000" w:rsidRDefault="0094004B">
            <w:pPr>
              <w:spacing w:after="100"/>
              <w:divId w:val="1052314770"/>
              <w:rPr>
                <w:rFonts w:eastAsia="Times New Roman"/>
              </w:rPr>
            </w:pPr>
            <w:hyperlink w:anchor="ia820611622d9441b977884dac00e0ebd_433" w:history="1">
              <w:r>
                <w:rPr>
                  <w:rStyle w:val="a3"/>
                  <w:rFonts w:eastAsia="Times New Roman"/>
                  <w:color w:val="000000"/>
                  <w:sz w:val="20"/>
                  <w:szCs w:val="20"/>
                  <w:u w:val="none"/>
                </w:rPr>
                <w:t>Note 1</w:t>
              </w:r>
            </w:hyperlink>
            <w:hyperlink w:anchor="ia820611622d9441b977884dac00e0ebd_433" w:history="1">
              <w:r>
                <w:rPr>
                  <w:rStyle w:val="a3"/>
                  <w:rFonts w:eastAsia="Times New Roman"/>
                  <w:color w:val="000000"/>
                  <w:sz w:val="20"/>
                  <w:szCs w:val="20"/>
                  <w:u w:val="none"/>
                </w:rPr>
                <w:t>8</w:t>
              </w:r>
            </w:hyperlink>
            <w:hyperlink w:anchor="ia820611622d9441b977884dac00e0ebd_433" w:history="1">
              <w:r>
                <w:rPr>
                  <w:rStyle w:val="a3"/>
                  <w:rFonts w:eastAsia="Times New Roman"/>
                  <w:color w:val="000000"/>
                  <w:sz w:val="20"/>
                  <w:szCs w:val="20"/>
                  <w:u w:val="none"/>
                </w:rPr>
                <w:t>—Commitm</w:t>
              </w:r>
              <w:r>
                <w:rPr>
                  <w:rStyle w:val="a3"/>
                  <w:rFonts w:eastAsia="Times New Roman"/>
                  <w:color w:val="000000"/>
                  <w:sz w:val="20"/>
                  <w:szCs w:val="20"/>
                  <w:u w:val="none"/>
                </w:rPr>
                <w:t>ents, Contingencies, Guarantees and Others</w:t>
              </w:r>
            </w:hyperlink>
          </w:p>
        </w:tc>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hyperlink w:anchor="ia820611622d9441b977884dac00e0ebd_433" w:history="1">
              <w:r>
                <w:rPr>
                  <w:rStyle w:val="a3"/>
                  <w:rFonts w:eastAsia="Times New Roman"/>
                  <w:color w:val="000000"/>
                  <w:sz w:val="20"/>
                  <w:szCs w:val="20"/>
                  <w:u w:val="none"/>
                </w:rPr>
                <w:t>201</w:t>
              </w:r>
            </w:hyperlink>
          </w:p>
        </w:tc>
      </w:tr>
      <w:tr w:rsidR="00000000">
        <w:trPr>
          <w:divId w:val="867643586"/>
        </w:trPr>
        <w:tc>
          <w:tcPr>
            <w:tcW w:w="0" w:type="auto"/>
            <w:gridSpan w:val="3"/>
            <w:tcMar>
              <w:top w:w="30" w:type="dxa"/>
              <w:left w:w="20" w:type="dxa"/>
              <w:bottom w:w="30" w:type="dxa"/>
              <w:right w:w="20" w:type="dxa"/>
            </w:tcMar>
            <w:hideMark/>
          </w:tcPr>
          <w:p w:rsidR="00000000" w:rsidRDefault="0094004B">
            <w:pPr>
              <w:spacing w:after="100"/>
              <w:divId w:val="1361278460"/>
              <w:rPr>
                <w:rFonts w:eastAsia="Times New Roman"/>
              </w:rPr>
            </w:pPr>
            <w:hyperlink w:anchor="ia820611622d9441b977884dac00e0ebd_436" w:history="1">
              <w:r>
                <w:rPr>
                  <w:rStyle w:val="a3"/>
                  <w:rFonts w:eastAsia="Times New Roman"/>
                  <w:color w:val="000000"/>
                  <w:sz w:val="20"/>
                  <w:szCs w:val="20"/>
                  <w:u w:val="none"/>
                </w:rPr>
                <w:t>Note 19—Capital One Financial Corporation (Parent Company Only)</w:t>
              </w:r>
            </w:hyperlink>
          </w:p>
        </w:tc>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hyperlink w:anchor="ia820611622d9441b977884dac00e0ebd_436" w:history="1">
              <w:r>
                <w:rPr>
                  <w:rStyle w:val="a3"/>
                  <w:rFonts w:eastAsia="Times New Roman"/>
                  <w:color w:val="000000"/>
                  <w:sz w:val="20"/>
                  <w:szCs w:val="20"/>
                  <w:u w:val="none"/>
                </w:rPr>
                <w:t>204</w:t>
              </w:r>
            </w:hyperlink>
          </w:p>
        </w:tc>
      </w:tr>
      <w:tr w:rsidR="00000000">
        <w:trPr>
          <w:divId w:val="867643586"/>
        </w:trPr>
        <w:tc>
          <w:tcPr>
            <w:tcW w:w="0" w:type="auto"/>
            <w:gridSpan w:val="3"/>
            <w:tcMar>
              <w:top w:w="30" w:type="dxa"/>
              <w:left w:w="20" w:type="dxa"/>
              <w:bottom w:w="30" w:type="dxa"/>
              <w:right w:w="20" w:type="dxa"/>
            </w:tcMar>
            <w:hideMark/>
          </w:tcPr>
          <w:p w:rsidR="00000000" w:rsidRDefault="0094004B">
            <w:pPr>
              <w:spacing w:after="100"/>
              <w:divId w:val="1610316316"/>
              <w:rPr>
                <w:rFonts w:eastAsia="Times New Roman"/>
              </w:rPr>
            </w:pPr>
            <w:hyperlink w:anchor="ia820611622d9441b977884dac00e0ebd_439" w:history="1">
              <w:r>
                <w:rPr>
                  <w:rStyle w:val="a3"/>
                  <w:rFonts w:eastAsia="Times New Roman"/>
                  <w:color w:val="000000"/>
                  <w:sz w:val="20"/>
                  <w:szCs w:val="20"/>
                  <w:u w:val="none"/>
                </w:rPr>
                <w:t>Note 20—Related Party Transactions</w:t>
              </w:r>
            </w:hyperlink>
          </w:p>
        </w:tc>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hyperlink w:anchor="ia820611622d9441b977884dac00e0ebd_439" w:history="1">
              <w:r>
                <w:rPr>
                  <w:rStyle w:val="a3"/>
                  <w:rFonts w:eastAsia="Times New Roman"/>
                  <w:color w:val="000000"/>
                  <w:sz w:val="20"/>
                  <w:szCs w:val="20"/>
                  <w:u w:val="none"/>
                </w:rPr>
                <w:t>206</w:t>
              </w:r>
            </w:hyperlink>
          </w:p>
        </w:tc>
      </w:tr>
      <w:tr w:rsidR="00000000">
        <w:trPr>
          <w:divId w:val="867643586"/>
        </w:trPr>
        <w:tc>
          <w:tcPr>
            <w:tcW w:w="0" w:type="auto"/>
            <w:gridSpan w:val="3"/>
            <w:vAlign w:val="center"/>
            <w:hideMark/>
          </w:tcPr>
          <w:p w:rsidR="00000000" w:rsidRDefault="0094004B">
            <w:pPr>
              <w:spacing w:after="100"/>
              <w:jc w:val="center"/>
              <w:rPr>
                <w:rFonts w:eastAsia="Times New Roman"/>
              </w:rPr>
            </w:pPr>
          </w:p>
        </w:tc>
        <w:tc>
          <w:tcPr>
            <w:tcW w:w="0" w:type="auto"/>
            <w:gridSpan w:val="3"/>
            <w:vAlign w:val="center"/>
            <w:hideMark/>
          </w:tcPr>
          <w:p w:rsidR="00000000" w:rsidRDefault="0094004B">
            <w:pPr>
              <w:spacing w:after="100"/>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112</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38" style="width:0;height:1.5pt" o:hralign="center" o:hrstd="t" o:hr="t" fillcolor="#a0a0a0" stroked="f"/>
        </w:pict>
      </w:r>
    </w:p>
    <w:p w:rsidR="00000000" w:rsidRDefault="0094004B">
      <w:pPr>
        <w:jc w:val="both"/>
        <w:divId w:val="2053917825"/>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both"/>
        <w:divId w:val="1724983148"/>
        <w:rPr>
          <w:rFonts w:eastAsia="Times New Roman"/>
        </w:rPr>
      </w:pPr>
    </w:p>
    <w:p w:rsidR="00000000" w:rsidRDefault="0094004B">
      <w:pPr>
        <w:jc w:val="center"/>
        <w:divId w:val="2112164094"/>
        <w:rPr>
          <w:rFonts w:eastAsia="Times New Roman"/>
        </w:rPr>
      </w:pPr>
      <w:r>
        <w:rPr>
          <w:rFonts w:eastAsia="Times New Roman"/>
          <w:b/>
          <w:bCs/>
          <w:color w:val="000000"/>
          <w:sz w:val="20"/>
          <w:szCs w:val="20"/>
        </w:rPr>
        <w:t>MANAGEMENT’S REPORT ON INTERNAL CONTROL OVER FINANCIAL REPORTING</w:t>
      </w:r>
    </w:p>
    <w:p w:rsidR="00000000" w:rsidRDefault="0094004B">
      <w:pPr>
        <w:jc w:val="both"/>
        <w:divId w:val="2083024272"/>
        <w:rPr>
          <w:rFonts w:eastAsia="Times New Roman"/>
        </w:rPr>
      </w:pPr>
      <w:r>
        <w:rPr>
          <w:rFonts w:eastAsia="Times New Roman"/>
          <w:color w:val="000000"/>
          <w:sz w:val="20"/>
          <w:szCs w:val="20"/>
        </w:rPr>
        <w:t>The management of Capital One Financial Corporation (the “Company” or “Capit</w:t>
      </w:r>
      <w:r>
        <w:rPr>
          <w:rFonts w:eastAsia="Times New Roman"/>
          <w:color w:val="000000"/>
          <w:sz w:val="20"/>
          <w:szCs w:val="20"/>
        </w:rPr>
        <w:t>al One”) is responsible for establishing and maintaining adequate internal control over financial reporting and for the assessment of the effectiveness of internal control over financial reporting. Internal control over financial reporting is a process des</w:t>
      </w:r>
      <w:r>
        <w:rPr>
          <w:rFonts w:eastAsia="Times New Roman"/>
          <w:color w:val="000000"/>
          <w:sz w:val="20"/>
          <w:szCs w:val="20"/>
        </w:rPr>
        <w:t>igned by, or under the supervision of, the Company’s principal executive and principal financial officers, or persons performing similar functions, and effected by the Company’s Board of Directors, management and other personnel, to provide reasonable assu</w:t>
      </w:r>
      <w:r>
        <w:rPr>
          <w:rFonts w:eastAsia="Times New Roman"/>
          <w:color w:val="000000"/>
          <w:sz w:val="20"/>
          <w:szCs w:val="20"/>
        </w:rPr>
        <w:t>rance regarding the reliability of financial reporting and the preparation of financial statements for external reporting purposes in accordance with U.S. generally accepted accounting principles.</w:t>
      </w:r>
    </w:p>
    <w:p w:rsidR="00000000" w:rsidRDefault="0094004B">
      <w:pPr>
        <w:jc w:val="both"/>
        <w:divId w:val="1688555848"/>
        <w:rPr>
          <w:rFonts w:eastAsia="Times New Roman"/>
        </w:rPr>
      </w:pPr>
      <w:r>
        <w:rPr>
          <w:rFonts w:eastAsia="Times New Roman"/>
          <w:color w:val="000000"/>
          <w:sz w:val="20"/>
          <w:szCs w:val="20"/>
        </w:rPr>
        <w:t>Capital One’s internal control over financial reporting inc</w:t>
      </w:r>
      <w:r>
        <w:rPr>
          <w:rFonts w:eastAsia="Times New Roman"/>
          <w:color w:val="000000"/>
          <w:sz w:val="20"/>
          <w:szCs w:val="20"/>
        </w:rPr>
        <w:t xml:space="preserve">ludes those policies and procedures that (i) pertain to the maintenance of records that, in reasonable detail, accurately and fairly reflect the transactions and dispositions of the Company’s assets; (ii) provide reasonable assurance that transactions are </w:t>
      </w:r>
      <w:r>
        <w:rPr>
          <w:rFonts w:eastAsia="Times New Roman"/>
          <w:color w:val="000000"/>
          <w:sz w:val="20"/>
          <w:szCs w:val="20"/>
        </w:rPr>
        <w:t>recorded as necessary to permit preparation of financial statements in accordance with generally accepted accounting principles, and that the Company’s receipts and expenditures are being made only in accordance with authorizations of the Company’s managem</w:t>
      </w:r>
      <w:r>
        <w:rPr>
          <w:rFonts w:eastAsia="Times New Roman"/>
          <w:color w:val="000000"/>
          <w:sz w:val="20"/>
          <w:szCs w:val="20"/>
        </w:rPr>
        <w:t>ent and directors; and (iii) provide reasonable assurance regarding prevention or timely detection of unauthorized acquisition, use or disposition of the Company’s assets that could have a material effect on its financial statements.</w:t>
      </w:r>
    </w:p>
    <w:p w:rsidR="00000000" w:rsidRDefault="0094004B">
      <w:pPr>
        <w:jc w:val="both"/>
        <w:divId w:val="1439913359"/>
        <w:rPr>
          <w:rFonts w:eastAsia="Times New Roman"/>
        </w:rPr>
      </w:pPr>
      <w:r>
        <w:rPr>
          <w:rFonts w:eastAsia="Times New Roman"/>
          <w:color w:val="000000"/>
          <w:sz w:val="20"/>
          <w:szCs w:val="20"/>
        </w:rPr>
        <w:t>Because of its inheren</w:t>
      </w:r>
      <w:r>
        <w:rPr>
          <w:rFonts w:eastAsia="Times New Roman"/>
          <w:color w:val="000000"/>
          <w:sz w:val="20"/>
          <w:szCs w:val="20"/>
        </w:rPr>
        <w:t>t limitations, internal control over financial reporting may not prevent or detect misstatements. Also, projections of any evaluation of effectiveness to future periods are subject to the risk that controls may become inadequate because of changes in condi</w:t>
      </w:r>
      <w:r>
        <w:rPr>
          <w:rFonts w:eastAsia="Times New Roman"/>
          <w:color w:val="000000"/>
          <w:sz w:val="20"/>
          <w:szCs w:val="20"/>
        </w:rPr>
        <w:t>tions, or that the degree of compliance with the policies or procedures may deteriorate.</w:t>
      </w:r>
    </w:p>
    <w:p w:rsidR="00000000" w:rsidRDefault="0094004B">
      <w:pPr>
        <w:jc w:val="both"/>
        <w:divId w:val="1983148952"/>
        <w:rPr>
          <w:rFonts w:eastAsia="Times New Roman"/>
        </w:rPr>
      </w:pPr>
      <w:r>
        <w:rPr>
          <w:rFonts w:eastAsia="Times New Roman"/>
          <w:color w:val="000000"/>
          <w:sz w:val="20"/>
          <w:szCs w:val="20"/>
        </w:rPr>
        <w:t>Management conducted an assessment of the effectiveness of the Company’s internal control over financial reporting as of December 31, 2022, based on the framework in “</w:t>
      </w:r>
      <w:r>
        <w:rPr>
          <w:rFonts w:eastAsia="Times New Roman"/>
          <w:color w:val="000000"/>
          <w:sz w:val="20"/>
          <w:szCs w:val="20"/>
        </w:rPr>
        <w:t>2013 Internal Control—Integrated Framework” issued by the Committee of Sponsoring Organizations of the Treadway Commission (“COSO”), commonly referred to as the “2013 Framework.”</w:t>
      </w:r>
    </w:p>
    <w:p w:rsidR="00000000" w:rsidRDefault="0094004B">
      <w:pPr>
        <w:jc w:val="both"/>
        <w:divId w:val="1229419527"/>
        <w:rPr>
          <w:rFonts w:eastAsia="Times New Roman"/>
        </w:rPr>
      </w:pPr>
      <w:r>
        <w:rPr>
          <w:rFonts w:eastAsia="Times New Roman"/>
          <w:color w:val="000000"/>
          <w:sz w:val="20"/>
          <w:szCs w:val="20"/>
        </w:rPr>
        <w:t>Based on this assessment, management concluded that, as of December 31, 2022,</w:t>
      </w:r>
      <w:r>
        <w:rPr>
          <w:rFonts w:eastAsia="Times New Roman"/>
          <w:color w:val="000000"/>
          <w:sz w:val="20"/>
          <w:szCs w:val="20"/>
        </w:rPr>
        <w:t xml:space="preserve"> the Company’s internal control over financial reporting was effective based on the criteria established by COSO in the 2013 Framework. Additionally, based upon management’s assessment, the Company determined that there were no material weaknesses in its i</w:t>
      </w:r>
      <w:r>
        <w:rPr>
          <w:rFonts w:eastAsia="Times New Roman"/>
          <w:color w:val="000000"/>
          <w:sz w:val="20"/>
          <w:szCs w:val="20"/>
        </w:rPr>
        <w:t>nternal control over financial reporting as of December 31, 2022.</w:t>
      </w:r>
    </w:p>
    <w:p w:rsidR="00000000" w:rsidRDefault="0094004B">
      <w:pPr>
        <w:jc w:val="both"/>
        <w:divId w:val="1679884776"/>
        <w:rPr>
          <w:rFonts w:eastAsia="Times New Roman"/>
        </w:rPr>
      </w:pPr>
      <w:r>
        <w:rPr>
          <w:rFonts w:eastAsia="Times New Roman"/>
          <w:color w:val="000000"/>
          <w:sz w:val="20"/>
          <w:szCs w:val="20"/>
        </w:rPr>
        <w:t>The effectiveness of the Company’s internal control over financial reporting as of December 31, 2022, has been audited by Ernst &amp; Young LLP, an independent registered public accounting firm,</w:t>
      </w:r>
      <w:r>
        <w:rPr>
          <w:rFonts w:eastAsia="Times New Roman"/>
          <w:color w:val="000000"/>
          <w:sz w:val="20"/>
          <w:szCs w:val="20"/>
        </w:rPr>
        <w:t xml:space="preserve"> as stated in their accompanying report, which expresses an unqualified opinion on the effectiveness of the Company’s internal control over financial reporting as of December 31, 2022.</w:t>
      </w:r>
    </w:p>
    <w:tbl>
      <w:tblPr>
        <w:tblW w:w="1673" w:type="pct"/>
        <w:tblCellMar>
          <w:top w:w="15" w:type="dxa"/>
          <w:left w:w="15" w:type="dxa"/>
          <w:bottom w:w="15" w:type="dxa"/>
          <w:right w:w="15" w:type="dxa"/>
        </w:tblCellMar>
        <w:tblLook w:val="04A0" w:firstRow="1" w:lastRow="0" w:firstColumn="1" w:lastColumn="0" w:noHBand="0" w:noVBand="1"/>
      </w:tblPr>
      <w:tblGrid>
        <w:gridCol w:w="37"/>
        <w:gridCol w:w="2706"/>
        <w:gridCol w:w="36"/>
      </w:tblGrid>
      <w:tr w:rsidR="00000000">
        <w:trPr>
          <w:divId w:val="1662270341"/>
        </w:trPr>
        <w:tc>
          <w:tcPr>
            <w:tcW w:w="50" w:type="pct"/>
            <w:vAlign w:val="center"/>
            <w:hideMark/>
          </w:tcPr>
          <w:p w:rsidR="00000000" w:rsidRDefault="0094004B">
            <w:pPr>
              <w:jc w:val="both"/>
              <w:rPr>
                <w:rFonts w:eastAsia="Times New Roman"/>
              </w:rPr>
            </w:pPr>
          </w:p>
        </w:tc>
        <w:tc>
          <w:tcPr>
            <w:tcW w:w="494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662270341"/>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/s/ RICHARD D. FAIRBANK</w:t>
            </w:r>
          </w:p>
        </w:tc>
      </w:tr>
      <w:tr w:rsidR="00000000">
        <w:trPr>
          <w:divId w:val="1662270341"/>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Richard D. Fairbank</w:t>
            </w:r>
          </w:p>
        </w:tc>
      </w:tr>
      <w:tr w:rsidR="00000000">
        <w:trPr>
          <w:divId w:val="1662270341"/>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Chair and Chief Executive Officer</w:t>
            </w:r>
          </w:p>
        </w:tc>
      </w:tr>
      <w:tr w:rsidR="00000000">
        <w:trPr>
          <w:divId w:val="1662270341"/>
          <w:trHeight w:val="300"/>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r>
      <w:tr w:rsidR="00000000">
        <w:trPr>
          <w:divId w:val="1662270341"/>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/s/ ANDREW M. YOUNG</w:t>
            </w:r>
          </w:p>
        </w:tc>
      </w:tr>
      <w:tr w:rsidR="00000000">
        <w:trPr>
          <w:divId w:val="1662270341"/>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Andrew M. Young</w:t>
            </w:r>
          </w:p>
        </w:tc>
      </w:tr>
      <w:tr w:rsidR="00000000">
        <w:trPr>
          <w:divId w:val="1662270341"/>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Chief Financial Officer</w:t>
            </w:r>
          </w:p>
        </w:tc>
      </w:tr>
      <w:tr w:rsidR="00000000">
        <w:trPr>
          <w:divId w:val="1662270341"/>
          <w:trHeight w:val="300"/>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r>
      <w:tr w:rsidR="00000000">
        <w:trPr>
          <w:divId w:val="1662270341"/>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February 24, 2023</w:t>
            </w:r>
          </w:p>
        </w:tc>
      </w:tr>
    </w:tbl>
    <w:p w:rsidR="00000000" w:rsidRDefault="0094004B">
      <w:pPr>
        <w:jc w:val="both"/>
        <w:divId w:val="11228786"/>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35737667"/>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35737667"/>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35737667"/>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113</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39" style="width:0;height:1.5pt" o:hralign="center" o:hrstd="t" o:hr="t" fillcolor="#a0a0a0" stroked="f"/>
        </w:pict>
      </w:r>
    </w:p>
    <w:p w:rsidR="00000000" w:rsidRDefault="0094004B">
      <w:pPr>
        <w:jc w:val="both"/>
        <w:divId w:val="1568766501"/>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both"/>
        <w:divId w:val="1470517393"/>
        <w:rPr>
          <w:rFonts w:eastAsia="Times New Roman"/>
        </w:rPr>
      </w:pPr>
    </w:p>
    <w:p w:rsidR="00000000" w:rsidRDefault="0094004B">
      <w:pPr>
        <w:jc w:val="center"/>
        <w:divId w:val="2036420616"/>
        <w:rPr>
          <w:rFonts w:eastAsia="Times New Roman"/>
        </w:rPr>
      </w:pPr>
      <w:r>
        <w:rPr>
          <w:rFonts w:eastAsia="Times New Roman"/>
          <w:b/>
          <w:bCs/>
          <w:color w:val="000000"/>
          <w:sz w:val="20"/>
          <w:szCs w:val="20"/>
        </w:rPr>
        <w:t>REPORT OF INDEPENDENT REGISTERED PUBLIC ACCOUNTING FIRM</w:t>
      </w:r>
    </w:p>
    <w:p w:rsidR="00000000" w:rsidRDefault="0094004B">
      <w:pPr>
        <w:jc w:val="center"/>
        <w:divId w:val="1720471345"/>
        <w:rPr>
          <w:rFonts w:eastAsia="Times New Roman"/>
        </w:rPr>
      </w:pPr>
    </w:p>
    <w:p w:rsidR="00000000" w:rsidRDefault="0094004B">
      <w:pPr>
        <w:jc w:val="both"/>
        <w:divId w:val="443227782"/>
        <w:rPr>
          <w:rFonts w:eastAsia="Times New Roman"/>
        </w:rPr>
      </w:pPr>
      <w:r>
        <w:rPr>
          <w:rFonts w:eastAsia="Times New Roman"/>
          <w:color w:val="000000"/>
          <w:sz w:val="20"/>
          <w:szCs w:val="20"/>
        </w:rPr>
        <w:t>To the Shareholders and the Board of Directors of Capital One Financial Corporation</w:t>
      </w:r>
      <w:r>
        <w:rPr>
          <w:rFonts w:eastAsia="Times New Roman"/>
          <w:color w:val="000000"/>
          <w:sz w:val="20"/>
          <w:szCs w:val="20"/>
        </w:rPr>
        <w:t>:</w:t>
      </w:r>
    </w:p>
    <w:p w:rsidR="00000000" w:rsidRDefault="0094004B">
      <w:pPr>
        <w:jc w:val="both"/>
        <w:divId w:val="19747832"/>
        <w:rPr>
          <w:rFonts w:eastAsia="Times New Roman"/>
        </w:rPr>
      </w:pPr>
      <w:r>
        <w:rPr>
          <w:rFonts w:eastAsia="Times New Roman"/>
          <w:b/>
          <w:bCs/>
          <w:color w:val="000000"/>
          <w:sz w:val="20"/>
          <w:szCs w:val="20"/>
        </w:rPr>
        <w:t>Opinion on Internal Control over Financial Reporting</w:t>
      </w:r>
    </w:p>
    <w:p w:rsidR="00000000" w:rsidRDefault="0094004B">
      <w:pPr>
        <w:jc w:val="both"/>
        <w:rPr>
          <w:rFonts w:eastAsia="Times New Roman"/>
        </w:rPr>
      </w:pPr>
      <w:r>
        <w:rPr>
          <w:rFonts w:eastAsia="Times New Roman"/>
          <w:color w:val="000000"/>
          <w:sz w:val="20"/>
          <w:szCs w:val="20"/>
        </w:rPr>
        <w:t>We have audited Capital One Financial Corporation’s internal control over financial reporting as of December 31, 2022, based on criteria established in Internal Control—Integrated Framework issued by t</w:t>
      </w:r>
      <w:r>
        <w:rPr>
          <w:rFonts w:eastAsia="Times New Roman"/>
          <w:color w:val="000000"/>
          <w:sz w:val="20"/>
          <w:szCs w:val="20"/>
        </w:rPr>
        <w:t>he Committee of Sponsoring Organizations of the Treadway Commission (2013 framework)</w:t>
      </w:r>
      <w:r>
        <w:rPr>
          <w:rFonts w:eastAsia="Times New Roman"/>
          <w:b/>
          <w:bCs/>
          <w:color w:val="000000"/>
          <w:sz w:val="20"/>
          <w:szCs w:val="20"/>
        </w:rPr>
        <w:t xml:space="preserve"> </w:t>
      </w:r>
      <w:r>
        <w:rPr>
          <w:rFonts w:eastAsia="Times New Roman"/>
          <w:color w:val="000000"/>
          <w:sz w:val="20"/>
          <w:szCs w:val="20"/>
        </w:rPr>
        <w:t>(the COSO criteria). In our opinion, Capital One Financial Corporation (the “Company”) maintained, in all material respects, effective internal control over financial repo</w:t>
      </w:r>
      <w:r>
        <w:rPr>
          <w:rFonts w:eastAsia="Times New Roman"/>
          <w:color w:val="000000"/>
          <w:sz w:val="20"/>
          <w:szCs w:val="20"/>
        </w:rPr>
        <w:t>rting as of December 31, 2022, based on</w:t>
      </w:r>
      <w:r>
        <w:rPr>
          <w:rFonts w:eastAsia="Times New Roman"/>
          <w:b/>
          <w:bCs/>
          <w:color w:val="000000"/>
          <w:sz w:val="20"/>
          <w:szCs w:val="20"/>
        </w:rPr>
        <w:t xml:space="preserve"> </w:t>
      </w:r>
      <w:r>
        <w:rPr>
          <w:rFonts w:eastAsia="Times New Roman"/>
          <w:color w:val="000000"/>
          <w:sz w:val="20"/>
          <w:szCs w:val="20"/>
        </w:rPr>
        <w:t>the COSO criteria</w:t>
      </w:r>
      <w:r>
        <w:rPr>
          <w:rFonts w:eastAsia="Times New Roman"/>
          <w:b/>
          <w:bCs/>
          <w:color w:val="000000"/>
          <w:sz w:val="20"/>
          <w:szCs w:val="20"/>
        </w:rPr>
        <w:t>.</w:t>
      </w:r>
    </w:p>
    <w:p w:rsidR="00000000" w:rsidRDefault="0094004B">
      <w:pPr>
        <w:divId w:val="2116633845"/>
        <w:rPr>
          <w:rFonts w:eastAsia="Times New Roman"/>
        </w:rPr>
      </w:pPr>
    </w:p>
    <w:p w:rsidR="00000000" w:rsidRDefault="0094004B">
      <w:pPr>
        <w:jc w:val="both"/>
        <w:rPr>
          <w:rFonts w:eastAsia="Times New Roman"/>
        </w:rPr>
      </w:pPr>
      <w:r>
        <w:rPr>
          <w:rFonts w:eastAsia="Times New Roman"/>
          <w:color w:val="000000"/>
          <w:sz w:val="20"/>
          <w:szCs w:val="20"/>
        </w:rPr>
        <w:t>We also have audited, in accordance with the standards of the Public Company Accounting Oversight Board (United States) (PCAOB), the consolidated balance sheets of Capital One Financial Corporati</w:t>
      </w:r>
      <w:r>
        <w:rPr>
          <w:rFonts w:eastAsia="Times New Roman"/>
          <w:color w:val="000000"/>
          <w:sz w:val="20"/>
          <w:szCs w:val="20"/>
        </w:rPr>
        <w:t>o</w:t>
      </w:r>
      <w:r>
        <w:rPr>
          <w:rFonts w:eastAsia="Times New Roman"/>
          <w:color w:val="000000"/>
          <w:sz w:val="20"/>
          <w:szCs w:val="20"/>
        </w:rPr>
        <w:t>n</w:t>
      </w:r>
      <w:r>
        <w:rPr>
          <w:rFonts w:eastAsia="Times New Roman"/>
          <w:color w:val="000000"/>
          <w:sz w:val="13"/>
          <w:szCs w:val="13"/>
        </w:rPr>
        <w:t xml:space="preserve"> </w:t>
      </w:r>
      <w:r>
        <w:rPr>
          <w:rFonts w:eastAsia="Times New Roman"/>
          <w:color w:val="000000"/>
          <w:sz w:val="20"/>
          <w:szCs w:val="20"/>
        </w:rPr>
        <w:t>as of December 31, 2022 and 2021, the related consolidated statements of income, comprehensive income, changes in stockholders’ equity and cash flows for each of the three years in the period ended December 31, 2022, and the related notes and our report</w:t>
      </w:r>
      <w:r>
        <w:rPr>
          <w:rFonts w:eastAsia="Times New Roman"/>
          <w:color w:val="000000"/>
          <w:sz w:val="20"/>
          <w:szCs w:val="20"/>
        </w:rPr>
        <w:t xml:space="preserve"> dated February 24, 2023 expressed an unqualified opinion thereon.</w:t>
      </w:r>
    </w:p>
    <w:p w:rsidR="00000000" w:rsidRDefault="0094004B">
      <w:pPr>
        <w:jc w:val="both"/>
        <w:divId w:val="283268712"/>
        <w:rPr>
          <w:rFonts w:eastAsia="Times New Roman"/>
        </w:rPr>
      </w:pPr>
      <w:r>
        <w:rPr>
          <w:rFonts w:eastAsia="Times New Roman"/>
          <w:b/>
          <w:bCs/>
          <w:color w:val="000000"/>
          <w:sz w:val="20"/>
          <w:szCs w:val="20"/>
        </w:rPr>
        <w:t>Basis for Opinion</w:t>
      </w:r>
    </w:p>
    <w:p w:rsidR="00000000" w:rsidRDefault="0094004B">
      <w:pPr>
        <w:jc w:val="both"/>
        <w:rPr>
          <w:rFonts w:eastAsia="Times New Roman"/>
        </w:rPr>
      </w:pPr>
      <w:r>
        <w:rPr>
          <w:rFonts w:eastAsia="Times New Roman"/>
          <w:color w:val="000000"/>
          <w:sz w:val="20"/>
          <w:szCs w:val="20"/>
        </w:rPr>
        <w:t>The Company’s management is responsible for maintaining effective internal control over financial reporting and for its assessment of the effectiveness of internal control</w:t>
      </w:r>
      <w:r>
        <w:rPr>
          <w:rFonts w:eastAsia="Times New Roman"/>
          <w:color w:val="000000"/>
          <w:sz w:val="20"/>
          <w:szCs w:val="20"/>
        </w:rPr>
        <w:t xml:space="preserve"> over financial reporting included in the accompanying Management’s Report on Internal Control Over Financial Reporting. Our responsibility is to express an opinion on the Company’s internal control over financial reporting based on our audit. We are a pub</w:t>
      </w:r>
      <w:r>
        <w:rPr>
          <w:rFonts w:eastAsia="Times New Roman"/>
          <w:color w:val="000000"/>
          <w:sz w:val="20"/>
          <w:szCs w:val="20"/>
        </w:rPr>
        <w:t>lic accounting firm registered with the PCAOB and are required to be independent with respect to the Company in accordance with the U.S. federal securities laws and the applicable rules and regulations of the Securities and Exchange Commission and the PCAO</w:t>
      </w:r>
      <w:r>
        <w:rPr>
          <w:rFonts w:eastAsia="Times New Roman"/>
          <w:color w:val="000000"/>
          <w:sz w:val="20"/>
          <w:szCs w:val="20"/>
        </w:rPr>
        <w:t>B.</w:t>
      </w:r>
    </w:p>
    <w:p w:rsidR="00000000" w:rsidRDefault="0094004B">
      <w:pPr>
        <w:divId w:val="2057311101"/>
        <w:rPr>
          <w:rFonts w:eastAsia="Times New Roman"/>
        </w:rPr>
      </w:pPr>
    </w:p>
    <w:p w:rsidR="00000000" w:rsidRDefault="0094004B">
      <w:pPr>
        <w:jc w:val="both"/>
        <w:rPr>
          <w:rFonts w:eastAsia="Times New Roman"/>
        </w:rPr>
      </w:pPr>
      <w:r>
        <w:rPr>
          <w:rFonts w:eastAsia="Times New Roman"/>
          <w:color w:val="000000"/>
          <w:sz w:val="20"/>
          <w:szCs w:val="20"/>
        </w:rPr>
        <w:t>We conducted our audit in accordance with the standards of the PCAOB. Those standards require that we plan and perform the audit to obtain reasonable assurance about whether effective internal control over financial reporting was maintained in all mat</w:t>
      </w:r>
      <w:r>
        <w:rPr>
          <w:rFonts w:eastAsia="Times New Roman"/>
          <w:color w:val="000000"/>
          <w:sz w:val="20"/>
          <w:szCs w:val="20"/>
        </w:rPr>
        <w:t>erial respects.</w:t>
      </w:r>
    </w:p>
    <w:p w:rsidR="00000000" w:rsidRDefault="0094004B">
      <w:pPr>
        <w:jc w:val="both"/>
        <w:rPr>
          <w:rFonts w:eastAsia="Times New Roman"/>
        </w:rPr>
      </w:pPr>
    </w:p>
    <w:p w:rsidR="00000000" w:rsidRDefault="0094004B">
      <w:pPr>
        <w:jc w:val="both"/>
        <w:rPr>
          <w:rFonts w:eastAsia="Times New Roman"/>
        </w:rPr>
      </w:pPr>
      <w:r>
        <w:rPr>
          <w:rFonts w:eastAsia="Times New Roman"/>
          <w:color w:val="000000"/>
          <w:sz w:val="20"/>
          <w:szCs w:val="20"/>
        </w:rPr>
        <w:t>Our audit included obtaining an understanding of internal control over financial reporting, assessing the risk that a material weakness exists, testing and evaluating the design and operating effectiveness of internal control based on the</w:t>
      </w:r>
      <w:r>
        <w:rPr>
          <w:rFonts w:eastAsia="Times New Roman"/>
          <w:color w:val="000000"/>
          <w:sz w:val="20"/>
          <w:szCs w:val="20"/>
        </w:rPr>
        <w:t xml:space="preserve"> assessed risk, and performing such other procedures as we considered necessary in the circumstances. We believe that our audit provides a reasonable basis for our opinion.</w:t>
      </w:r>
    </w:p>
    <w:p w:rsidR="00000000" w:rsidRDefault="0094004B">
      <w:pPr>
        <w:jc w:val="both"/>
        <w:divId w:val="605969283"/>
        <w:rPr>
          <w:rFonts w:eastAsia="Times New Roman"/>
        </w:rPr>
      </w:pPr>
      <w:r>
        <w:rPr>
          <w:rFonts w:eastAsia="Times New Roman"/>
          <w:b/>
          <w:bCs/>
          <w:color w:val="000000"/>
          <w:sz w:val="20"/>
          <w:szCs w:val="20"/>
        </w:rPr>
        <w:t>Definition and Limitations of Internal Control Over Financial Reporting</w:t>
      </w:r>
    </w:p>
    <w:p w:rsidR="00000000" w:rsidRDefault="0094004B">
      <w:pPr>
        <w:jc w:val="both"/>
        <w:rPr>
          <w:rFonts w:eastAsia="Times New Roman"/>
        </w:rPr>
      </w:pPr>
      <w:r>
        <w:rPr>
          <w:rFonts w:eastAsia="Times New Roman"/>
          <w:color w:val="000000"/>
          <w:sz w:val="20"/>
          <w:szCs w:val="20"/>
        </w:rPr>
        <w:t>A company’s internal control over financial reporting is a process designed to provide reasonable assurance regarding the reliability of financial reporting and the preparation of financial statements for external purposes in accordance with generally acce</w:t>
      </w:r>
      <w:r>
        <w:rPr>
          <w:rFonts w:eastAsia="Times New Roman"/>
          <w:color w:val="000000"/>
          <w:sz w:val="20"/>
          <w:szCs w:val="20"/>
        </w:rPr>
        <w:t>pted accounting principles. A company’s internal control over financial reporting includes those policies and procedures that (1) pertain to the maintenance of records that, in reasonable detail, accurately and fairly reflect the transactions and dispositi</w:t>
      </w:r>
      <w:r>
        <w:rPr>
          <w:rFonts w:eastAsia="Times New Roman"/>
          <w:color w:val="000000"/>
          <w:sz w:val="20"/>
          <w:szCs w:val="20"/>
        </w:rPr>
        <w:t xml:space="preserve">ons of the assets of the company; (2) provide reasonable assurance that transactions are recorded as necessary to permit preparation of financial statements in accordance with generally accepted accounting principles, and that receipts and expenditures of </w:t>
      </w:r>
      <w:r>
        <w:rPr>
          <w:rFonts w:eastAsia="Times New Roman"/>
          <w:color w:val="000000"/>
          <w:sz w:val="20"/>
          <w:szCs w:val="20"/>
        </w:rPr>
        <w:t>the company are being made only in accordance with authorizations of management and directors of the company; and (3) provide reasonable assurance regarding prevention or timely detection of unauthorized acquisition, use, or disposition of the company’s as</w:t>
      </w:r>
      <w:r>
        <w:rPr>
          <w:rFonts w:eastAsia="Times New Roman"/>
          <w:color w:val="000000"/>
          <w:sz w:val="20"/>
          <w:szCs w:val="20"/>
        </w:rPr>
        <w:t xml:space="preserve">sets that could have a material effect on the financial statements. </w:t>
      </w:r>
    </w:p>
    <w:p w:rsidR="00000000" w:rsidRDefault="0094004B">
      <w:pPr>
        <w:jc w:val="both"/>
        <w:rPr>
          <w:rFonts w:eastAsia="Times New Roman"/>
        </w:rPr>
      </w:pPr>
    </w:p>
    <w:p w:rsidR="00000000" w:rsidRDefault="0094004B">
      <w:pPr>
        <w:jc w:val="both"/>
        <w:rPr>
          <w:rFonts w:eastAsia="Times New Roman"/>
        </w:rPr>
      </w:pPr>
      <w:r>
        <w:rPr>
          <w:rFonts w:eastAsia="Times New Roman"/>
          <w:color w:val="000000"/>
          <w:sz w:val="20"/>
          <w:szCs w:val="20"/>
        </w:rPr>
        <w:t>Because of its inherent limitations, internal control over financial reporting may not prevent or detect misstatements. Also, projections of any evaluation of effectiveness to future pe</w:t>
      </w:r>
      <w:r>
        <w:rPr>
          <w:rFonts w:eastAsia="Times New Roman"/>
          <w:color w:val="000000"/>
          <w:sz w:val="20"/>
          <w:szCs w:val="20"/>
        </w:rPr>
        <w:t>riods are subject to the risk that controls may become inadequate because of changes in conditions, or that the degree of compliance with the policies or procedures may deteriorate.</w:t>
      </w:r>
    </w:p>
    <w:p w:rsidR="00000000" w:rsidRDefault="0094004B">
      <w:pPr>
        <w:divId w:val="1153594923"/>
        <w:rPr>
          <w:rFonts w:eastAsia="Times New Roman"/>
        </w:rPr>
      </w:pPr>
    </w:p>
    <w:tbl>
      <w:tblPr>
        <w:tblW w:w="1995" w:type="pct"/>
        <w:tblCellMar>
          <w:top w:w="15" w:type="dxa"/>
          <w:left w:w="15" w:type="dxa"/>
          <w:bottom w:w="15" w:type="dxa"/>
          <w:right w:w="15" w:type="dxa"/>
        </w:tblCellMar>
        <w:tblLook w:val="04A0" w:firstRow="1" w:lastRow="0" w:firstColumn="1" w:lastColumn="0" w:noHBand="0" w:noVBand="1"/>
      </w:tblPr>
      <w:tblGrid>
        <w:gridCol w:w="37"/>
        <w:gridCol w:w="3241"/>
        <w:gridCol w:w="36"/>
      </w:tblGrid>
      <w:tr w:rsidR="00000000">
        <w:trPr>
          <w:divId w:val="542255679"/>
        </w:trPr>
        <w:tc>
          <w:tcPr>
            <w:tcW w:w="50" w:type="pct"/>
            <w:vAlign w:val="center"/>
            <w:hideMark/>
          </w:tcPr>
          <w:p w:rsidR="00000000" w:rsidRDefault="0094004B">
            <w:pPr>
              <w:rPr>
                <w:rFonts w:eastAsia="Times New Roman"/>
              </w:rPr>
            </w:pPr>
          </w:p>
        </w:tc>
        <w:tc>
          <w:tcPr>
            <w:tcW w:w="494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542255679"/>
        </w:trPr>
        <w:tc>
          <w:tcPr>
            <w:tcW w:w="0" w:type="auto"/>
            <w:gridSpan w:val="3"/>
            <w:tcMar>
              <w:top w:w="30" w:type="dxa"/>
              <w:left w:w="20" w:type="dxa"/>
              <w:bottom w:w="30" w:type="dxa"/>
              <w:right w:w="20" w:type="dxa"/>
            </w:tcMar>
            <w:hideMark/>
          </w:tcPr>
          <w:p w:rsidR="00000000" w:rsidRDefault="0094004B">
            <w:pPr>
              <w:spacing w:after="100"/>
              <w:divId w:val="52704011"/>
              <w:rPr>
                <w:rFonts w:eastAsia="Times New Roman"/>
              </w:rPr>
            </w:pPr>
            <w:r>
              <w:rPr>
                <w:rFonts w:eastAsia="Times New Roman"/>
                <w:color w:val="000000"/>
                <w:sz w:val="18"/>
                <w:szCs w:val="18"/>
              </w:rPr>
              <w:t>/s/ Ernst &amp; Young LLP</w:t>
            </w:r>
          </w:p>
        </w:tc>
      </w:tr>
      <w:tr w:rsidR="00000000">
        <w:trPr>
          <w:divId w:val="542255679"/>
          <w:trHeight w:val="280"/>
        </w:trPr>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rPr>
            </w:pPr>
          </w:p>
        </w:tc>
      </w:tr>
      <w:tr w:rsidR="00000000">
        <w:trPr>
          <w:divId w:val="542255679"/>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Tysons, Virginia</w:t>
            </w:r>
          </w:p>
        </w:tc>
      </w:tr>
      <w:tr w:rsidR="00000000">
        <w:trPr>
          <w:divId w:val="542255679"/>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February 24, 2023</w:t>
            </w: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94004B">
            <w:pPr>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114</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40" style="width:0;height:1.5pt" o:hralign="center" o:hrstd="t" o:hr="t" fillcolor="#a0a0a0" stroked="f"/>
        </w:pict>
      </w:r>
    </w:p>
    <w:p w:rsidR="00000000" w:rsidRDefault="0094004B">
      <w:pPr>
        <w:jc w:val="both"/>
        <w:divId w:val="1298485202"/>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1251349897"/>
        <w:rPr>
          <w:rFonts w:eastAsia="Times New Roman"/>
        </w:rPr>
      </w:pPr>
      <w:r>
        <w:rPr>
          <w:rFonts w:eastAsia="Times New Roman"/>
          <w:b/>
          <w:bCs/>
          <w:color w:val="000000"/>
          <w:sz w:val="20"/>
          <w:szCs w:val="20"/>
        </w:rPr>
        <w:t>REPORT OF INDEPENDENT REGISTERED PUBLIC ACCOUNTING FIRM</w:t>
      </w:r>
    </w:p>
    <w:p w:rsidR="00000000" w:rsidRDefault="0094004B">
      <w:pPr>
        <w:jc w:val="center"/>
        <w:divId w:val="1125932019"/>
        <w:rPr>
          <w:rFonts w:eastAsia="Times New Roman"/>
        </w:rPr>
      </w:pPr>
    </w:p>
    <w:p w:rsidR="00000000" w:rsidRDefault="0094004B">
      <w:pPr>
        <w:jc w:val="both"/>
        <w:divId w:val="252129222"/>
        <w:rPr>
          <w:rFonts w:eastAsia="Times New Roman"/>
        </w:rPr>
      </w:pPr>
      <w:r>
        <w:rPr>
          <w:rFonts w:eastAsia="Times New Roman"/>
          <w:color w:val="000000"/>
          <w:sz w:val="20"/>
          <w:szCs w:val="20"/>
        </w:rPr>
        <w:t xml:space="preserve">To the Shareholders and the Board of Directors of Capital One Financial Corporation: </w:t>
      </w:r>
    </w:p>
    <w:p w:rsidR="00000000" w:rsidRDefault="0094004B">
      <w:pPr>
        <w:jc w:val="both"/>
        <w:divId w:val="1645085684"/>
        <w:rPr>
          <w:rFonts w:eastAsia="Times New Roman"/>
        </w:rPr>
      </w:pPr>
      <w:r>
        <w:rPr>
          <w:rFonts w:eastAsia="Times New Roman"/>
          <w:b/>
          <w:bCs/>
          <w:color w:val="000000"/>
          <w:sz w:val="20"/>
          <w:szCs w:val="20"/>
        </w:rPr>
        <w:t xml:space="preserve">Opinion on the Financial Statements </w:t>
      </w:r>
    </w:p>
    <w:p w:rsidR="00000000" w:rsidRDefault="0094004B">
      <w:pPr>
        <w:jc w:val="both"/>
        <w:rPr>
          <w:rFonts w:eastAsia="Times New Roman"/>
        </w:rPr>
      </w:pPr>
      <w:r>
        <w:rPr>
          <w:rFonts w:eastAsia="Times New Roman"/>
          <w:color w:val="000000"/>
          <w:sz w:val="20"/>
          <w:szCs w:val="20"/>
        </w:rPr>
        <w:t>We have audited the accompanying consolidated balance sheets of Capital One Financial Corporation (the “Company”) as of December 31, 2022 and 2021, the related consolidated statements of income, comprehensive income, c</w:t>
      </w:r>
      <w:r>
        <w:rPr>
          <w:rFonts w:eastAsia="Times New Roman"/>
          <w:color w:val="000000"/>
          <w:sz w:val="20"/>
          <w:szCs w:val="20"/>
        </w:rPr>
        <w:t>hanges in stockholders’ equity and cash flows for each of the three years in the period ended December 31, 2022, and the related notes (collectively referred to as the “consolidated financial statements”). In our opinion, the consolidated financial stateme</w:t>
      </w:r>
      <w:r>
        <w:rPr>
          <w:rFonts w:eastAsia="Times New Roman"/>
          <w:color w:val="000000"/>
          <w:sz w:val="20"/>
          <w:szCs w:val="20"/>
        </w:rPr>
        <w:t>nts present fairly, in all material respects, the financial position of the Company at December 31, 2022 and 2021, and the results of its operations and its cash flows for each of the three years in the period ended December 31, 2022, in conformity with U.</w:t>
      </w:r>
      <w:r>
        <w:rPr>
          <w:rFonts w:eastAsia="Times New Roman"/>
          <w:color w:val="000000"/>
          <w:sz w:val="20"/>
          <w:szCs w:val="20"/>
        </w:rPr>
        <w:t xml:space="preserve">S. generally accepted accounting principles. </w:t>
      </w:r>
    </w:p>
    <w:p w:rsidR="00000000" w:rsidRDefault="0094004B">
      <w:pPr>
        <w:divId w:val="915676002"/>
        <w:rPr>
          <w:rFonts w:eastAsia="Times New Roman"/>
        </w:rPr>
      </w:pPr>
    </w:p>
    <w:p w:rsidR="00000000" w:rsidRDefault="0094004B">
      <w:pPr>
        <w:jc w:val="both"/>
        <w:rPr>
          <w:rFonts w:eastAsia="Times New Roman"/>
        </w:rPr>
      </w:pPr>
      <w:r>
        <w:rPr>
          <w:rFonts w:eastAsia="Times New Roman"/>
          <w:color w:val="000000"/>
          <w:sz w:val="20"/>
          <w:szCs w:val="20"/>
        </w:rPr>
        <w:t>We also have audited, in accordance with the standards of the Public Company Accounting Oversight Board (United States) (PCAOB), the Company's internal control over financial reporting as of December 31, 2022</w:t>
      </w:r>
      <w:r>
        <w:rPr>
          <w:rFonts w:eastAsia="Times New Roman"/>
          <w:color w:val="000000"/>
          <w:sz w:val="20"/>
          <w:szCs w:val="20"/>
        </w:rPr>
        <w:t xml:space="preserve">, based on criteria established in Internal Control-Integrated Framework issued by the Committee of Sponsoring Organizations of the Treadway Commission (2013 framework) and our report dated February 24, 2023 expressed an unqualified opinion thereon. </w:t>
      </w:r>
    </w:p>
    <w:p w:rsidR="00000000" w:rsidRDefault="0094004B">
      <w:pPr>
        <w:jc w:val="both"/>
        <w:divId w:val="66348049"/>
        <w:rPr>
          <w:rFonts w:eastAsia="Times New Roman"/>
        </w:rPr>
      </w:pPr>
      <w:r>
        <w:rPr>
          <w:rFonts w:eastAsia="Times New Roman"/>
          <w:b/>
          <w:bCs/>
          <w:color w:val="000000"/>
          <w:sz w:val="20"/>
          <w:szCs w:val="20"/>
        </w:rPr>
        <w:t>Adopt</w:t>
      </w:r>
      <w:r>
        <w:rPr>
          <w:rFonts w:eastAsia="Times New Roman"/>
          <w:b/>
          <w:bCs/>
          <w:color w:val="000000"/>
          <w:sz w:val="20"/>
          <w:szCs w:val="20"/>
        </w:rPr>
        <w:t>ion of New Accounting Standard</w:t>
      </w:r>
    </w:p>
    <w:p w:rsidR="00000000" w:rsidRDefault="0094004B">
      <w:pPr>
        <w:divId w:val="331951782"/>
        <w:rPr>
          <w:rFonts w:eastAsia="Times New Roman"/>
        </w:rPr>
      </w:pPr>
      <w:r>
        <w:rPr>
          <w:rFonts w:eastAsia="Times New Roman"/>
          <w:color w:val="000000"/>
          <w:sz w:val="20"/>
          <w:szCs w:val="20"/>
        </w:rPr>
        <w:t>As discussed in Note 1 and Note 4 to the consolidated financial statements, the Company changed its method for accounting for credit losses in 2021.</w:t>
      </w:r>
      <w:r>
        <w:rPr>
          <w:rFonts w:ascii="Arial" w:eastAsia="Times New Roman" w:hAnsi="Arial" w:cs="Arial"/>
          <w:color w:val="000000"/>
        </w:rPr>
        <w:t xml:space="preserve"> </w:t>
      </w:r>
    </w:p>
    <w:p w:rsidR="00000000" w:rsidRDefault="0094004B">
      <w:pPr>
        <w:jc w:val="both"/>
        <w:divId w:val="856650695"/>
        <w:rPr>
          <w:rFonts w:eastAsia="Times New Roman"/>
        </w:rPr>
      </w:pPr>
      <w:r>
        <w:rPr>
          <w:rFonts w:eastAsia="Times New Roman"/>
          <w:b/>
          <w:bCs/>
          <w:color w:val="000000"/>
          <w:sz w:val="20"/>
          <w:szCs w:val="20"/>
        </w:rPr>
        <w:t xml:space="preserve">Basis for Opinion </w:t>
      </w:r>
    </w:p>
    <w:p w:rsidR="00000000" w:rsidRDefault="0094004B">
      <w:pPr>
        <w:jc w:val="both"/>
        <w:rPr>
          <w:rFonts w:eastAsia="Times New Roman"/>
        </w:rPr>
      </w:pPr>
      <w:r>
        <w:rPr>
          <w:rFonts w:eastAsia="Times New Roman"/>
          <w:color w:val="000000"/>
          <w:sz w:val="20"/>
          <w:szCs w:val="20"/>
        </w:rPr>
        <w:t>These financial statements are the responsibility of the</w:t>
      </w:r>
      <w:r>
        <w:rPr>
          <w:rFonts w:eastAsia="Times New Roman"/>
          <w:color w:val="000000"/>
          <w:sz w:val="20"/>
          <w:szCs w:val="20"/>
        </w:rPr>
        <w:t xml:space="preserve"> Company's management. Our responsibility is to express an opinion on the Company’s financial statements based on our audits. We are a public accounting firm registered with the PCAOB and are required to be independent with respect to the Company in accord</w:t>
      </w:r>
      <w:r>
        <w:rPr>
          <w:rFonts w:eastAsia="Times New Roman"/>
          <w:color w:val="000000"/>
          <w:sz w:val="20"/>
          <w:szCs w:val="20"/>
        </w:rPr>
        <w:t xml:space="preserve">ance with the U.S. federal securities laws and the applicable rules and regulations of the Securities and Exchange Commission and the PCAOB. </w:t>
      </w:r>
    </w:p>
    <w:p w:rsidR="00000000" w:rsidRDefault="0094004B">
      <w:pPr>
        <w:jc w:val="both"/>
        <w:rPr>
          <w:rFonts w:eastAsia="Times New Roman"/>
        </w:rPr>
      </w:pPr>
    </w:p>
    <w:p w:rsidR="00000000" w:rsidRDefault="0094004B">
      <w:pPr>
        <w:jc w:val="both"/>
        <w:rPr>
          <w:rFonts w:eastAsia="Times New Roman"/>
        </w:rPr>
      </w:pPr>
      <w:r>
        <w:rPr>
          <w:rFonts w:eastAsia="Times New Roman"/>
          <w:color w:val="000000"/>
          <w:sz w:val="20"/>
          <w:szCs w:val="20"/>
        </w:rPr>
        <w:t xml:space="preserve">We conducted our audits in accordance with the standards of the PCAOB. Those standards require that we plan and </w:t>
      </w:r>
      <w:r>
        <w:rPr>
          <w:rFonts w:eastAsia="Times New Roman"/>
          <w:color w:val="000000"/>
          <w:sz w:val="20"/>
          <w:szCs w:val="20"/>
        </w:rPr>
        <w:t>perform the audit to obtain reasonable assurance about whether the financial statements are free of material misstatement, whether due to error or fraud. Our audits included performing procedures to assess the risks of material misstatement of the financia</w:t>
      </w:r>
      <w:r>
        <w:rPr>
          <w:rFonts w:eastAsia="Times New Roman"/>
          <w:color w:val="000000"/>
          <w:sz w:val="20"/>
          <w:szCs w:val="20"/>
        </w:rPr>
        <w:t>l statements, whether due to error or fraud, and performing procedures that respond to those risks. Such procedures included examining, on a test basis, evidence regarding the amounts and disclosures in the financial statements. Our audits also included ev</w:t>
      </w:r>
      <w:r>
        <w:rPr>
          <w:rFonts w:eastAsia="Times New Roman"/>
          <w:color w:val="000000"/>
          <w:sz w:val="20"/>
          <w:szCs w:val="20"/>
        </w:rPr>
        <w:t xml:space="preserve">aluating the accounting principles used and significant estimates made by management, as well as evaluating the overall presentation of the financial statements. We believe that our audits provide a reasonable basis for our opinion. </w:t>
      </w:r>
    </w:p>
    <w:p w:rsidR="00000000" w:rsidRDefault="0094004B">
      <w:pPr>
        <w:jc w:val="both"/>
        <w:divId w:val="1123695790"/>
        <w:rPr>
          <w:rFonts w:eastAsia="Times New Roman"/>
        </w:rPr>
      </w:pPr>
      <w:r>
        <w:rPr>
          <w:rFonts w:eastAsia="Times New Roman"/>
          <w:b/>
          <w:bCs/>
          <w:color w:val="000000"/>
          <w:sz w:val="20"/>
          <w:szCs w:val="20"/>
        </w:rPr>
        <w:t>Critical Audit Matter</w:t>
      </w:r>
    </w:p>
    <w:p w:rsidR="00000000" w:rsidRDefault="0094004B">
      <w:pPr>
        <w:jc w:val="both"/>
        <w:rPr>
          <w:rFonts w:eastAsia="Times New Roman"/>
        </w:rPr>
      </w:pPr>
      <w:r>
        <w:rPr>
          <w:rFonts w:eastAsia="Times New Roman"/>
          <w:color w:val="000000"/>
          <w:sz w:val="20"/>
          <w:szCs w:val="20"/>
        </w:rPr>
        <w:t>The critical audit matter communicated below is a matter arising from the current period audit of the financial statements that was communicated or required to be communicated to the audit committee and that: (1) relates to accounts or disclosures that ar</w:t>
      </w:r>
      <w:r>
        <w:rPr>
          <w:rFonts w:eastAsia="Times New Roman"/>
          <w:color w:val="000000"/>
          <w:sz w:val="20"/>
          <w:szCs w:val="20"/>
        </w:rPr>
        <w:t>e material to the financial statements and (2) involved our especially challenging, subjective or complex judgments. The communication of the critical audit matter does not alter in any way our opinion on the consolidated financial statements, taken as a w</w:t>
      </w:r>
      <w:r>
        <w:rPr>
          <w:rFonts w:eastAsia="Times New Roman"/>
          <w:color w:val="000000"/>
          <w:sz w:val="20"/>
          <w:szCs w:val="20"/>
        </w:rPr>
        <w:t>hole, and we are not, by communicating the critical audit matter below, providing a separate opinion on the critical audit matter or on the accounts or disclosures to which it relates.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719867784"/>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719867784"/>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719867784"/>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115</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41" style="width:0;height:1.5pt" o:hralign="center" o:hrstd="t" o:hr="t" fillcolor="#a0a0a0" stroked="f"/>
        </w:pict>
      </w:r>
    </w:p>
    <w:p w:rsidR="00000000" w:rsidRDefault="0094004B">
      <w:pPr>
        <w:jc w:val="both"/>
        <w:divId w:val="1615674655"/>
        <w:rPr>
          <w:rFonts w:eastAsia="Times New Roman"/>
        </w:rPr>
      </w:pPr>
      <w:hyperlink w:anchor="ia820611622d9441b977884dac00e0ebd_16"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0"/>
        <w:gridCol w:w="1259"/>
        <w:gridCol w:w="36"/>
        <w:gridCol w:w="36"/>
        <w:gridCol w:w="142"/>
        <w:gridCol w:w="36"/>
        <w:gridCol w:w="61"/>
        <w:gridCol w:w="6639"/>
        <w:gridCol w:w="37"/>
      </w:tblGrid>
      <w:tr w:rsidR="00000000">
        <w:trPr>
          <w:divId w:val="2013683764"/>
        </w:trPr>
        <w:tc>
          <w:tcPr>
            <w:tcW w:w="50" w:type="pct"/>
            <w:vAlign w:val="center"/>
            <w:hideMark/>
          </w:tcPr>
          <w:p w:rsidR="00000000" w:rsidRDefault="0094004B">
            <w:pPr>
              <w:jc w:val="both"/>
              <w:rPr>
                <w:rFonts w:eastAsia="Times New Roman"/>
              </w:rPr>
            </w:pPr>
          </w:p>
        </w:tc>
        <w:tc>
          <w:tcPr>
            <w:tcW w:w="771"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9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00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2013683764"/>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94004B">
            <w:pPr>
              <w:spacing w:after="100"/>
              <w:rPr>
                <w:rFonts w:eastAsia="Times New Roman"/>
              </w:rPr>
            </w:pPr>
            <w:r>
              <w:rPr>
                <w:rFonts w:eastAsia="Times New Roman"/>
                <w:b/>
                <w:bCs/>
                <w:i/>
                <w:iCs/>
                <w:color w:val="000000"/>
                <w:sz w:val="20"/>
                <w:szCs w:val="20"/>
              </w:rPr>
              <w:t>Allowance for credit losses—Credit Card and Consumer Banking</w:t>
            </w:r>
          </w:p>
        </w:tc>
      </w:tr>
      <w:tr w:rsidR="00000000">
        <w:trPr>
          <w:divId w:val="2013683764"/>
        </w:trPr>
        <w:tc>
          <w:tcPr>
            <w:tcW w:w="0" w:type="auto"/>
            <w:gridSpan w:val="3"/>
            <w:tcMar>
              <w:top w:w="30" w:type="dxa"/>
              <w:left w:w="20" w:type="dxa"/>
              <w:bottom w:w="30" w:type="dxa"/>
              <w:right w:w="20" w:type="dxa"/>
            </w:tcMar>
            <w:hideMark/>
          </w:tcPr>
          <w:p w:rsidR="00000000" w:rsidRDefault="0094004B">
            <w:pPr>
              <w:spacing w:after="100"/>
              <w:rPr>
                <w:rFonts w:eastAsia="Times New Roman"/>
              </w:rPr>
            </w:pPr>
            <w:r>
              <w:rPr>
                <w:rFonts w:eastAsia="Times New Roman"/>
                <w:i/>
                <w:iCs/>
                <w:color w:val="000000"/>
                <w:sz w:val="20"/>
                <w:szCs w:val="20"/>
              </w:rPr>
              <w:t>Description of the Matter</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30" w:type="dxa"/>
              <w:left w:w="20" w:type="dxa"/>
              <w:bottom w:w="30" w:type="dxa"/>
              <w:right w:w="20" w:type="dxa"/>
            </w:tcMar>
            <w:hideMark/>
          </w:tcPr>
          <w:p w:rsidR="00000000" w:rsidRDefault="0094004B">
            <w:pPr>
              <w:spacing w:after="100"/>
              <w:jc w:val="both"/>
              <w:rPr>
                <w:rFonts w:eastAsia="Times New Roman"/>
              </w:rPr>
            </w:pPr>
            <w:r>
              <w:rPr>
                <w:rFonts w:eastAsia="Times New Roman"/>
                <w:color w:val="000000"/>
                <w:sz w:val="20"/>
                <w:szCs w:val="20"/>
              </w:rPr>
              <w:t>On December 31, 2022, the Company’s allowance for the credit card and consumer banking portfolios was $8.3 billion and $1.9 billion, respectively. As more fully described in Note 1 and Note 4 of the consolidated financial statements, the allowance for cred</w:t>
            </w:r>
            <w:r>
              <w:rPr>
                <w:rFonts w:eastAsia="Times New Roman"/>
                <w:color w:val="000000"/>
                <w:sz w:val="20"/>
                <w:szCs w:val="20"/>
              </w:rPr>
              <w:t>it losses (ACL or allowance) represents management’s current estimate of expected credit losses over the contractual terms of the Company’s held for investment (HFI) loan portfolios as of the balance sheet date and is comprised of two elements. The first i</w:t>
            </w:r>
            <w:r>
              <w:rPr>
                <w:rFonts w:eastAsia="Times New Roman"/>
                <w:color w:val="000000"/>
                <w:sz w:val="20"/>
                <w:szCs w:val="20"/>
              </w:rPr>
              <w:t>s ‘quantitative’ and involves the use of complex econometric statistical loss forecasting models tailored to each portfolio based on, among other things, expected economic conditions; historical loss, recovery, and paydown experience; account seasoning; an</w:t>
            </w:r>
            <w:r>
              <w:rPr>
                <w:rFonts w:eastAsia="Times New Roman"/>
                <w:color w:val="000000"/>
                <w:sz w:val="20"/>
                <w:szCs w:val="20"/>
              </w:rPr>
              <w:t>d the value of collateral underlying secured loans. The second is ‘qualitative’ and involves factors that represent management’s judgment of the imprecision and risks inherent in the processes and assumptions used in establishing the allowance for credit l</w:t>
            </w:r>
            <w:r>
              <w:rPr>
                <w:rFonts w:eastAsia="Times New Roman"/>
                <w:color w:val="000000"/>
                <w:sz w:val="20"/>
                <w:szCs w:val="20"/>
              </w:rPr>
              <w:t>osses. Auditing the allowance for the credit card and consumer banking portfolios was especially challenging and highly judgmental due to the significant complexity of the loss forecasting models used in the quantitative element and the significant judgmen</w:t>
            </w:r>
            <w:r>
              <w:rPr>
                <w:rFonts w:eastAsia="Times New Roman"/>
                <w:color w:val="000000"/>
                <w:sz w:val="20"/>
                <w:szCs w:val="20"/>
              </w:rPr>
              <w:t>t required in establishing the qualitative element. The qualitative element requires management to make significant judgments regarding current and forward-looking conditions, internal and external factors, and uncertainty as it relates to economic, model,</w:t>
            </w:r>
            <w:r>
              <w:rPr>
                <w:rFonts w:eastAsia="Times New Roman"/>
                <w:color w:val="000000"/>
                <w:sz w:val="20"/>
                <w:szCs w:val="20"/>
              </w:rPr>
              <w:t xml:space="preserve"> or forecast risks, where not already captured in the modeled results. </w:t>
            </w:r>
          </w:p>
        </w:tc>
      </w:tr>
      <w:tr w:rsidR="00000000">
        <w:trPr>
          <w:divId w:val="2013683764"/>
        </w:trPr>
        <w:tc>
          <w:tcPr>
            <w:tcW w:w="0" w:type="auto"/>
            <w:gridSpan w:val="3"/>
            <w:shd w:val="clear" w:color="auto" w:fill="FFFFFF"/>
            <w:tcMar>
              <w:top w:w="30" w:type="dxa"/>
              <w:left w:w="20" w:type="dxa"/>
              <w:bottom w:w="30" w:type="dxa"/>
              <w:right w:w="20" w:type="dxa"/>
            </w:tcMar>
            <w:hideMark/>
          </w:tcPr>
          <w:p w:rsidR="00000000" w:rsidRDefault="0094004B">
            <w:pPr>
              <w:spacing w:after="100"/>
              <w:rPr>
                <w:rFonts w:eastAsia="Times New Roman"/>
              </w:rPr>
            </w:pPr>
            <w:r>
              <w:rPr>
                <w:rFonts w:eastAsia="Times New Roman"/>
                <w:i/>
                <w:iCs/>
                <w:color w:val="000000"/>
                <w:sz w:val="20"/>
                <w:szCs w:val="20"/>
              </w:rPr>
              <w:t>How We Addressed the Matter in Our Audit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94004B">
            <w:pPr>
              <w:spacing w:after="100"/>
              <w:jc w:val="both"/>
              <w:rPr>
                <w:rFonts w:eastAsia="Times New Roman"/>
              </w:rPr>
            </w:pPr>
            <w:r>
              <w:rPr>
                <w:rFonts w:eastAsia="Times New Roman"/>
                <w:color w:val="000000"/>
                <w:sz w:val="20"/>
                <w:szCs w:val="20"/>
              </w:rPr>
              <w:t>We obtained an understanding, evaluated the design and tested the operating effectiveness of the internal controls over the ACL process</w:t>
            </w:r>
            <w:r>
              <w:rPr>
                <w:rFonts w:eastAsia="Times New Roman"/>
                <w:color w:val="000000"/>
                <w:sz w:val="20"/>
                <w:szCs w:val="20"/>
              </w:rPr>
              <w:t>, including, among others, controls over the development, operation, and monitoring of loss forecasting models and management review controls over key assumptions and qualitative judgments used in reviewing the final credit card and consumer banking allowa</w:t>
            </w:r>
            <w:r>
              <w:rPr>
                <w:rFonts w:eastAsia="Times New Roman"/>
                <w:color w:val="000000"/>
                <w:sz w:val="20"/>
                <w:szCs w:val="20"/>
              </w:rPr>
              <w:t>nce results, including the economic forecast. Our tests of controls included observation of certain of management’s quarterly ACL governance meetings, at which key management judgments, qualitative adjustments, and final ACL results are subjected to critic</w:t>
            </w:r>
            <w:r>
              <w:rPr>
                <w:rFonts w:eastAsia="Times New Roman"/>
                <w:color w:val="000000"/>
                <w:sz w:val="20"/>
                <w:szCs w:val="20"/>
              </w:rPr>
              <w:t>al challenge by management groups independent of the group responsible for producing the ACL estimate.</w:t>
            </w:r>
          </w:p>
          <w:p w:rsidR="00000000" w:rsidRDefault="0094004B">
            <w:pPr>
              <w:spacing w:after="100"/>
              <w:jc w:val="both"/>
              <w:divId w:val="1973056692"/>
              <w:rPr>
                <w:rFonts w:eastAsia="Times New Roman"/>
              </w:rPr>
            </w:pPr>
            <w:r>
              <w:rPr>
                <w:rFonts w:eastAsia="Times New Roman"/>
                <w:color w:val="000000"/>
                <w:sz w:val="20"/>
                <w:szCs w:val="20"/>
              </w:rPr>
              <w:t>We involved EY specialists in testing management’</w:t>
            </w:r>
            <w:r>
              <w:rPr>
                <w:rFonts w:eastAsia="Times New Roman"/>
                <w:color w:val="000000"/>
                <w:sz w:val="20"/>
                <w:szCs w:val="20"/>
              </w:rPr>
              <w:t xml:space="preserve">s credit card and consumer banking econometric statistical loss forecasting models including evaluating model methodology, model performance and testing key modeling assumptions as well as model governance and the economic forecast used by the ACL models. </w:t>
            </w:r>
            <w:r>
              <w:rPr>
                <w:rFonts w:eastAsia="Times New Roman"/>
                <w:color w:val="000000"/>
                <w:sz w:val="20"/>
                <w:szCs w:val="20"/>
              </w:rPr>
              <w:t xml:space="preserve">We compared actual loss history with prior forecasts at a disaggregated loan portfolio level to evaluate the reasonableness of management’s consumer forecasts (e.g., look-back analysis). </w:t>
            </w:r>
          </w:p>
          <w:p w:rsidR="00000000" w:rsidRDefault="0094004B">
            <w:pPr>
              <w:spacing w:after="100"/>
              <w:jc w:val="both"/>
              <w:divId w:val="892499487"/>
              <w:rPr>
                <w:rFonts w:eastAsia="Times New Roman"/>
              </w:rPr>
            </w:pPr>
            <w:r>
              <w:rPr>
                <w:rFonts w:eastAsia="Times New Roman"/>
                <w:color w:val="000000"/>
                <w:sz w:val="20"/>
                <w:szCs w:val="20"/>
              </w:rPr>
              <w:t>We performed sensitivity analysis on the ACL, charge-off and delinqu</w:t>
            </w:r>
            <w:r>
              <w:rPr>
                <w:rFonts w:eastAsia="Times New Roman"/>
                <w:color w:val="000000"/>
                <w:sz w:val="20"/>
                <w:szCs w:val="20"/>
              </w:rPr>
              <w:t>ency rates, and coverage ratios used within each segment of the credit card and consumer banking allowance. Our audit response also included specific substantive tests of management’s process to measure credit card and consumer banking qualitative factors,</w:t>
            </w:r>
            <w:r>
              <w:rPr>
                <w:rFonts w:eastAsia="Times New Roman"/>
                <w:color w:val="000000"/>
                <w:sz w:val="20"/>
                <w:szCs w:val="20"/>
              </w:rPr>
              <w:t xml:space="preserve"> including those related to the significant judgments made by management outlined above. We compared calculations to alternative model scenarios and industry peer data and compared qualitative factors to prior periods and prior economic cycles. We also eva</w:t>
            </w:r>
            <w:r>
              <w:rPr>
                <w:rFonts w:eastAsia="Times New Roman"/>
                <w:color w:val="000000"/>
                <w:sz w:val="20"/>
                <w:szCs w:val="20"/>
              </w:rPr>
              <w:t>luated if credit card and consumer banking allowance qualitative factors were applied based on a comprehensive framework and that all available information was considered, well-documented, and consistently applied.</w:t>
            </w:r>
            <w:r>
              <w:rPr>
                <w:rFonts w:ascii="Arial" w:eastAsia="Times New Roman" w:hAnsi="Arial" w:cs="Arial"/>
                <w:color w:val="000000"/>
              </w:rPr>
              <w:t xml:space="preserve"> </w:t>
            </w:r>
          </w:p>
        </w:tc>
      </w:tr>
    </w:tbl>
    <w:tbl>
      <w:tblPr>
        <w:tblW w:w="1995" w:type="pct"/>
        <w:tblCellMar>
          <w:top w:w="15" w:type="dxa"/>
          <w:left w:w="15" w:type="dxa"/>
          <w:bottom w:w="15" w:type="dxa"/>
          <w:right w:w="15" w:type="dxa"/>
        </w:tblCellMar>
        <w:tblLook w:val="04A0" w:firstRow="1" w:lastRow="0" w:firstColumn="1" w:lastColumn="0" w:noHBand="0" w:noVBand="1"/>
      </w:tblPr>
      <w:tblGrid>
        <w:gridCol w:w="144"/>
        <w:gridCol w:w="3277"/>
        <w:gridCol w:w="144"/>
      </w:tblGrid>
      <w:tr w:rsidR="00000000">
        <w:tc>
          <w:tcPr>
            <w:tcW w:w="50" w:type="pct"/>
            <w:vAlign w:val="center"/>
            <w:hideMark/>
          </w:tcPr>
          <w:p w:rsidR="00000000" w:rsidRDefault="0094004B">
            <w:pPr>
              <w:jc w:val="both"/>
              <w:rPr>
                <w:rFonts w:eastAsia="Times New Roman"/>
              </w:rPr>
            </w:pPr>
          </w:p>
        </w:tc>
        <w:tc>
          <w:tcPr>
            <w:tcW w:w="494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94004B">
            <w:pPr>
              <w:spacing w:after="100"/>
              <w:divId w:val="1284851659"/>
              <w:rPr>
                <w:rFonts w:eastAsia="Times New Roman"/>
              </w:rPr>
            </w:pPr>
            <w:r>
              <w:rPr>
                <w:rFonts w:eastAsia="Times New Roman"/>
                <w:color w:val="000000"/>
                <w:sz w:val="18"/>
                <w:szCs w:val="18"/>
              </w:rPr>
              <w:t xml:space="preserve">/s/ Ernst &amp; </w:t>
            </w:r>
            <w:r>
              <w:rPr>
                <w:rFonts w:eastAsia="Times New Roman"/>
                <w:color w:val="000000"/>
                <w:sz w:val="18"/>
                <w:szCs w:val="18"/>
              </w:rPr>
              <w:t>Young LLP</w:t>
            </w:r>
          </w:p>
        </w:tc>
      </w:tr>
      <w:tr w:rsidR="00000000">
        <w:trPr>
          <w:trHeight w:val="280"/>
        </w:trPr>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divId w:val="1175195351"/>
              <w:rPr>
                <w:rFonts w:eastAsia="Times New Roman"/>
              </w:rPr>
            </w:pPr>
            <w:r>
              <w:rPr>
                <w:rFonts w:eastAsia="Times New Roman"/>
                <w:color w:val="000000"/>
                <w:sz w:val="18"/>
                <w:szCs w:val="18"/>
              </w:rPr>
              <w:t>We have served as the Company’s auditor since 1994.</w:t>
            </w:r>
          </w:p>
        </w:tc>
      </w:tr>
      <w:tr w:rsidR="00000000">
        <w:trPr>
          <w:trHeight w:val="280"/>
        </w:trPr>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Tysons, Virginia</w:t>
            </w:r>
          </w:p>
        </w:tc>
      </w:tr>
      <w:tr w:rsidR="00000000">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February 24, 2023</w:t>
            </w:r>
          </w:p>
        </w:tc>
      </w:tr>
    </w:tbl>
    <w:p w:rsidR="00000000" w:rsidRDefault="0094004B">
      <w:pPr>
        <w:jc w:val="center"/>
        <w:divId w:val="870730528"/>
        <w:rPr>
          <w:rFonts w:eastAsia="Times New Roman"/>
          <w:vanish/>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870730528"/>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870730528"/>
          <w:trHeight w:val="300"/>
          <w:jc w:val="center"/>
        </w:trPr>
        <w:tc>
          <w:tcPr>
            <w:tcW w:w="0" w:type="auto"/>
            <w:gridSpan w:val="9"/>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870730528"/>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116</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42" style="width:0;height:1.5pt" o:hralign="center" o:hrstd="t" o:hr="t" fillcolor="#a0a0a0" stroked="f"/>
        </w:pict>
      </w:r>
    </w:p>
    <w:p w:rsidR="00000000" w:rsidRDefault="0094004B">
      <w:pPr>
        <w:jc w:val="both"/>
        <w:divId w:val="1548760819"/>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1548760819"/>
        <w:rPr>
          <w:rFonts w:eastAsia="Times New Roman"/>
        </w:rPr>
      </w:pPr>
    </w:p>
    <w:p w:rsidR="00000000" w:rsidRDefault="0094004B">
      <w:pPr>
        <w:jc w:val="center"/>
        <w:divId w:val="1548760819"/>
        <w:rPr>
          <w:rFonts w:eastAsia="Times New Roman"/>
        </w:rPr>
      </w:pPr>
      <w:r>
        <w:rPr>
          <w:rFonts w:eastAsia="Times New Roman"/>
          <w:b/>
          <w:bCs/>
          <w:color w:val="000000"/>
          <w:sz w:val="20"/>
          <w:szCs w:val="20"/>
        </w:rPr>
        <w:t>CAPITAL ONE FINANCIAL CORPORATION</w:t>
      </w:r>
    </w:p>
    <w:p w:rsidR="00000000" w:rsidRDefault="0094004B">
      <w:pPr>
        <w:jc w:val="center"/>
        <w:divId w:val="1548760819"/>
        <w:rPr>
          <w:rFonts w:eastAsia="Times New Roman"/>
        </w:rPr>
      </w:pPr>
      <w:r>
        <w:rPr>
          <w:rFonts w:eastAsia="Times New Roman"/>
          <w:b/>
          <w:bCs/>
          <w:color w:val="000000"/>
          <w:sz w:val="20"/>
          <w:szCs w:val="20"/>
        </w:rPr>
        <w:t xml:space="preserve">CONSOLIDATED STATEMENTS OF INCOME </w:t>
      </w:r>
    </w:p>
    <w:p w:rsidR="00000000" w:rsidRDefault="0094004B">
      <w:pPr>
        <w:jc w:val="both"/>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41"/>
        <w:gridCol w:w="5343"/>
        <w:gridCol w:w="40"/>
        <w:gridCol w:w="36"/>
        <w:gridCol w:w="36"/>
        <w:gridCol w:w="36"/>
        <w:gridCol w:w="36"/>
        <w:gridCol w:w="36"/>
        <w:gridCol w:w="36"/>
        <w:gridCol w:w="36"/>
        <w:gridCol w:w="100"/>
        <w:gridCol w:w="628"/>
        <w:gridCol w:w="36"/>
        <w:gridCol w:w="36"/>
        <w:gridCol w:w="36"/>
        <w:gridCol w:w="36"/>
        <w:gridCol w:w="100"/>
        <w:gridCol w:w="628"/>
        <w:gridCol w:w="36"/>
        <w:gridCol w:w="36"/>
        <w:gridCol w:w="36"/>
        <w:gridCol w:w="36"/>
        <w:gridCol w:w="100"/>
        <w:gridCol w:w="629"/>
        <w:gridCol w:w="36"/>
        <w:gridCol w:w="36"/>
        <w:gridCol w:w="36"/>
        <w:gridCol w:w="36"/>
      </w:tblGrid>
      <w:tr w:rsidR="00000000">
        <w:trPr>
          <w:jc w:val="center"/>
        </w:trPr>
        <w:tc>
          <w:tcPr>
            <w:tcW w:w="50" w:type="pct"/>
            <w:vAlign w:val="center"/>
            <w:hideMark/>
          </w:tcPr>
          <w:p w:rsidR="00000000" w:rsidRDefault="0094004B">
            <w:pPr>
              <w:jc w:val="both"/>
              <w:rPr>
                <w:rFonts w:eastAsia="Times New Roman"/>
              </w:rPr>
            </w:pPr>
          </w:p>
        </w:tc>
        <w:tc>
          <w:tcPr>
            <w:tcW w:w="338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1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3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1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3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1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3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Year Ended December 31,</w:t>
            </w:r>
          </w:p>
        </w:tc>
        <w:tc>
          <w:tcPr>
            <w:tcW w:w="0" w:type="auto"/>
            <w:gridSpan w:val="3"/>
            <w:vAlign w:val="center"/>
            <w:hideMark/>
          </w:tcPr>
          <w:p w:rsidR="00000000" w:rsidRDefault="0094004B">
            <w:pPr>
              <w:spacing w:after="100"/>
              <w:jc w:val="center"/>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(Dollars in millions, except per share-related data)</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2020</w:t>
            </w:r>
          </w:p>
        </w:tc>
        <w:tc>
          <w:tcPr>
            <w:tcW w:w="0" w:type="auto"/>
            <w:gridSpan w:val="3"/>
            <w:vAlign w:val="center"/>
            <w:hideMark/>
          </w:tcPr>
          <w:p w:rsidR="00000000" w:rsidRDefault="0094004B">
            <w:pPr>
              <w:spacing w:after="100"/>
              <w:jc w:val="center"/>
              <w:rPr>
                <w:rFonts w:eastAsia="Times New Roman"/>
              </w:rPr>
            </w:pPr>
          </w:p>
        </w:tc>
      </w:tr>
      <w:tr w:rsidR="00000000">
        <w:trPr>
          <w:jc w:val="center"/>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6"/>
                <w:szCs w:val="16"/>
              </w:rPr>
              <w:t>Interest income:</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Loans, including loans held for sale</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28,910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24,263 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24,074 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Investment securities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1,884</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1,446 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1,877 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443</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60 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82 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Total interest income</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31,237</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25,769 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26,033 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6"/>
                <w:szCs w:val="16"/>
              </w:rPr>
              <w:t>Interest expense:</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Deposits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2,535</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956 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2,165 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Securitized debt obligations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384</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119 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232 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Senior and subordinated notes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1,074</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488 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679 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Other borrowings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130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35 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44 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Total interest expense</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4,123</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1,598 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3,120 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Net interest income</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27,114</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24,171 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22,913 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 xml:space="preserve">Provision (benefit) for credit losses </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5,847</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(1,944)</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10,264 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Net interest income after provision for credit losses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21,267</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26,115 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12,649 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6"/>
                <w:szCs w:val="16"/>
              </w:rPr>
              <w:t>Non-interest income:</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Interchange fees, net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4,606</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3,860 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3,017 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Service charges and other customer-related fees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1,625</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1,578 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1,243 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905</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826 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1,350 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Total non-interest income</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7,136</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6,264 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5,610 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6"/>
                <w:szCs w:val="16"/>
              </w:rPr>
              <w:t>Non-interest expense:</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Salaries and associate benefits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8,425</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7,421 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6,805 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Occupancy and equipment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2,050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2,003 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2,118 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Marketing</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4,017</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2,871 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1,610 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Professional services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1,807</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1,440 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1,312 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Communications and data processing</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1,379</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1,262 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1,215 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Amortization of intangibles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70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29 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60 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Other</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1,415</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1,544 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1,936 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Total non-interest expense</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19,163</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16,570 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15,056 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Income from continuing operations before income taxes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9,240</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15,809 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3,203 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Income tax provision</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1,880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3,415 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486 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Income from continuing operations, net of tax</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7,360</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12,394 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2,717 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Income (loss) from discontinued operations, net of tax</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(4)</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(3)</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6"/>
                <w:szCs w:val="16"/>
              </w:rPr>
              <w:t>Net income</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7,360</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12,390 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2,714 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Dividends and undistributed earnings allocated to participating securities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(88)</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(105)</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(20)</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Preferred stock dividends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(228)</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(274)</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(280)</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Issuance cost for redeemed preferred stock</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(46)</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(39)</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6"/>
                <w:szCs w:val="16"/>
              </w:rPr>
              <w:t>Net income available to common stockholders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7,044</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11,965 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2,375 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6"/>
                <w:szCs w:val="16"/>
              </w:rPr>
              <w:t>Basic earnings per common share:</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Net income from continuing operations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6"/>
                <w:szCs w:val="16"/>
              </w:rPr>
              <w:t>$</w:t>
            </w:r>
          </w:p>
        </w:tc>
        <w:tc>
          <w:tcPr>
            <w:tcW w:w="0" w:type="auto"/>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17.98</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27.05 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5.20 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Income (loss) from discontinued operations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0.00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(0.01)</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(0.01)</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Net income per basic common share</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17.98</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27.04 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5.19 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6"/>
                <w:szCs w:val="16"/>
              </w:rPr>
              <w:t>Diluted earnings per common share:</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Net income from continuing operations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6"/>
                <w:szCs w:val="16"/>
              </w:rPr>
              <w:t>$</w:t>
            </w:r>
          </w:p>
        </w:tc>
        <w:tc>
          <w:tcPr>
            <w:tcW w:w="0" w:type="auto"/>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17.91</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26.95 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5.19 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Income (loss) from discontinued operations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0.00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(0.01)</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(0.01)</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Net income per diluted common share</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17.91</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26.94 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5.18 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r>
    </w:tbl>
    <w:p w:rsidR="00000000" w:rsidRDefault="0094004B">
      <w:pPr>
        <w:jc w:val="center"/>
        <w:divId w:val="2048866328"/>
        <w:rPr>
          <w:rFonts w:eastAsia="Times New Roman"/>
          <w:vanish/>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7"/>
        <w:gridCol w:w="69"/>
        <w:gridCol w:w="2663"/>
        <w:gridCol w:w="36"/>
        <w:gridCol w:w="69"/>
        <w:gridCol w:w="2663"/>
        <w:gridCol w:w="37"/>
      </w:tblGrid>
      <w:tr w:rsidR="00000000">
        <w:trPr>
          <w:divId w:val="2048866328"/>
          <w:jc w:val="center"/>
        </w:trPr>
        <w:tc>
          <w:tcPr>
            <w:tcW w:w="50" w:type="pct"/>
            <w:vAlign w:val="center"/>
            <w:hideMark/>
          </w:tcPr>
          <w:p w:rsidR="00000000" w:rsidRDefault="0094004B">
            <w:pPr>
              <w:jc w:val="center"/>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2048866328"/>
          <w:jc w:val="center"/>
        </w:trPr>
        <w:tc>
          <w:tcPr>
            <w:tcW w:w="0" w:type="auto"/>
            <w:gridSpan w:val="9"/>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20"/>
                <w:szCs w:val="20"/>
              </w:rPr>
              <w:t>See Notes to Consolidated Financial Statements.</w:t>
            </w:r>
          </w:p>
        </w:tc>
      </w:tr>
      <w:tr w:rsidR="00000000">
        <w:trPr>
          <w:divId w:val="2048866328"/>
          <w:jc w:val="center"/>
        </w:trPr>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117</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43" style="width:0;height:1.5pt" o:hralign="center" o:hrstd="t" o:hr="t" fillcolor="#a0a0a0" stroked="f"/>
        </w:pict>
      </w:r>
    </w:p>
    <w:p w:rsidR="00000000" w:rsidRDefault="0094004B">
      <w:pPr>
        <w:jc w:val="both"/>
        <w:divId w:val="909660507"/>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909660507"/>
        <w:rPr>
          <w:rFonts w:eastAsia="Times New Roman"/>
        </w:rPr>
      </w:pPr>
    </w:p>
    <w:p w:rsidR="00000000" w:rsidRDefault="0094004B">
      <w:pPr>
        <w:jc w:val="center"/>
        <w:divId w:val="909660507"/>
        <w:rPr>
          <w:rFonts w:eastAsia="Times New Roman"/>
        </w:rPr>
      </w:pPr>
      <w:r>
        <w:rPr>
          <w:rFonts w:eastAsia="Times New Roman"/>
          <w:b/>
          <w:bCs/>
          <w:color w:val="000000"/>
          <w:sz w:val="20"/>
          <w:szCs w:val="20"/>
        </w:rPr>
        <w:t>CAPITAL ONE FINANCIAL CORPORATION</w:t>
      </w:r>
    </w:p>
    <w:p w:rsidR="00000000" w:rsidRDefault="0094004B">
      <w:pPr>
        <w:jc w:val="center"/>
        <w:divId w:val="909660507"/>
        <w:rPr>
          <w:rFonts w:eastAsia="Times New Roman"/>
        </w:rPr>
      </w:pPr>
      <w:r>
        <w:rPr>
          <w:rFonts w:eastAsia="Times New Roman"/>
          <w:b/>
          <w:bCs/>
          <w:color w:val="000000"/>
          <w:sz w:val="20"/>
          <w:szCs w:val="20"/>
        </w:rPr>
        <w:t>CONSOLIDATED STATEMENTS OF COMPREHENSIVE INCOME    </w:t>
      </w:r>
    </w:p>
    <w:tbl>
      <w:tblPr>
        <w:tblW w:w="4883" w:type="pct"/>
        <w:jc w:val="center"/>
        <w:tblCellMar>
          <w:top w:w="15" w:type="dxa"/>
          <w:left w:w="15" w:type="dxa"/>
          <w:bottom w:w="15" w:type="dxa"/>
          <w:right w:w="15" w:type="dxa"/>
        </w:tblCellMar>
        <w:tblLook w:val="04A0" w:firstRow="1" w:lastRow="0" w:firstColumn="1" w:lastColumn="0" w:noHBand="0" w:noVBand="1"/>
      </w:tblPr>
      <w:tblGrid>
        <w:gridCol w:w="38"/>
        <w:gridCol w:w="5176"/>
        <w:gridCol w:w="37"/>
        <w:gridCol w:w="36"/>
        <w:gridCol w:w="36"/>
        <w:gridCol w:w="36"/>
        <w:gridCol w:w="36"/>
        <w:gridCol w:w="36"/>
        <w:gridCol w:w="36"/>
        <w:gridCol w:w="36"/>
        <w:gridCol w:w="100"/>
        <w:gridCol w:w="721"/>
        <w:gridCol w:w="36"/>
        <w:gridCol w:w="36"/>
        <w:gridCol w:w="36"/>
        <w:gridCol w:w="36"/>
        <w:gridCol w:w="100"/>
        <w:gridCol w:w="679"/>
        <w:gridCol w:w="36"/>
        <w:gridCol w:w="36"/>
        <w:gridCol w:w="36"/>
        <w:gridCol w:w="36"/>
        <w:gridCol w:w="100"/>
        <w:gridCol w:w="585"/>
        <w:gridCol w:w="36"/>
      </w:tblGrid>
      <w:tr w:rsidR="00000000">
        <w:trPr>
          <w:jc w:val="center"/>
        </w:trPr>
        <w:tc>
          <w:tcPr>
            <w:tcW w:w="50" w:type="pct"/>
            <w:vAlign w:val="center"/>
            <w:hideMark/>
          </w:tcPr>
          <w:p w:rsidR="00000000" w:rsidRDefault="0094004B">
            <w:pPr>
              <w:jc w:val="center"/>
              <w:rPr>
                <w:rFonts w:eastAsia="Times New Roman"/>
              </w:rPr>
            </w:pPr>
          </w:p>
        </w:tc>
        <w:tc>
          <w:tcPr>
            <w:tcW w:w="328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1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8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8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2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2020</w:t>
            </w:r>
          </w:p>
        </w:tc>
      </w:tr>
      <w:tr w:rsidR="00000000">
        <w:trPr>
          <w:jc w:val="center"/>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6"/>
                <w:szCs w:val="16"/>
              </w:rPr>
              <w:t>Net income</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7,360</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12,390 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2,714 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6"/>
                <w:szCs w:val="16"/>
              </w:rPr>
              <w:t>Other comprehensive income (loss), net of tax:</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Net unrealized gains (losses) on 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(7,973)</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(1,889)</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1,259 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Net unrealized gains (losses) on hedging relationships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(2,300)</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(1,244)</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1,008 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Foreign currency translation adjustments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1</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76 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jc w:val="center"/>
        </w:trPr>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(18)</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3 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3 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Other comprehensive income (loss), net of tax</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(10,290)</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(3,120)</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2,346 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6"/>
                <w:szCs w:val="16"/>
              </w:rPr>
              <w:t>Comprehensive income (loss)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(2,930)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6"/>
                <w:szCs w:val="16"/>
              </w:rPr>
              <w:t>9,270 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6"/>
                <w:szCs w:val="16"/>
              </w:rPr>
              <w:t>5,060 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bl>
    <w:p w:rsidR="00000000" w:rsidRDefault="0094004B">
      <w:pPr>
        <w:jc w:val="center"/>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7"/>
        <w:gridCol w:w="69"/>
        <w:gridCol w:w="2663"/>
        <w:gridCol w:w="36"/>
        <w:gridCol w:w="69"/>
        <w:gridCol w:w="2663"/>
        <w:gridCol w:w="37"/>
      </w:tblGrid>
      <w:tr w:rsidR="00000000">
        <w:trPr>
          <w:divId w:val="1590965313"/>
          <w:jc w:val="center"/>
        </w:trPr>
        <w:tc>
          <w:tcPr>
            <w:tcW w:w="50" w:type="pct"/>
            <w:vAlign w:val="center"/>
            <w:hideMark/>
          </w:tcPr>
          <w:p w:rsidR="00000000" w:rsidRDefault="0094004B">
            <w:pPr>
              <w:jc w:val="center"/>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590965313"/>
          <w:jc w:val="center"/>
        </w:trPr>
        <w:tc>
          <w:tcPr>
            <w:tcW w:w="0" w:type="auto"/>
            <w:gridSpan w:val="9"/>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20"/>
                <w:szCs w:val="20"/>
              </w:rPr>
              <w:t>See Notes to Consolidated Financial Statements.</w:t>
            </w:r>
          </w:p>
        </w:tc>
      </w:tr>
      <w:tr w:rsidR="00000000">
        <w:trPr>
          <w:divId w:val="1590965313"/>
          <w:jc w:val="center"/>
        </w:trPr>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118</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44" style="width:0;height:1.5pt" o:hralign="center" o:hrstd="t" o:hr="t" fillcolor="#a0a0a0" stroked="f"/>
        </w:pict>
      </w:r>
    </w:p>
    <w:p w:rsidR="00000000" w:rsidRDefault="0094004B">
      <w:pPr>
        <w:jc w:val="both"/>
        <w:divId w:val="1618830667"/>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1618830667"/>
        <w:rPr>
          <w:rFonts w:eastAsia="Times New Roman"/>
        </w:rPr>
      </w:pPr>
    </w:p>
    <w:p w:rsidR="00000000" w:rsidRDefault="0094004B">
      <w:pPr>
        <w:jc w:val="center"/>
        <w:divId w:val="1618830667"/>
        <w:rPr>
          <w:rFonts w:eastAsia="Times New Roman"/>
        </w:rPr>
      </w:pPr>
      <w:r>
        <w:rPr>
          <w:rFonts w:eastAsia="Times New Roman"/>
          <w:b/>
          <w:bCs/>
          <w:color w:val="000000"/>
          <w:sz w:val="20"/>
          <w:szCs w:val="20"/>
        </w:rPr>
        <w:t>CAPITAL ONE FINANCIAL CORPORATION</w:t>
      </w:r>
    </w:p>
    <w:p w:rsidR="00000000" w:rsidRDefault="0094004B">
      <w:pPr>
        <w:jc w:val="center"/>
        <w:divId w:val="1618830667"/>
        <w:rPr>
          <w:rFonts w:eastAsia="Times New Roman"/>
        </w:rPr>
      </w:pPr>
      <w:r>
        <w:rPr>
          <w:rFonts w:eastAsia="Times New Roman"/>
          <w:b/>
          <w:bCs/>
          <w:color w:val="000000"/>
          <w:sz w:val="20"/>
          <w:szCs w:val="20"/>
        </w:rPr>
        <w:t>CONSOLIDATED BALANCE SHEETS</w:t>
      </w:r>
    </w:p>
    <w:tbl>
      <w:tblPr>
        <w:tblW w:w="4992" w:type="pct"/>
        <w:jc w:val="center"/>
        <w:tblCellMar>
          <w:top w:w="15" w:type="dxa"/>
          <w:left w:w="15" w:type="dxa"/>
          <w:bottom w:w="15" w:type="dxa"/>
          <w:right w:w="15" w:type="dxa"/>
        </w:tblCellMar>
        <w:tblLook w:val="04A0" w:firstRow="1" w:lastRow="0" w:firstColumn="1" w:lastColumn="0" w:noHBand="0" w:noVBand="1"/>
      </w:tblPr>
      <w:tblGrid>
        <w:gridCol w:w="44"/>
        <w:gridCol w:w="5932"/>
        <w:gridCol w:w="39"/>
        <w:gridCol w:w="36"/>
        <w:gridCol w:w="36"/>
        <w:gridCol w:w="36"/>
        <w:gridCol w:w="101"/>
        <w:gridCol w:w="893"/>
        <w:gridCol w:w="36"/>
        <w:gridCol w:w="36"/>
        <w:gridCol w:w="36"/>
        <w:gridCol w:w="36"/>
        <w:gridCol w:w="101"/>
        <w:gridCol w:w="895"/>
        <w:gridCol w:w="36"/>
      </w:tblGrid>
      <w:tr w:rsidR="00000000">
        <w:trPr>
          <w:divId w:val="791050671"/>
          <w:jc w:val="center"/>
        </w:trPr>
        <w:tc>
          <w:tcPr>
            <w:tcW w:w="50" w:type="pct"/>
            <w:vAlign w:val="center"/>
            <w:hideMark/>
          </w:tcPr>
          <w:p w:rsidR="00000000" w:rsidRDefault="0094004B">
            <w:pPr>
              <w:jc w:val="center"/>
              <w:rPr>
                <w:rFonts w:eastAsia="Times New Roman"/>
              </w:rPr>
            </w:pPr>
          </w:p>
        </w:tc>
        <w:tc>
          <w:tcPr>
            <w:tcW w:w="3598"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581"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581"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791050671"/>
          <w:jc w:val="center"/>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(Dollars in millions, except per share-related data)</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December 31, 2022</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December 31, 2021</w:t>
            </w:r>
          </w:p>
        </w:tc>
      </w:tr>
      <w:tr w:rsidR="00000000">
        <w:trPr>
          <w:divId w:val="791050671"/>
          <w:jc w:val="center"/>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6"/>
                <w:szCs w:val="16"/>
              </w:rPr>
              <w:t>Assets: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791050671"/>
          <w:jc w:val="center"/>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Cash and cash equivalents: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791050671"/>
          <w:jc w:val="center"/>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Cash and due from banks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6"/>
                <w:szCs w:val="16"/>
              </w:rPr>
              <w:t>$</w:t>
            </w:r>
          </w:p>
        </w:tc>
        <w:tc>
          <w:tcPr>
            <w:tcW w:w="0" w:type="auto"/>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5,193</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4,164 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791050671"/>
          <w:jc w:val="center"/>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Interest-bearing deposits and other short-term investments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25,663</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17,582 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791050671"/>
          <w:jc w:val="center"/>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Total cash and cash equivalents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30,856</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21,746 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791050671"/>
          <w:jc w:val="center"/>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Restricted cash for securitization investors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400</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308 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791050671"/>
          <w:jc w:val="center"/>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divId w:val="475680555"/>
              <w:rPr>
                <w:rFonts w:eastAsia="Times New Roman"/>
              </w:rPr>
            </w:pPr>
            <w:r>
              <w:rPr>
                <w:rFonts w:eastAsia="Times New Roman"/>
                <w:color w:val="000000"/>
                <w:sz w:val="16"/>
                <w:szCs w:val="16"/>
              </w:rPr>
              <w:t>Securities available for sale (amortized cost of $87.0 billion and $94.9 billion and allowance for credit losses of $3 million and $1 million as of December 31, 2022 and 2021, respectively)</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6"/>
                <w:szCs w:val="16"/>
              </w:rPr>
              <w:t>76,919</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6"/>
                <w:szCs w:val="16"/>
              </w:rPr>
              <w:t>95,261 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791050671"/>
          <w:jc w:val="center"/>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Loans held for investment: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791050671"/>
          <w:jc w:val="center"/>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Unsecuritized 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283,282</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252,468 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791050671"/>
          <w:jc w:val="center"/>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Loans held in consolidated trusts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29,049</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24,872 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791050671"/>
          <w:jc w:val="center"/>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Total 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312,331</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277,340 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791050671"/>
          <w:jc w:val="center"/>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Allowance for credit losses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(13,240)</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(11,430)</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791050671"/>
          <w:jc w:val="center"/>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Net 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299,091</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265,910 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791050671"/>
          <w:jc w:val="center"/>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divId w:val="951597636"/>
              <w:rPr>
                <w:rFonts w:eastAsia="Times New Roman"/>
              </w:rPr>
            </w:pPr>
            <w:r>
              <w:rPr>
                <w:rFonts w:eastAsia="Times New Roman"/>
                <w:color w:val="000000"/>
                <w:sz w:val="16"/>
                <w:szCs w:val="16"/>
              </w:rPr>
              <w:t>Loans held for sale ($191 million and $1.0 </w:t>
            </w:r>
            <w:r>
              <w:rPr>
                <w:rFonts w:eastAsia="Times New Roman"/>
                <w:color w:val="000000"/>
                <w:sz w:val="16"/>
                <w:szCs w:val="16"/>
              </w:rPr>
              <w:t>billion carried at fair value as of December 31, 2022 and 2021, respectively)</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6"/>
                <w:szCs w:val="16"/>
              </w:rPr>
              <w:t>203</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6"/>
                <w:szCs w:val="16"/>
              </w:rPr>
              <w:t>5,888 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791050671"/>
          <w:jc w:val="center"/>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Premises and equipment, net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4,351</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4,210 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791050671"/>
          <w:jc w:val="center"/>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Interest receivable</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2,104</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1,460 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791050671"/>
          <w:jc w:val="center"/>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Goodwill</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14,777</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14,782 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791050671"/>
          <w:jc w:val="center"/>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Other assets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26,548</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22,816 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791050671"/>
          <w:jc w:val="center"/>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6"/>
                <w:szCs w:val="16"/>
              </w:rPr>
              <w:t>Total assets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455,249</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432,381 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791050671"/>
          <w:trHeight w:val="240"/>
          <w:jc w:val="center"/>
        </w:trPr>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791050671"/>
          <w:jc w:val="center"/>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6"/>
                <w:szCs w:val="16"/>
              </w:rPr>
              <w:t>Liabilities: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791050671"/>
          <w:jc w:val="center"/>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Interest payable</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527</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281 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791050671"/>
          <w:jc w:val="center"/>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Deposits: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791050671"/>
          <w:jc w:val="center"/>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Non-interest-bearing deposits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32,203</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38,043 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791050671"/>
          <w:jc w:val="center"/>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Interest-bearing deposits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300,789</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272,937 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791050671"/>
          <w:jc w:val="center"/>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Total deposits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332,992</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310,980 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791050671"/>
          <w:jc w:val="center"/>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Securitized debt obligations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16,973</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14,994 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791050671"/>
          <w:jc w:val="center"/>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Other debt: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791050671"/>
          <w:jc w:val="center"/>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Federal funds purchased and securities loaned or sold under agreements to repurchase</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883</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820 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791050671"/>
          <w:jc w:val="center"/>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Senior and subordinated notes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30,826</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27,219 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791050671"/>
          <w:jc w:val="center"/>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Other borrowings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33</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53 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791050671"/>
          <w:jc w:val="center"/>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Total other debt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31,742</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28,092 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791050671"/>
          <w:jc w:val="center"/>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Other liabilities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20,433</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17,005 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791050671"/>
          <w:jc w:val="center"/>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6"/>
                <w:szCs w:val="16"/>
              </w:rPr>
              <w:t>Total liabilities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402,667</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371,352 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791050671"/>
          <w:jc w:val="center"/>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Commitments, contingencies and guarantees (see Note 18)</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791050671"/>
          <w:jc w:val="center"/>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6"/>
                <w:szCs w:val="16"/>
              </w:rPr>
              <w:t>Stockholders’ equity:</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791050671"/>
          <w:jc w:val="center"/>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divId w:val="1832407513"/>
              <w:rPr>
                <w:rFonts w:eastAsia="Times New Roman"/>
              </w:rPr>
            </w:pPr>
            <w:r>
              <w:rPr>
                <w:rFonts w:eastAsia="Times New Roman"/>
                <w:color w:val="000000"/>
                <w:sz w:val="16"/>
                <w:szCs w:val="16"/>
              </w:rPr>
              <w:t>Preferred stock (par value $0.01 per share; 50,000,000 shares authorized; 4,975,000 shares issued and outstanding as of both December 31, 2022 and 2021)</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791050671"/>
          <w:jc w:val="center"/>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divId w:val="497694585"/>
              <w:rPr>
                <w:rFonts w:eastAsia="Times New Roman"/>
              </w:rPr>
            </w:pPr>
            <w:r>
              <w:rPr>
                <w:rFonts w:eastAsia="Times New Roman"/>
                <w:color w:val="000000"/>
                <w:sz w:val="16"/>
                <w:szCs w:val="16"/>
              </w:rPr>
              <w:t>Common stock (par value $0.01 per share; 1,000,000,000 shares authorized; 690,334,42</w:t>
            </w:r>
            <w:r>
              <w:rPr>
                <w:rFonts w:eastAsia="Times New Roman"/>
                <w:color w:val="000000"/>
                <w:sz w:val="16"/>
                <w:szCs w:val="16"/>
              </w:rPr>
              <w:t>2 and 685,057,944 shares issued as of December 31, 2022 and 2021, respectively; 381,318,702 and 413,858,537 shares outstanding as of December 31, 2022 and 2021, respectively)</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6"/>
                <w:szCs w:val="16"/>
              </w:rPr>
              <w:t>7</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6"/>
                <w:szCs w:val="16"/>
              </w:rPr>
              <w:t>7 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791050671"/>
          <w:jc w:val="center"/>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Additional paid-in capital, net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34,725</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34,112 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791050671"/>
          <w:jc w:val="center"/>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Retained earnings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57,184</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51,006 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791050671"/>
          <w:jc w:val="center"/>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Accumulated other comprehensive income (loss)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(9,916)</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374 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791050671"/>
          <w:jc w:val="center"/>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divId w:val="831722843"/>
              <w:rPr>
                <w:rFonts w:eastAsia="Times New Roman"/>
              </w:rPr>
            </w:pPr>
            <w:r>
              <w:rPr>
                <w:rFonts w:eastAsia="Times New Roman"/>
                <w:color w:val="000000"/>
                <w:sz w:val="16"/>
                <w:szCs w:val="16"/>
              </w:rPr>
              <w:t xml:space="preserve">Treasury stock, at cost (par value $0.01 per share; 309,015,720 and 271,199,407 </w:t>
            </w:r>
            <w:r>
              <w:rPr>
                <w:rFonts w:eastAsia="Times New Roman"/>
                <w:color w:val="000000"/>
                <w:sz w:val="16"/>
                <w:szCs w:val="16"/>
              </w:rPr>
              <w:t>shares as of December 31, 2022 and 2021, respectively)</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6"/>
                <w:szCs w:val="16"/>
              </w:rPr>
              <w:t>(29,418)</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6"/>
                <w:szCs w:val="16"/>
              </w:rPr>
              <w:t>(24,470)</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791050671"/>
          <w:jc w:val="center"/>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6"/>
                <w:szCs w:val="16"/>
              </w:rPr>
              <w:t>Total stockholders’ equity</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52,582</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61,029 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791050671"/>
          <w:jc w:val="center"/>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6"/>
                <w:szCs w:val="16"/>
              </w:rPr>
              <w:t>Total liabilities and stockholders’ equity</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455,249</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432,381 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94004B">
            <w:pPr>
              <w:jc w:val="center"/>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jc w:val="center"/>
        </w:trPr>
        <w:tc>
          <w:tcPr>
            <w:tcW w:w="0" w:type="auto"/>
            <w:gridSpan w:val="9"/>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20"/>
                <w:szCs w:val="20"/>
              </w:rPr>
              <w:t>See Notes to Consolidated Financial Statements.</w:t>
            </w:r>
          </w:p>
        </w:tc>
      </w:tr>
      <w:tr w:rsidR="00000000">
        <w:trPr>
          <w:jc w:val="center"/>
        </w:trPr>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119</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45" style="width:0;height:1.5pt" o:hralign="center" o:hrstd="t" o:hr="t" fillcolor="#a0a0a0" stroked="f"/>
        </w:pict>
      </w:r>
    </w:p>
    <w:p w:rsidR="00000000" w:rsidRDefault="0094004B">
      <w:pPr>
        <w:jc w:val="both"/>
        <w:divId w:val="902985416"/>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902985416"/>
        <w:rPr>
          <w:rFonts w:eastAsia="Times New Roman"/>
        </w:rPr>
      </w:pPr>
    </w:p>
    <w:p w:rsidR="00000000" w:rsidRDefault="0094004B">
      <w:pPr>
        <w:jc w:val="center"/>
        <w:divId w:val="902985416"/>
        <w:rPr>
          <w:rFonts w:eastAsia="Times New Roman"/>
        </w:rPr>
      </w:pPr>
      <w:r>
        <w:rPr>
          <w:rFonts w:eastAsia="Times New Roman"/>
          <w:b/>
          <w:bCs/>
          <w:color w:val="000000"/>
          <w:sz w:val="20"/>
          <w:szCs w:val="20"/>
        </w:rPr>
        <w:t>CAPITAL ONE FINANCIAL CORPORATION</w:t>
      </w:r>
    </w:p>
    <w:p w:rsidR="00000000" w:rsidRDefault="0094004B">
      <w:pPr>
        <w:jc w:val="center"/>
        <w:divId w:val="902985416"/>
        <w:rPr>
          <w:rFonts w:eastAsia="Times New Roman"/>
        </w:rPr>
      </w:pPr>
      <w:r>
        <w:rPr>
          <w:rFonts w:eastAsia="Times New Roman"/>
          <w:b/>
          <w:bCs/>
          <w:color w:val="000000"/>
          <w:sz w:val="20"/>
          <w:szCs w:val="20"/>
        </w:rPr>
        <w:t>CONSOLIDATED STATEMENTS OF CHANGES IN STOCKHOLDERS’ EQUITY</w:t>
      </w:r>
    </w:p>
    <w:tbl>
      <w:tblPr>
        <w:tblW w:w="5000" w:type="pct"/>
        <w:tblCellMar>
          <w:top w:w="15" w:type="dxa"/>
          <w:left w:w="15" w:type="dxa"/>
          <w:bottom w:w="15" w:type="dxa"/>
          <w:right w:w="15" w:type="dxa"/>
        </w:tblCellMar>
        <w:tblLook w:val="04A0" w:firstRow="1" w:lastRow="0" w:firstColumn="1" w:lastColumn="0" w:noHBand="0" w:noVBand="1"/>
      </w:tblPr>
      <w:tblGrid>
        <w:gridCol w:w="52"/>
        <w:gridCol w:w="1135"/>
        <w:gridCol w:w="36"/>
        <w:gridCol w:w="36"/>
        <w:gridCol w:w="36"/>
        <w:gridCol w:w="36"/>
        <w:gridCol w:w="97"/>
        <w:gridCol w:w="670"/>
        <w:gridCol w:w="38"/>
        <w:gridCol w:w="36"/>
        <w:gridCol w:w="36"/>
        <w:gridCol w:w="36"/>
        <w:gridCol w:w="101"/>
        <w:gridCol w:w="431"/>
        <w:gridCol w:w="36"/>
        <w:gridCol w:w="36"/>
        <w:gridCol w:w="36"/>
        <w:gridCol w:w="36"/>
        <w:gridCol w:w="95"/>
        <w:gridCol w:w="765"/>
        <w:gridCol w:w="39"/>
        <w:gridCol w:w="37"/>
        <w:gridCol w:w="36"/>
        <w:gridCol w:w="36"/>
        <w:gridCol w:w="101"/>
        <w:gridCol w:w="434"/>
        <w:gridCol w:w="36"/>
        <w:gridCol w:w="36"/>
        <w:gridCol w:w="36"/>
        <w:gridCol w:w="36"/>
        <w:gridCol w:w="101"/>
        <w:gridCol w:w="577"/>
        <w:gridCol w:w="36"/>
        <w:gridCol w:w="36"/>
        <w:gridCol w:w="36"/>
        <w:gridCol w:w="36"/>
        <w:gridCol w:w="100"/>
        <w:gridCol w:w="480"/>
        <w:gridCol w:w="36"/>
        <w:gridCol w:w="36"/>
        <w:gridCol w:w="36"/>
        <w:gridCol w:w="36"/>
        <w:gridCol w:w="101"/>
        <w:gridCol w:w="871"/>
        <w:gridCol w:w="36"/>
        <w:gridCol w:w="36"/>
        <w:gridCol w:w="36"/>
        <w:gridCol w:w="36"/>
        <w:gridCol w:w="100"/>
        <w:gridCol w:w="547"/>
        <w:gridCol w:w="36"/>
        <w:gridCol w:w="36"/>
        <w:gridCol w:w="36"/>
        <w:gridCol w:w="36"/>
        <w:gridCol w:w="101"/>
        <w:gridCol w:w="763"/>
        <w:gridCol w:w="36"/>
      </w:tblGrid>
      <w:tr w:rsidR="00000000">
        <w:trPr>
          <w:divId w:val="978025433"/>
        </w:trPr>
        <w:tc>
          <w:tcPr>
            <w:tcW w:w="50" w:type="pct"/>
            <w:vAlign w:val="center"/>
            <w:hideMark/>
          </w:tcPr>
          <w:p w:rsidR="00000000" w:rsidRDefault="0094004B">
            <w:pPr>
              <w:jc w:val="center"/>
              <w:rPr>
                <w:rFonts w:eastAsia="Times New Roman"/>
              </w:rPr>
            </w:pPr>
          </w:p>
        </w:tc>
        <w:tc>
          <w:tcPr>
            <w:tcW w:w="109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4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3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0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4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1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0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6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9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1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978025433"/>
          <w:trHeight w:val="420"/>
        </w:trPr>
        <w:tc>
          <w:tcPr>
            <w:tcW w:w="0" w:type="auto"/>
            <w:gridSpan w:val="3"/>
            <w:vMerge w:val="restart"/>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4"/>
                <w:szCs w:val="14"/>
              </w:rPr>
              <w:t>(Dollars in millions)</w:t>
            </w:r>
          </w:p>
        </w:tc>
        <w:tc>
          <w:tcPr>
            <w:tcW w:w="0" w:type="auto"/>
            <w:gridSpan w:val="3"/>
            <w:vMerge w:val="restart"/>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4"/>
                <w:szCs w:val="14"/>
              </w:rPr>
              <w:t>Preferred Stock</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4"/>
                <w:szCs w:val="14"/>
              </w:rPr>
              <w:t>Common Stock</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4"/>
                <w:szCs w:val="14"/>
              </w:rPr>
              <w:t>Additional</w:t>
            </w:r>
            <w:r>
              <w:rPr>
                <w:rFonts w:eastAsia="Times New Roman"/>
                <w:b/>
                <w:bCs/>
                <w:color w:val="000000"/>
                <w:sz w:val="14"/>
                <w:szCs w:val="14"/>
              </w:rPr>
              <w:br/>
              <w:t>Paid-In</w:t>
            </w:r>
            <w:r>
              <w:rPr>
                <w:rFonts w:eastAsia="Times New Roman"/>
                <w:b/>
                <w:bCs/>
                <w:color w:val="000000"/>
                <w:sz w:val="14"/>
                <w:szCs w:val="14"/>
              </w:rPr>
              <w:br/>
              <w:t>Capital</w:t>
            </w:r>
          </w:p>
        </w:tc>
        <w:tc>
          <w:tcPr>
            <w:tcW w:w="0" w:type="auto"/>
            <w:gridSpan w:val="3"/>
            <w:vMerge w:val="restart"/>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4"/>
                <w:szCs w:val="14"/>
              </w:rPr>
              <w:t>Retained Earnings</w:t>
            </w:r>
          </w:p>
        </w:tc>
        <w:tc>
          <w:tcPr>
            <w:tcW w:w="0" w:type="auto"/>
            <w:gridSpan w:val="3"/>
            <w:vMerge w:val="restart"/>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4"/>
                <w:szCs w:val="14"/>
              </w:rPr>
              <w:t>Accumulated</w:t>
            </w:r>
            <w:r>
              <w:rPr>
                <w:rFonts w:eastAsia="Times New Roman"/>
                <w:b/>
                <w:bCs/>
                <w:color w:val="000000"/>
                <w:sz w:val="14"/>
                <w:szCs w:val="14"/>
              </w:rPr>
              <w:br/>
              <w:t>Other</w:t>
            </w:r>
            <w:r>
              <w:rPr>
                <w:rFonts w:eastAsia="Times New Roman"/>
                <w:b/>
                <w:bCs/>
                <w:color w:val="000000"/>
                <w:sz w:val="14"/>
                <w:szCs w:val="14"/>
              </w:rPr>
              <w:br/>
              <w:t>Comprehensive</w:t>
            </w:r>
            <w:r>
              <w:rPr>
                <w:rFonts w:eastAsia="Times New Roman"/>
                <w:b/>
                <w:bCs/>
                <w:color w:val="000000"/>
                <w:sz w:val="14"/>
                <w:szCs w:val="14"/>
              </w:rPr>
              <w:br/>
              <w:t>Income (Loss)</w:t>
            </w:r>
          </w:p>
        </w:tc>
        <w:tc>
          <w:tcPr>
            <w:tcW w:w="0" w:type="auto"/>
            <w:gridSpan w:val="3"/>
            <w:vMerge w:val="restart"/>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4"/>
                <w:szCs w:val="14"/>
              </w:rPr>
              <w:t>Treasury</w:t>
            </w:r>
            <w:r>
              <w:rPr>
                <w:rFonts w:eastAsia="Times New Roman"/>
                <w:b/>
                <w:bCs/>
                <w:color w:val="000000"/>
                <w:sz w:val="14"/>
                <w:szCs w:val="14"/>
              </w:rPr>
              <w:br/>
              <w:t>Stock</w:t>
            </w:r>
          </w:p>
        </w:tc>
        <w:tc>
          <w:tcPr>
            <w:tcW w:w="0" w:type="auto"/>
            <w:gridSpan w:val="3"/>
            <w:vMerge w:val="restart"/>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4"/>
                <w:szCs w:val="14"/>
              </w:rPr>
              <w:t>Total</w:t>
            </w:r>
            <w:r>
              <w:rPr>
                <w:rFonts w:eastAsia="Times New Roman"/>
                <w:b/>
                <w:bCs/>
                <w:color w:val="000000"/>
                <w:sz w:val="14"/>
                <w:szCs w:val="14"/>
              </w:rPr>
              <w:br/>
              <w:t>Stockholders’</w:t>
            </w:r>
            <w:r>
              <w:rPr>
                <w:rFonts w:eastAsia="Times New Roman"/>
                <w:b/>
                <w:bCs/>
                <w:color w:val="000000"/>
                <w:sz w:val="14"/>
                <w:szCs w:val="14"/>
              </w:rPr>
              <w:br/>
              <w:t>Equity</w:t>
            </w:r>
          </w:p>
        </w:tc>
      </w:tr>
      <w:tr w:rsidR="00000000">
        <w:trPr>
          <w:divId w:val="978025433"/>
          <w:trHeight w:val="220"/>
        </w:trPr>
        <w:tc>
          <w:tcPr>
            <w:tcW w:w="0" w:type="auto"/>
            <w:gridSpan w:val="3"/>
            <w:vMerge/>
            <w:vAlign w:val="center"/>
            <w:hideMark/>
          </w:tcPr>
          <w:p w:rsidR="00000000" w:rsidRDefault="0094004B">
            <w:pPr>
              <w:spacing w:after="100"/>
              <w:rPr>
                <w:rFonts w:eastAsia="Times New Roman"/>
              </w:rPr>
            </w:pPr>
          </w:p>
        </w:tc>
        <w:tc>
          <w:tcPr>
            <w:tcW w:w="0" w:type="auto"/>
            <w:gridSpan w:val="3"/>
            <w:vMerge/>
            <w:vAlign w:val="center"/>
            <w:hideMark/>
          </w:tcPr>
          <w:p w:rsidR="00000000" w:rsidRDefault="0094004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4"/>
                <w:szCs w:val="14"/>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4"/>
                <w:szCs w:val="14"/>
              </w:rPr>
              <w:t>Amount</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4"/>
                <w:szCs w:val="14"/>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4"/>
                <w:szCs w:val="14"/>
              </w:rPr>
              <w:t>Amount</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vMerge/>
            <w:vAlign w:val="center"/>
            <w:hideMark/>
          </w:tcPr>
          <w:p w:rsidR="00000000" w:rsidRDefault="0094004B">
            <w:pPr>
              <w:spacing w:after="100"/>
              <w:rPr>
                <w:rFonts w:eastAsia="Times New Roman"/>
              </w:rPr>
            </w:pPr>
          </w:p>
        </w:tc>
        <w:tc>
          <w:tcPr>
            <w:tcW w:w="0" w:type="auto"/>
            <w:gridSpan w:val="3"/>
            <w:vMerge/>
            <w:vAlign w:val="center"/>
            <w:hideMark/>
          </w:tcPr>
          <w:p w:rsidR="00000000" w:rsidRDefault="0094004B">
            <w:pPr>
              <w:spacing w:after="100"/>
              <w:rPr>
                <w:rFonts w:eastAsia="Times New Roman"/>
              </w:rPr>
            </w:pPr>
          </w:p>
        </w:tc>
        <w:tc>
          <w:tcPr>
            <w:tcW w:w="0" w:type="auto"/>
            <w:gridSpan w:val="3"/>
            <w:vMerge/>
            <w:vAlign w:val="center"/>
            <w:hideMark/>
          </w:tcPr>
          <w:p w:rsidR="00000000" w:rsidRDefault="0094004B">
            <w:pPr>
              <w:spacing w:after="100"/>
              <w:rPr>
                <w:rFonts w:eastAsia="Times New Roman"/>
              </w:rPr>
            </w:pPr>
          </w:p>
        </w:tc>
        <w:tc>
          <w:tcPr>
            <w:tcW w:w="0" w:type="auto"/>
            <w:gridSpan w:val="3"/>
            <w:vMerge/>
            <w:vAlign w:val="center"/>
            <w:hideMark/>
          </w:tcPr>
          <w:p w:rsidR="00000000" w:rsidRDefault="0094004B">
            <w:pPr>
              <w:spacing w:after="100"/>
              <w:rPr>
                <w:rFonts w:eastAsia="Times New Roman"/>
              </w:rPr>
            </w:pPr>
          </w:p>
        </w:tc>
        <w:tc>
          <w:tcPr>
            <w:tcW w:w="0" w:type="auto"/>
            <w:gridSpan w:val="3"/>
            <w:vMerge/>
            <w:vAlign w:val="center"/>
            <w:hideMark/>
          </w:tcPr>
          <w:p w:rsidR="00000000" w:rsidRDefault="0094004B">
            <w:pPr>
              <w:spacing w:after="100"/>
              <w:rPr>
                <w:rFonts w:eastAsia="Times New Roman"/>
              </w:rPr>
            </w:pPr>
          </w:p>
        </w:tc>
        <w:tc>
          <w:tcPr>
            <w:tcW w:w="0" w:type="auto"/>
            <w:gridSpan w:val="3"/>
            <w:vMerge/>
            <w:vAlign w:val="center"/>
            <w:hideMark/>
          </w:tcPr>
          <w:p w:rsidR="00000000" w:rsidRDefault="0094004B">
            <w:pPr>
              <w:spacing w:after="100"/>
              <w:rPr>
                <w:rFonts w:eastAsia="Times New Roman"/>
              </w:rPr>
            </w:pPr>
          </w:p>
        </w:tc>
        <w:tc>
          <w:tcPr>
            <w:tcW w:w="0" w:type="auto"/>
            <w:gridSpan w:val="3"/>
            <w:vMerge/>
            <w:vAlign w:val="center"/>
            <w:hideMark/>
          </w:tcPr>
          <w:p w:rsidR="00000000" w:rsidRDefault="0094004B">
            <w:pPr>
              <w:spacing w:after="100"/>
              <w:rPr>
                <w:rFonts w:eastAsia="Times New Roman"/>
              </w:rPr>
            </w:pPr>
          </w:p>
        </w:tc>
        <w:tc>
          <w:tcPr>
            <w:tcW w:w="0" w:type="auto"/>
            <w:gridSpan w:val="3"/>
            <w:vMerge/>
            <w:vAlign w:val="center"/>
            <w:hideMark/>
          </w:tcPr>
          <w:p w:rsidR="00000000" w:rsidRDefault="0094004B">
            <w:pPr>
              <w:spacing w:after="100"/>
              <w:rPr>
                <w:rFonts w:eastAsia="Times New Roman"/>
              </w:rPr>
            </w:pPr>
          </w:p>
        </w:tc>
        <w:tc>
          <w:tcPr>
            <w:tcW w:w="0" w:type="auto"/>
            <w:gridSpan w:val="3"/>
            <w:vMerge/>
            <w:vAlign w:val="center"/>
            <w:hideMark/>
          </w:tcPr>
          <w:p w:rsidR="00000000" w:rsidRDefault="0094004B">
            <w:pPr>
              <w:spacing w:after="100"/>
              <w:rPr>
                <w:rFonts w:eastAsia="Times New Roman"/>
              </w:rPr>
            </w:pPr>
          </w:p>
        </w:tc>
      </w:tr>
      <w:tr w:rsidR="0094004B">
        <w:trPr>
          <w:divId w:val="978025433"/>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6"/>
                <w:szCs w:val="16"/>
              </w:rPr>
              <w:t>Balance as of December 31, 2019</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4,975,000 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672,969,391 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32,980 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40,340 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1,156 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(16,472)</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58,011 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978025433"/>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Cumulative effects from adoption of the CECL standard</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(2,184)</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(8)</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(2,192)</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978025433"/>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Comprehensive income</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2,714 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2,346 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5,060 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978025433"/>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divId w:val="2025401685"/>
              <w:rPr>
                <w:rFonts w:eastAsia="Times New Roman"/>
              </w:rPr>
            </w:pPr>
            <w:r>
              <w:rPr>
                <w:rFonts w:eastAsia="Times New Roman"/>
                <w:color w:val="000000"/>
                <w:sz w:val="16"/>
                <w:szCs w:val="16"/>
              </w:rPr>
              <w:t>Dividends—</w:t>
            </w:r>
            <w:r>
              <w:rPr>
                <w:rFonts w:eastAsia="Times New Roman"/>
                <w:color w:val="000000"/>
                <w:sz w:val="16"/>
                <w:szCs w:val="16"/>
              </w:rPr>
              <w:t>common stoc</w:t>
            </w:r>
            <w:r>
              <w:rPr>
                <w:rFonts w:eastAsia="Times New Roman"/>
                <w:color w:val="000000"/>
                <w:sz w:val="16"/>
                <w:szCs w:val="16"/>
              </w:rPr>
              <w:t>k</w:t>
            </w:r>
            <w:r>
              <w:rPr>
                <w:rFonts w:eastAsia="Times New Roman"/>
                <w:color w:val="000000"/>
                <w:sz w:val="10"/>
                <w:szCs w:val="10"/>
              </w:rPr>
              <w:t>(1</w:t>
            </w:r>
            <w:r>
              <w:rPr>
                <w:rFonts w:eastAsia="Times New Roman"/>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32,466 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3 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(463)</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(460)</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978025433"/>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Dividends—preferred stock</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(280)</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(280)</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978025433"/>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Purchases of treasury stock</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(393)</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(393)</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978025433"/>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Issuances of common stock and restricted stock, net of forfeitures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6"/>
                <w:szCs w:val="16"/>
              </w:rPr>
              <w:t>5,539,010 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6"/>
                <w:szCs w:val="16"/>
              </w:rPr>
              <w:t>241 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6"/>
                <w:szCs w:val="16"/>
              </w:rPr>
              <w:t>241 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978025433"/>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Exercises of stock options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1,391,970 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62 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62 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978025433"/>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Issuances of preferred stock</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1,375,000 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1,330 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1,330 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978025433"/>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Redemptions of preferred stock</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(1,375,000)</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(1,336)</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(39)</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(1,375)</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978025433"/>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Compensation expense for restricted stock units and stock options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6"/>
                <w:szCs w:val="16"/>
              </w:rPr>
              <w:t>200 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6"/>
                <w:szCs w:val="16"/>
              </w:rPr>
              <w:t>200 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94004B">
        <w:trPr>
          <w:divId w:val="978025433"/>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6"/>
                <w:szCs w:val="16"/>
              </w:rPr>
              <w:t>Balance as of December 31, 2020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4,975,000 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679,932,837 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33,480 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40,088 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3,494 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(16,865)</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60,204 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978025433"/>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Comprehensive income (loss)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12,390 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(3,120)</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9,270 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978025433"/>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divId w:val="771432497"/>
              <w:rPr>
                <w:rFonts w:eastAsia="Times New Roman"/>
              </w:rPr>
            </w:pPr>
            <w:r>
              <w:rPr>
                <w:rFonts w:eastAsia="Times New Roman"/>
                <w:color w:val="000000"/>
                <w:sz w:val="16"/>
                <w:szCs w:val="16"/>
              </w:rPr>
              <w:t>Dividends—common stoc</w:t>
            </w:r>
            <w:r>
              <w:rPr>
                <w:rFonts w:eastAsia="Times New Roman"/>
                <w:color w:val="000000"/>
                <w:sz w:val="16"/>
                <w:szCs w:val="16"/>
              </w:rPr>
              <w:t>k</w:t>
            </w:r>
            <w:r>
              <w:rPr>
                <w:rFonts w:eastAsia="Times New Roman"/>
                <w:color w:val="000000"/>
                <w:sz w:val="10"/>
                <w:szCs w:val="10"/>
              </w:rPr>
              <w:t>(1</w:t>
            </w:r>
            <w:r>
              <w:rPr>
                <w:rFonts w:eastAsia="Times New Roman"/>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28,410 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4 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(1,152)</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(1,148)</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978025433"/>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Dividends—preferred stock</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(274)</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(274)</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978025433"/>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Purchases of treasury stock</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(7,605)</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(7,605)</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978025433"/>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Issuances of common stock and restricted stock, net of forfeitures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6"/>
                <w:szCs w:val="16"/>
              </w:rPr>
              <w:t>4,178,919 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6"/>
                <w:szCs w:val="16"/>
              </w:rPr>
              <w:t>253 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6"/>
                <w:szCs w:val="16"/>
              </w:rPr>
              <w:t>253 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978025433"/>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Exercises of stock options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917,778 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55 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55 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978025433"/>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Issuances of preferred stock</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2,100,000 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2,052 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2,052 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978025433"/>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Redemptions of preferred stock</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(2,100,000)</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(2,054)</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(46)</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(2,100)</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978025433"/>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Compensation expense for restricted stock units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6"/>
                <w:szCs w:val="16"/>
              </w:rPr>
              <w:t>322 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6"/>
                <w:szCs w:val="16"/>
              </w:rPr>
              <w:t>322 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94004B">
        <w:trPr>
          <w:divId w:val="978025433"/>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16"/>
                <w:szCs w:val="16"/>
              </w:rPr>
              <w:t>Balance as of December 31, 2021</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4,975,000 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685,057,944 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34,112 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51,006 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374 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(24,470)</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61,029 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978025433"/>
        </w:trPr>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78025433"/>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78025433"/>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78025433"/>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78025433"/>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78025433"/>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78025433"/>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78025433"/>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78025433"/>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78025433"/>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78025433"/>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78025433"/>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78025433"/>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78025433"/>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78025433"/>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78025433"/>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78025433"/>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78025433"/>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78025433"/>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78025433"/>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78025433"/>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78025433"/>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78025433"/>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78025433"/>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78025433"/>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78025433"/>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78025433"/>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78025433"/>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78025433"/>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78025433"/>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78025433"/>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78025433"/>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78025433"/>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78025433"/>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6"/>
                <w:szCs w:val="16"/>
              </w:rPr>
              <w:t>Comprehensive income (loss)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6"/>
                <w:szCs w:val="16"/>
              </w:rPr>
              <w:t>7,360</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6"/>
                <w:szCs w:val="16"/>
              </w:rPr>
              <w:t>(10,290)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6"/>
                <w:szCs w:val="16"/>
              </w:rPr>
              <w:t>(2,930)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978025433"/>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divId w:val="37245525"/>
              <w:rPr>
                <w:rFonts w:eastAsia="Times New Roman"/>
              </w:rPr>
            </w:pPr>
            <w:r>
              <w:rPr>
                <w:rFonts w:eastAsia="Times New Roman"/>
                <w:color w:val="000000"/>
                <w:sz w:val="16"/>
                <w:szCs w:val="16"/>
              </w:rPr>
              <w:t>Dividends—common stoc</w:t>
            </w:r>
            <w:r>
              <w:rPr>
                <w:rFonts w:eastAsia="Times New Roman"/>
                <w:color w:val="000000"/>
                <w:sz w:val="16"/>
                <w:szCs w:val="16"/>
              </w:rPr>
              <w:t>k</w:t>
            </w:r>
            <w:r>
              <w:rPr>
                <w:rFonts w:eastAsia="Times New Roman"/>
                <w:color w:val="000000"/>
                <w:sz w:val="10"/>
                <w:szCs w:val="10"/>
              </w:rPr>
              <w:t>(1</w:t>
            </w:r>
            <w:r>
              <w:rPr>
                <w:rFonts w:eastAsia="Times New Roman"/>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6"/>
                <w:szCs w:val="16"/>
              </w:rPr>
              <w:t>33,511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6"/>
                <w:szCs w:val="16"/>
              </w:rPr>
              <w:t>4</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6"/>
                <w:szCs w:val="16"/>
              </w:rPr>
              <w:t>(954)</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6"/>
                <w:szCs w:val="16"/>
              </w:rPr>
              <w:t>(950)</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978025433"/>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6"/>
                <w:szCs w:val="16"/>
              </w:rPr>
              <w:t>Dividends—preferred stock</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6"/>
                <w:szCs w:val="16"/>
              </w:rPr>
              <w:t>(228)</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6"/>
                <w:szCs w:val="16"/>
              </w:rPr>
              <w:t>(228)</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978025433"/>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6"/>
                <w:szCs w:val="16"/>
              </w:rPr>
              <w:t>Purchases of treasury stock</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6"/>
                <w:szCs w:val="16"/>
              </w:rPr>
              <w:t>(4,948)</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6"/>
                <w:szCs w:val="16"/>
              </w:rPr>
              <w:t>(4,948)</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978025433"/>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6"/>
                <w:szCs w:val="16"/>
              </w:rPr>
              <w:t>Issuances of common stock and restricted stock, net of forfeitures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6"/>
                <w:szCs w:val="16"/>
              </w:rPr>
              <w:t>4,909,173</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6"/>
                <w:szCs w:val="16"/>
              </w:rPr>
              <w:t>276</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6"/>
                <w:szCs w:val="16"/>
              </w:rPr>
              <w:t>276</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978025433"/>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6"/>
                <w:szCs w:val="16"/>
              </w:rPr>
              <w:t>Exercises of stock options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6"/>
                <w:szCs w:val="16"/>
              </w:rPr>
              <w:t>333,794</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6"/>
                <w:szCs w:val="16"/>
              </w:rPr>
              <w:t>19</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6"/>
                <w:szCs w:val="16"/>
              </w:rPr>
              <w:t>19</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978025433"/>
        </w:trPr>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78025433"/>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78025433"/>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6"/>
                <w:szCs w:val="16"/>
              </w:rPr>
              <w:t>Compensation expense for restricted stock units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6"/>
                <w:szCs w:val="16"/>
              </w:rPr>
              <w:t>314</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6"/>
                <w:szCs w:val="16"/>
              </w:rPr>
              <w:t>314</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94004B">
        <w:trPr>
          <w:divId w:val="978025433"/>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16"/>
                <w:szCs w:val="16"/>
              </w:rPr>
              <w:t>Balance as of December 31, 2022</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6"/>
                <w:szCs w:val="16"/>
              </w:rPr>
              <w:t>4,975,000</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6"/>
                <w:szCs w:val="16"/>
              </w:rPr>
              <w:t>690,334,422</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6"/>
                <w:szCs w:val="16"/>
              </w:rPr>
              <w:t>7</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6"/>
                <w:szCs w:val="16"/>
              </w:rPr>
              <w:t>34,725</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6"/>
                <w:szCs w:val="16"/>
              </w:rPr>
              <w:t>57,184</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6"/>
                <w:szCs w:val="16"/>
              </w:rPr>
              <w:t>(9,916)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6"/>
                <w:szCs w:val="16"/>
              </w:rPr>
              <w:t>(29,418)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6"/>
                <w:szCs w:val="16"/>
              </w:rPr>
              <w:t>52,582</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bl>
    <w:p w:rsidR="00000000" w:rsidRDefault="0094004B">
      <w:pPr>
        <w:jc w:val="both"/>
        <w:divId w:val="978025433"/>
        <w:rPr>
          <w:rFonts w:eastAsia="Times New Roman"/>
        </w:rPr>
      </w:pPr>
      <w:r>
        <w:rPr>
          <w:rFonts w:eastAsia="Times New Roman"/>
          <w:color w:val="000000"/>
          <w:sz w:val="20"/>
          <w:szCs w:val="20"/>
        </w:rPr>
        <w:t>__________</w:t>
      </w:r>
    </w:p>
    <w:p w:rsidR="00000000" w:rsidRDefault="0094004B">
      <w:pPr>
        <w:ind w:hanging="360"/>
        <w:divId w:val="1908756479"/>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We declared dividends per share on our common stock of $0.60 in each quarter of 2022 and the fourth quarter of 2021, $1.20 in the third quarter of 2021, $0.40 in the first two quarters of both 2021 and 2020, and $0.10 in the last two quarters of 2020.</w:t>
      </w:r>
    </w:p>
    <w:p w:rsidR="00000000" w:rsidRDefault="0094004B">
      <w:pPr>
        <w:ind w:firstLine="360"/>
        <w:jc w:val="both"/>
        <w:divId w:val="449935167"/>
        <w:rPr>
          <w:rFonts w:eastAsia="Times New Roman"/>
        </w:rPr>
      </w:pPr>
    </w:p>
    <w:p w:rsidR="00000000" w:rsidRDefault="0094004B">
      <w:pPr>
        <w:ind w:hanging="360"/>
        <w:jc w:val="both"/>
        <w:divId w:val="1677536939"/>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7"/>
        <w:gridCol w:w="69"/>
        <w:gridCol w:w="2663"/>
        <w:gridCol w:w="36"/>
        <w:gridCol w:w="69"/>
        <w:gridCol w:w="2663"/>
        <w:gridCol w:w="37"/>
      </w:tblGrid>
      <w:tr w:rsidR="00000000">
        <w:trPr>
          <w:divId w:val="1189097686"/>
          <w:jc w:val="center"/>
        </w:trPr>
        <w:tc>
          <w:tcPr>
            <w:tcW w:w="50" w:type="pct"/>
            <w:vAlign w:val="center"/>
            <w:hideMark/>
          </w:tcPr>
          <w:p w:rsidR="00000000" w:rsidRDefault="0094004B">
            <w:pPr>
              <w:ind w:hanging="360"/>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189097686"/>
          <w:jc w:val="center"/>
        </w:trPr>
        <w:tc>
          <w:tcPr>
            <w:tcW w:w="0" w:type="auto"/>
            <w:gridSpan w:val="9"/>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20"/>
                <w:szCs w:val="20"/>
              </w:rPr>
              <w:t>See Notes to Consolidated Financial Statements.</w:t>
            </w:r>
          </w:p>
        </w:tc>
      </w:tr>
      <w:tr w:rsidR="00000000">
        <w:trPr>
          <w:divId w:val="1189097686"/>
          <w:jc w:val="center"/>
        </w:trPr>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120</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46" style="width:0;height:1.5pt" o:hralign="center" o:hrstd="t" o:hr="t" fillcolor="#a0a0a0" stroked="f"/>
        </w:pict>
      </w:r>
    </w:p>
    <w:p w:rsidR="00000000" w:rsidRDefault="0094004B">
      <w:pPr>
        <w:jc w:val="both"/>
        <w:divId w:val="1623881192"/>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1623881192"/>
        <w:rPr>
          <w:rFonts w:eastAsia="Times New Roman"/>
        </w:rPr>
      </w:pPr>
    </w:p>
    <w:p w:rsidR="00000000" w:rsidRDefault="0094004B">
      <w:pPr>
        <w:jc w:val="center"/>
        <w:divId w:val="1623881192"/>
        <w:rPr>
          <w:rFonts w:eastAsia="Times New Roman"/>
        </w:rPr>
      </w:pPr>
      <w:r>
        <w:rPr>
          <w:rFonts w:eastAsia="Times New Roman"/>
          <w:b/>
          <w:bCs/>
          <w:color w:val="000000"/>
          <w:sz w:val="20"/>
          <w:szCs w:val="20"/>
        </w:rPr>
        <w:t>CAPITAL ONE FINANCIAL CORPORATION</w:t>
      </w:r>
    </w:p>
    <w:p w:rsidR="00000000" w:rsidRDefault="0094004B">
      <w:pPr>
        <w:jc w:val="center"/>
        <w:divId w:val="1623881192"/>
        <w:rPr>
          <w:rFonts w:eastAsia="Times New Roman"/>
        </w:rPr>
      </w:pPr>
      <w:r>
        <w:rPr>
          <w:rFonts w:eastAsia="Times New Roman"/>
          <w:b/>
          <w:bCs/>
          <w:color w:val="000000"/>
          <w:sz w:val="20"/>
          <w:szCs w:val="20"/>
        </w:rPr>
        <w:t>CONSOLIDATED STATEMENTS OF CASH FLOWS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5567"/>
        <w:gridCol w:w="39"/>
        <w:gridCol w:w="36"/>
        <w:gridCol w:w="36"/>
        <w:gridCol w:w="36"/>
        <w:gridCol w:w="101"/>
        <w:gridCol w:w="620"/>
        <w:gridCol w:w="36"/>
        <w:gridCol w:w="36"/>
        <w:gridCol w:w="36"/>
        <w:gridCol w:w="36"/>
        <w:gridCol w:w="100"/>
        <w:gridCol w:w="632"/>
        <w:gridCol w:w="36"/>
        <w:gridCol w:w="36"/>
        <w:gridCol w:w="36"/>
        <w:gridCol w:w="36"/>
        <w:gridCol w:w="101"/>
        <w:gridCol w:w="674"/>
        <w:gridCol w:w="36"/>
      </w:tblGrid>
      <w:tr w:rsidR="00000000">
        <w:trPr>
          <w:divId w:val="1591309012"/>
        </w:trPr>
        <w:tc>
          <w:tcPr>
            <w:tcW w:w="50" w:type="pct"/>
            <w:vAlign w:val="center"/>
            <w:hideMark/>
          </w:tcPr>
          <w:p w:rsidR="00000000" w:rsidRDefault="0094004B">
            <w:pPr>
              <w:jc w:val="center"/>
              <w:rPr>
                <w:rFonts w:eastAsia="Times New Roman"/>
              </w:rPr>
            </w:pPr>
          </w:p>
        </w:tc>
        <w:tc>
          <w:tcPr>
            <w:tcW w:w="3380"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2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3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1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3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591309012"/>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15"/>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b/>
                <w:bCs/>
                <w:color w:val="000000"/>
                <w:sz w:val="16"/>
                <w:szCs w:val="16"/>
              </w:rPr>
              <w:t>Year Ended December 31,</w:t>
            </w:r>
          </w:p>
        </w:tc>
      </w:tr>
      <w:tr w:rsidR="00000000">
        <w:trPr>
          <w:divId w:val="1591309012"/>
        </w:trPr>
        <w:tc>
          <w:tcPr>
            <w:tcW w:w="0" w:type="auto"/>
            <w:gridSpan w:val="3"/>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i/>
                <w:iCs/>
                <w:color w:val="000000"/>
                <w:sz w:val="16"/>
                <w:szCs w:val="16"/>
              </w:rPr>
              <w:t xml:space="preserve">(Dollars in millions) </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2020</w:t>
            </w:r>
          </w:p>
        </w:tc>
      </w:tr>
      <w:tr w:rsidR="00000000">
        <w:trPr>
          <w:divId w:val="1591309012"/>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6"/>
                <w:szCs w:val="16"/>
              </w:rPr>
              <w:t>Operating activities: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591309012"/>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Income (loss) from continuing operations, net of tax</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7,360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12,394 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2,717 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591309012"/>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Income (loss) from discontinued operations, net of tax</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(4)</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(3)</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591309012"/>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Net income</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7,360</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12,390 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2,714 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591309012"/>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Adjustments to reconcile net income (loss) to net cash from operating activities: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591309012"/>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Provision (benefit) for credit losses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5,847</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(1,944)</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10,264 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591309012"/>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Depreciation and amortization, net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3,210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3,481 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3,501 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591309012"/>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Deferred tax provision (benefit)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(772)</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605 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(1,627)</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591309012"/>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Net securities losses (gains)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9</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(25)</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591309012"/>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Gain on sales of loans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(196)</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(6)</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591309012"/>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Stock-based compensation expense</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314</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331 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203 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591309012"/>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40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46 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(520)</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591309012"/>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Loans held for sale:</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591309012"/>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Originations and purchases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(8,822)</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(9,141)</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(10,055)</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591309012"/>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Proceeds from sales and paydowns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9,679</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9,123 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9,856 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591309012"/>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Changes in operating assets and liabilities: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591309012"/>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Changes in interest receivable</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(641)</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17 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287 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591309012"/>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Changes in other assets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(2,973)</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(4,114)</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979 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591309012"/>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Changes in interest payable</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246</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(71)</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(87)</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591309012"/>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Changes in other liabilities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511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1,594 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1,212 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591309012"/>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Net change from discontinued operations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(3)</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(6)</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3 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591309012"/>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6"/>
                <w:szCs w:val="16"/>
              </w:rPr>
              <w:t>Net cash from operating activities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13,809</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12,310 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16,699 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591309012"/>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6"/>
                <w:szCs w:val="16"/>
              </w:rPr>
              <w:t>Investing activities: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591309012"/>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591309012"/>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Securities available for sale:</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591309012"/>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Purchases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(14,850)</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(27,884)</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(43,026)</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591309012"/>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Proceeds from paydowns and maturities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19,074</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26,969 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22,324 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591309012"/>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Proceeds from sales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2,570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2,776 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812 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591309012"/>
        </w:trPr>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591309012"/>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591309012"/>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591309012"/>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Loans: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591309012"/>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Net changes in loans originated as held for investment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(35,885)</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(33,833)</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4,136 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591309012"/>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Principal recoveries of loans previously charged off</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2,091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2,506 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2,452 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591309012"/>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Net purchases of premises and equipment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(934)</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(698)</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(710)</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591309012"/>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Net cash used in acquisition activities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(1,176)</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(669)</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(7)</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591309012"/>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Net cash used in other investing activities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(628)</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(668)</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(822)</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591309012"/>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6"/>
                <w:szCs w:val="16"/>
              </w:rPr>
              <w:t>Net cash used in investing activities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(29,738)</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(31,501)</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(14,841)</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591309012"/>
          <w:trHeight w:val="240"/>
        </w:trPr>
        <w:tc>
          <w:tcPr>
            <w:tcW w:w="0" w:type="auto"/>
            <w:gridSpan w:val="21"/>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94004B">
            <w:pPr>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jc w:val="center"/>
        </w:trPr>
        <w:tc>
          <w:tcPr>
            <w:tcW w:w="0" w:type="auto"/>
            <w:gridSpan w:val="9"/>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20"/>
                <w:szCs w:val="20"/>
              </w:rPr>
              <w:t>See Notes to Consolidated Financial Statements.</w:t>
            </w:r>
          </w:p>
        </w:tc>
      </w:tr>
      <w:tr w:rsidR="00000000">
        <w:trPr>
          <w:jc w:val="center"/>
        </w:trPr>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121</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47" style="width:0;height:1.5pt" o:hralign="center" o:hrstd="t" o:hr="t" fillcolor="#a0a0a0" stroked="f"/>
        </w:pict>
      </w:r>
    </w:p>
    <w:p w:rsidR="00000000" w:rsidRDefault="0094004B">
      <w:pPr>
        <w:jc w:val="both"/>
        <w:divId w:val="1482111154"/>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1482111154"/>
        <w:rPr>
          <w:rFonts w:eastAsia="Times New Roman"/>
        </w:rPr>
      </w:pPr>
    </w:p>
    <w:p w:rsidR="00000000" w:rsidRDefault="0094004B">
      <w:pPr>
        <w:jc w:val="center"/>
        <w:divId w:val="1482111154"/>
        <w:rPr>
          <w:rFonts w:eastAsia="Times New Roman"/>
        </w:rPr>
      </w:pPr>
      <w:r>
        <w:rPr>
          <w:rFonts w:eastAsia="Times New Roman"/>
          <w:b/>
          <w:bCs/>
          <w:color w:val="000000"/>
          <w:sz w:val="20"/>
          <w:szCs w:val="20"/>
        </w:rPr>
        <w:t>CAPITAL ONE FINANCIAL CORPORATION</w:t>
      </w:r>
    </w:p>
    <w:p w:rsidR="00000000" w:rsidRDefault="0094004B">
      <w:pPr>
        <w:jc w:val="center"/>
        <w:divId w:val="1482111154"/>
        <w:rPr>
          <w:rFonts w:eastAsia="Times New Roman"/>
        </w:rPr>
      </w:pPr>
      <w:r>
        <w:rPr>
          <w:rFonts w:eastAsia="Times New Roman"/>
          <w:b/>
          <w:bCs/>
          <w:color w:val="000000"/>
          <w:sz w:val="20"/>
          <w:szCs w:val="20"/>
        </w:rPr>
        <w:t>CONSOLIDATED STATEMENTS OF CASH FLOWS</w:t>
      </w:r>
    </w:p>
    <w:tbl>
      <w:tblPr>
        <w:tblW w:w="5000" w:type="pct"/>
        <w:tblCellMar>
          <w:top w:w="15" w:type="dxa"/>
          <w:left w:w="15" w:type="dxa"/>
          <w:bottom w:w="15" w:type="dxa"/>
          <w:right w:w="15" w:type="dxa"/>
        </w:tblCellMar>
        <w:tblLook w:val="04A0" w:firstRow="1" w:lastRow="0" w:firstColumn="1" w:lastColumn="0" w:noHBand="0" w:noVBand="1"/>
      </w:tblPr>
      <w:tblGrid>
        <w:gridCol w:w="41"/>
        <w:gridCol w:w="5566"/>
        <w:gridCol w:w="40"/>
        <w:gridCol w:w="36"/>
        <w:gridCol w:w="36"/>
        <w:gridCol w:w="36"/>
        <w:gridCol w:w="100"/>
        <w:gridCol w:w="620"/>
        <w:gridCol w:w="36"/>
        <w:gridCol w:w="36"/>
        <w:gridCol w:w="36"/>
        <w:gridCol w:w="36"/>
        <w:gridCol w:w="100"/>
        <w:gridCol w:w="633"/>
        <w:gridCol w:w="36"/>
        <w:gridCol w:w="36"/>
        <w:gridCol w:w="36"/>
        <w:gridCol w:w="36"/>
        <w:gridCol w:w="100"/>
        <w:gridCol w:w="674"/>
        <w:gridCol w:w="36"/>
      </w:tblGrid>
      <w:tr w:rsidR="00000000">
        <w:trPr>
          <w:divId w:val="607590037"/>
        </w:trPr>
        <w:tc>
          <w:tcPr>
            <w:tcW w:w="50" w:type="pct"/>
            <w:vAlign w:val="center"/>
            <w:hideMark/>
          </w:tcPr>
          <w:p w:rsidR="00000000" w:rsidRDefault="0094004B">
            <w:pPr>
              <w:jc w:val="center"/>
              <w:rPr>
                <w:rFonts w:eastAsia="Times New Roman"/>
              </w:rPr>
            </w:pPr>
          </w:p>
        </w:tc>
        <w:tc>
          <w:tcPr>
            <w:tcW w:w="3380"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2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3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1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3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607590037"/>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15"/>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b/>
                <w:bCs/>
                <w:color w:val="000000"/>
                <w:sz w:val="16"/>
                <w:szCs w:val="16"/>
              </w:rPr>
              <w:t>Year Ended December 31,</w:t>
            </w:r>
          </w:p>
        </w:tc>
      </w:tr>
      <w:tr w:rsidR="00000000">
        <w:trPr>
          <w:divId w:val="607590037"/>
        </w:trPr>
        <w:tc>
          <w:tcPr>
            <w:tcW w:w="0" w:type="auto"/>
            <w:gridSpan w:val="3"/>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i/>
                <w:iCs/>
                <w:color w:val="000000"/>
                <w:sz w:val="16"/>
                <w:szCs w:val="16"/>
              </w:rPr>
              <w:t xml:space="preserve">(Dollars in millions) </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b/>
                <w:bCs/>
                <w:color w:val="000000"/>
                <w:sz w:val="16"/>
                <w:szCs w:val="16"/>
              </w:rPr>
              <w:t>2020</w:t>
            </w:r>
          </w:p>
        </w:tc>
      </w:tr>
      <w:tr w:rsidR="00000000">
        <w:trPr>
          <w:divId w:val="60759003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6"/>
                <w:szCs w:val="16"/>
              </w:rPr>
              <w:t>Financing activities: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607590037"/>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Deposits and borrowings: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607590037"/>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Changes in deposits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6"/>
                <w:szCs w:val="16"/>
              </w:rPr>
              <w:t>$</w:t>
            </w:r>
          </w:p>
        </w:tc>
        <w:tc>
          <w:tcPr>
            <w:tcW w:w="0" w:type="auto"/>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22,539</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5,687 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42,519 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607590037"/>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Issuance of securitized debt obligations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9,728</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6,232 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1,248 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607590037"/>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Maturities and paydowns of securitized debt obligations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(7,060)</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(3,442)</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(6,885)</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607590037"/>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Issuance of senior and subordinated notes and long-term FHLB advances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21,272</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4,486 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3,987 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607590037"/>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Maturities and paydowns of senior and subordinated notes and long-term FHLB advances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(15,561)</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(3,851)</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(8,156)</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607590037"/>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Changes in other borrowings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44</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129 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(6,674)</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607590037"/>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Common stock:</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607590037"/>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Net proceeds from issuances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276</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253 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241 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607590037"/>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Dividends paid</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(950)</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(1,148)</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(460)</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607590037"/>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Preferred stock:</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607590037"/>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Net proceeds from issuances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2,052 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1,330 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607590037"/>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Dividends paid</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(228)</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(274)</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(280)</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607590037"/>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Redemptions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(2,100)</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(1,375)</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607590037"/>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Purchases of treasury stock</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(4,948)</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(7,605)</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(393)</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607590037"/>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Proceeds from share-based payment activities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19</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55 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62 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607590037"/>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6"/>
                <w:szCs w:val="16"/>
              </w:rPr>
              <w:t>Net cash from (used in) financing activities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25,131</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474 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25,164 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607590037"/>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Changes in cash, cash equivalents and restricted cash for securitization investors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9,202</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(18,717)</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27,022 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607590037"/>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Cash, cash equivalents and restricted cash for securitization investors, beginning of the period</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22,054</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40,771 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13,749 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607590037"/>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Cash, cash equivalents and restricted cash for securitization investors, end of the period</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31,256</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22,054 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40,771 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607590037"/>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6"/>
                <w:szCs w:val="16"/>
              </w:rPr>
              <w:t>Supplemental cash flow information:</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607590037"/>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Non-cash items: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607590037"/>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Net transfers from loans held for investment to loans held for sale</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697</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4,843 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2,192 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607590037"/>
        </w:trPr>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607590037"/>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607590037"/>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607590037"/>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Interest paid</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3,609</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2,158 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3,580 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607590037"/>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6"/>
                <w:szCs w:val="16"/>
              </w:rPr>
              <w:t>Income tax paid</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1,852</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2,527 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988 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bl>
    <w:p w:rsidR="00000000" w:rsidRDefault="0094004B">
      <w:pPr>
        <w:ind w:firstLine="720"/>
        <w:divId w:val="1743672435"/>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7"/>
        <w:gridCol w:w="69"/>
        <w:gridCol w:w="2663"/>
        <w:gridCol w:w="36"/>
        <w:gridCol w:w="69"/>
        <w:gridCol w:w="2663"/>
        <w:gridCol w:w="37"/>
      </w:tblGrid>
      <w:tr w:rsidR="00000000">
        <w:trPr>
          <w:divId w:val="1511871931"/>
          <w:jc w:val="center"/>
        </w:trPr>
        <w:tc>
          <w:tcPr>
            <w:tcW w:w="50" w:type="pct"/>
            <w:vAlign w:val="center"/>
            <w:hideMark/>
          </w:tcPr>
          <w:p w:rsidR="00000000" w:rsidRDefault="0094004B">
            <w:pPr>
              <w:ind w:firstLine="720"/>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511871931"/>
          <w:jc w:val="center"/>
        </w:trPr>
        <w:tc>
          <w:tcPr>
            <w:tcW w:w="0" w:type="auto"/>
            <w:gridSpan w:val="9"/>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20"/>
                <w:szCs w:val="20"/>
              </w:rPr>
              <w:t>See Notes to Consolidated Financial Statements.</w:t>
            </w:r>
          </w:p>
        </w:tc>
      </w:tr>
      <w:tr w:rsidR="00000000">
        <w:trPr>
          <w:divId w:val="1511871931"/>
          <w:jc w:val="center"/>
        </w:trPr>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122</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48" style="width:0;height:1.5pt" o:hralign="center" o:hrstd="t" o:hr="t" fillcolor="#a0a0a0" stroked="f"/>
        </w:pict>
      </w:r>
    </w:p>
    <w:p w:rsidR="00000000" w:rsidRDefault="0094004B">
      <w:pPr>
        <w:jc w:val="both"/>
        <w:divId w:val="574894463"/>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574894463"/>
        <w:rPr>
          <w:rFonts w:eastAsia="Times New Roman"/>
        </w:rPr>
      </w:pPr>
    </w:p>
    <w:p w:rsidR="00000000" w:rsidRDefault="0094004B">
      <w:pPr>
        <w:jc w:val="center"/>
        <w:divId w:val="574894463"/>
        <w:rPr>
          <w:rFonts w:eastAsia="Times New Roman"/>
        </w:rPr>
      </w:pPr>
      <w:r>
        <w:rPr>
          <w:rFonts w:eastAsia="Times New Roman"/>
          <w:b/>
          <w:bCs/>
          <w:color w:val="000000"/>
          <w:sz w:val="20"/>
          <w:szCs w:val="20"/>
        </w:rPr>
        <w:t>CAPITAL ONE FINANCIAL CORPORATION</w:t>
      </w:r>
    </w:p>
    <w:p w:rsidR="00000000" w:rsidRDefault="0094004B">
      <w:pPr>
        <w:jc w:val="center"/>
        <w:divId w:val="574894463"/>
        <w:rPr>
          <w:rFonts w:eastAsia="Times New Roman"/>
        </w:rPr>
      </w:pPr>
      <w:r>
        <w:rPr>
          <w:rFonts w:eastAsia="Times New Roman"/>
          <w:b/>
          <w:bCs/>
          <w:color w:val="000000"/>
          <w:sz w:val="20"/>
          <w:szCs w:val="20"/>
        </w:rPr>
        <w:t>NOTES TO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091050609"/>
        </w:trPr>
        <w:tc>
          <w:tcPr>
            <w:tcW w:w="50" w:type="pct"/>
            <w:vAlign w:val="center"/>
            <w:hideMark/>
          </w:tcPr>
          <w:p w:rsidR="00000000" w:rsidRDefault="0094004B">
            <w:pPr>
              <w:jc w:val="center"/>
              <w:rPr>
                <w:rFonts w:eastAsia="Times New Roman"/>
              </w:rPr>
            </w:pPr>
          </w:p>
        </w:tc>
        <w:tc>
          <w:tcPr>
            <w:tcW w:w="494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091050609"/>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20"/>
                <w:szCs w:val="20"/>
              </w:rPr>
              <w:t>NOTE 1—</w:t>
            </w:r>
            <w:r>
              <w:rPr>
                <w:rFonts w:eastAsia="Times New Roman"/>
                <w:b/>
                <w:bCs/>
                <w:color w:val="000000"/>
                <w:sz w:val="20"/>
                <w:szCs w:val="20"/>
              </w:rPr>
              <w:t>SUMMARY OF SIGNIFICANT ACCOUNTING POLICIES</w:t>
            </w:r>
          </w:p>
        </w:tc>
      </w:tr>
    </w:tbl>
    <w:p w:rsidR="00000000" w:rsidRDefault="0094004B">
      <w:pPr>
        <w:divId w:val="593322090"/>
        <w:rPr>
          <w:rFonts w:eastAsia="Times New Roman"/>
        </w:rPr>
      </w:pPr>
      <w:r>
        <w:rPr>
          <w:rFonts w:eastAsia="Times New Roman"/>
          <w:b/>
          <w:bCs/>
          <w:color w:val="000000"/>
          <w:sz w:val="20"/>
          <w:szCs w:val="20"/>
        </w:rPr>
        <w:t>The Company</w:t>
      </w:r>
    </w:p>
    <w:p w:rsidR="00000000" w:rsidRDefault="0094004B">
      <w:pPr>
        <w:jc w:val="both"/>
        <w:divId w:val="2027556830"/>
        <w:rPr>
          <w:rFonts w:eastAsia="Times New Roman"/>
        </w:rPr>
      </w:pPr>
      <w:r>
        <w:rPr>
          <w:rFonts w:eastAsia="Times New Roman"/>
          <w:color w:val="000000"/>
          <w:sz w:val="20"/>
          <w:szCs w:val="20"/>
        </w:rPr>
        <w:t>Capital One Financial Corporation, a Delaware Corporation established in 1994 and headquartered in McLean, Virginia, is a diversified financial services holding company with banking and non-banking subsidiaries. Capital One Financial Corporation and its su</w:t>
      </w:r>
      <w:r>
        <w:rPr>
          <w:rFonts w:eastAsia="Times New Roman"/>
          <w:color w:val="000000"/>
          <w:sz w:val="20"/>
          <w:szCs w:val="20"/>
        </w:rPr>
        <w:t xml:space="preserve">bsidiaries (the “Company”) offer a broad array of financial products and services to consumers, small businesses and commercial clients through digital channels, branches, cafés and other distribution channels. </w:t>
      </w:r>
    </w:p>
    <w:p w:rsidR="00000000" w:rsidRDefault="0094004B">
      <w:pPr>
        <w:jc w:val="both"/>
        <w:rPr>
          <w:rFonts w:eastAsia="Times New Roman"/>
        </w:rPr>
      </w:pPr>
      <w:r>
        <w:rPr>
          <w:rFonts w:eastAsia="Times New Roman"/>
          <w:color w:val="000000"/>
          <w:sz w:val="20"/>
          <w:szCs w:val="20"/>
        </w:rPr>
        <w:t>As of December 31, 2022, Capital One Financi</w:t>
      </w:r>
      <w:r>
        <w:rPr>
          <w:rFonts w:eastAsia="Times New Roman"/>
          <w:color w:val="000000"/>
          <w:sz w:val="20"/>
          <w:szCs w:val="20"/>
        </w:rPr>
        <w:t>al Corporation’s principal operating subsidiary was Capital One, National Association (“CONA”). On October 1, 2022, the Company complet</w:t>
      </w:r>
      <w:r>
        <w:rPr>
          <w:rFonts w:eastAsia="Times New Roman"/>
          <w:color w:val="000000"/>
          <w:sz w:val="20"/>
          <w:szCs w:val="20"/>
          <w:shd w:val="clear" w:color="auto" w:fill="FFFFFF"/>
        </w:rPr>
        <w:t>ed the merger of Capital One Bank (USA), National Association (“COBNA”), with and into CONA, with CONA as the surviving e</w:t>
      </w:r>
      <w:r>
        <w:rPr>
          <w:rFonts w:eastAsia="Times New Roman"/>
          <w:color w:val="000000"/>
          <w:sz w:val="20"/>
          <w:szCs w:val="20"/>
          <w:shd w:val="clear" w:color="auto" w:fill="FFFFFF"/>
        </w:rPr>
        <w:t>ntity (the “Bank Merger”).</w:t>
      </w:r>
    </w:p>
    <w:p w:rsidR="00000000" w:rsidRDefault="0094004B">
      <w:pPr>
        <w:jc w:val="both"/>
        <w:divId w:val="1050302820"/>
        <w:rPr>
          <w:rFonts w:eastAsia="Times New Roman"/>
        </w:rPr>
      </w:pPr>
      <w:r>
        <w:rPr>
          <w:rFonts w:eastAsia="Times New Roman"/>
          <w:color w:val="000000"/>
          <w:sz w:val="20"/>
          <w:szCs w:val="20"/>
          <w:shd w:val="clear" w:color="auto" w:fill="FFFFFF"/>
        </w:rPr>
        <w:t>The Company is hereafter collectively referred to as “we,” “us” or “our.” References to the “Bank” shall mean and refer to (i) CONA from and after the Bank Merger and (ii) CONA and COBNA collectively prior to the Bank Merger.</w:t>
      </w:r>
    </w:p>
    <w:p w:rsidR="00000000" w:rsidRDefault="0094004B">
      <w:pPr>
        <w:jc w:val="both"/>
        <w:divId w:val="2121564071"/>
        <w:rPr>
          <w:rFonts w:eastAsia="Times New Roman"/>
        </w:rPr>
      </w:pPr>
      <w:r>
        <w:rPr>
          <w:rFonts w:eastAsia="Times New Roman"/>
          <w:color w:val="000000"/>
          <w:sz w:val="20"/>
          <w:szCs w:val="20"/>
        </w:rPr>
        <w:t xml:space="preserve">We </w:t>
      </w:r>
      <w:r>
        <w:rPr>
          <w:rFonts w:eastAsia="Times New Roman"/>
          <w:color w:val="000000"/>
          <w:sz w:val="20"/>
          <w:szCs w:val="20"/>
        </w:rPr>
        <w:t>also offer products outside of the United States of America (“U.S.”) principally through Capital One (Europe) plc (“COEP”), an indirect subsidiary of CONA organized and located in the United Kingdom (“U.K.”), and through a branch of CONA in Canada. Both CO</w:t>
      </w:r>
      <w:r>
        <w:rPr>
          <w:rFonts w:eastAsia="Times New Roman"/>
          <w:color w:val="000000"/>
          <w:sz w:val="20"/>
          <w:szCs w:val="20"/>
        </w:rPr>
        <w:t xml:space="preserve">EP and our Canadian branch of CONA have the authority to provide credit card loans. </w:t>
      </w:r>
    </w:p>
    <w:p w:rsidR="00000000" w:rsidRDefault="0094004B">
      <w:pPr>
        <w:jc w:val="both"/>
        <w:divId w:val="1611277083"/>
        <w:rPr>
          <w:rFonts w:eastAsia="Times New Roman"/>
        </w:rPr>
      </w:pPr>
      <w:r>
        <w:rPr>
          <w:rFonts w:eastAsia="Times New Roman"/>
          <w:color w:val="000000"/>
          <w:sz w:val="20"/>
          <w:szCs w:val="20"/>
        </w:rPr>
        <w:t>Our principal operations are organized for management reporting purposes into three major business segments, which are defined primarily based on the products and services</w:t>
      </w:r>
      <w:r>
        <w:rPr>
          <w:rFonts w:eastAsia="Times New Roman"/>
          <w:color w:val="000000"/>
          <w:sz w:val="20"/>
          <w:szCs w:val="20"/>
        </w:rPr>
        <w:t xml:space="preserve"> provided or the types of customer served: Credit Card, Consumer Banking and Commercial Banking. We provide details on our business segments, the integration of recent acquisitions, if any, into our business segments and the allocation methodologies and ac</w:t>
      </w:r>
      <w:r>
        <w:rPr>
          <w:rFonts w:eastAsia="Times New Roman"/>
          <w:color w:val="000000"/>
          <w:sz w:val="20"/>
          <w:szCs w:val="20"/>
        </w:rPr>
        <w:t>counting policies used to derive our business segment results in “Note 17—Business Segments and Revenue from Contracts with Customers.”</w:t>
      </w:r>
    </w:p>
    <w:p w:rsidR="00000000" w:rsidRDefault="0094004B">
      <w:pPr>
        <w:divId w:val="1370842021"/>
        <w:rPr>
          <w:rFonts w:eastAsia="Times New Roman"/>
        </w:rPr>
      </w:pPr>
      <w:r>
        <w:rPr>
          <w:rFonts w:eastAsia="Times New Roman"/>
          <w:b/>
          <w:bCs/>
          <w:color w:val="000000"/>
          <w:sz w:val="20"/>
          <w:szCs w:val="20"/>
        </w:rPr>
        <w:t>Basis of Presentation and Use of Estimates</w:t>
      </w:r>
    </w:p>
    <w:p w:rsidR="00000000" w:rsidRDefault="0094004B">
      <w:pPr>
        <w:jc w:val="both"/>
        <w:divId w:val="1350251068"/>
        <w:rPr>
          <w:rFonts w:eastAsia="Times New Roman"/>
        </w:rPr>
      </w:pPr>
      <w:r>
        <w:rPr>
          <w:rFonts w:eastAsia="Times New Roman"/>
          <w:color w:val="000000"/>
          <w:sz w:val="20"/>
          <w:szCs w:val="20"/>
        </w:rPr>
        <w:t>The accompanying consolidated financial statements have been prepared in acco</w:t>
      </w:r>
      <w:r>
        <w:rPr>
          <w:rFonts w:eastAsia="Times New Roman"/>
          <w:color w:val="000000"/>
          <w:sz w:val="20"/>
          <w:szCs w:val="20"/>
        </w:rPr>
        <w:t xml:space="preserve">rdance with generally accepted accounting principles in the U.S. (“U.S. GAAP”). The preparation of the consolidated financial statements in conformity with U.S. GAAP requires management to make estimates and assumptions that affect the amounts reported in </w:t>
      </w:r>
      <w:r>
        <w:rPr>
          <w:rFonts w:eastAsia="Times New Roman"/>
          <w:color w:val="000000"/>
          <w:sz w:val="20"/>
          <w:szCs w:val="20"/>
        </w:rPr>
        <w:t>the consolidated financial statements and in the related disclosures. These estimates are based on information available as of the date of the consolidated financial statements. While management makes its best judgments, actual amounts or results could dif</w:t>
      </w:r>
      <w:r>
        <w:rPr>
          <w:rFonts w:eastAsia="Times New Roman"/>
          <w:color w:val="000000"/>
          <w:sz w:val="20"/>
          <w:szCs w:val="20"/>
        </w:rPr>
        <w:t>fer from these estimates.</w:t>
      </w:r>
      <w:r>
        <w:rPr>
          <w:rFonts w:eastAsia="Times New Roman"/>
          <w:i/>
          <w:iCs/>
          <w:color w:val="000000"/>
          <w:sz w:val="20"/>
          <w:szCs w:val="20"/>
        </w:rPr>
        <w:t xml:space="preserve"> </w:t>
      </w:r>
    </w:p>
    <w:p w:rsidR="00000000" w:rsidRDefault="0094004B">
      <w:pPr>
        <w:divId w:val="939338857"/>
        <w:rPr>
          <w:rFonts w:eastAsia="Times New Roman"/>
        </w:rPr>
      </w:pPr>
      <w:r>
        <w:rPr>
          <w:rFonts w:eastAsia="Times New Roman"/>
          <w:b/>
          <w:bCs/>
          <w:color w:val="000000"/>
          <w:sz w:val="20"/>
          <w:szCs w:val="20"/>
        </w:rPr>
        <w:t xml:space="preserve">Principles of Consolidation </w:t>
      </w:r>
    </w:p>
    <w:p w:rsidR="00000000" w:rsidRDefault="0094004B">
      <w:pPr>
        <w:jc w:val="both"/>
        <w:divId w:val="1399010540"/>
        <w:rPr>
          <w:rFonts w:eastAsia="Times New Roman"/>
        </w:rPr>
      </w:pPr>
      <w:r>
        <w:rPr>
          <w:rFonts w:eastAsia="Times New Roman"/>
          <w:color w:val="000000"/>
          <w:sz w:val="20"/>
          <w:szCs w:val="20"/>
        </w:rPr>
        <w:t>The consolidated financial statements include the accounts of Capital One Financial Corporation and all other entities in which we have a controlling financial interest. We determine whether we have a</w:t>
      </w:r>
      <w:r>
        <w:rPr>
          <w:rFonts w:eastAsia="Times New Roman"/>
          <w:color w:val="000000"/>
          <w:sz w:val="20"/>
          <w:szCs w:val="20"/>
        </w:rPr>
        <w:t xml:space="preserve"> controlling financial interest in an entity by first evaluating whether the entity is a voting interest entity (“VOE”) or a variable interest entity (“VIE”). All significant intercompany account balances and transactions have been eliminated.</w:t>
      </w:r>
    </w:p>
    <w:p w:rsidR="00000000" w:rsidRDefault="0094004B">
      <w:pPr>
        <w:divId w:val="1307972735"/>
        <w:rPr>
          <w:rFonts w:eastAsia="Times New Roman"/>
        </w:rPr>
      </w:pPr>
      <w:r>
        <w:rPr>
          <w:rFonts w:eastAsia="Times New Roman"/>
          <w:b/>
          <w:bCs/>
          <w:i/>
          <w:iCs/>
          <w:color w:val="000000"/>
          <w:sz w:val="20"/>
          <w:szCs w:val="20"/>
        </w:rPr>
        <w:t>Voting Inter</w:t>
      </w:r>
      <w:r>
        <w:rPr>
          <w:rFonts w:eastAsia="Times New Roman"/>
          <w:b/>
          <w:bCs/>
          <w:i/>
          <w:iCs/>
          <w:color w:val="000000"/>
          <w:sz w:val="20"/>
          <w:szCs w:val="20"/>
        </w:rPr>
        <w:t xml:space="preserve">est Entities </w:t>
      </w:r>
    </w:p>
    <w:p w:rsidR="00000000" w:rsidRDefault="0094004B">
      <w:pPr>
        <w:jc w:val="both"/>
        <w:divId w:val="1610119188"/>
        <w:rPr>
          <w:rFonts w:eastAsia="Times New Roman"/>
        </w:rPr>
      </w:pPr>
      <w:r>
        <w:rPr>
          <w:rFonts w:eastAsia="Times New Roman"/>
          <w:color w:val="000000"/>
          <w:sz w:val="20"/>
          <w:szCs w:val="20"/>
        </w:rPr>
        <w:t>VOEs are entities that have sufficient equity and provide the equity investors voting rights that give them the power to make significant decisions relating to the entity’s operations. Since a controlling financial interest in an entity is ty</w:t>
      </w:r>
      <w:r>
        <w:rPr>
          <w:rFonts w:eastAsia="Times New Roman"/>
          <w:color w:val="000000"/>
          <w:sz w:val="20"/>
          <w:szCs w:val="20"/>
        </w:rPr>
        <w:t>pically obtained through ownership of a majority voting interest, we consolidate our majority-owned subsidiaries and other voting interest entities in which we hold, directly or indirectly, more than 50% of the voting rights or where we exercise control th</w:t>
      </w:r>
      <w:r>
        <w:rPr>
          <w:rFonts w:eastAsia="Times New Roman"/>
          <w:color w:val="000000"/>
          <w:sz w:val="20"/>
          <w:szCs w:val="20"/>
        </w:rPr>
        <w:t xml:space="preserve">rough other contractual rights. </w:t>
      </w:r>
    </w:p>
    <w:p w:rsidR="00000000" w:rsidRDefault="0094004B">
      <w:pPr>
        <w:jc w:val="both"/>
        <w:divId w:val="1147042990"/>
        <w:rPr>
          <w:rFonts w:eastAsia="Times New Roman"/>
        </w:rPr>
      </w:pPr>
      <w:r>
        <w:rPr>
          <w:rFonts w:eastAsia="Times New Roman"/>
          <w:color w:val="000000"/>
          <w:sz w:val="20"/>
          <w:szCs w:val="20"/>
        </w:rPr>
        <w:t>Investments in which we do not hold a controlling financial interest but have significant influence over the entity’s financial and operating decisions are accounted for under the equity method. If we do not have significan</w:t>
      </w:r>
      <w:r>
        <w:rPr>
          <w:rFonts w:eastAsia="Times New Roman"/>
          <w:color w:val="000000"/>
          <w:sz w:val="20"/>
          <w:szCs w:val="20"/>
        </w:rPr>
        <w:t xml:space="preserve">t influence, we measure equity investments at fair value with changes in fair value recorded through net income, except those that do not have a readily determinable fair value (for which a measurement alternative is applied). We report equity investments </w:t>
      </w:r>
      <w:r>
        <w:rPr>
          <w:rFonts w:eastAsia="Times New Roman"/>
          <w:color w:val="000000"/>
          <w:sz w:val="20"/>
          <w:szCs w:val="20"/>
        </w:rPr>
        <w:t>in other assets on our consolidated balance sheets and include our share of income or loss and dividends from those investments in other non-interest income in our consolidated statements of income.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520243776"/>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520243776"/>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520243776"/>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123</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49" style="width:0;height:1.5pt" o:hralign="center" o:hrstd="t" o:hr="t" fillcolor="#a0a0a0" stroked="f"/>
        </w:pict>
      </w:r>
    </w:p>
    <w:p w:rsidR="00000000" w:rsidRDefault="0094004B">
      <w:pPr>
        <w:jc w:val="both"/>
        <w:divId w:val="890535816"/>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890535816"/>
        <w:rPr>
          <w:rFonts w:eastAsia="Times New Roman"/>
        </w:rPr>
      </w:pPr>
    </w:p>
    <w:p w:rsidR="00000000" w:rsidRDefault="0094004B">
      <w:pPr>
        <w:jc w:val="center"/>
        <w:divId w:val="890535816"/>
        <w:rPr>
          <w:rFonts w:eastAsia="Times New Roman"/>
        </w:rPr>
      </w:pPr>
      <w:r>
        <w:rPr>
          <w:rFonts w:eastAsia="Times New Roman"/>
          <w:b/>
          <w:bCs/>
          <w:color w:val="000000"/>
          <w:sz w:val="20"/>
          <w:szCs w:val="20"/>
        </w:rPr>
        <w:t>CAPITAL ONE FINANCIAL CORPORATION</w:t>
      </w:r>
    </w:p>
    <w:p w:rsidR="00000000" w:rsidRDefault="0094004B">
      <w:pPr>
        <w:jc w:val="center"/>
        <w:divId w:val="890535816"/>
        <w:rPr>
          <w:rFonts w:eastAsia="Times New Roman"/>
        </w:rPr>
      </w:pPr>
      <w:r>
        <w:rPr>
          <w:rFonts w:eastAsia="Times New Roman"/>
          <w:b/>
          <w:bCs/>
          <w:color w:val="000000"/>
          <w:sz w:val="20"/>
          <w:szCs w:val="20"/>
        </w:rPr>
        <w:t>NOTES TO CONSOLIDATED FINANCIAL STATEMENTS</w:t>
      </w:r>
    </w:p>
    <w:p w:rsidR="00000000" w:rsidRDefault="0094004B">
      <w:pPr>
        <w:divId w:val="751857675"/>
        <w:rPr>
          <w:rFonts w:eastAsia="Times New Roman"/>
        </w:rPr>
      </w:pPr>
      <w:r>
        <w:rPr>
          <w:rFonts w:eastAsia="Times New Roman"/>
          <w:b/>
          <w:bCs/>
          <w:i/>
          <w:iCs/>
          <w:color w:val="000000"/>
          <w:sz w:val="20"/>
          <w:szCs w:val="20"/>
        </w:rPr>
        <w:t>Variable Interest Entities</w:t>
      </w:r>
    </w:p>
    <w:p w:rsidR="00000000" w:rsidRDefault="0094004B">
      <w:pPr>
        <w:jc w:val="both"/>
        <w:divId w:val="931952"/>
        <w:rPr>
          <w:rFonts w:eastAsia="Times New Roman"/>
        </w:rPr>
      </w:pPr>
      <w:r>
        <w:rPr>
          <w:rFonts w:eastAsia="Times New Roman"/>
          <w:color w:val="000000"/>
          <w:sz w:val="20"/>
          <w:szCs w:val="20"/>
        </w:rPr>
        <w:t>VIEs are entities that, by design, either (i) lack sufficient equity to permit the entity to finance its activities without additional subordinated financial support from other parties; or (ii) have equity investors that do not have the ability to make sig</w:t>
      </w:r>
      <w:r>
        <w:rPr>
          <w:rFonts w:eastAsia="Times New Roman"/>
          <w:color w:val="000000"/>
          <w:sz w:val="20"/>
          <w:szCs w:val="20"/>
        </w:rPr>
        <w:t>nificant decisions relating to the entity’s operations through voting rights, or do not have the obligation to absorb the expected losses, or do not have the right to receive the residual returns of the entity. The entity that is deemed the primary benefic</w:t>
      </w:r>
      <w:r>
        <w:rPr>
          <w:rFonts w:eastAsia="Times New Roman"/>
          <w:color w:val="000000"/>
          <w:sz w:val="20"/>
          <w:szCs w:val="20"/>
        </w:rPr>
        <w:t>iary of a VIE is required to consolidate the VIE. An entity is deemed to be the primary beneficiary of a VIE if that entity has both (i) the power to direct the activities of the VIE that most significantly impact the VIE’s economic performance; and (ii) t</w:t>
      </w:r>
      <w:r>
        <w:rPr>
          <w:rFonts w:eastAsia="Times New Roman"/>
          <w:color w:val="000000"/>
          <w:sz w:val="20"/>
          <w:szCs w:val="20"/>
        </w:rPr>
        <w:t>he obligation to absorb losses or the right to receive benefits that could potentially be significant to the VIE.</w:t>
      </w:r>
    </w:p>
    <w:p w:rsidR="00000000" w:rsidRDefault="0094004B">
      <w:pPr>
        <w:jc w:val="both"/>
        <w:divId w:val="1176574635"/>
        <w:rPr>
          <w:rFonts w:eastAsia="Times New Roman"/>
        </w:rPr>
      </w:pPr>
      <w:r>
        <w:rPr>
          <w:rFonts w:eastAsia="Times New Roman"/>
          <w:color w:val="000000"/>
          <w:sz w:val="20"/>
          <w:szCs w:val="20"/>
        </w:rPr>
        <w:t>In determining whether we are the primary beneficiary of a VIE, we consider both qualitative and quantitative factors regarding the nature, si</w:t>
      </w:r>
      <w:r>
        <w:rPr>
          <w:rFonts w:eastAsia="Times New Roman"/>
          <w:color w:val="000000"/>
          <w:sz w:val="20"/>
          <w:szCs w:val="20"/>
        </w:rPr>
        <w:t>ze and form of our involvement with the VIE, such as our role in establishing the VIE and our ongoing rights and responsibilities; our economic interests, including debt and equity investments, servicing fees and other arrangements deemed to be variable in</w:t>
      </w:r>
      <w:r>
        <w:rPr>
          <w:rFonts w:eastAsia="Times New Roman"/>
          <w:color w:val="000000"/>
          <w:sz w:val="20"/>
          <w:szCs w:val="20"/>
        </w:rPr>
        <w:t>terests in the VIE; the design of the VIE, including the capitalization structure, subordination of interests, payment priority, relative share of interests held across various classes within the VIE’s capital structure and the reasons why the interests ar</w:t>
      </w:r>
      <w:r>
        <w:rPr>
          <w:rFonts w:eastAsia="Times New Roman"/>
          <w:color w:val="000000"/>
          <w:sz w:val="20"/>
          <w:szCs w:val="20"/>
        </w:rPr>
        <w:t>e held by us.</w:t>
      </w:r>
    </w:p>
    <w:p w:rsidR="00000000" w:rsidRDefault="0094004B">
      <w:pPr>
        <w:jc w:val="both"/>
        <w:divId w:val="578056823"/>
        <w:rPr>
          <w:rFonts w:eastAsia="Times New Roman"/>
        </w:rPr>
      </w:pPr>
      <w:r>
        <w:rPr>
          <w:rFonts w:eastAsia="Times New Roman"/>
          <w:color w:val="000000"/>
          <w:sz w:val="20"/>
          <w:szCs w:val="20"/>
        </w:rPr>
        <w:t xml:space="preserve">We perform on-going reassessments to evaluate whether changes in an entity’s capital structure or changes in the nature of our involvement with the entity result in a change to the VIE designation or a change to our consolidation conclusion. </w:t>
      </w:r>
      <w:r>
        <w:rPr>
          <w:rFonts w:eastAsia="Times New Roman"/>
          <w:color w:val="000000"/>
          <w:sz w:val="20"/>
          <w:szCs w:val="20"/>
        </w:rPr>
        <w:t>See “Note 5—Variable Interest Entities and Securitizations” for further details.</w:t>
      </w:r>
    </w:p>
    <w:p w:rsidR="00000000" w:rsidRDefault="0094004B">
      <w:pPr>
        <w:divId w:val="1605961218"/>
        <w:rPr>
          <w:rFonts w:eastAsia="Times New Roman"/>
        </w:rPr>
      </w:pPr>
      <w:r>
        <w:rPr>
          <w:rFonts w:eastAsia="Times New Roman"/>
          <w:b/>
          <w:bCs/>
          <w:color w:val="000000"/>
          <w:sz w:val="20"/>
          <w:szCs w:val="20"/>
        </w:rPr>
        <w:t>Balance Sheet Offsetting of Financial Assets and Liabilities</w:t>
      </w:r>
    </w:p>
    <w:p w:rsidR="00000000" w:rsidRDefault="0094004B">
      <w:pPr>
        <w:jc w:val="both"/>
        <w:divId w:val="90661056"/>
        <w:rPr>
          <w:rFonts w:eastAsia="Times New Roman"/>
        </w:rPr>
      </w:pPr>
      <w:r>
        <w:rPr>
          <w:rFonts w:eastAsia="Times New Roman"/>
          <w:color w:val="000000"/>
          <w:sz w:val="20"/>
          <w:szCs w:val="20"/>
        </w:rPr>
        <w:t>Derivative contracts that we execute bilaterally in the over-the-counter (“OTC”) market or are centrally cleared a</w:t>
      </w:r>
      <w:r>
        <w:rPr>
          <w:rFonts w:eastAsia="Times New Roman"/>
          <w:color w:val="000000"/>
          <w:sz w:val="20"/>
          <w:szCs w:val="20"/>
        </w:rPr>
        <w:t xml:space="preserve">re generally governed by enforceable master netting agreements where we generally have the right to offset exposure with the same counterparty. Either counterparty can generally request to net settle all contracts through a single payment upon default on, </w:t>
      </w:r>
      <w:r>
        <w:rPr>
          <w:rFonts w:eastAsia="Times New Roman"/>
          <w:color w:val="000000"/>
          <w:sz w:val="20"/>
          <w:szCs w:val="20"/>
        </w:rPr>
        <w:t>or termination of, any one contract. We elect to offset the derivative assets and liabilities under master netting agreements for balance sheet presentation where a right of setoff exists. For derivative contracts entered into under master netting agreemen</w:t>
      </w:r>
      <w:r>
        <w:rPr>
          <w:rFonts w:eastAsia="Times New Roman"/>
          <w:color w:val="000000"/>
          <w:sz w:val="20"/>
          <w:szCs w:val="20"/>
        </w:rPr>
        <w:t>ts for which we have not been able to confirm the enforceability of the setoff rights, or those not subject to master netting agreements, we do not offset our derivative positions for balance sheet presentation. See “Note 9—Derivative Instruments and Hedgi</w:t>
      </w:r>
      <w:r>
        <w:rPr>
          <w:rFonts w:eastAsia="Times New Roman"/>
          <w:color w:val="000000"/>
          <w:sz w:val="20"/>
          <w:szCs w:val="20"/>
        </w:rPr>
        <w:t xml:space="preserve">ng Activities” for more details. </w:t>
      </w:r>
    </w:p>
    <w:p w:rsidR="00000000" w:rsidRDefault="0094004B">
      <w:pPr>
        <w:jc w:val="both"/>
        <w:divId w:val="1005203369"/>
        <w:rPr>
          <w:rFonts w:eastAsia="Times New Roman"/>
        </w:rPr>
      </w:pPr>
      <w:r>
        <w:rPr>
          <w:rFonts w:eastAsia="Times New Roman"/>
          <w:color w:val="000000"/>
          <w:sz w:val="20"/>
          <w:szCs w:val="20"/>
        </w:rPr>
        <w:t>We also elect to present securities purchased or sold under resale or repurchase agreements on a net basis when a legally enforceable master netting agreement exists and other applicable criteria are met. Security collater</w:t>
      </w:r>
      <w:r>
        <w:rPr>
          <w:rFonts w:eastAsia="Times New Roman"/>
          <w:color w:val="000000"/>
          <w:sz w:val="20"/>
          <w:szCs w:val="20"/>
        </w:rPr>
        <w:t>al received from or pledged to the counterparties are not eligible for netting and are presented gross in our consolidated balance sheet. See “Note 8—Deposits and Borrowings” and “Note 9—Derivative Instruments and Hedging Activities” for more details.</w:t>
      </w:r>
    </w:p>
    <w:p w:rsidR="00000000" w:rsidRDefault="0094004B">
      <w:pPr>
        <w:divId w:val="2030831175"/>
        <w:rPr>
          <w:rFonts w:eastAsia="Times New Roman"/>
        </w:rPr>
      </w:pPr>
      <w:r>
        <w:rPr>
          <w:rFonts w:eastAsia="Times New Roman"/>
          <w:b/>
          <w:bCs/>
          <w:color w:val="000000"/>
          <w:sz w:val="20"/>
          <w:szCs w:val="20"/>
        </w:rPr>
        <w:t>Cash</w:t>
      </w:r>
      <w:r>
        <w:rPr>
          <w:rFonts w:eastAsia="Times New Roman"/>
          <w:b/>
          <w:bCs/>
          <w:color w:val="000000"/>
          <w:sz w:val="20"/>
          <w:szCs w:val="20"/>
        </w:rPr>
        <w:t xml:space="preserve"> and Cash Equivalents</w:t>
      </w:r>
    </w:p>
    <w:p w:rsidR="00000000" w:rsidRDefault="0094004B">
      <w:pPr>
        <w:jc w:val="both"/>
        <w:divId w:val="1339624064"/>
        <w:rPr>
          <w:rFonts w:eastAsia="Times New Roman"/>
        </w:rPr>
      </w:pPr>
      <w:r>
        <w:rPr>
          <w:rFonts w:eastAsia="Times New Roman"/>
          <w:color w:val="000000"/>
          <w:sz w:val="20"/>
          <w:szCs w:val="20"/>
        </w:rPr>
        <w:t>Cash and cash equivalents include cash and due from banks, interest-bearing deposits and other short-term investments, all of which, if applicable, have stated maturities of three months or less when acquired.</w:t>
      </w:r>
    </w:p>
    <w:p w:rsidR="00000000" w:rsidRDefault="0094004B">
      <w:pPr>
        <w:divId w:val="1433621764"/>
        <w:rPr>
          <w:rFonts w:eastAsia="Times New Roman"/>
        </w:rPr>
      </w:pPr>
      <w:r>
        <w:rPr>
          <w:rFonts w:eastAsia="Times New Roman"/>
          <w:b/>
          <w:bCs/>
          <w:color w:val="000000"/>
          <w:sz w:val="20"/>
          <w:szCs w:val="20"/>
        </w:rPr>
        <w:t>Securities Resale and Re</w:t>
      </w:r>
      <w:r>
        <w:rPr>
          <w:rFonts w:eastAsia="Times New Roman"/>
          <w:b/>
          <w:bCs/>
          <w:color w:val="000000"/>
          <w:sz w:val="20"/>
          <w:szCs w:val="20"/>
        </w:rPr>
        <w:t xml:space="preserve">purchase Agreements </w:t>
      </w:r>
    </w:p>
    <w:p w:rsidR="00000000" w:rsidRDefault="0094004B">
      <w:pPr>
        <w:jc w:val="both"/>
        <w:divId w:val="348680192"/>
        <w:rPr>
          <w:rFonts w:eastAsia="Times New Roman"/>
        </w:rPr>
      </w:pPr>
      <w:r>
        <w:rPr>
          <w:rFonts w:eastAsia="Times New Roman"/>
          <w:color w:val="000000"/>
          <w:sz w:val="20"/>
          <w:szCs w:val="20"/>
        </w:rPr>
        <w:t xml:space="preserve">Securities purchased under resale agreements and securities loaned or sold under agreements to repurchase, principally U.S. government and agency obligations, are not accounted for as sales but as collateralized financing transactions </w:t>
      </w:r>
      <w:r>
        <w:rPr>
          <w:rFonts w:eastAsia="Times New Roman"/>
          <w:color w:val="000000"/>
          <w:sz w:val="20"/>
          <w:szCs w:val="20"/>
        </w:rPr>
        <w:t>and recorded at the amounts at which the securities were acquired or sold, plus accrued interest. We continually monitor the market value of these securities and deliver additional collateral to or obtain additional collateral from counterparties, as appro</w:t>
      </w:r>
      <w:r>
        <w:rPr>
          <w:rFonts w:eastAsia="Times New Roman"/>
          <w:color w:val="000000"/>
          <w:sz w:val="20"/>
          <w:szCs w:val="20"/>
        </w:rPr>
        <w:t>priate. See “Note 8—Deposits and Borrowings”</w:t>
      </w:r>
    </w:p>
    <w:p w:rsidR="00000000" w:rsidRDefault="0094004B">
      <w:pPr>
        <w:divId w:val="1631740749"/>
        <w:rPr>
          <w:rFonts w:eastAsia="Times New Roman"/>
        </w:rPr>
      </w:pPr>
      <w:r>
        <w:rPr>
          <w:rFonts w:eastAsia="Times New Roman"/>
          <w:b/>
          <w:bCs/>
          <w:color w:val="000000"/>
          <w:sz w:val="20"/>
          <w:szCs w:val="20"/>
        </w:rPr>
        <w:t xml:space="preserve">Investment Securities </w:t>
      </w:r>
    </w:p>
    <w:p w:rsidR="00000000" w:rsidRDefault="0094004B">
      <w:pPr>
        <w:jc w:val="both"/>
        <w:divId w:val="510603445"/>
        <w:rPr>
          <w:rFonts w:eastAsia="Times New Roman"/>
        </w:rPr>
      </w:pPr>
      <w:r>
        <w:rPr>
          <w:rFonts w:eastAsia="Times New Roman"/>
          <w:color w:val="000000"/>
          <w:sz w:val="20"/>
          <w:szCs w:val="20"/>
        </w:rPr>
        <w:t>Our investment portfolio consists primarily of the following: U.S. Treasury securities; U.S. government-sponsored enterprise or agency (“Agency”) and non-agency residential mortgage-backed</w:t>
      </w:r>
      <w:r>
        <w:rPr>
          <w:rFonts w:eastAsia="Times New Roman"/>
          <w:color w:val="000000"/>
          <w:sz w:val="20"/>
          <w:szCs w:val="20"/>
        </w:rPr>
        <w:t xml:space="preserve"> securities (“RMBS”); Agency commercial mortgage-backed securities (“CMBS”); and other securities. The accounting and measurement framework for our investment securities differs depending on the security classification.</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41314474"/>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41314474"/>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41314474"/>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124</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50" style="width:0;height:1.5pt" o:hralign="center" o:hrstd="t" o:hr="t" fillcolor="#a0a0a0" stroked="f"/>
        </w:pict>
      </w:r>
    </w:p>
    <w:p w:rsidR="00000000" w:rsidRDefault="0094004B">
      <w:pPr>
        <w:jc w:val="both"/>
        <w:divId w:val="115149868"/>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115149868"/>
        <w:rPr>
          <w:rFonts w:eastAsia="Times New Roman"/>
        </w:rPr>
      </w:pPr>
    </w:p>
    <w:p w:rsidR="00000000" w:rsidRDefault="0094004B">
      <w:pPr>
        <w:jc w:val="center"/>
        <w:divId w:val="115149868"/>
        <w:rPr>
          <w:rFonts w:eastAsia="Times New Roman"/>
        </w:rPr>
      </w:pPr>
      <w:r>
        <w:rPr>
          <w:rFonts w:eastAsia="Times New Roman"/>
          <w:b/>
          <w:bCs/>
          <w:color w:val="000000"/>
          <w:sz w:val="20"/>
          <w:szCs w:val="20"/>
        </w:rPr>
        <w:t>CAPITAL ONE FINANCIAL CORPORATION</w:t>
      </w:r>
    </w:p>
    <w:p w:rsidR="00000000" w:rsidRDefault="0094004B">
      <w:pPr>
        <w:jc w:val="center"/>
        <w:divId w:val="115149868"/>
        <w:rPr>
          <w:rFonts w:eastAsia="Times New Roman"/>
        </w:rPr>
      </w:pPr>
      <w:r>
        <w:rPr>
          <w:rFonts w:eastAsia="Times New Roman"/>
          <w:b/>
          <w:bCs/>
          <w:color w:val="000000"/>
          <w:sz w:val="20"/>
          <w:szCs w:val="20"/>
        </w:rPr>
        <w:t>NOTES TO CONSOLIDATED FINANCIAL STATEMENTS</w:t>
      </w:r>
    </w:p>
    <w:p w:rsidR="00000000" w:rsidRDefault="0094004B">
      <w:pPr>
        <w:jc w:val="both"/>
        <w:divId w:val="2036150973"/>
        <w:rPr>
          <w:rFonts w:eastAsia="Times New Roman"/>
        </w:rPr>
      </w:pPr>
      <w:r>
        <w:rPr>
          <w:rFonts w:eastAsia="Times New Roman"/>
          <w:color w:val="000000"/>
          <w:sz w:val="20"/>
          <w:szCs w:val="20"/>
        </w:rPr>
        <w:t>We classify securities as available for sale or held to maturity</w:t>
      </w:r>
      <w:r>
        <w:rPr>
          <w:rFonts w:eastAsia="Times New Roman"/>
          <w:color w:val="000000"/>
          <w:sz w:val="20"/>
          <w:szCs w:val="20"/>
        </w:rPr>
        <w:t xml:space="preserve"> based on our investment strategy and management’s assessment of our intent and ability to hold the securities until maturity. We did not have any securities that were classified as held to maturity as of December 31, 2022 and 2021.</w:t>
      </w:r>
    </w:p>
    <w:p w:rsidR="00000000" w:rsidRDefault="0094004B">
      <w:pPr>
        <w:jc w:val="both"/>
        <w:divId w:val="490947392"/>
        <w:rPr>
          <w:rFonts w:eastAsia="Times New Roman"/>
        </w:rPr>
      </w:pPr>
      <w:r>
        <w:rPr>
          <w:rFonts w:eastAsia="Times New Roman"/>
          <w:color w:val="000000"/>
          <w:sz w:val="20"/>
          <w:szCs w:val="20"/>
        </w:rPr>
        <w:t>We report securities av</w:t>
      </w:r>
      <w:r>
        <w:rPr>
          <w:rFonts w:eastAsia="Times New Roman"/>
          <w:color w:val="000000"/>
          <w:sz w:val="20"/>
          <w:szCs w:val="20"/>
        </w:rPr>
        <w:t>ailable for sale on our consolidated balance sheets at fair value. The amortized cost of investment securities reflects the amount for which the security was acquired, adjusted for accrued interest, amortization of premiums, discounts, and net deferred fee</w:t>
      </w:r>
      <w:r>
        <w:rPr>
          <w:rFonts w:eastAsia="Times New Roman"/>
          <w:color w:val="000000"/>
          <w:sz w:val="20"/>
          <w:szCs w:val="20"/>
        </w:rPr>
        <w:t>s and costs, any applicable fair value hedge accounting adjustments, collection of cash, and charge-offs. Unrealized gains or losses are recorded, net of tax, as a component of accumulated other comprehensive income (“AOCI”). Unamortized premiums, discount</w:t>
      </w:r>
      <w:r>
        <w:rPr>
          <w:rFonts w:eastAsia="Times New Roman"/>
          <w:color w:val="000000"/>
          <w:sz w:val="20"/>
          <w:szCs w:val="20"/>
        </w:rPr>
        <w:t>s and other basis adjustments for available for sale securities are generally recognized in interest income over the contractual lives of the securities using the interest method. However, premiums on certain callable investment securities are amortized to</w:t>
      </w:r>
      <w:r>
        <w:rPr>
          <w:rFonts w:eastAsia="Times New Roman"/>
          <w:color w:val="000000"/>
          <w:sz w:val="20"/>
          <w:szCs w:val="20"/>
        </w:rPr>
        <w:t xml:space="preserve"> the earliest call date. We record purchases and sales of investment securities available for sale on a trade date basis. Realized gains or losses from the sale of debt securities are computed using the first-in first-out method of identification, and are </w:t>
      </w:r>
      <w:r>
        <w:rPr>
          <w:rFonts w:eastAsia="Times New Roman"/>
          <w:color w:val="000000"/>
          <w:sz w:val="20"/>
          <w:szCs w:val="20"/>
        </w:rPr>
        <w:t xml:space="preserve">included in non-interest income in our consolidated statements of income. We elect to present accrued interest for securities available for sale within interest receivable on our consolidated balance sheets. </w:t>
      </w:r>
    </w:p>
    <w:p w:rsidR="00000000" w:rsidRDefault="0094004B">
      <w:pPr>
        <w:jc w:val="both"/>
        <w:divId w:val="2004240154"/>
        <w:rPr>
          <w:rFonts w:eastAsia="Times New Roman"/>
        </w:rPr>
      </w:pPr>
      <w:r>
        <w:rPr>
          <w:rFonts w:eastAsia="Times New Roman"/>
          <w:color w:val="000000"/>
          <w:sz w:val="20"/>
          <w:szCs w:val="20"/>
        </w:rPr>
        <w:t>An individual debt security is impaired when the fair value of the security is less than its amortized cost. If we intend to sell an available for sale security in an unrealized loss position or it is more likely than not that we will be required to sell t</w:t>
      </w:r>
      <w:r>
        <w:rPr>
          <w:rFonts w:eastAsia="Times New Roman"/>
          <w:color w:val="000000"/>
          <w:sz w:val="20"/>
          <w:szCs w:val="20"/>
        </w:rPr>
        <w:t>he security prior to recovery of its amortized cost basis, any allowance for credit losses is reversed through our provision for credit losses and the difference between the amortized cost basis of the security and its fair value is recognized in our conso</w:t>
      </w:r>
      <w:r>
        <w:rPr>
          <w:rFonts w:eastAsia="Times New Roman"/>
          <w:color w:val="000000"/>
          <w:sz w:val="20"/>
          <w:szCs w:val="20"/>
        </w:rPr>
        <w:t>lidated statements of income.</w:t>
      </w:r>
    </w:p>
    <w:p w:rsidR="00000000" w:rsidRDefault="0094004B">
      <w:pPr>
        <w:jc w:val="both"/>
        <w:divId w:val="1592081288"/>
        <w:rPr>
          <w:rFonts w:eastAsia="Times New Roman"/>
        </w:rPr>
      </w:pPr>
      <w:r>
        <w:rPr>
          <w:rFonts w:eastAsia="Times New Roman"/>
          <w:color w:val="000000"/>
          <w:sz w:val="20"/>
          <w:szCs w:val="20"/>
        </w:rPr>
        <w:t>For impaired debt securities that we have both the intent and ability to hold, the securities are evaluated to determine if a credit loss exists. The allowance for credit losses on our investment securities is recognized throu</w:t>
      </w:r>
      <w:r>
        <w:rPr>
          <w:rFonts w:eastAsia="Times New Roman"/>
          <w:color w:val="000000"/>
          <w:sz w:val="20"/>
          <w:szCs w:val="20"/>
        </w:rPr>
        <w:t xml:space="preserve">gh our provision for credit losses and limited by the unrealized losses of a security measured as the difference between the security’s amortized cost and fair value. See further discussion below under the “Allowance for Credit Losses - Available for Sale </w:t>
      </w:r>
      <w:r>
        <w:rPr>
          <w:rFonts w:eastAsia="Times New Roman"/>
          <w:color w:val="000000"/>
          <w:sz w:val="20"/>
          <w:szCs w:val="20"/>
        </w:rPr>
        <w:t>Investment Securities” section of this Note.</w:t>
      </w:r>
    </w:p>
    <w:p w:rsidR="00000000" w:rsidRDefault="0094004B">
      <w:pPr>
        <w:jc w:val="both"/>
        <w:divId w:val="2100370404"/>
        <w:rPr>
          <w:rFonts w:eastAsia="Times New Roman"/>
        </w:rPr>
      </w:pPr>
      <w:r>
        <w:rPr>
          <w:rFonts w:eastAsia="Times New Roman"/>
          <w:color w:val="000000"/>
          <w:sz w:val="20"/>
          <w:szCs w:val="20"/>
        </w:rPr>
        <w:t>Our investment portfolio also includes certain debt securities that, at the time of purchase, had experienced a more-than-insignificant deterioration in credit quality since origination. Such debt securities are</w:t>
      </w:r>
      <w:r>
        <w:rPr>
          <w:rFonts w:eastAsia="Times New Roman"/>
          <w:color w:val="000000"/>
          <w:sz w:val="20"/>
          <w:szCs w:val="20"/>
        </w:rPr>
        <w:t xml:space="preserve"> accounted for in accordance with accounting guidance for purchased financial assets with credit deterioration and are herein referred to as purchased credit-deteriorated (“PCD”) securities.</w:t>
      </w:r>
    </w:p>
    <w:p w:rsidR="00000000" w:rsidRDefault="0094004B">
      <w:pPr>
        <w:jc w:val="both"/>
        <w:divId w:val="4678448"/>
        <w:rPr>
          <w:rFonts w:eastAsia="Times New Roman"/>
        </w:rPr>
      </w:pPr>
      <w:r>
        <w:rPr>
          <w:rFonts w:eastAsia="Times New Roman"/>
          <w:color w:val="000000"/>
          <w:sz w:val="20"/>
          <w:szCs w:val="20"/>
        </w:rPr>
        <w:t>PCD securities require the recognition of an allowance for credit</w:t>
      </w:r>
      <w:r>
        <w:rPr>
          <w:rFonts w:eastAsia="Times New Roman"/>
          <w:color w:val="000000"/>
          <w:sz w:val="20"/>
          <w:szCs w:val="20"/>
        </w:rPr>
        <w:t xml:space="preserve"> losses at the time of acquisition. The allowance for credit losses is not recognized in provision for credit losses. Instead, the purchase price and the initial allowance collectively represent the amortized cost basis of a PCD security. Any non-credit di</w:t>
      </w:r>
      <w:r>
        <w:rPr>
          <w:rFonts w:eastAsia="Times New Roman"/>
          <w:color w:val="000000"/>
          <w:sz w:val="20"/>
          <w:szCs w:val="20"/>
        </w:rPr>
        <w:t xml:space="preserve">scount or premium at the date of acquisition is amortized into interest income over the remaining life of the security. Subsequent to the date of purchase, we remeasure the allowance for credit losses on the amortized cost basis using the same policies as </w:t>
      </w:r>
      <w:r>
        <w:rPr>
          <w:rFonts w:eastAsia="Times New Roman"/>
          <w:color w:val="000000"/>
          <w:sz w:val="20"/>
          <w:szCs w:val="20"/>
        </w:rPr>
        <w:t>for other debt securities available for sale and changes are recognized through our provision for credit losses. See further discussion below under the “Allowance for Credit Losses - Available for Sale Investment Securities” section of this Note.</w:t>
      </w:r>
    </w:p>
    <w:p w:rsidR="00000000" w:rsidRDefault="0094004B">
      <w:pPr>
        <w:jc w:val="both"/>
        <w:divId w:val="1374814900"/>
        <w:rPr>
          <w:rFonts w:eastAsia="Times New Roman"/>
        </w:rPr>
      </w:pPr>
      <w:r>
        <w:rPr>
          <w:rFonts w:eastAsia="Times New Roman"/>
          <w:color w:val="000000"/>
          <w:sz w:val="20"/>
          <w:szCs w:val="20"/>
        </w:rPr>
        <w:t>We charge</w:t>
      </w:r>
      <w:r>
        <w:rPr>
          <w:rFonts w:eastAsia="Times New Roman"/>
          <w:color w:val="000000"/>
          <w:sz w:val="20"/>
          <w:szCs w:val="20"/>
        </w:rPr>
        <w:t xml:space="preserve"> off any portion of an investment security that we determine is uncollectible. The amortized cost basis, excluding accrued interest, is charged off through the allowance for credit losses. Accrued interest is charged off as a reduction to interest income. </w:t>
      </w:r>
      <w:r>
        <w:rPr>
          <w:rFonts w:eastAsia="Times New Roman"/>
          <w:color w:val="000000"/>
          <w:sz w:val="20"/>
          <w:szCs w:val="20"/>
        </w:rPr>
        <w:t>Recoveries of previously charged off principal amounts are recognized in our provision for credit losses when received.</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230968700"/>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230968700"/>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230968700"/>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125</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51" style="width:0;height:1.5pt" o:hralign="center" o:hrstd="t" o:hr="t" fillcolor="#a0a0a0" stroked="f"/>
        </w:pict>
      </w:r>
    </w:p>
    <w:p w:rsidR="00000000" w:rsidRDefault="0094004B">
      <w:pPr>
        <w:jc w:val="both"/>
        <w:divId w:val="1402942851"/>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1402942851"/>
        <w:rPr>
          <w:rFonts w:eastAsia="Times New Roman"/>
        </w:rPr>
      </w:pPr>
    </w:p>
    <w:p w:rsidR="00000000" w:rsidRDefault="0094004B">
      <w:pPr>
        <w:jc w:val="center"/>
        <w:divId w:val="1402942851"/>
        <w:rPr>
          <w:rFonts w:eastAsia="Times New Roman"/>
        </w:rPr>
      </w:pPr>
      <w:r>
        <w:rPr>
          <w:rFonts w:eastAsia="Times New Roman"/>
          <w:b/>
          <w:bCs/>
          <w:color w:val="000000"/>
          <w:sz w:val="20"/>
          <w:szCs w:val="20"/>
        </w:rPr>
        <w:t>CAPITAL ONE FINANCIAL CORPORATION</w:t>
      </w:r>
    </w:p>
    <w:p w:rsidR="00000000" w:rsidRDefault="0094004B">
      <w:pPr>
        <w:jc w:val="center"/>
        <w:divId w:val="1402942851"/>
        <w:rPr>
          <w:rFonts w:eastAsia="Times New Roman"/>
        </w:rPr>
      </w:pPr>
      <w:r>
        <w:rPr>
          <w:rFonts w:eastAsia="Times New Roman"/>
          <w:b/>
          <w:bCs/>
          <w:color w:val="000000"/>
          <w:sz w:val="20"/>
          <w:szCs w:val="20"/>
        </w:rPr>
        <w:t>NOTES TO CONSOLIDATED FINANCIAL STATEMENTS</w:t>
      </w:r>
    </w:p>
    <w:p w:rsidR="00000000" w:rsidRDefault="0094004B">
      <w:pPr>
        <w:divId w:val="1915434752"/>
        <w:rPr>
          <w:rFonts w:eastAsia="Times New Roman"/>
        </w:rPr>
      </w:pPr>
      <w:r>
        <w:rPr>
          <w:rFonts w:eastAsia="Times New Roman"/>
          <w:b/>
          <w:bCs/>
          <w:i/>
          <w:iCs/>
          <w:color w:val="000000"/>
          <w:sz w:val="20"/>
          <w:szCs w:val="20"/>
        </w:rPr>
        <w:t>Allowance for Credit Losses - Available for Sale Investment Securities</w:t>
      </w:r>
    </w:p>
    <w:p w:rsidR="00000000" w:rsidRDefault="0094004B">
      <w:pPr>
        <w:jc w:val="both"/>
        <w:divId w:val="107356301"/>
        <w:rPr>
          <w:rFonts w:eastAsia="Times New Roman"/>
        </w:rPr>
      </w:pPr>
      <w:r>
        <w:rPr>
          <w:rFonts w:eastAsia="Times New Roman"/>
          <w:color w:val="000000"/>
          <w:sz w:val="20"/>
          <w:szCs w:val="20"/>
        </w:rPr>
        <w:t xml:space="preserve">We maintain an allowance for credit losses that represents management’s current estimate of expected credit losses over the contractual terms of our investment securities classified as </w:t>
      </w:r>
      <w:r>
        <w:rPr>
          <w:rFonts w:eastAsia="Times New Roman"/>
          <w:color w:val="000000"/>
          <w:sz w:val="20"/>
          <w:szCs w:val="20"/>
        </w:rPr>
        <w:t>available for sale. When an investment security available for sale is impaired due to credit factors, we recognize a provision for credit losses in our consolidated statements of income and an allowance for credit losses on our consolidated balance sheets.</w:t>
      </w:r>
      <w:r>
        <w:rPr>
          <w:rFonts w:eastAsia="Times New Roman"/>
          <w:color w:val="000000"/>
          <w:sz w:val="20"/>
          <w:szCs w:val="20"/>
        </w:rPr>
        <w:t xml:space="preserve"> Credit losses recognized in the allowance for credit losses are limited to the amount by which the investment security’s amortized cost basis exceeds its fair value. Investment securities in unrealized gain positions do not have an allowance for credit lo</w:t>
      </w:r>
      <w:r>
        <w:rPr>
          <w:rFonts w:eastAsia="Times New Roman"/>
          <w:color w:val="000000"/>
          <w:sz w:val="20"/>
          <w:szCs w:val="20"/>
        </w:rPr>
        <w:t>sses as the investment security could be sold at its fair value to prevent realization of any credit losses. We exclude accrued interest from the fair value and amortized cost basis of an investment security for purposes of measuring impairment. Charge-off</w:t>
      </w:r>
      <w:r>
        <w:rPr>
          <w:rFonts w:eastAsia="Times New Roman"/>
          <w:color w:val="000000"/>
          <w:sz w:val="20"/>
          <w:szCs w:val="20"/>
        </w:rPr>
        <w:t>s of uncollectible amounts of investment securities are deducted from the allowance for credit losses.</w:t>
      </w:r>
    </w:p>
    <w:p w:rsidR="00000000" w:rsidRDefault="0094004B">
      <w:pPr>
        <w:jc w:val="both"/>
        <w:divId w:val="1082293473"/>
        <w:rPr>
          <w:rFonts w:eastAsia="Times New Roman"/>
        </w:rPr>
      </w:pPr>
      <w:r>
        <w:rPr>
          <w:rFonts w:eastAsia="Times New Roman"/>
          <w:color w:val="000000"/>
          <w:sz w:val="20"/>
          <w:szCs w:val="20"/>
        </w:rPr>
        <w:t>For certain of our securities available for sale, we have determined that there is no risk of impairment due to credit factors. These investment securiti</w:t>
      </w:r>
      <w:r>
        <w:rPr>
          <w:rFonts w:eastAsia="Times New Roman"/>
          <w:color w:val="000000"/>
          <w:sz w:val="20"/>
          <w:szCs w:val="20"/>
        </w:rPr>
        <w:t>es include high quality debt instruments that are issued and guaranteed by the United States government and its agencies, certain government-sponsored enterprises, and certain foreign sovereign governments or supranational organizations. Management perform</w:t>
      </w:r>
      <w:r>
        <w:rPr>
          <w:rFonts w:eastAsia="Times New Roman"/>
          <w:color w:val="000000"/>
          <w:sz w:val="20"/>
          <w:szCs w:val="20"/>
        </w:rPr>
        <w:t>s periodic assessments to reevaluate this conclusion by considering any changes in historical losses, current conditions, and reasonable and supportable forecasts.</w:t>
      </w:r>
    </w:p>
    <w:p w:rsidR="00000000" w:rsidRDefault="0094004B">
      <w:pPr>
        <w:jc w:val="both"/>
        <w:divId w:val="1751659293"/>
        <w:rPr>
          <w:rFonts w:eastAsia="Times New Roman"/>
        </w:rPr>
      </w:pPr>
      <w:r>
        <w:rPr>
          <w:rFonts w:eastAsia="Times New Roman"/>
          <w:color w:val="000000"/>
          <w:sz w:val="20"/>
          <w:szCs w:val="20"/>
        </w:rPr>
        <w:t>We evaluate impairment on a quarterly basis at the individual security level and determine w</w:t>
      </w:r>
      <w:r>
        <w:rPr>
          <w:rFonts w:eastAsia="Times New Roman"/>
          <w:color w:val="000000"/>
          <w:sz w:val="20"/>
          <w:szCs w:val="20"/>
        </w:rPr>
        <w:t>hether any portion of the decline in fair value is due to a credit loss. We make this determination through the use of quantitative and qualitative analyses. Our qualitative analysis includes factors such as the extent to which fair value is less than amor</w:t>
      </w:r>
      <w:r>
        <w:rPr>
          <w:rFonts w:eastAsia="Times New Roman"/>
          <w:color w:val="000000"/>
          <w:sz w:val="20"/>
          <w:szCs w:val="20"/>
        </w:rPr>
        <w:t>tized cost, any changes in the security’s credit rating, past defaults or delayed payments, and adverse conditions impacting the security or issuer. A credit loss exists to the extent that management does not expect to recover the amortized cost basis.</w:t>
      </w:r>
    </w:p>
    <w:p w:rsidR="00000000" w:rsidRDefault="0094004B">
      <w:pPr>
        <w:jc w:val="both"/>
        <w:divId w:val="128325289"/>
        <w:rPr>
          <w:rFonts w:eastAsia="Times New Roman"/>
        </w:rPr>
      </w:pPr>
      <w:r>
        <w:rPr>
          <w:rFonts w:eastAsia="Times New Roman"/>
          <w:color w:val="000000"/>
          <w:sz w:val="20"/>
          <w:szCs w:val="20"/>
        </w:rPr>
        <w:t>For</w:t>
      </w:r>
      <w:r>
        <w:rPr>
          <w:rFonts w:eastAsia="Times New Roman"/>
          <w:color w:val="000000"/>
          <w:sz w:val="20"/>
          <w:szCs w:val="20"/>
        </w:rPr>
        <w:t xml:space="preserve"> investment securities which require further assessment, we perform a quantitative analysis using a discounted cash flow methodology and compare the present value of expected future cash flows from the security available for sale to the security’s amortize</w:t>
      </w:r>
      <w:r>
        <w:rPr>
          <w:rFonts w:eastAsia="Times New Roman"/>
          <w:color w:val="000000"/>
          <w:sz w:val="20"/>
          <w:szCs w:val="20"/>
        </w:rPr>
        <w:t xml:space="preserve">d cost basis. Projected future cash flows reflect management’s best estimate and are based on our understanding of past events, current conditions, reasonable and supportable forecasts, and are discounted by the security’s effective interest rate adjusted </w:t>
      </w:r>
      <w:r>
        <w:rPr>
          <w:rFonts w:eastAsia="Times New Roman"/>
          <w:color w:val="000000"/>
          <w:sz w:val="20"/>
          <w:szCs w:val="20"/>
        </w:rPr>
        <w:t xml:space="preserve">for prepayments. The allowance for credit losses for investment securities reflects the difference by which the amortized cost basis exceeds the present value of future cash flows and is limited to the amount by which the security’s amortized cost exceeds </w:t>
      </w:r>
      <w:r>
        <w:rPr>
          <w:rFonts w:eastAsia="Times New Roman"/>
          <w:color w:val="000000"/>
          <w:sz w:val="20"/>
          <w:szCs w:val="20"/>
        </w:rPr>
        <w:t>its fair value. See “Note 2—Investment Securities” for additional information.</w:t>
      </w:r>
    </w:p>
    <w:p w:rsidR="00000000" w:rsidRDefault="0094004B">
      <w:pPr>
        <w:divId w:val="1836068151"/>
        <w:rPr>
          <w:rFonts w:eastAsia="Times New Roman"/>
        </w:rPr>
      </w:pPr>
      <w:r>
        <w:rPr>
          <w:rFonts w:eastAsia="Times New Roman"/>
          <w:b/>
          <w:bCs/>
          <w:color w:val="000000"/>
          <w:sz w:val="20"/>
          <w:szCs w:val="20"/>
        </w:rPr>
        <w:t>Loans</w:t>
      </w:r>
    </w:p>
    <w:p w:rsidR="00000000" w:rsidRDefault="0094004B">
      <w:pPr>
        <w:jc w:val="both"/>
        <w:divId w:val="616789410"/>
        <w:rPr>
          <w:rFonts w:eastAsia="Times New Roman"/>
        </w:rPr>
      </w:pPr>
      <w:r>
        <w:rPr>
          <w:rFonts w:eastAsia="Times New Roman"/>
          <w:color w:val="000000"/>
          <w:sz w:val="20"/>
          <w:szCs w:val="20"/>
        </w:rPr>
        <w:t>Our loan portfolio consists of loans held for investment, including loans held in our consolidated securitization trusts, and loans held for sale and is divided into three</w:t>
      </w:r>
      <w:r>
        <w:rPr>
          <w:rFonts w:eastAsia="Times New Roman"/>
          <w:color w:val="000000"/>
          <w:sz w:val="20"/>
          <w:szCs w:val="20"/>
        </w:rPr>
        <w:t xml:space="preserve"> portfolio segments: credit card, consumer banking and commercial banking loans. Credit card loans consist of domestic and international credit card loans. Consumer banking loans consist of auto and retail banking loans. Commercial banking loans consist of</w:t>
      </w:r>
      <w:r>
        <w:rPr>
          <w:rFonts w:eastAsia="Times New Roman"/>
          <w:color w:val="000000"/>
          <w:sz w:val="20"/>
          <w:szCs w:val="20"/>
        </w:rPr>
        <w:t xml:space="preserve"> commercial and multifamily real estate loans as well as commercial and industrial loans.</w:t>
      </w:r>
    </w:p>
    <w:p w:rsidR="00000000" w:rsidRDefault="0094004B">
      <w:pPr>
        <w:divId w:val="1949239745"/>
        <w:rPr>
          <w:rFonts w:eastAsia="Times New Roman"/>
        </w:rPr>
      </w:pPr>
      <w:r>
        <w:rPr>
          <w:rFonts w:eastAsia="Times New Roman"/>
          <w:b/>
          <w:bCs/>
          <w:i/>
          <w:iCs/>
          <w:color w:val="000000"/>
          <w:sz w:val="20"/>
          <w:szCs w:val="20"/>
        </w:rPr>
        <w:t xml:space="preserve">Loan Classification </w:t>
      </w:r>
    </w:p>
    <w:p w:rsidR="00000000" w:rsidRDefault="0094004B">
      <w:pPr>
        <w:jc w:val="both"/>
        <w:divId w:val="1243762090"/>
        <w:rPr>
          <w:rFonts w:eastAsia="Times New Roman"/>
        </w:rPr>
      </w:pPr>
      <w:r>
        <w:rPr>
          <w:rFonts w:eastAsia="Times New Roman"/>
          <w:color w:val="000000"/>
          <w:sz w:val="20"/>
          <w:szCs w:val="20"/>
        </w:rPr>
        <w:t>We classify loans as held for investment or held for sale based on our investment strategy and management’s intent and ability with regard to the</w:t>
      </w:r>
      <w:r>
        <w:rPr>
          <w:rFonts w:eastAsia="Times New Roman"/>
          <w:color w:val="000000"/>
          <w:sz w:val="20"/>
          <w:szCs w:val="20"/>
        </w:rPr>
        <w:t xml:space="preserve"> loans, which may change over time. The accounting and measurement framework for loans differs depending on the loan classification, whether we elect the fair value option, whether the loans are originated or purchased and whether purchased loans are consi</w:t>
      </w:r>
      <w:r>
        <w:rPr>
          <w:rFonts w:eastAsia="Times New Roman"/>
          <w:color w:val="000000"/>
          <w:sz w:val="20"/>
          <w:szCs w:val="20"/>
        </w:rPr>
        <w:t>dered to have experienced a more-than-insignificant deterioration in credit quality since origination. The presentation within the consolidated statements of cash flows is based on management’s intent at acquisition or origination. Cash flows related to lo</w:t>
      </w:r>
      <w:r>
        <w:rPr>
          <w:rFonts w:eastAsia="Times New Roman"/>
          <w:color w:val="000000"/>
          <w:sz w:val="20"/>
          <w:szCs w:val="20"/>
        </w:rPr>
        <w:t>ans that are acquired or originated with the intent to hold for investment are included in cash flows from investing activities on our consolidated statements of cash flows. Cash flows related to loans that are acquired or originated with the intent to sel</w:t>
      </w:r>
      <w:r>
        <w:rPr>
          <w:rFonts w:eastAsia="Times New Roman"/>
          <w:color w:val="000000"/>
          <w:sz w:val="20"/>
          <w:szCs w:val="20"/>
        </w:rPr>
        <w:t>l are included in cash flows from operating activities on our consolidated statements of cash flows.</w:t>
      </w:r>
    </w:p>
    <w:p w:rsidR="00000000" w:rsidRDefault="0094004B">
      <w:pPr>
        <w:jc w:val="both"/>
        <w:divId w:val="617221897"/>
        <w:rPr>
          <w:rFonts w:eastAsia="Times New Roman"/>
        </w:rPr>
      </w:pPr>
      <w:r>
        <w:rPr>
          <w:rFonts w:eastAsia="Times New Roman"/>
          <w:i/>
          <w:iCs/>
          <w:color w:val="000000"/>
          <w:sz w:val="20"/>
          <w:szCs w:val="20"/>
        </w:rPr>
        <w:t>Loans Held for Investment</w:t>
      </w:r>
    </w:p>
    <w:p w:rsidR="00000000" w:rsidRDefault="0094004B">
      <w:pPr>
        <w:jc w:val="both"/>
        <w:divId w:val="1177118112"/>
        <w:rPr>
          <w:rFonts w:eastAsia="Times New Roman"/>
        </w:rPr>
      </w:pPr>
      <w:r>
        <w:rPr>
          <w:rFonts w:eastAsia="Times New Roman"/>
          <w:color w:val="000000"/>
          <w:sz w:val="20"/>
          <w:szCs w:val="20"/>
        </w:rPr>
        <w:t>Loans that we have the ability and intent to hold for the foreseeable future and loans associated with consolidated securitizatio</w:t>
      </w:r>
      <w:r>
        <w:rPr>
          <w:rFonts w:eastAsia="Times New Roman"/>
          <w:color w:val="000000"/>
          <w:sz w:val="20"/>
          <w:szCs w:val="20"/>
        </w:rPr>
        <w:t>n transactions are classified as held for investment. Loans classified as held for investment, except for credit card loans, are reported at their amortized cost basis, excluding accrued interest. For these loans, we elect to present accrued interest withi</w:t>
      </w:r>
      <w:r>
        <w:rPr>
          <w:rFonts w:eastAsia="Times New Roman"/>
          <w:color w:val="000000"/>
          <w:sz w:val="20"/>
          <w:szCs w:val="20"/>
        </w:rPr>
        <w:t xml:space="preserve">n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637250636"/>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637250636"/>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637250636"/>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126</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52" style="width:0;height:1.5pt" o:hralign="center" o:hrstd="t" o:hr="t" fillcolor="#a0a0a0" stroked="f"/>
        </w:pict>
      </w:r>
    </w:p>
    <w:p w:rsidR="00000000" w:rsidRDefault="0094004B">
      <w:pPr>
        <w:jc w:val="both"/>
        <w:divId w:val="329141346"/>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329141346"/>
        <w:rPr>
          <w:rFonts w:eastAsia="Times New Roman"/>
        </w:rPr>
      </w:pPr>
    </w:p>
    <w:p w:rsidR="00000000" w:rsidRDefault="0094004B">
      <w:pPr>
        <w:jc w:val="center"/>
        <w:divId w:val="329141346"/>
        <w:rPr>
          <w:rFonts w:eastAsia="Times New Roman"/>
        </w:rPr>
      </w:pPr>
      <w:r>
        <w:rPr>
          <w:rFonts w:eastAsia="Times New Roman"/>
          <w:b/>
          <w:bCs/>
          <w:color w:val="000000"/>
          <w:sz w:val="20"/>
          <w:szCs w:val="20"/>
        </w:rPr>
        <w:t>CAPITAL ONE FINANCIAL CORPORATION</w:t>
      </w:r>
    </w:p>
    <w:p w:rsidR="00000000" w:rsidRDefault="0094004B">
      <w:pPr>
        <w:jc w:val="center"/>
        <w:divId w:val="329141346"/>
        <w:rPr>
          <w:rFonts w:eastAsia="Times New Roman"/>
        </w:rPr>
      </w:pPr>
      <w:r>
        <w:rPr>
          <w:rFonts w:eastAsia="Times New Roman"/>
          <w:b/>
          <w:bCs/>
          <w:color w:val="000000"/>
          <w:sz w:val="20"/>
          <w:szCs w:val="20"/>
        </w:rPr>
        <w:t>NOTES TO CONSOLIDATED FINANCIAL STATEMENTS</w:t>
      </w:r>
    </w:p>
    <w:p w:rsidR="00000000" w:rsidRDefault="0094004B">
      <w:pPr>
        <w:jc w:val="both"/>
        <w:divId w:val="1940064033"/>
        <w:rPr>
          <w:rFonts w:eastAsia="Times New Roman"/>
        </w:rPr>
      </w:pPr>
      <w:r>
        <w:rPr>
          <w:rFonts w:eastAsia="Times New Roman"/>
          <w:color w:val="000000"/>
          <w:sz w:val="20"/>
          <w:szCs w:val="20"/>
        </w:rPr>
        <w:t>interest receivable on our consolidated balance sheets. For credit card loans classified as held for investment, earned finance charges and fees are included in either loans held for investment (if they have been billed to the customer) or interest receiva</w:t>
      </w:r>
      <w:r>
        <w:rPr>
          <w:rFonts w:eastAsia="Times New Roman"/>
          <w:color w:val="000000"/>
          <w:sz w:val="20"/>
          <w:szCs w:val="20"/>
        </w:rPr>
        <w:t>ble (if they have not yet been billed to the customer).</w:t>
      </w:r>
    </w:p>
    <w:p w:rsidR="00000000" w:rsidRDefault="0094004B">
      <w:pPr>
        <w:jc w:val="both"/>
        <w:divId w:val="333192982"/>
        <w:rPr>
          <w:rFonts w:eastAsia="Times New Roman"/>
        </w:rPr>
      </w:pPr>
      <w:r>
        <w:rPr>
          <w:rFonts w:eastAsia="Times New Roman"/>
          <w:color w:val="000000"/>
          <w:sz w:val="20"/>
          <w:szCs w:val="20"/>
        </w:rPr>
        <w:t>Interest income is recognized on performing loans on an accrual basis. We defer loan origination fees and direct loan origination costs on originated loans, premiums and discounts on purchased loans a</w:t>
      </w:r>
      <w:r>
        <w:rPr>
          <w:rFonts w:eastAsia="Times New Roman"/>
          <w:color w:val="000000"/>
          <w:sz w:val="20"/>
          <w:szCs w:val="20"/>
        </w:rPr>
        <w:t>nd loan commitment fees. We recognize these amounts in interest income as yield adjustments over the life of the loan and/or commitment period using the interest method. For credit card loans, loan origination fees and direct loan origination costs are amo</w:t>
      </w:r>
      <w:r>
        <w:rPr>
          <w:rFonts w:eastAsia="Times New Roman"/>
          <w:color w:val="000000"/>
          <w:sz w:val="20"/>
          <w:szCs w:val="20"/>
        </w:rPr>
        <w:t>rtized on a straight-line basis over a 12-month period. The amortized cost of loans held for investment is subject to our allowance for credit losses methodology described below under the “Allowance for Credit Losses - Loans Held for Investment” section of</w:t>
      </w:r>
      <w:r>
        <w:rPr>
          <w:rFonts w:eastAsia="Times New Roman"/>
          <w:color w:val="000000"/>
          <w:sz w:val="20"/>
          <w:szCs w:val="20"/>
        </w:rPr>
        <w:t xml:space="preserve"> this Note.</w:t>
      </w:r>
    </w:p>
    <w:p w:rsidR="00000000" w:rsidRDefault="0094004B">
      <w:pPr>
        <w:jc w:val="both"/>
        <w:divId w:val="227957621"/>
        <w:rPr>
          <w:rFonts w:eastAsia="Times New Roman"/>
        </w:rPr>
      </w:pPr>
      <w:r>
        <w:rPr>
          <w:rFonts w:eastAsia="Times New Roman"/>
          <w:i/>
          <w:iCs/>
          <w:color w:val="000000"/>
          <w:sz w:val="20"/>
          <w:szCs w:val="20"/>
        </w:rPr>
        <w:t>Loans Held for Sale</w:t>
      </w:r>
    </w:p>
    <w:p w:rsidR="00000000" w:rsidRDefault="0094004B">
      <w:pPr>
        <w:jc w:val="both"/>
        <w:divId w:val="949628990"/>
        <w:rPr>
          <w:rFonts w:eastAsia="Times New Roman"/>
        </w:rPr>
      </w:pPr>
      <w:r>
        <w:rPr>
          <w:rFonts w:eastAsia="Times New Roman"/>
          <w:color w:val="000000"/>
          <w:sz w:val="20"/>
          <w:szCs w:val="20"/>
        </w:rPr>
        <w:t xml:space="preserve">Loans that we intend to sell or for which we do not have the ability and intent to hold for the foreseeable future are classified as held for sale. Multifamily commercial real estate loans originated with the intent to sell </w:t>
      </w:r>
      <w:r>
        <w:rPr>
          <w:rFonts w:eastAsia="Times New Roman"/>
          <w:color w:val="000000"/>
          <w:sz w:val="20"/>
          <w:szCs w:val="20"/>
        </w:rPr>
        <w:t>to government-sponsored enterprises are accounted for under the fair value option. We elect the fair value option on these loans as part of our management of interest rate risk along with the corresponding forward sale commitments. Loan origination fees an</w:t>
      </w:r>
      <w:r>
        <w:rPr>
          <w:rFonts w:eastAsia="Times New Roman"/>
          <w:color w:val="000000"/>
          <w:sz w:val="20"/>
          <w:szCs w:val="20"/>
        </w:rPr>
        <w:t xml:space="preserve">d direct loan origination costs are recognized as incurred and are reported in other non-interest income in the consolidated statements of income. Interest income is calculated based on the loan's stated rate of interest and is reported in interest income </w:t>
      </w:r>
      <w:r>
        <w:rPr>
          <w:rFonts w:eastAsia="Times New Roman"/>
          <w:color w:val="000000"/>
          <w:sz w:val="20"/>
          <w:szCs w:val="20"/>
        </w:rPr>
        <w:t>in the consolidated statements of income. Fair value adjustments are recorded in other non-interest income in the consolidated statements of income.</w:t>
      </w:r>
    </w:p>
    <w:p w:rsidR="00000000" w:rsidRDefault="0094004B">
      <w:pPr>
        <w:jc w:val="both"/>
        <w:divId w:val="1381831200"/>
        <w:rPr>
          <w:rFonts w:eastAsia="Times New Roman"/>
        </w:rPr>
      </w:pPr>
      <w:r>
        <w:rPr>
          <w:rFonts w:eastAsia="Times New Roman"/>
          <w:color w:val="000000"/>
          <w:sz w:val="20"/>
          <w:szCs w:val="20"/>
        </w:rPr>
        <w:t>All other loans classified as held for sale are recorded at the lower of cost or fair value. Loan originati</w:t>
      </w:r>
      <w:r>
        <w:rPr>
          <w:rFonts w:eastAsia="Times New Roman"/>
          <w:color w:val="000000"/>
          <w:sz w:val="20"/>
          <w:szCs w:val="20"/>
        </w:rPr>
        <w:t>on fees, direct loan origination costs and any discounts and premiums are deferred until the loan is sold and are then recognized as part of the total gain or loss on sale. The fair value of loans held for sale is determined on an aggregate portfolio basis</w:t>
      </w:r>
      <w:r>
        <w:rPr>
          <w:rFonts w:eastAsia="Times New Roman"/>
          <w:color w:val="000000"/>
          <w:sz w:val="20"/>
          <w:szCs w:val="20"/>
        </w:rPr>
        <w:t xml:space="preserve"> for each loan type. Fair value adjustments are recorded in other non-interest income in the consolidated statements of income.</w:t>
      </w:r>
    </w:p>
    <w:p w:rsidR="00000000" w:rsidRDefault="0094004B">
      <w:pPr>
        <w:jc w:val="both"/>
        <w:divId w:val="1487239966"/>
        <w:rPr>
          <w:rFonts w:eastAsia="Times New Roman"/>
        </w:rPr>
      </w:pPr>
      <w:r>
        <w:rPr>
          <w:rFonts w:eastAsia="Times New Roman"/>
          <w:color w:val="000000"/>
          <w:sz w:val="20"/>
          <w:szCs w:val="20"/>
        </w:rPr>
        <w:t>If a loan is transferred from held for investment to held for sale, then on the transfer date, any decline in fair value related</w:t>
      </w:r>
      <w:r>
        <w:rPr>
          <w:rFonts w:eastAsia="Times New Roman"/>
          <w:color w:val="000000"/>
          <w:sz w:val="20"/>
          <w:szCs w:val="20"/>
        </w:rPr>
        <w:t xml:space="preserve"> to credit is recorded as a charge-off and any remaining allowance for credit losses is reversed through our provision for credit losses. The loan is then reclassified to held for sale at its amortized cost at the date of the transfer. A valuation allowanc</w:t>
      </w:r>
      <w:r>
        <w:rPr>
          <w:rFonts w:eastAsia="Times New Roman"/>
          <w:color w:val="000000"/>
          <w:sz w:val="20"/>
          <w:szCs w:val="20"/>
        </w:rPr>
        <w:t>e is established, if needed, such that the loan held for sale is recorded at the lower of cost or fair value. Subsequent to transfer, we report write-downs or recoveries in fair value up to the carrying value at the date of transfer and realized gains or l</w:t>
      </w:r>
      <w:r>
        <w:rPr>
          <w:rFonts w:eastAsia="Times New Roman"/>
          <w:color w:val="000000"/>
          <w:sz w:val="20"/>
          <w:szCs w:val="20"/>
        </w:rPr>
        <w:t xml:space="preserve">osses on loans held for sale in our consolidated statements of income as a component of other non-interest income. We calculate the gain or loss on loan sales as the difference between the proceeds received and the carrying value of the loans sold, net of </w:t>
      </w:r>
      <w:r>
        <w:rPr>
          <w:rFonts w:eastAsia="Times New Roman"/>
          <w:color w:val="000000"/>
          <w:sz w:val="20"/>
          <w:szCs w:val="20"/>
        </w:rPr>
        <w:t>the fair value of any interests retained.</w:t>
      </w:r>
    </w:p>
    <w:p w:rsidR="00000000" w:rsidRDefault="0094004B">
      <w:pPr>
        <w:jc w:val="both"/>
        <w:divId w:val="1456026627"/>
        <w:rPr>
          <w:rFonts w:eastAsia="Times New Roman"/>
        </w:rPr>
      </w:pPr>
      <w:r>
        <w:rPr>
          <w:rFonts w:eastAsia="Times New Roman"/>
          <w:b/>
          <w:bCs/>
          <w:i/>
          <w:iCs/>
          <w:color w:val="000000"/>
          <w:sz w:val="20"/>
          <w:szCs w:val="20"/>
        </w:rPr>
        <w:t>Loans Acquired</w:t>
      </w:r>
    </w:p>
    <w:p w:rsidR="00000000" w:rsidRDefault="0094004B">
      <w:pPr>
        <w:jc w:val="both"/>
        <w:divId w:val="1716006062"/>
        <w:rPr>
          <w:rFonts w:eastAsia="Times New Roman"/>
        </w:rPr>
      </w:pPr>
      <w:r>
        <w:rPr>
          <w:rFonts w:eastAsia="Times New Roman"/>
          <w:color w:val="000000"/>
          <w:sz w:val="20"/>
          <w:szCs w:val="20"/>
        </w:rPr>
        <w:t>All purchased loans, including loans transferred in a business combination, are initially recorded at fair value, which includes consideration of expected future losses, as of the date of the acquisi</w:t>
      </w:r>
      <w:r>
        <w:rPr>
          <w:rFonts w:eastAsia="Times New Roman"/>
          <w:color w:val="000000"/>
          <w:sz w:val="20"/>
          <w:szCs w:val="20"/>
        </w:rPr>
        <w:t>tion. To determine the fair value of loans at acquisition, we estimate discounted contractual cash flows due using an observable market rate of interest, when available, adjusted for factors that a market participant would consider in determining fair valu</w:t>
      </w:r>
      <w:r>
        <w:rPr>
          <w:rFonts w:eastAsia="Times New Roman"/>
          <w:color w:val="000000"/>
          <w:sz w:val="20"/>
          <w:szCs w:val="20"/>
        </w:rPr>
        <w:t>e. In determining fair value, contractual cash flows are adjusted to include prepayment estimates based upon historical payment trends, forecasted default rates and loss severities and other relevant factors. The difference between the fair value and the c</w:t>
      </w:r>
      <w:r>
        <w:rPr>
          <w:rFonts w:eastAsia="Times New Roman"/>
          <w:color w:val="000000"/>
          <w:sz w:val="20"/>
          <w:szCs w:val="20"/>
        </w:rPr>
        <w:t>ontractual cash flows is recorded as a loan premium or discount, which may relate to either credit or non-credit factors, at acquisition.</w:t>
      </w:r>
    </w:p>
    <w:p w:rsidR="00000000" w:rsidRDefault="0094004B">
      <w:pPr>
        <w:jc w:val="both"/>
        <w:divId w:val="402678033"/>
        <w:rPr>
          <w:rFonts w:eastAsia="Times New Roman"/>
        </w:rPr>
      </w:pPr>
      <w:r>
        <w:rPr>
          <w:rFonts w:eastAsia="Times New Roman"/>
          <w:color w:val="000000"/>
          <w:sz w:val="20"/>
          <w:szCs w:val="20"/>
        </w:rPr>
        <w:t xml:space="preserve">We account for purchased loans under the accounting guidance for purchased financial assets with credit deterioration </w:t>
      </w:r>
      <w:r>
        <w:rPr>
          <w:rFonts w:eastAsia="Times New Roman"/>
          <w:color w:val="000000"/>
          <w:sz w:val="20"/>
          <w:szCs w:val="20"/>
        </w:rPr>
        <w:t>when, at the time of purchase, the loans have experienced a more-than-insignificant deterioration in credit quality since origination. We refer to these loans which are accounted for under accounting guidance for purchased financial assets with more-than-i</w:t>
      </w:r>
      <w:r>
        <w:rPr>
          <w:rFonts w:eastAsia="Times New Roman"/>
          <w:color w:val="000000"/>
          <w:sz w:val="20"/>
          <w:szCs w:val="20"/>
        </w:rPr>
        <w:t>nsignificant deterioration in credit quality since origination as “PCD loans.”</w:t>
      </w:r>
    </w:p>
    <w:p w:rsidR="00000000" w:rsidRDefault="0094004B">
      <w:pPr>
        <w:jc w:val="both"/>
        <w:divId w:val="1768580608"/>
        <w:rPr>
          <w:rFonts w:eastAsia="Times New Roman"/>
        </w:rPr>
      </w:pPr>
      <w:r>
        <w:rPr>
          <w:rFonts w:eastAsia="Times New Roman"/>
          <w:color w:val="000000"/>
          <w:sz w:val="20"/>
          <w:szCs w:val="20"/>
        </w:rPr>
        <w:t xml:space="preserve">We recognize an allowance for credit losses on purchased loans that have not experienced a more-than-insignificant deterioration in credit quality since origination at the time </w:t>
      </w:r>
      <w:r>
        <w:rPr>
          <w:rFonts w:eastAsia="Times New Roman"/>
          <w:color w:val="000000"/>
          <w:sz w:val="20"/>
          <w:szCs w:val="20"/>
        </w:rPr>
        <w:t>of purchase through earnings in a manner that is consistent with originated loans. The policies relating to the allowance for credit losses on loans is described below in the “Allowance for Credit Losses - Loans Held for Investment” section of this Note.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328294340"/>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328294340"/>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328294340"/>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127</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53" style="width:0;height:1.5pt" o:hralign="center" o:hrstd="t" o:hr="t" fillcolor="#a0a0a0" stroked="f"/>
        </w:pict>
      </w:r>
    </w:p>
    <w:p w:rsidR="00000000" w:rsidRDefault="0094004B">
      <w:pPr>
        <w:jc w:val="both"/>
        <w:divId w:val="1055079300"/>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1055079300"/>
        <w:rPr>
          <w:rFonts w:eastAsia="Times New Roman"/>
        </w:rPr>
      </w:pPr>
    </w:p>
    <w:p w:rsidR="00000000" w:rsidRDefault="0094004B">
      <w:pPr>
        <w:jc w:val="center"/>
        <w:divId w:val="1055079300"/>
        <w:rPr>
          <w:rFonts w:eastAsia="Times New Roman"/>
        </w:rPr>
      </w:pPr>
      <w:r>
        <w:rPr>
          <w:rFonts w:eastAsia="Times New Roman"/>
          <w:b/>
          <w:bCs/>
          <w:color w:val="000000"/>
          <w:sz w:val="20"/>
          <w:szCs w:val="20"/>
        </w:rPr>
        <w:t>CAPITAL ONE FINANCIAL CORPORATION</w:t>
      </w:r>
    </w:p>
    <w:p w:rsidR="00000000" w:rsidRDefault="0094004B">
      <w:pPr>
        <w:jc w:val="center"/>
        <w:divId w:val="1055079300"/>
        <w:rPr>
          <w:rFonts w:eastAsia="Times New Roman"/>
        </w:rPr>
      </w:pPr>
      <w:r>
        <w:rPr>
          <w:rFonts w:eastAsia="Times New Roman"/>
          <w:b/>
          <w:bCs/>
          <w:color w:val="000000"/>
          <w:sz w:val="20"/>
          <w:szCs w:val="20"/>
        </w:rPr>
        <w:t>NOTES TO CONSOLIDATED FINANCIAL STATEMENTS</w:t>
      </w:r>
    </w:p>
    <w:p w:rsidR="00000000" w:rsidRDefault="0094004B">
      <w:pPr>
        <w:divId w:val="1037123534"/>
        <w:rPr>
          <w:rFonts w:eastAsia="Times New Roman"/>
        </w:rPr>
      </w:pPr>
      <w:r>
        <w:rPr>
          <w:rFonts w:eastAsia="Times New Roman"/>
          <w:b/>
          <w:bCs/>
          <w:i/>
          <w:iCs/>
          <w:color w:val="000000"/>
          <w:sz w:val="20"/>
          <w:szCs w:val="20"/>
        </w:rPr>
        <w:t xml:space="preserve">Loan Modifications and Restructurings </w:t>
      </w:r>
    </w:p>
    <w:p w:rsidR="00000000" w:rsidRDefault="0094004B">
      <w:pPr>
        <w:jc w:val="both"/>
        <w:divId w:val="1670792514"/>
        <w:rPr>
          <w:rFonts w:eastAsia="Times New Roman"/>
        </w:rPr>
      </w:pPr>
      <w:r>
        <w:rPr>
          <w:rFonts w:eastAsia="Times New Roman"/>
          <w:color w:val="000000"/>
          <w:sz w:val="20"/>
          <w:szCs w:val="20"/>
        </w:rPr>
        <w:t>As part of our loss mitigation efforts, we may provide modifications to a borrower experiencing financial difficulty to improve long-term collectability of the loan and to avoid the need for foreclosure or repossessio</w:t>
      </w:r>
      <w:r>
        <w:rPr>
          <w:rFonts w:eastAsia="Times New Roman"/>
          <w:color w:val="000000"/>
          <w:sz w:val="20"/>
          <w:szCs w:val="20"/>
        </w:rPr>
        <w:t>n of collateral, if any. Our loan modifications typically include short-term payment deferrals, an extension of the loan term, a reduction in the interest rate, a reduction in the loan balance, or a combination of these modifications. A loan modification i</w:t>
      </w:r>
      <w:r>
        <w:rPr>
          <w:rFonts w:eastAsia="Times New Roman"/>
          <w:color w:val="000000"/>
          <w:sz w:val="20"/>
          <w:szCs w:val="20"/>
        </w:rPr>
        <w:t>n which a concession is granted to a borrower experiencing financial difficulty is accounted for and reported as a troubled debt restructuring (“TDR”). See “Note 3—Loans” for additional information on our loan modifications and restructurings, including th</w:t>
      </w:r>
      <w:r>
        <w:rPr>
          <w:rFonts w:eastAsia="Times New Roman"/>
          <w:color w:val="000000"/>
          <w:sz w:val="20"/>
          <w:szCs w:val="20"/>
        </w:rPr>
        <w:t xml:space="preserve">ose in response to the COVID-19 pandemic. </w:t>
      </w:r>
    </w:p>
    <w:p w:rsidR="00000000" w:rsidRDefault="0094004B">
      <w:pPr>
        <w:divId w:val="416438628"/>
        <w:rPr>
          <w:rFonts w:eastAsia="Times New Roman"/>
        </w:rPr>
      </w:pPr>
      <w:r>
        <w:rPr>
          <w:rFonts w:eastAsia="Times New Roman"/>
          <w:b/>
          <w:bCs/>
          <w:i/>
          <w:iCs/>
          <w:color w:val="000000"/>
          <w:sz w:val="20"/>
          <w:szCs w:val="20"/>
        </w:rPr>
        <w:t>Delinquent and Nonperforming Loans</w:t>
      </w:r>
    </w:p>
    <w:p w:rsidR="00000000" w:rsidRDefault="0094004B">
      <w:pPr>
        <w:jc w:val="both"/>
        <w:divId w:val="1667202572"/>
        <w:rPr>
          <w:rFonts w:eastAsia="Times New Roman"/>
        </w:rPr>
      </w:pPr>
      <w:r>
        <w:rPr>
          <w:rFonts w:eastAsia="Times New Roman"/>
          <w:color w:val="000000"/>
          <w:sz w:val="20"/>
          <w:szCs w:val="20"/>
        </w:rPr>
        <w:t>The entire balance of a loan is considered contractually delinquent if the minimum required payment is not received by the first statement cycle date equal to or following the du</w:t>
      </w:r>
      <w:r>
        <w:rPr>
          <w:rFonts w:eastAsia="Times New Roman"/>
          <w:color w:val="000000"/>
          <w:sz w:val="20"/>
          <w:szCs w:val="20"/>
        </w:rPr>
        <w:t>e date specified on the customer’s billing statement. Delinquency is reported on loans that are 30 or more days past due. Interest and fees continue to accrue on past due loans until the date the loan is placed on nonaccrual status, if applicable. For loan</w:t>
      </w:r>
      <w:r>
        <w:rPr>
          <w:rFonts w:eastAsia="Times New Roman"/>
          <w:color w:val="000000"/>
          <w:sz w:val="20"/>
          <w:szCs w:val="20"/>
        </w:rPr>
        <w:t xml:space="preserve"> modifications, delinquency and nonaccrual status are reported in accordance with the revised terms of the loans. We generally place loans on nonaccrual status when we believe the collectability of interest and principal is not reasonably assured. </w:t>
      </w:r>
    </w:p>
    <w:p w:rsidR="00000000" w:rsidRDefault="0094004B">
      <w:pPr>
        <w:jc w:val="both"/>
        <w:divId w:val="1001009107"/>
        <w:rPr>
          <w:rFonts w:eastAsia="Times New Roman"/>
        </w:rPr>
      </w:pPr>
      <w:r>
        <w:rPr>
          <w:rFonts w:eastAsia="Times New Roman"/>
          <w:color w:val="000000"/>
          <w:sz w:val="20"/>
          <w:szCs w:val="20"/>
        </w:rPr>
        <w:t>Nonperf</w:t>
      </w:r>
      <w:r>
        <w:rPr>
          <w:rFonts w:eastAsia="Times New Roman"/>
          <w:color w:val="000000"/>
          <w:sz w:val="20"/>
          <w:szCs w:val="20"/>
        </w:rPr>
        <w:t>orming loans generally include loans that have been placed on nonaccrual status. Loans classified as held for sale are excluded from nonperforming classification consideration.</w:t>
      </w:r>
    </w:p>
    <w:p w:rsidR="00000000" w:rsidRDefault="0094004B">
      <w:pPr>
        <w:jc w:val="both"/>
        <w:divId w:val="1271355403"/>
        <w:rPr>
          <w:rFonts w:eastAsia="Times New Roman"/>
        </w:rPr>
      </w:pPr>
      <w:r>
        <w:rPr>
          <w:rFonts w:eastAsia="Times New Roman"/>
          <w:color w:val="000000"/>
          <w:sz w:val="20"/>
          <w:szCs w:val="20"/>
        </w:rPr>
        <w:t>Our policies for classifying loans as nonperforming, by loan category, are as f</w:t>
      </w:r>
      <w:r>
        <w:rPr>
          <w:rFonts w:eastAsia="Times New Roman"/>
          <w:color w:val="000000"/>
          <w:sz w:val="20"/>
          <w:szCs w:val="20"/>
        </w:rPr>
        <w:t>ollows:</w:t>
      </w:r>
    </w:p>
    <w:p w:rsidR="00000000" w:rsidRDefault="0094004B">
      <w:pPr>
        <w:ind w:hanging="360"/>
        <w:jc w:val="both"/>
        <w:divId w:val="1171141705"/>
        <w:rPr>
          <w:rFonts w:eastAsia="Times New Roman"/>
        </w:rPr>
      </w:pPr>
      <w:r>
        <w:rPr>
          <w:rFonts w:eastAsia="Times New Roman"/>
          <w:color w:val="000000"/>
          <w:sz w:val="20"/>
          <w:szCs w:val="20"/>
        </w:rPr>
        <w:t>•C</w:t>
      </w:r>
      <w:r>
        <w:rPr>
          <w:rFonts w:eastAsia="Times New Roman"/>
          <w:i/>
          <w:iCs/>
          <w:color w:val="000000"/>
          <w:sz w:val="20"/>
          <w:szCs w:val="20"/>
        </w:rPr>
        <w:t>redit card loans:</w:t>
      </w:r>
      <w:r>
        <w:rPr>
          <w:rFonts w:eastAsia="Times New Roman"/>
          <w:color w:val="000000"/>
          <w:sz w:val="20"/>
          <w:szCs w:val="20"/>
        </w:rPr>
        <w:t xml:space="preserve"> As permitted by regulatory guidance issued by the Federal Financial Institutions Examination Council (“FFIEC”</w:t>
      </w:r>
      <w:r>
        <w:rPr>
          <w:rFonts w:eastAsia="Times New Roman"/>
          <w:color w:val="000000"/>
          <w:sz w:val="20"/>
          <w:szCs w:val="20"/>
        </w:rPr>
        <w:t>), our policy is generally to exempt credit card loans from being classified as nonperforming, as these loans are generally charged off in the period the account becomes 180 days past due. Consistent with industry conventions, we generally continue to accr</w:t>
      </w:r>
      <w:r>
        <w:rPr>
          <w:rFonts w:eastAsia="Times New Roman"/>
          <w:color w:val="000000"/>
          <w:sz w:val="20"/>
          <w:szCs w:val="20"/>
        </w:rPr>
        <w:t>ue interest and fees on delinquent credit card loans until the loans are charged off.</w:t>
      </w:r>
    </w:p>
    <w:p w:rsidR="00000000" w:rsidRDefault="0094004B">
      <w:pPr>
        <w:ind w:hanging="360"/>
        <w:jc w:val="both"/>
        <w:divId w:val="1887637998"/>
        <w:rPr>
          <w:rFonts w:eastAsia="Times New Roman"/>
        </w:rPr>
      </w:pPr>
      <w:r>
        <w:rPr>
          <w:rFonts w:eastAsia="Times New Roman"/>
          <w:color w:val="000000"/>
          <w:sz w:val="20"/>
          <w:szCs w:val="20"/>
        </w:rPr>
        <w:t>•</w:t>
      </w:r>
      <w:r>
        <w:rPr>
          <w:rFonts w:eastAsia="Times New Roman"/>
          <w:i/>
          <w:iCs/>
          <w:color w:val="000000"/>
          <w:sz w:val="20"/>
          <w:szCs w:val="20"/>
        </w:rPr>
        <w:t>Consumer banking loans:</w:t>
      </w:r>
      <w:r>
        <w:rPr>
          <w:rFonts w:eastAsia="Times New Roman"/>
          <w:color w:val="000000"/>
          <w:sz w:val="20"/>
          <w:szCs w:val="20"/>
        </w:rPr>
        <w:t xml:space="preserve"> We classify consumer banking loans as nonperforming when we determine that the collectability of all interest and principal on the loan is not re</w:t>
      </w:r>
      <w:r>
        <w:rPr>
          <w:rFonts w:eastAsia="Times New Roman"/>
          <w:color w:val="000000"/>
          <w:sz w:val="20"/>
          <w:szCs w:val="20"/>
        </w:rPr>
        <w:t>asonably assured, generally when the loan becomes 90 days past due.</w:t>
      </w:r>
    </w:p>
    <w:p w:rsidR="00000000" w:rsidRDefault="0094004B">
      <w:pPr>
        <w:ind w:hanging="360"/>
        <w:jc w:val="both"/>
        <w:divId w:val="1982494719"/>
        <w:rPr>
          <w:rFonts w:eastAsia="Times New Roman"/>
        </w:rPr>
      </w:pPr>
      <w:r>
        <w:rPr>
          <w:rFonts w:eastAsia="Times New Roman"/>
          <w:color w:val="000000"/>
          <w:sz w:val="20"/>
          <w:szCs w:val="20"/>
        </w:rPr>
        <w:t>•</w:t>
      </w:r>
      <w:r>
        <w:rPr>
          <w:rFonts w:eastAsia="Times New Roman"/>
          <w:i/>
          <w:iCs/>
          <w:color w:val="000000"/>
          <w:sz w:val="20"/>
          <w:szCs w:val="20"/>
        </w:rPr>
        <w:t>Commercial banking loans</w:t>
      </w:r>
      <w:r>
        <w:rPr>
          <w:rFonts w:eastAsia="Times New Roman"/>
          <w:color w:val="000000"/>
          <w:sz w:val="20"/>
          <w:szCs w:val="20"/>
        </w:rPr>
        <w:t>: We classify commercial banking loans as nonperforming as of the date we determine that the collectability of all interest and principal on the loan is not reason</w:t>
      </w:r>
      <w:r>
        <w:rPr>
          <w:rFonts w:eastAsia="Times New Roman"/>
          <w:color w:val="000000"/>
          <w:sz w:val="20"/>
          <w:szCs w:val="20"/>
        </w:rPr>
        <w:t>ably assured.</w:t>
      </w:r>
    </w:p>
    <w:p w:rsidR="00000000" w:rsidRDefault="0094004B">
      <w:pPr>
        <w:ind w:hanging="360"/>
        <w:jc w:val="both"/>
        <w:divId w:val="362050092"/>
        <w:rPr>
          <w:rFonts w:eastAsia="Times New Roman"/>
        </w:rPr>
      </w:pPr>
      <w:r>
        <w:rPr>
          <w:rFonts w:eastAsia="Times New Roman"/>
          <w:color w:val="000000"/>
          <w:sz w:val="20"/>
          <w:szCs w:val="20"/>
        </w:rPr>
        <w:t>•</w:t>
      </w:r>
      <w:r>
        <w:rPr>
          <w:rFonts w:eastAsia="Times New Roman"/>
          <w:i/>
          <w:iCs/>
          <w:color w:val="000000"/>
          <w:sz w:val="20"/>
          <w:szCs w:val="20"/>
        </w:rPr>
        <w:t>Modified loans and troubled debt restructurings:</w:t>
      </w:r>
      <w:r>
        <w:rPr>
          <w:rFonts w:eastAsia="Times New Roman"/>
          <w:color w:val="000000"/>
          <w:sz w:val="20"/>
          <w:szCs w:val="20"/>
        </w:rPr>
        <w:t xml:space="preserve"> Modified loans, including TDRs, that are current at the time of the restructuring remain in accrual status if there is demonstrated performance prior to the restructuring and continued perform</w:t>
      </w:r>
      <w:r>
        <w:rPr>
          <w:rFonts w:eastAsia="Times New Roman"/>
          <w:color w:val="000000"/>
          <w:sz w:val="20"/>
          <w:szCs w:val="20"/>
        </w:rPr>
        <w:t>ance under the modified terms is expected. Otherwise, the modified loan is classified as nonperforming.</w:t>
      </w:r>
    </w:p>
    <w:p w:rsidR="00000000" w:rsidRDefault="0094004B">
      <w:pPr>
        <w:jc w:val="both"/>
        <w:divId w:val="726419097"/>
        <w:rPr>
          <w:rFonts w:eastAsia="Times New Roman"/>
        </w:rPr>
      </w:pPr>
      <w:r>
        <w:rPr>
          <w:rFonts w:eastAsia="Times New Roman"/>
          <w:color w:val="000000"/>
          <w:sz w:val="20"/>
          <w:szCs w:val="20"/>
        </w:rPr>
        <w:t>Interest and fees accrued but not collected at the date a loan is placed on nonaccrual status are reversed against earnings. In addition, the amortizati</w:t>
      </w:r>
      <w:r>
        <w:rPr>
          <w:rFonts w:eastAsia="Times New Roman"/>
          <w:color w:val="000000"/>
          <w:sz w:val="20"/>
          <w:szCs w:val="20"/>
        </w:rPr>
        <w:t>on of deferred loan fees, costs, premiums and discounts is suspended. Interest and fee income are subsequently recognized only upon the receipt of cash payments. However, if there is doubt regarding the ultimate collectability of loan principal, cash recei</w:t>
      </w:r>
      <w:r>
        <w:rPr>
          <w:rFonts w:eastAsia="Times New Roman"/>
          <w:color w:val="000000"/>
          <w:sz w:val="20"/>
          <w:szCs w:val="20"/>
        </w:rPr>
        <w:t>ved is generally applied against the principal balance of the loan. Nonaccrual loans are generally returned to accrual status when all principal and interest is current and repayment of the remaining contractual principal and interest is reasonably assured</w:t>
      </w:r>
      <w:r>
        <w:rPr>
          <w:rFonts w:eastAsia="Times New Roman"/>
          <w:color w:val="000000"/>
          <w:sz w:val="20"/>
          <w:szCs w:val="20"/>
        </w:rPr>
        <w:t>, or when the loan is both well-secured and in the process of collection and collectability is no longer doubtful.</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760492780"/>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760492780"/>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760492780"/>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128</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54" style="width:0;height:1.5pt" o:hralign="center" o:hrstd="t" o:hr="t" fillcolor="#a0a0a0" stroked="f"/>
        </w:pict>
      </w:r>
    </w:p>
    <w:p w:rsidR="00000000" w:rsidRDefault="0094004B">
      <w:pPr>
        <w:jc w:val="both"/>
        <w:divId w:val="2089813075"/>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2089813075"/>
        <w:rPr>
          <w:rFonts w:eastAsia="Times New Roman"/>
        </w:rPr>
      </w:pPr>
    </w:p>
    <w:p w:rsidR="00000000" w:rsidRDefault="0094004B">
      <w:pPr>
        <w:jc w:val="center"/>
        <w:divId w:val="2089813075"/>
        <w:rPr>
          <w:rFonts w:eastAsia="Times New Roman"/>
        </w:rPr>
      </w:pPr>
      <w:r>
        <w:rPr>
          <w:rFonts w:eastAsia="Times New Roman"/>
          <w:b/>
          <w:bCs/>
          <w:color w:val="000000"/>
          <w:sz w:val="20"/>
          <w:szCs w:val="20"/>
        </w:rPr>
        <w:t>CAPITAL ONE FINANCIAL CORPORATION</w:t>
      </w:r>
    </w:p>
    <w:p w:rsidR="00000000" w:rsidRDefault="0094004B">
      <w:pPr>
        <w:jc w:val="center"/>
        <w:divId w:val="2089813075"/>
        <w:rPr>
          <w:rFonts w:eastAsia="Times New Roman"/>
        </w:rPr>
      </w:pPr>
      <w:r>
        <w:rPr>
          <w:rFonts w:eastAsia="Times New Roman"/>
          <w:b/>
          <w:bCs/>
          <w:color w:val="000000"/>
          <w:sz w:val="20"/>
          <w:szCs w:val="20"/>
        </w:rPr>
        <w:t>NOTES TO CONSOLIDATED FINANCIAL STATEMENTS</w:t>
      </w:r>
    </w:p>
    <w:p w:rsidR="00000000" w:rsidRDefault="0094004B">
      <w:pPr>
        <w:divId w:val="1845895732"/>
        <w:rPr>
          <w:rFonts w:eastAsia="Times New Roman"/>
        </w:rPr>
      </w:pPr>
      <w:r>
        <w:rPr>
          <w:rFonts w:eastAsia="Times New Roman"/>
          <w:b/>
          <w:bCs/>
          <w:i/>
          <w:iCs/>
          <w:color w:val="000000"/>
          <w:sz w:val="20"/>
          <w:szCs w:val="20"/>
        </w:rPr>
        <w:t>Charge-Offs</w:t>
      </w:r>
    </w:p>
    <w:p w:rsidR="00000000" w:rsidRDefault="0094004B">
      <w:pPr>
        <w:jc w:val="both"/>
        <w:divId w:val="819737250"/>
        <w:rPr>
          <w:rFonts w:eastAsia="Times New Roman"/>
        </w:rPr>
      </w:pPr>
      <w:r>
        <w:rPr>
          <w:rFonts w:eastAsia="Times New Roman"/>
          <w:color w:val="000000"/>
          <w:sz w:val="20"/>
          <w:szCs w:val="20"/>
        </w:rPr>
        <w:t>We charge off loans when we determine that the loan is uncollectible. The amortized cost basis, excluding accrued interest, is charged off as a reduction to the allowance for credit losses based on the time frames presented below. Accrued interest on loans</w:t>
      </w:r>
      <w:r>
        <w:rPr>
          <w:rFonts w:eastAsia="Times New Roman"/>
          <w:color w:val="000000"/>
          <w:sz w:val="20"/>
          <w:szCs w:val="20"/>
        </w:rPr>
        <w:t xml:space="preserve"> other than credit card loans determined to be uncollectible is reversed as a reduction of interest income when the loan is classified as nonperforming. For credit card loans, accrued interest is charged off simultaneously with the charge off of other comp</w:t>
      </w:r>
      <w:r>
        <w:rPr>
          <w:rFonts w:eastAsia="Times New Roman"/>
          <w:color w:val="000000"/>
          <w:sz w:val="20"/>
          <w:szCs w:val="20"/>
        </w:rPr>
        <w:t>onents of amortized cost and as a reduction of interest income. When received, recoveries of previously charged off amounts are recorded as an increase to the allowance for credit losses (see the “Allowance for Credit Losses - Loans Held for Investment” se</w:t>
      </w:r>
      <w:r>
        <w:rPr>
          <w:rFonts w:eastAsia="Times New Roman"/>
          <w:color w:val="000000"/>
          <w:sz w:val="20"/>
          <w:szCs w:val="20"/>
        </w:rPr>
        <w:t>ction of this Note for information on how we account for expected recoveries). Costs to recover charged off loans are recorded as collection expense and included in our consolidated statements of income as a component of other non-interest expense as incur</w:t>
      </w:r>
      <w:r>
        <w:rPr>
          <w:rFonts w:eastAsia="Times New Roman"/>
          <w:color w:val="000000"/>
          <w:sz w:val="20"/>
          <w:szCs w:val="20"/>
        </w:rPr>
        <w:t>red. Our charge-off time frames by loan type are presented below.</w:t>
      </w:r>
    </w:p>
    <w:p w:rsidR="00000000" w:rsidRDefault="0094004B">
      <w:pPr>
        <w:ind w:hanging="360"/>
        <w:jc w:val="both"/>
        <w:divId w:val="223182065"/>
        <w:rPr>
          <w:rFonts w:eastAsia="Times New Roman"/>
        </w:rPr>
      </w:pPr>
      <w:r>
        <w:rPr>
          <w:rFonts w:eastAsia="Times New Roman"/>
          <w:color w:val="000000"/>
          <w:sz w:val="20"/>
          <w:szCs w:val="20"/>
        </w:rPr>
        <w:t>•</w:t>
      </w:r>
      <w:r>
        <w:rPr>
          <w:rFonts w:eastAsia="Times New Roman"/>
          <w:i/>
          <w:iCs/>
          <w:color w:val="000000"/>
          <w:sz w:val="20"/>
          <w:szCs w:val="20"/>
        </w:rPr>
        <w:t>Credit card loans</w:t>
      </w:r>
      <w:r>
        <w:rPr>
          <w:rFonts w:eastAsia="Times New Roman"/>
          <w:color w:val="000000"/>
          <w:sz w:val="20"/>
          <w:szCs w:val="20"/>
        </w:rPr>
        <w:t>: We generally charge off credit card loans in the period the account becomes 180 days past due. We charge off delinquent credit card loans for which revolving privileges h</w:t>
      </w:r>
      <w:r>
        <w:rPr>
          <w:rFonts w:eastAsia="Times New Roman"/>
          <w:color w:val="000000"/>
          <w:sz w:val="20"/>
          <w:szCs w:val="20"/>
        </w:rPr>
        <w:t>ave been revoked as part of loan workout when the account becomes 120 days past due. Credit card loans in bankruptcy are generally charged off by the end of the month following 30 days after the receipt of a complete bankruptcy notification from the bankru</w:t>
      </w:r>
      <w:r>
        <w:rPr>
          <w:rFonts w:eastAsia="Times New Roman"/>
          <w:color w:val="000000"/>
          <w:sz w:val="20"/>
          <w:szCs w:val="20"/>
        </w:rPr>
        <w:t>ptcy court. Credit card loans of deceased account holders are generally charged off 5 days after receipt of notification.</w:t>
      </w:r>
    </w:p>
    <w:p w:rsidR="00000000" w:rsidRDefault="0094004B">
      <w:pPr>
        <w:ind w:hanging="360"/>
        <w:jc w:val="both"/>
        <w:divId w:val="1514804284"/>
        <w:rPr>
          <w:rFonts w:eastAsia="Times New Roman"/>
        </w:rPr>
      </w:pPr>
      <w:r>
        <w:rPr>
          <w:rFonts w:eastAsia="Times New Roman"/>
          <w:color w:val="000000"/>
          <w:sz w:val="20"/>
          <w:szCs w:val="20"/>
        </w:rPr>
        <w:t>•</w:t>
      </w:r>
      <w:r>
        <w:rPr>
          <w:rFonts w:eastAsia="Times New Roman"/>
          <w:i/>
          <w:iCs/>
          <w:color w:val="000000"/>
          <w:sz w:val="20"/>
          <w:szCs w:val="20"/>
        </w:rPr>
        <w:t>Consumer banking loans:</w:t>
      </w:r>
      <w:r>
        <w:rPr>
          <w:rFonts w:eastAsia="Times New Roman"/>
          <w:color w:val="000000"/>
          <w:sz w:val="20"/>
          <w:szCs w:val="20"/>
        </w:rPr>
        <w:t xml:space="preserve"> We generally charge off consumer banking loans at the earlier of the date when the account is a specified num</w:t>
      </w:r>
      <w:r>
        <w:rPr>
          <w:rFonts w:eastAsia="Times New Roman"/>
          <w:color w:val="000000"/>
          <w:sz w:val="20"/>
          <w:szCs w:val="20"/>
        </w:rPr>
        <w:t>ber of days past due or upon repossession of the underlying collateral. Our charge-off period for auto loans is 120 days past due. Small business banking loans generally charge off at 120 days past due or based on the date the amortized cost basis is deeme</w:t>
      </w:r>
      <w:r>
        <w:rPr>
          <w:rFonts w:eastAsia="Times New Roman"/>
          <w:color w:val="000000"/>
          <w:sz w:val="20"/>
          <w:szCs w:val="20"/>
        </w:rPr>
        <w:t>d uncollectible. Auto loans that have not been previously charged off where the borrower has filed for bankruptcy and the loan has not been reaffirmed charge off in the period that the loan is 60 days from the bankruptcy notification date, regardless of de</w:t>
      </w:r>
      <w:r>
        <w:rPr>
          <w:rFonts w:eastAsia="Times New Roman"/>
          <w:color w:val="000000"/>
          <w:sz w:val="20"/>
          <w:szCs w:val="20"/>
        </w:rPr>
        <w:t xml:space="preserve">linquency status. Auto loans that have not been previously charged off and have been discharged under Chapter 7 bankruptcy are charged off at the end of the month in which the bankruptcy discharge occurs. Remaining consumer loans generally are charged off </w:t>
      </w:r>
      <w:r>
        <w:rPr>
          <w:rFonts w:eastAsia="Times New Roman"/>
          <w:color w:val="000000"/>
          <w:sz w:val="20"/>
          <w:szCs w:val="20"/>
        </w:rPr>
        <w:t>within 40 days of receipt of notification from the bankruptcy court. Consumer loans of deceased account holders are charged off by the end of the month following 60 days of receipt of notification.</w:t>
      </w:r>
    </w:p>
    <w:p w:rsidR="00000000" w:rsidRDefault="0094004B">
      <w:pPr>
        <w:ind w:hanging="360"/>
        <w:jc w:val="both"/>
        <w:divId w:val="1373723047"/>
        <w:rPr>
          <w:rFonts w:eastAsia="Times New Roman"/>
        </w:rPr>
      </w:pPr>
      <w:r>
        <w:rPr>
          <w:rFonts w:eastAsia="Times New Roman"/>
          <w:color w:val="000000"/>
          <w:sz w:val="20"/>
          <w:szCs w:val="20"/>
        </w:rPr>
        <w:t>•</w:t>
      </w:r>
      <w:r>
        <w:rPr>
          <w:rFonts w:eastAsia="Times New Roman"/>
          <w:i/>
          <w:iCs/>
          <w:color w:val="000000"/>
          <w:sz w:val="20"/>
          <w:szCs w:val="20"/>
        </w:rPr>
        <w:t xml:space="preserve">Commercial banking loans: </w:t>
      </w:r>
      <w:r>
        <w:rPr>
          <w:rFonts w:eastAsia="Times New Roman"/>
          <w:color w:val="000000"/>
          <w:sz w:val="20"/>
          <w:szCs w:val="20"/>
        </w:rPr>
        <w:t xml:space="preserve">We charge off commercial loans </w:t>
      </w:r>
      <w:r>
        <w:rPr>
          <w:rFonts w:eastAsia="Times New Roman"/>
          <w:color w:val="000000"/>
          <w:sz w:val="20"/>
          <w:szCs w:val="20"/>
        </w:rPr>
        <w:t>in the period we determine that the amortized cost basis is uncollectible.</w:t>
      </w:r>
    </w:p>
    <w:p w:rsidR="00000000" w:rsidRDefault="0094004B">
      <w:pPr>
        <w:divId w:val="2100521970"/>
        <w:rPr>
          <w:rFonts w:eastAsia="Times New Roman"/>
        </w:rPr>
      </w:pPr>
      <w:r>
        <w:rPr>
          <w:rFonts w:eastAsia="Times New Roman"/>
          <w:b/>
          <w:bCs/>
          <w:i/>
          <w:iCs/>
          <w:color w:val="000000"/>
          <w:sz w:val="20"/>
          <w:szCs w:val="20"/>
        </w:rPr>
        <w:t>Allowance for Credit Losses - Loans Held for Investment</w:t>
      </w:r>
    </w:p>
    <w:p w:rsidR="00000000" w:rsidRDefault="0094004B">
      <w:pPr>
        <w:jc w:val="both"/>
        <w:divId w:val="1059326775"/>
        <w:rPr>
          <w:rFonts w:eastAsia="Times New Roman"/>
        </w:rPr>
      </w:pPr>
      <w:r>
        <w:rPr>
          <w:rFonts w:eastAsia="Times New Roman"/>
          <w:color w:val="000000"/>
          <w:sz w:val="20"/>
          <w:szCs w:val="20"/>
        </w:rPr>
        <w:t>We maintain an allowance for credit losses (“allowance”) that represents management’s current estimate of expected credit los</w:t>
      </w:r>
      <w:r>
        <w:rPr>
          <w:rFonts w:eastAsia="Times New Roman"/>
          <w:color w:val="000000"/>
          <w:sz w:val="20"/>
          <w:szCs w:val="20"/>
        </w:rPr>
        <w:t>ses over the contractual terms of our loans held for investment. We measure the allowance on a quarterly basis through consideration of past events, including historical experience, current conditions and reasonable and supportable forecasts.</w:t>
      </w:r>
    </w:p>
    <w:p w:rsidR="00000000" w:rsidRDefault="0094004B">
      <w:pPr>
        <w:jc w:val="both"/>
        <w:divId w:val="1338576006"/>
        <w:rPr>
          <w:rFonts w:eastAsia="Times New Roman"/>
        </w:rPr>
      </w:pPr>
      <w:r>
        <w:rPr>
          <w:rFonts w:eastAsia="Times New Roman"/>
          <w:color w:val="000000"/>
          <w:sz w:val="20"/>
          <w:szCs w:val="20"/>
        </w:rPr>
        <w:t>We measure cu</w:t>
      </w:r>
      <w:r>
        <w:rPr>
          <w:rFonts w:eastAsia="Times New Roman"/>
          <w:color w:val="000000"/>
          <w:sz w:val="20"/>
          <w:szCs w:val="20"/>
        </w:rPr>
        <w:t>rrent expected credit losses over the contractual terms of our loans. The contractual terms are adjusted for expected prepayments but are not extended for renewals or extensions, except when an extension or renewal arises from a borrower option that is not</w:t>
      </w:r>
      <w:r>
        <w:rPr>
          <w:rFonts w:eastAsia="Times New Roman"/>
          <w:color w:val="000000"/>
          <w:sz w:val="20"/>
          <w:szCs w:val="20"/>
        </w:rPr>
        <w:t xml:space="preserve"> unconditionally cancellable or through a TDR that is reasonably expected to occur.</w:t>
      </w:r>
    </w:p>
    <w:p w:rsidR="00000000" w:rsidRDefault="0094004B">
      <w:pPr>
        <w:jc w:val="both"/>
        <w:divId w:val="1957371866"/>
        <w:rPr>
          <w:rFonts w:eastAsia="Times New Roman"/>
        </w:rPr>
      </w:pPr>
      <w:r>
        <w:rPr>
          <w:rFonts w:eastAsia="Times New Roman"/>
          <w:color w:val="000000"/>
          <w:sz w:val="20"/>
          <w:szCs w:val="20"/>
        </w:rPr>
        <w:t>We aggregate loans sharing similar risk characteristics into pools for purposes of measuring expected credit losses. Pools are reassessed periodically to confirm that all l</w:t>
      </w:r>
      <w:r>
        <w:rPr>
          <w:rFonts w:eastAsia="Times New Roman"/>
          <w:color w:val="000000"/>
          <w:sz w:val="20"/>
          <w:szCs w:val="20"/>
        </w:rPr>
        <w:t>oans within each pool continue to share similar risk characteristics. Expected credit losses for loans that do not share similar risk characteristics with other financial assets are measured individually.</w:t>
      </w:r>
    </w:p>
    <w:p w:rsidR="00000000" w:rsidRDefault="0094004B">
      <w:pPr>
        <w:jc w:val="both"/>
        <w:divId w:val="1886984943"/>
        <w:rPr>
          <w:rFonts w:eastAsia="Times New Roman"/>
        </w:rPr>
      </w:pPr>
      <w:r>
        <w:rPr>
          <w:rFonts w:eastAsia="Times New Roman"/>
          <w:color w:val="000000"/>
          <w:sz w:val="20"/>
          <w:szCs w:val="20"/>
        </w:rPr>
        <w:t>Expected recoveries of amounts previously charged o</w:t>
      </w:r>
      <w:r>
        <w:rPr>
          <w:rFonts w:eastAsia="Times New Roman"/>
          <w:color w:val="000000"/>
          <w:sz w:val="20"/>
          <w:szCs w:val="20"/>
        </w:rPr>
        <w:t>ff or expected to be charged off are recognized within the allowance, with a corresponding reduction to our provision for credit losses. At times expected recoveries may result in a negative allowance. We limit the allowance recovery expectations to amount</w:t>
      </w:r>
      <w:r>
        <w:rPr>
          <w:rFonts w:eastAsia="Times New Roman"/>
          <w:color w:val="000000"/>
          <w:sz w:val="20"/>
          <w:szCs w:val="20"/>
        </w:rPr>
        <w:t>s previously charged off and expected to be charged off. Charge-offs of uncollectible amounts result in a reduction to the allowance and recoveries of previously charged off amounts result in an increase to the allowance.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451094153"/>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451094153"/>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451094153"/>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129</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55" style="width:0;height:1.5pt" o:hralign="center" o:hrstd="t" o:hr="t" fillcolor="#a0a0a0" stroked="f"/>
        </w:pict>
      </w:r>
    </w:p>
    <w:p w:rsidR="00000000" w:rsidRDefault="0094004B">
      <w:pPr>
        <w:jc w:val="both"/>
        <w:divId w:val="687800624"/>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687800624"/>
        <w:rPr>
          <w:rFonts w:eastAsia="Times New Roman"/>
        </w:rPr>
      </w:pPr>
    </w:p>
    <w:p w:rsidR="00000000" w:rsidRDefault="0094004B">
      <w:pPr>
        <w:jc w:val="center"/>
        <w:divId w:val="687800624"/>
        <w:rPr>
          <w:rFonts w:eastAsia="Times New Roman"/>
        </w:rPr>
      </w:pPr>
      <w:r>
        <w:rPr>
          <w:rFonts w:eastAsia="Times New Roman"/>
          <w:b/>
          <w:bCs/>
          <w:color w:val="000000"/>
          <w:sz w:val="20"/>
          <w:szCs w:val="20"/>
        </w:rPr>
        <w:t>CAPITAL ONE FINANCIAL CORPORATION</w:t>
      </w:r>
    </w:p>
    <w:p w:rsidR="00000000" w:rsidRDefault="0094004B">
      <w:pPr>
        <w:jc w:val="center"/>
        <w:divId w:val="687800624"/>
        <w:rPr>
          <w:rFonts w:eastAsia="Times New Roman"/>
        </w:rPr>
      </w:pPr>
      <w:r>
        <w:rPr>
          <w:rFonts w:eastAsia="Times New Roman"/>
          <w:b/>
          <w:bCs/>
          <w:color w:val="000000"/>
          <w:sz w:val="20"/>
          <w:szCs w:val="20"/>
        </w:rPr>
        <w:t>NOTES TO CONSOLIDATED FINANCIAL STATEMENTS</w:t>
      </w:r>
    </w:p>
    <w:p w:rsidR="00000000" w:rsidRDefault="0094004B">
      <w:pPr>
        <w:jc w:val="both"/>
        <w:divId w:val="641930420"/>
        <w:rPr>
          <w:rFonts w:eastAsia="Times New Roman"/>
        </w:rPr>
      </w:pPr>
      <w:r>
        <w:rPr>
          <w:rFonts w:eastAsia="Times New Roman"/>
          <w:color w:val="000000"/>
          <w:sz w:val="20"/>
          <w:szCs w:val="20"/>
        </w:rPr>
        <w:t>When developing an estimate of expected credit losses, we use bo</w:t>
      </w:r>
      <w:r>
        <w:rPr>
          <w:rFonts w:eastAsia="Times New Roman"/>
          <w:color w:val="000000"/>
          <w:sz w:val="20"/>
          <w:szCs w:val="20"/>
        </w:rPr>
        <w:t>th quantitative and qualitative methods in considering all available information relevant to assessing collectability. This may include internal information, external information, or a combination of both relating to past events, current conditions, and re</w:t>
      </w:r>
      <w:r>
        <w:rPr>
          <w:rFonts w:eastAsia="Times New Roman"/>
          <w:color w:val="000000"/>
          <w:sz w:val="20"/>
          <w:szCs w:val="20"/>
        </w:rPr>
        <w:t>asonable and supportable forecasts. Significant judgment is applied to the development and duration of reasonable and supportable forecasts used in our estimation of lifetime losses. We estimate expected credit losses over the duration of those forecasts a</w:t>
      </w:r>
      <w:r>
        <w:rPr>
          <w:rFonts w:eastAsia="Times New Roman"/>
          <w:color w:val="000000"/>
          <w:sz w:val="20"/>
          <w:szCs w:val="20"/>
        </w:rPr>
        <w:t>nd then revert, on a rational and systematic basis, to historical losses at each relevant loss component of the estimate. Expected losses for contractual terms extending beyond the reasonable and supportable forecast and reversion periods are based on thos</w:t>
      </w:r>
      <w:r>
        <w:rPr>
          <w:rFonts w:eastAsia="Times New Roman"/>
          <w:color w:val="000000"/>
          <w:sz w:val="20"/>
          <w:szCs w:val="20"/>
        </w:rPr>
        <w:t>e historical losses.</w:t>
      </w:r>
    </w:p>
    <w:p w:rsidR="00000000" w:rsidRDefault="0094004B">
      <w:pPr>
        <w:jc w:val="both"/>
        <w:divId w:val="1024476603"/>
        <w:rPr>
          <w:rFonts w:eastAsia="Times New Roman"/>
        </w:rPr>
      </w:pPr>
      <w:r>
        <w:rPr>
          <w:rFonts w:eastAsia="Times New Roman"/>
          <w:color w:val="000000"/>
          <w:sz w:val="20"/>
          <w:szCs w:val="20"/>
        </w:rPr>
        <w:t>Management will consider and may qualitatively adjust for conditions, changes and trends in loan portfolios that may not be captured in modeled results. These adjustments are referred to as qualitative factors and represent management</w:t>
      </w:r>
      <w:r>
        <w:rPr>
          <w:rFonts w:eastAsia="Times New Roman"/>
          <w:color w:val="000000"/>
          <w:sz w:val="20"/>
          <w:szCs w:val="20"/>
        </w:rPr>
        <w:t xml:space="preserve">’s judgment of the imprecision and risks inherent in the processes and assumptions used in establishing the allowance for credit losses. Management’s judgment may involve an assessment of current and forward-looking conditions including but not limited to </w:t>
      </w:r>
      <w:r>
        <w:rPr>
          <w:rFonts w:eastAsia="Times New Roman"/>
          <w:color w:val="000000"/>
          <w:sz w:val="20"/>
          <w:szCs w:val="20"/>
        </w:rPr>
        <w:t>changes in lending policies and procedures, nature and volume of the portfolio, external factors, and uncertainty as it relates to economic, model or forecast risks, where not already captured in the modeled results.</w:t>
      </w:r>
    </w:p>
    <w:p w:rsidR="00000000" w:rsidRDefault="0094004B">
      <w:pPr>
        <w:jc w:val="both"/>
        <w:divId w:val="1110658930"/>
        <w:rPr>
          <w:rFonts w:eastAsia="Times New Roman"/>
        </w:rPr>
      </w:pPr>
      <w:r>
        <w:rPr>
          <w:rFonts w:eastAsia="Times New Roman"/>
          <w:color w:val="000000"/>
          <w:sz w:val="20"/>
          <w:szCs w:val="20"/>
        </w:rPr>
        <w:t>Expected credit losses for collateral-d</w:t>
      </w:r>
      <w:r>
        <w:rPr>
          <w:rFonts w:eastAsia="Times New Roman"/>
          <w:color w:val="000000"/>
          <w:sz w:val="20"/>
          <w:szCs w:val="20"/>
        </w:rPr>
        <w:t>ependent loans are based on the fair value of the underlying collateral. When we intend to liquidate the collateral, the fair value of the collateral is adjusted for expected costs to sell. A loan is deemed to be a collateral-dependent loan when (i) we det</w:t>
      </w:r>
      <w:r>
        <w:rPr>
          <w:rFonts w:eastAsia="Times New Roman"/>
          <w:color w:val="000000"/>
          <w:sz w:val="20"/>
          <w:szCs w:val="20"/>
        </w:rPr>
        <w:t>ermine foreclosure or repossession of the underlying collateral is probable, or (ii) foreclosure or repossession is not probable, but the borrower is experiencing financial difficulty and we expect repayment to be provided substantially through the operati</w:t>
      </w:r>
      <w:r>
        <w:rPr>
          <w:rFonts w:eastAsia="Times New Roman"/>
          <w:color w:val="000000"/>
          <w:sz w:val="20"/>
          <w:szCs w:val="20"/>
        </w:rPr>
        <w:t>on or sale of the collateral. The allowance for a collateral-dependent loan reflects the difference between the loan’s amortized cost basis and the fair value (less selling costs, where applicable) of the loan’s underlying collateral.</w:t>
      </w:r>
    </w:p>
    <w:p w:rsidR="00000000" w:rsidRDefault="0094004B">
      <w:pPr>
        <w:jc w:val="both"/>
        <w:divId w:val="1924486879"/>
        <w:rPr>
          <w:rFonts w:eastAsia="Times New Roman"/>
        </w:rPr>
      </w:pPr>
      <w:r>
        <w:rPr>
          <w:rFonts w:eastAsia="Times New Roman"/>
          <w:color w:val="000000"/>
          <w:sz w:val="20"/>
          <w:szCs w:val="20"/>
        </w:rPr>
        <w:t>Our credit card and c</w:t>
      </w:r>
      <w:r>
        <w:rPr>
          <w:rFonts w:eastAsia="Times New Roman"/>
          <w:color w:val="000000"/>
          <w:sz w:val="20"/>
          <w:szCs w:val="20"/>
        </w:rPr>
        <w:t>onsumer banking loan portfolios consist of smaller-balance, homogeneous loans. The consumer banking loan portfolio is divided into two primary portfolio segments: auto loans and retail banking loans. We assess our credit card and consumer banking loan port</w:t>
      </w:r>
      <w:r>
        <w:rPr>
          <w:rFonts w:eastAsia="Times New Roman"/>
          <w:color w:val="000000"/>
          <w:sz w:val="20"/>
          <w:szCs w:val="20"/>
        </w:rPr>
        <w:t xml:space="preserve">folios based on common risk characteristics, such as origination year, contract type, interest rate, borrower credit score and geography. The commercial banking loan portfolio is primarily composed of larger-balance, non-homogeneous loans. These loans are </w:t>
      </w:r>
      <w:r>
        <w:rPr>
          <w:rFonts w:eastAsia="Times New Roman"/>
          <w:color w:val="000000"/>
          <w:sz w:val="20"/>
          <w:szCs w:val="20"/>
        </w:rPr>
        <w:t>subject to reviews that result in internal risk ratings. In assessing the risk rating of a particular commercial banking loan, among the factors we consider are the financial condition of the borrower, geography, collateral performance, historical loss exp</w:t>
      </w:r>
      <w:r>
        <w:rPr>
          <w:rFonts w:eastAsia="Times New Roman"/>
          <w:color w:val="000000"/>
          <w:sz w:val="20"/>
          <w:szCs w:val="20"/>
        </w:rPr>
        <w:t>erience and industry-specific information that management believes is relevant in determining and measuring expected credit losses. Subjective assessment and interpretation are involved. Emphasizing one factor over another or considering additional factors</w:t>
      </w:r>
      <w:r>
        <w:rPr>
          <w:rFonts w:eastAsia="Times New Roman"/>
          <w:color w:val="000000"/>
          <w:sz w:val="20"/>
          <w:szCs w:val="20"/>
        </w:rPr>
        <w:t xml:space="preserve"> could impact the risk rating assigned to that commercial banking loan.</w:t>
      </w:r>
    </w:p>
    <w:p w:rsidR="00000000" w:rsidRDefault="0094004B">
      <w:pPr>
        <w:jc w:val="both"/>
        <w:divId w:val="1561138773"/>
        <w:rPr>
          <w:rFonts w:eastAsia="Times New Roman"/>
        </w:rPr>
      </w:pPr>
      <w:r>
        <w:rPr>
          <w:rFonts w:eastAsia="Times New Roman"/>
          <w:color w:val="000000"/>
          <w:sz w:val="20"/>
          <w:szCs w:val="20"/>
        </w:rPr>
        <w:t>For consumer banking and commercial banking loans, the contractual period typically does not include renewals or extensions because the renewals and extensions are generally not at the</w:t>
      </w:r>
      <w:r>
        <w:rPr>
          <w:rFonts w:eastAsia="Times New Roman"/>
          <w:color w:val="000000"/>
          <w:sz w:val="20"/>
          <w:szCs w:val="20"/>
        </w:rPr>
        <w:t xml:space="preserve"> borrower’s exclusive option to exercise. The undrawn credit exposure associated with our credit card loans is unconditionally cancellable. For this reason, expected credit losses are measured based only on the drawn balance at each quarterly measurement d</w:t>
      </w:r>
      <w:r>
        <w:rPr>
          <w:rFonts w:eastAsia="Times New Roman"/>
          <w:color w:val="000000"/>
          <w:sz w:val="20"/>
          <w:szCs w:val="20"/>
        </w:rPr>
        <w:t xml:space="preserve">ate and not on the undrawn exposure. Because credit card loans do not have a defined contractual life, management estimates both the volume and application of payments to determine a contractual life of the drawn balance at the measurement date over which </w:t>
      </w:r>
      <w:r>
        <w:rPr>
          <w:rFonts w:eastAsia="Times New Roman"/>
          <w:color w:val="000000"/>
          <w:sz w:val="20"/>
          <w:szCs w:val="20"/>
        </w:rPr>
        <w:t>expected credit losses are developed for credit card loans.</w:t>
      </w:r>
    </w:p>
    <w:p w:rsidR="00000000" w:rsidRDefault="0094004B">
      <w:pPr>
        <w:jc w:val="both"/>
        <w:divId w:val="998457107"/>
        <w:rPr>
          <w:rFonts w:eastAsia="Times New Roman"/>
        </w:rPr>
      </w:pPr>
      <w:r>
        <w:rPr>
          <w:rFonts w:eastAsia="Times New Roman"/>
          <w:color w:val="000000"/>
          <w:sz w:val="20"/>
          <w:szCs w:val="20"/>
        </w:rPr>
        <w:t>With the exception of credit card loans, we have made a policy election to not measure an allowance on accrued interest for loans held for investment because we reverse uncollectible accrued inter</w:t>
      </w:r>
      <w:r>
        <w:rPr>
          <w:rFonts w:eastAsia="Times New Roman"/>
          <w:color w:val="000000"/>
          <w:sz w:val="20"/>
          <w:szCs w:val="20"/>
        </w:rPr>
        <w:t>est in a timely manner. See the “Delinquent and Nonperforming Loans” and “Charge-Offs - Loans” sections of this Note for information on what we consider timely. For credit card loans, we do not make this election, as we reserve for uncollectible accrued in</w:t>
      </w:r>
      <w:r>
        <w:rPr>
          <w:rFonts w:eastAsia="Times New Roman"/>
          <w:color w:val="000000"/>
          <w:sz w:val="20"/>
          <w:szCs w:val="20"/>
        </w:rPr>
        <w:t>terest relating to credit card loans in the allowance.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353381819"/>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353381819"/>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353381819"/>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130</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56" style="width:0;height:1.5pt" o:hralign="center" o:hrstd="t" o:hr="t" fillcolor="#a0a0a0" stroked="f"/>
        </w:pict>
      </w:r>
    </w:p>
    <w:p w:rsidR="00000000" w:rsidRDefault="0094004B">
      <w:pPr>
        <w:jc w:val="both"/>
        <w:divId w:val="1629621671"/>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1629621671"/>
        <w:rPr>
          <w:rFonts w:eastAsia="Times New Roman"/>
        </w:rPr>
      </w:pPr>
    </w:p>
    <w:p w:rsidR="00000000" w:rsidRDefault="0094004B">
      <w:pPr>
        <w:jc w:val="center"/>
        <w:divId w:val="1629621671"/>
        <w:rPr>
          <w:rFonts w:eastAsia="Times New Roman"/>
        </w:rPr>
      </w:pPr>
      <w:r>
        <w:rPr>
          <w:rFonts w:eastAsia="Times New Roman"/>
          <w:b/>
          <w:bCs/>
          <w:color w:val="000000"/>
          <w:sz w:val="20"/>
          <w:szCs w:val="20"/>
        </w:rPr>
        <w:t>CAPITAL ONE FINANCIAL CORPORATION</w:t>
      </w:r>
    </w:p>
    <w:p w:rsidR="00000000" w:rsidRDefault="0094004B">
      <w:pPr>
        <w:jc w:val="center"/>
        <w:divId w:val="1629621671"/>
        <w:rPr>
          <w:rFonts w:eastAsia="Times New Roman"/>
        </w:rPr>
      </w:pPr>
      <w:r>
        <w:rPr>
          <w:rFonts w:eastAsia="Times New Roman"/>
          <w:b/>
          <w:bCs/>
          <w:color w:val="000000"/>
          <w:sz w:val="20"/>
          <w:szCs w:val="20"/>
        </w:rPr>
        <w:t>NOTES TO CONSOLIDATED FINANCIAL STATEMENTS</w:t>
      </w:r>
    </w:p>
    <w:p w:rsidR="00000000" w:rsidRDefault="0094004B">
      <w:pPr>
        <w:jc w:val="both"/>
        <w:divId w:val="1357123946"/>
        <w:rPr>
          <w:rFonts w:eastAsia="Times New Roman"/>
        </w:rPr>
      </w:pPr>
      <w:r>
        <w:rPr>
          <w:rFonts w:eastAsia="Times New Roman"/>
          <w:color w:val="000000"/>
          <w:sz w:val="20"/>
          <w:szCs w:val="20"/>
        </w:rPr>
        <w:t>The allowance related to credit card and consumer banking loans assessed on a pooled basis is based on a modeled calculation, which is supplemented by management judgment as described above. Because of the homogeneous nature of our consumer loan portfolios</w:t>
      </w:r>
      <w:r>
        <w:rPr>
          <w:rFonts w:eastAsia="Times New Roman"/>
          <w:color w:val="000000"/>
          <w:sz w:val="20"/>
          <w:szCs w:val="20"/>
        </w:rPr>
        <w:t>, the allowance is based on the aggregated portfolio segment evaluations. The allowance is established through a process that begins with estimates of historical losses in each pool based upon various statistical analyses, with adjustments for current cond</w:t>
      </w:r>
      <w:r>
        <w:rPr>
          <w:rFonts w:eastAsia="Times New Roman"/>
          <w:color w:val="000000"/>
          <w:sz w:val="20"/>
          <w:szCs w:val="20"/>
        </w:rPr>
        <w:t>itions and reasonable and supportable forecasts of conditions, which includes expected economic conditions. Loss forecast models are utilized to estimate expected credit losses and consider several portfolio indicators including, but not limited to, expect</w:t>
      </w:r>
      <w:r>
        <w:rPr>
          <w:rFonts w:eastAsia="Times New Roman"/>
          <w:color w:val="000000"/>
          <w:sz w:val="20"/>
          <w:szCs w:val="20"/>
        </w:rPr>
        <w:t xml:space="preserve">ed economic conditions, historical loss experience, account seasoning, the value of collateral underlying secured loans, estimated foreclosures or defaults based on observable trends, delinquencies, bankruptcy filings, unemployment, borrower credit scores </w:t>
      </w:r>
      <w:r>
        <w:rPr>
          <w:rFonts w:eastAsia="Times New Roman"/>
          <w:color w:val="000000"/>
          <w:sz w:val="20"/>
          <w:szCs w:val="20"/>
        </w:rPr>
        <w:t>and general business trends. Management also considers an evaluation of overall portfolio credit quality based on indicators such as changes in our credit evaluation, underwriting and collection management policies, the effect of other external factors suc</w:t>
      </w:r>
      <w:r>
        <w:rPr>
          <w:rFonts w:eastAsia="Times New Roman"/>
          <w:color w:val="000000"/>
          <w:sz w:val="20"/>
          <w:szCs w:val="20"/>
        </w:rPr>
        <w:t>h as competition and legal and regulatory requirements, general economic conditions and business trends, and uncertainties in forecasting and modeling techniques used in estimating our allowance.</w:t>
      </w:r>
    </w:p>
    <w:p w:rsidR="00000000" w:rsidRDefault="0094004B">
      <w:pPr>
        <w:jc w:val="both"/>
        <w:divId w:val="658382508"/>
        <w:rPr>
          <w:rFonts w:eastAsia="Times New Roman"/>
        </w:rPr>
      </w:pPr>
      <w:r>
        <w:rPr>
          <w:rFonts w:eastAsia="Times New Roman"/>
          <w:color w:val="000000"/>
          <w:sz w:val="20"/>
          <w:szCs w:val="20"/>
        </w:rPr>
        <w:t>The allowance related to commercial banking loans assessed o</w:t>
      </w:r>
      <w:r>
        <w:rPr>
          <w:rFonts w:eastAsia="Times New Roman"/>
          <w:color w:val="000000"/>
          <w:sz w:val="20"/>
          <w:szCs w:val="20"/>
        </w:rPr>
        <w:t>n a pooled basis is based on our historical loss experience for loans with similar risk characteristics and consideration of the current credit quality of the portfolio, which is supplemented by management judgment as described above. These are adjusted fo</w:t>
      </w:r>
      <w:r>
        <w:rPr>
          <w:rFonts w:eastAsia="Times New Roman"/>
          <w:color w:val="000000"/>
          <w:sz w:val="20"/>
          <w:szCs w:val="20"/>
        </w:rPr>
        <w:t>r current conditions, and reasonable and supportable forecasts of conditions likely to cause future losses which vary from historical levels. We apply internal risk ratings to commercial banking loans, which we use to assess credit quality and derive a tot</w:t>
      </w:r>
      <w:r>
        <w:rPr>
          <w:rFonts w:eastAsia="Times New Roman"/>
          <w:color w:val="000000"/>
          <w:sz w:val="20"/>
          <w:szCs w:val="20"/>
        </w:rPr>
        <w:t>al loss estimate based on an estimated probability of default (“default rate”) and loss given default (“loss severity”). Management may also apply judgment to adjust the loss factors derived, taking into consideration both quantitative and qualitative fact</w:t>
      </w:r>
      <w:r>
        <w:rPr>
          <w:rFonts w:eastAsia="Times New Roman"/>
          <w:color w:val="000000"/>
          <w:sz w:val="20"/>
          <w:szCs w:val="20"/>
        </w:rPr>
        <w:t>ors, including general economic conditions, industry-specific and geographic trends, portfolio concentrations, trends in internal credit quality indicators, and current and past underwriting standards that have occurred but are not yet reflected in the his</w:t>
      </w:r>
      <w:r>
        <w:rPr>
          <w:rFonts w:eastAsia="Times New Roman"/>
          <w:color w:val="000000"/>
          <w:sz w:val="20"/>
          <w:szCs w:val="20"/>
        </w:rPr>
        <w:t>torical data underlying our loss estimates.</w:t>
      </w:r>
    </w:p>
    <w:p w:rsidR="00000000" w:rsidRDefault="0094004B">
      <w:pPr>
        <w:jc w:val="both"/>
        <w:divId w:val="861432605"/>
        <w:rPr>
          <w:rFonts w:eastAsia="Times New Roman"/>
        </w:rPr>
      </w:pPr>
      <w:r>
        <w:rPr>
          <w:rFonts w:eastAsia="Times New Roman"/>
          <w:color w:val="000000"/>
          <w:sz w:val="20"/>
          <w:szCs w:val="20"/>
        </w:rPr>
        <w:t>The allowance related to smaller-balance homogeneous credit card and consumer banking loans whose terms have been modified in a TDR is calculated on a pool basis using historical loss experience, adjusted for cur</w:t>
      </w:r>
      <w:r>
        <w:rPr>
          <w:rFonts w:eastAsia="Times New Roman"/>
          <w:color w:val="000000"/>
          <w:sz w:val="20"/>
          <w:szCs w:val="20"/>
        </w:rPr>
        <w:t xml:space="preserve">rent conditions and reasonable and supportable forecasts of conditions likely to cause future losses which vary from historical levels for the respective class of assets. The allowance related to consumer banking loans that are assessed at a loan-level is </w:t>
      </w:r>
      <w:r>
        <w:rPr>
          <w:rFonts w:eastAsia="Times New Roman"/>
          <w:color w:val="000000"/>
          <w:sz w:val="20"/>
          <w:szCs w:val="20"/>
        </w:rPr>
        <w:t>determined based on key considerations that include the borrower’s overall financial condition, resources and payment history, prospects for support from financially responsible guarantors, and when applicable, the estimated realizable value of any collate</w:t>
      </w:r>
      <w:r>
        <w:rPr>
          <w:rFonts w:eastAsia="Times New Roman"/>
          <w:color w:val="000000"/>
          <w:sz w:val="20"/>
          <w:szCs w:val="20"/>
        </w:rPr>
        <w:t>ral. The allowance related to commercial banking loans that are assessed at a loan-level is generally determined in accordance with our policy for estimating expected credit losses for collateral-dependent loans as described above.</w:t>
      </w:r>
    </w:p>
    <w:p w:rsidR="00000000" w:rsidRDefault="0094004B">
      <w:pPr>
        <w:divId w:val="1403984165"/>
        <w:rPr>
          <w:rFonts w:eastAsia="Times New Roman"/>
        </w:rPr>
      </w:pPr>
      <w:r>
        <w:rPr>
          <w:rFonts w:eastAsia="Times New Roman"/>
          <w:b/>
          <w:bCs/>
          <w:i/>
          <w:iCs/>
          <w:color w:val="000000"/>
          <w:sz w:val="20"/>
          <w:szCs w:val="20"/>
        </w:rPr>
        <w:t>Off-balance sheet credit</w:t>
      </w:r>
      <w:r>
        <w:rPr>
          <w:rFonts w:eastAsia="Times New Roman"/>
          <w:b/>
          <w:bCs/>
          <w:i/>
          <w:iCs/>
          <w:color w:val="000000"/>
          <w:sz w:val="20"/>
          <w:szCs w:val="20"/>
        </w:rPr>
        <w:t xml:space="preserve"> exposures</w:t>
      </w:r>
    </w:p>
    <w:p w:rsidR="00000000" w:rsidRDefault="0094004B">
      <w:pPr>
        <w:jc w:val="both"/>
        <w:divId w:val="937370804"/>
        <w:rPr>
          <w:rFonts w:eastAsia="Times New Roman"/>
        </w:rPr>
      </w:pPr>
      <w:r>
        <w:rPr>
          <w:rFonts w:eastAsia="Times New Roman"/>
          <w:color w:val="000000"/>
          <w:sz w:val="20"/>
          <w:szCs w:val="20"/>
        </w:rPr>
        <w:t>In addition to the allowance, we also measure expected credit losses related to unfunded lending commitments that are not unconditionally cancellable in our Commercial Banking business. This reserve is measured using the same measurement objecti</w:t>
      </w:r>
      <w:r>
        <w:rPr>
          <w:rFonts w:eastAsia="Times New Roman"/>
          <w:color w:val="000000"/>
          <w:sz w:val="20"/>
          <w:szCs w:val="20"/>
        </w:rPr>
        <w:t xml:space="preserve">ves as the allowance for loans held for investment and is recorded within other liabilities on our consolidated balance sheets. These commitments are segregated by risk according to our internal risk rating scale, which we use to assess credit quality and </w:t>
      </w:r>
      <w:r>
        <w:rPr>
          <w:rFonts w:eastAsia="Times New Roman"/>
          <w:color w:val="000000"/>
          <w:sz w:val="20"/>
          <w:szCs w:val="20"/>
        </w:rPr>
        <w:t>derive an expected credit loss estimate. We assess these risk classifications, taking into consideration both quantitative and qualitative factors, including historical loss experience, adjusted for current conditions and reasonable and supportable forecas</w:t>
      </w:r>
      <w:r>
        <w:rPr>
          <w:rFonts w:eastAsia="Times New Roman"/>
          <w:color w:val="000000"/>
          <w:sz w:val="20"/>
          <w:szCs w:val="20"/>
        </w:rPr>
        <w:t>ts of conditions likely to cause future losses which vary from historical levels, and utilization assumptions to estimate the reserve for unfunded lending commitments. Expected credit losses are not measured on unfunded lending commitments that are uncondi</w:t>
      </w:r>
      <w:r>
        <w:rPr>
          <w:rFonts w:eastAsia="Times New Roman"/>
          <w:color w:val="000000"/>
          <w:sz w:val="20"/>
          <w:szCs w:val="20"/>
        </w:rPr>
        <w:t>tionally cancellable, including all of our unfunded credit card and consumer banking lending commitments and certain of our unfunded commercial banking lending commitments.</w:t>
      </w:r>
    </w:p>
    <w:p w:rsidR="00000000" w:rsidRDefault="0094004B">
      <w:pPr>
        <w:jc w:val="both"/>
        <w:divId w:val="763453950"/>
        <w:rPr>
          <w:rFonts w:eastAsia="Times New Roman"/>
        </w:rPr>
      </w:pPr>
      <w:r>
        <w:rPr>
          <w:rFonts w:eastAsia="Times New Roman"/>
          <w:color w:val="000000"/>
          <w:sz w:val="20"/>
          <w:szCs w:val="20"/>
        </w:rPr>
        <w:t>Determining the appropriateness of the allowance and the reserve for unfunded lendi</w:t>
      </w:r>
      <w:r>
        <w:rPr>
          <w:rFonts w:eastAsia="Times New Roman"/>
          <w:color w:val="000000"/>
          <w:sz w:val="20"/>
          <w:szCs w:val="20"/>
        </w:rPr>
        <w:t>ng commitments is complex and requires judgment by management about the effect of matters that are inherently uncertain. Subsequent evaluations of the loan portfolio, in light of the factors then prevailing, may result in significant changes in the reserve</w:t>
      </w:r>
      <w:r>
        <w:rPr>
          <w:rFonts w:eastAsia="Times New Roman"/>
          <w:color w:val="000000"/>
          <w:sz w:val="20"/>
          <w:szCs w:val="20"/>
        </w:rPr>
        <w:t xml:space="preserve"> for unfunded lending commitments in future periods. See “Note 4—Allowance for Credit Losses and Reserve for Unfunded Lending Commitments” for additional information.</w:t>
      </w:r>
    </w:p>
    <w:p w:rsidR="00000000" w:rsidRDefault="0094004B">
      <w:pPr>
        <w:jc w:val="both"/>
        <w:divId w:val="2052420428"/>
        <w:rPr>
          <w:rFonts w:eastAsia="Times New Roman"/>
        </w:rPr>
      </w:pPr>
    </w:p>
    <w:p w:rsidR="00000000" w:rsidRDefault="0094004B">
      <w:pPr>
        <w:jc w:val="both"/>
        <w:divId w:val="1232086057"/>
        <w:rPr>
          <w:rFonts w:eastAsia="Times New Roman"/>
        </w:rPr>
      </w:pPr>
    </w:p>
    <w:p w:rsidR="00000000" w:rsidRDefault="0094004B">
      <w:pPr>
        <w:jc w:val="both"/>
        <w:divId w:val="1506285829"/>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216474336"/>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216474336"/>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216474336"/>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131</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57" style="width:0;height:1.5pt" o:hralign="center" o:hrstd="t" o:hr="t" fillcolor="#a0a0a0" stroked="f"/>
        </w:pict>
      </w:r>
    </w:p>
    <w:p w:rsidR="00000000" w:rsidRDefault="0094004B">
      <w:pPr>
        <w:jc w:val="both"/>
        <w:divId w:val="717171608"/>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717171608"/>
        <w:rPr>
          <w:rFonts w:eastAsia="Times New Roman"/>
        </w:rPr>
      </w:pPr>
    </w:p>
    <w:p w:rsidR="00000000" w:rsidRDefault="0094004B">
      <w:pPr>
        <w:jc w:val="center"/>
        <w:divId w:val="717171608"/>
        <w:rPr>
          <w:rFonts w:eastAsia="Times New Roman"/>
        </w:rPr>
      </w:pPr>
      <w:r>
        <w:rPr>
          <w:rFonts w:eastAsia="Times New Roman"/>
          <w:b/>
          <w:bCs/>
          <w:color w:val="000000"/>
          <w:sz w:val="20"/>
          <w:szCs w:val="20"/>
        </w:rPr>
        <w:t>CAPITAL ONE FINANCIAL CORPORATION</w:t>
      </w:r>
    </w:p>
    <w:p w:rsidR="00000000" w:rsidRDefault="0094004B">
      <w:pPr>
        <w:jc w:val="center"/>
        <w:divId w:val="717171608"/>
        <w:rPr>
          <w:rFonts w:eastAsia="Times New Roman"/>
        </w:rPr>
      </w:pPr>
      <w:r>
        <w:rPr>
          <w:rFonts w:eastAsia="Times New Roman"/>
          <w:b/>
          <w:bCs/>
          <w:color w:val="000000"/>
          <w:sz w:val="20"/>
          <w:szCs w:val="20"/>
        </w:rPr>
        <w:t>NOTES TO CONSOLIDATED FINANCIAL STATEMENTS</w:t>
      </w:r>
    </w:p>
    <w:p w:rsidR="00000000" w:rsidRDefault="0094004B">
      <w:pPr>
        <w:divId w:val="20591525"/>
        <w:rPr>
          <w:rFonts w:eastAsia="Times New Roman"/>
        </w:rPr>
      </w:pPr>
      <w:r>
        <w:rPr>
          <w:rFonts w:eastAsia="Times New Roman"/>
          <w:b/>
          <w:bCs/>
          <w:color w:val="000000"/>
          <w:sz w:val="20"/>
          <w:szCs w:val="20"/>
        </w:rPr>
        <w:t>Securitization of Loans</w:t>
      </w:r>
    </w:p>
    <w:p w:rsidR="00000000" w:rsidRDefault="0094004B">
      <w:pPr>
        <w:jc w:val="both"/>
        <w:divId w:val="1623997137"/>
        <w:rPr>
          <w:rFonts w:eastAsia="Times New Roman"/>
        </w:rPr>
      </w:pPr>
      <w:r>
        <w:rPr>
          <w:rFonts w:eastAsia="Times New Roman"/>
          <w:color w:val="000000"/>
          <w:sz w:val="20"/>
          <w:szCs w:val="20"/>
        </w:rPr>
        <w:t>Our loan securitization activities primarily involve the securitization of credit card and auto loans, which provides a source of funding for us. See “Note 5—Variable Interest Entities and Securitizations” for additional details. Loan securitization involv</w:t>
      </w:r>
      <w:r>
        <w:rPr>
          <w:rFonts w:eastAsia="Times New Roman"/>
          <w:color w:val="000000"/>
          <w:sz w:val="20"/>
          <w:szCs w:val="20"/>
        </w:rPr>
        <w:t xml:space="preserve">es the transfer of a pool of loan receivables from our portfolio to a trust. The trust then sells undivided interests in the pool of loan receivables to third-party investors through the issuance of debt securities and transfers the proceeds from the debt </w:t>
      </w:r>
      <w:r>
        <w:rPr>
          <w:rFonts w:eastAsia="Times New Roman"/>
          <w:color w:val="000000"/>
          <w:sz w:val="20"/>
          <w:szCs w:val="20"/>
        </w:rPr>
        <w:t>issuance to us as consideration for the loan receivables transferred. The debt securities are collateralized by the loan receivables transferred from our portfolio. We remove loans from our consolidated balance sheets if securitizations qualify as sales to</w:t>
      </w:r>
      <w:r>
        <w:rPr>
          <w:rFonts w:eastAsia="Times New Roman"/>
          <w:color w:val="000000"/>
          <w:sz w:val="20"/>
          <w:szCs w:val="20"/>
        </w:rPr>
        <w:t xml:space="preserve"> unconsolidated VIEs, recognize assets retained and liabilities assumed at fair value and record a gain or loss on the transferred loans. Alternatively, if the transfer does not qualify as a sale but instead is considered a secured borrowing, the assets wi</w:t>
      </w:r>
      <w:r>
        <w:rPr>
          <w:rFonts w:eastAsia="Times New Roman"/>
          <w:color w:val="000000"/>
          <w:sz w:val="20"/>
          <w:szCs w:val="20"/>
        </w:rPr>
        <w:t>ll remain on our consolidated balance sheets with an offsetting liability recognized for the amount of proceeds received.</w:t>
      </w:r>
    </w:p>
    <w:p w:rsidR="00000000" w:rsidRDefault="0094004B">
      <w:pPr>
        <w:divId w:val="227032472"/>
        <w:rPr>
          <w:rFonts w:eastAsia="Times New Roman"/>
        </w:rPr>
      </w:pPr>
      <w:r>
        <w:rPr>
          <w:rFonts w:eastAsia="Times New Roman"/>
          <w:b/>
          <w:bCs/>
          <w:color w:val="000000"/>
          <w:sz w:val="20"/>
          <w:szCs w:val="20"/>
        </w:rPr>
        <w:t>Premises, Equipment and Leases</w:t>
      </w:r>
    </w:p>
    <w:p w:rsidR="00000000" w:rsidRDefault="0094004B">
      <w:pPr>
        <w:divId w:val="390621545"/>
        <w:rPr>
          <w:rFonts w:eastAsia="Times New Roman"/>
        </w:rPr>
      </w:pPr>
      <w:r>
        <w:rPr>
          <w:rFonts w:eastAsia="Times New Roman"/>
          <w:b/>
          <w:bCs/>
          <w:i/>
          <w:iCs/>
          <w:color w:val="000000"/>
          <w:sz w:val="20"/>
          <w:szCs w:val="20"/>
        </w:rPr>
        <w:t>Premises and Equipment</w:t>
      </w:r>
    </w:p>
    <w:p w:rsidR="00000000" w:rsidRDefault="0094004B">
      <w:pPr>
        <w:jc w:val="both"/>
        <w:divId w:val="63916376"/>
        <w:rPr>
          <w:rFonts w:eastAsia="Times New Roman"/>
        </w:rPr>
      </w:pPr>
      <w:r>
        <w:rPr>
          <w:rFonts w:eastAsia="Times New Roman"/>
          <w:color w:val="000000"/>
          <w:sz w:val="20"/>
          <w:szCs w:val="20"/>
        </w:rPr>
        <w:t>Premises and equipment, including leasehold improvements, are carried at cost le</w:t>
      </w:r>
      <w:r>
        <w:rPr>
          <w:rFonts w:eastAsia="Times New Roman"/>
          <w:color w:val="000000"/>
          <w:sz w:val="20"/>
          <w:szCs w:val="20"/>
        </w:rPr>
        <w:t>ss accumulated depreciation and amortization. Land is carried at cost. We capitalize direct costs incurred during the application development stage of internally developed software projects. Depreciation and amortization expenses are calculated using the s</w:t>
      </w:r>
      <w:r>
        <w:rPr>
          <w:rFonts w:eastAsia="Times New Roman"/>
          <w:color w:val="000000"/>
          <w:sz w:val="20"/>
          <w:szCs w:val="20"/>
        </w:rPr>
        <w:t>traight-line method over the estimated useful lives of the assets. Useful lives for premises and equipment are estimated as follows:</w:t>
      </w:r>
    </w:p>
    <w:tbl>
      <w:tblPr>
        <w:tblW w:w="5000" w:type="pct"/>
        <w:tblCellMar>
          <w:top w:w="15" w:type="dxa"/>
          <w:left w:w="15" w:type="dxa"/>
          <w:bottom w:w="15" w:type="dxa"/>
          <w:right w:w="15" w:type="dxa"/>
        </w:tblCellMar>
        <w:tblLook w:val="04A0" w:firstRow="1" w:lastRow="0" w:firstColumn="1" w:lastColumn="0" w:noHBand="0" w:noVBand="1"/>
      </w:tblPr>
      <w:tblGrid>
        <w:gridCol w:w="60"/>
        <w:gridCol w:w="5800"/>
        <w:gridCol w:w="37"/>
        <w:gridCol w:w="36"/>
        <w:gridCol w:w="36"/>
        <w:gridCol w:w="36"/>
        <w:gridCol w:w="45"/>
        <w:gridCol w:w="2219"/>
        <w:gridCol w:w="37"/>
      </w:tblGrid>
      <w:tr w:rsidR="00000000">
        <w:trPr>
          <w:divId w:val="2069306180"/>
        </w:trPr>
        <w:tc>
          <w:tcPr>
            <w:tcW w:w="50" w:type="pct"/>
            <w:vAlign w:val="center"/>
            <w:hideMark/>
          </w:tcPr>
          <w:p w:rsidR="00000000" w:rsidRDefault="0094004B">
            <w:pPr>
              <w:jc w:val="both"/>
              <w:rPr>
                <w:rFonts w:eastAsia="Times New Roman"/>
              </w:rPr>
            </w:pPr>
          </w:p>
        </w:tc>
        <w:tc>
          <w:tcPr>
            <w:tcW w:w="350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348"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2069306180"/>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16"/>
                <w:szCs w:val="16"/>
              </w:rPr>
              <w:t>Premises and Equipment</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Useful Lives</w:t>
            </w:r>
          </w:p>
        </w:tc>
      </w:tr>
      <w:tr w:rsidR="00000000">
        <w:trPr>
          <w:divId w:val="2069306180"/>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Buildings and improvements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8"/>
                <w:szCs w:val="18"/>
              </w:rPr>
              <w:t>5-39 years</w:t>
            </w:r>
          </w:p>
        </w:tc>
      </w:tr>
      <w:tr w:rsidR="00000000">
        <w:trPr>
          <w:divId w:val="2069306180"/>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Furniture and equipment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8"/>
                <w:szCs w:val="18"/>
              </w:rPr>
              <w:t>3-10 years</w:t>
            </w:r>
          </w:p>
        </w:tc>
      </w:tr>
      <w:tr w:rsidR="00000000">
        <w:trPr>
          <w:divId w:val="2069306180"/>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Computer software</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8"/>
                <w:szCs w:val="18"/>
              </w:rPr>
              <w:t>3 years</w:t>
            </w:r>
          </w:p>
        </w:tc>
      </w:tr>
      <w:tr w:rsidR="00000000">
        <w:trPr>
          <w:divId w:val="2069306180"/>
        </w:trPr>
        <w:tc>
          <w:tcPr>
            <w:tcW w:w="0" w:type="auto"/>
            <w:gridSpan w:val="3"/>
            <w:shd w:val="clear" w:color="auto" w:fill="FFFFFF"/>
            <w:tcMar>
              <w:top w:w="30" w:type="dxa"/>
              <w:left w:w="20" w:type="dxa"/>
              <w:bottom w:w="30" w:type="dxa"/>
              <w:right w:w="20" w:type="dxa"/>
            </w:tcMar>
            <w:hideMark/>
          </w:tcPr>
          <w:p w:rsidR="00000000" w:rsidRDefault="0094004B">
            <w:pPr>
              <w:spacing w:after="100"/>
              <w:rPr>
                <w:rFonts w:eastAsia="Times New Roman"/>
              </w:rPr>
            </w:pPr>
            <w:r>
              <w:rPr>
                <w:rFonts w:eastAsia="Times New Roman"/>
                <w:color w:val="000000"/>
                <w:sz w:val="18"/>
                <w:szCs w:val="18"/>
              </w:rPr>
              <w:t>Leasehold improvements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8"/>
                <w:szCs w:val="18"/>
              </w:rPr>
              <w:t>Lesser of the useful life or the remaining lease term</w:t>
            </w:r>
          </w:p>
        </w:tc>
      </w:tr>
    </w:tbl>
    <w:p w:rsidR="00000000" w:rsidRDefault="0094004B">
      <w:pPr>
        <w:jc w:val="both"/>
        <w:divId w:val="196814934"/>
        <w:rPr>
          <w:rFonts w:eastAsia="Times New Roman"/>
        </w:rPr>
      </w:pPr>
      <w:r>
        <w:rPr>
          <w:rFonts w:eastAsia="Times New Roman"/>
          <w:color w:val="000000"/>
          <w:sz w:val="20"/>
          <w:szCs w:val="20"/>
        </w:rPr>
        <w:t>Expenditures for maintenance and repairs are expensed as incurred and gains or losses upon disposition are recognized in our consolidated statements of income as realized. See “Note 7—Premises, Equipment and Leases” for additional information.</w:t>
      </w:r>
    </w:p>
    <w:p w:rsidR="00000000" w:rsidRDefault="0094004B">
      <w:pPr>
        <w:divId w:val="1876650144"/>
        <w:rPr>
          <w:rFonts w:eastAsia="Times New Roman"/>
        </w:rPr>
      </w:pPr>
      <w:r>
        <w:rPr>
          <w:rFonts w:eastAsia="Times New Roman"/>
          <w:b/>
          <w:bCs/>
          <w:i/>
          <w:iCs/>
          <w:color w:val="000000"/>
          <w:sz w:val="20"/>
          <w:szCs w:val="20"/>
        </w:rPr>
        <w:t>Leases</w:t>
      </w:r>
    </w:p>
    <w:p w:rsidR="00000000" w:rsidRDefault="0094004B">
      <w:pPr>
        <w:jc w:val="both"/>
        <w:divId w:val="1971587107"/>
        <w:rPr>
          <w:rFonts w:eastAsia="Times New Roman"/>
        </w:rPr>
      </w:pPr>
      <w:r>
        <w:rPr>
          <w:rFonts w:eastAsia="Times New Roman"/>
          <w:color w:val="000000"/>
          <w:sz w:val="20"/>
          <w:szCs w:val="20"/>
        </w:rPr>
        <w:t>Lease</w:t>
      </w:r>
      <w:r>
        <w:rPr>
          <w:rFonts w:eastAsia="Times New Roman"/>
          <w:color w:val="000000"/>
          <w:sz w:val="20"/>
          <w:szCs w:val="20"/>
        </w:rPr>
        <w:t xml:space="preserve"> classification is determined at inception for all lease transactions with an initial term greater than one year. Operating leases are included as right-of-use (“ROU”) assets within other assets, and operating lease liabilities are classified as other liab</w:t>
      </w:r>
      <w:r>
        <w:rPr>
          <w:rFonts w:eastAsia="Times New Roman"/>
          <w:color w:val="000000"/>
          <w:sz w:val="20"/>
          <w:szCs w:val="20"/>
        </w:rPr>
        <w:t>ilities on our consolidated balance sheets. Finance leases are included in premises and equipment, and other borrowings on our consolidated balance sheets. Our operating lease expense is included in occupancy and equipment within non-interest expense in ou</w:t>
      </w:r>
      <w:r>
        <w:rPr>
          <w:rFonts w:eastAsia="Times New Roman"/>
          <w:color w:val="000000"/>
          <w:sz w:val="20"/>
          <w:szCs w:val="20"/>
        </w:rPr>
        <w:t>r consolidated statements of income. Lease expense for minimum lease payments are recognized on a straight-line basis over the lease term. See “Note 7—Premises, Equipment and Leases” for additional information.</w:t>
      </w:r>
    </w:p>
    <w:p w:rsidR="00000000" w:rsidRDefault="0094004B">
      <w:pPr>
        <w:divId w:val="981345840"/>
        <w:rPr>
          <w:rFonts w:eastAsia="Times New Roman"/>
        </w:rPr>
      </w:pPr>
      <w:r>
        <w:rPr>
          <w:rFonts w:eastAsia="Times New Roman"/>
          <w:b/>
          <w:bCs/>
          <w:color w:val="000000"/>
          <w:sz w:val="20"/>
          <w:szCs w:val="20"/>
        </w:rPr>
        <w:t xml:space="preserve">Goodwill and Other Intangible Assets </w:t>
      </w:r>
    </w:p>
    <w:p w:rsidR="00000000" w:rsidRDefault="0094004B">
      <w:pPr>
        <w:jc w:val="both"/>
        <w:divId w:val="35812191"/>
        <w:rPr>
          <w:rFonts w:eastAsia="Times New Roman"/>
        </w:rPr>
      </w:pPr>
      <w:r>
        <w:rPr>
          <w:rFonts w:eastAsia="Times New Roman"/>
          <w:color w:val="000000"/>
          <w:sz w:val="20"/>
          <w:szCs w:val="20"/>
        </w:rPr>
        <w:t>Goodwil</w:t>
      </w:r>
      <w:r>
        <w:rPr>
          <w:rFonts w:eastAsia="Times New Roman"/>
          <w:color w:val="000000"/>
          <w:sz w:val="20"/>
          <w:szCs w:val="20"/>
        </w:rPr>
        <w:t>l represents the excess of the fair value of the consideration transferred, plus the fair value of any non-controlling interests in the acquiree, over the fair value of the net assets acquired and liabilities assumed as of the acquisition date and is assig</w:t>
      </w:r>
      <w:r>
        <w:rPr>
          <w:rFonts w:eastAsia="Times New Roman"/>
          <w:color w:val="000000"/>
          <w:sz w:val="20"/>
          <w:szCs w:val="20"/>
        </w:rPr>
        <w:t>ned to one or more reporting units at acquisition. A reporting unit is defined as an operating segment, or a business unit that is one level below an operating segment. We have four reporting units: Credit Card, Auto Finance, Other Consumer Banking and Com</w:t>
      </w:r>
      <w:r>
        <w:rPr>
          <w:rFonts w:eastAsia="Times New Roman"/>
          <w:color w:val="000000"/>
          <w:sz w:val="20"/>
          <w:szCs w:val="20"/>
        </w:rPr>
        <w:t xml:space="preserve">mercial Banking. Goodwill is not amortized but is tested for impairment at the reporting unit level annually or more frequently if adverse circumstances indicate that it is more likely than not that the carrying amount of a reporting unit exceeds its fair </w:t>
      </w:r>
      <w:r>
        <w:rPr>
          <w:rFonts w:eastAsia="Times New Roman"/>
          <w:color w:val="000000"/>
          <w:sz w:val="20"/>
          <w:szCs w:val="20"/>
        </w:rPr>
        <w:t>value. These indicators could include a sustained, significant decline in the Company’s stock price, a decline in expected future cash flows, significant disposition activity, a significant adverse change in the economic or business environment, and the te</w:t>
      </w:r>
      <w:r>
        <w:rPr>
          <w:rFonts w:eastAsia="Times New Roman"/>
          <w:color w:val="000000"/>
          <w:sz w:val="20"/>
          <w:szCs w:val="20"/>
        </w:rPr>
        <w:t xml:space="preserve">sting for recoverability of a significant asset group, among others. </w:t>
      </w:r>
    </w:p>
    <w:p w:rsidR="00000000" w:rsidRDefault="0094004B">
      <w:pPr>
        <w:jc w:val="both"/>
        <w:divId w:val="947195600"/>
        <w:rPr>
          <w:rFonts w:eastAsia="Times New Roman"/>
        </w:rPr>
      </w:pPr>
      <w:r>
        <w:rPr>
          <w:rFonts w:eastAsia="Times New Roman"/>
          <w:color w:val="000000"/>
          <w:sz w:val="20"/>
          <w:szCs w:val="20"/>
        </w:rPr>
        <w:t>Intangible assets with finite useful lives are amortized on either an accelerated or straight-line basis over their estimated useful lives and are evaluated for impairment whenever event</w:t>
      </w:r>
      <w:r>
        <w:rPr>
          <w:rFonts w:eastAsia="Times New Roman"/>
          <w:color w:val="000000"/>
          <w:sz w:val="20"/>
          <w:szCs w:val="20"/>
        </w:rPr>
        <w:t>s or changes in circumstances indicate the carrying amount of the assets may not be recoverable. See “Note 6—Goodwill and Other Intangible Assets” for additional information.</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03311968"/>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03311968"/>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03311968"/>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132</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58" style="width:0;height:1.5pt" o:hralign="center" o:hrstd="t" o:hr="t" fillcolor="#a0a0a0" stroked="f"/>
        </w:pict>
      </w:r>
    </w:p>
    <w:p w:rsidR="00000000" w:rsidRDefault="0094004B">
      <w:pPr>
        <w:jc w:val="both"/>
        <w:divId w:val="314339188"/>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314339188"/>
        <w:rPr>
          <w:rFonts w:eastAsia="Times New Roman"/>
        </w:rPr>
      </w:pPr>
    </w:p>
    <w:p w:rsidR="00000000" w:rsidRDefault="0094004B">
      <w:pPr>
        <w:jc w:val="center"/>
        <w:divId w:val="314339188"/>
        <w:rPr>
          <w:rFonts w:eastAsia="Times New Roman"/>
        </w:rPr>
      </w:pPr>
      <w:r>
        <w:rPr>
          <w:rFonts w:eastAsia="Times New Roman"/>
          <w:b/>
          <w:bCs/>
          <w:color w:val="000000"/>
          <w:sz w:val="20"/>
          <w:szCs w:val="20"/>
        </w:rPr>
        <w:t>CAPITAL ONE FINANCIAL CORPORATION</w:t>
      </w:r>
    </w:p>
    <w:p w:rsidR="00000000" w:rsidRDefault="0094004B">
      <w:pPr>
        <w:jc w:val="center"/>
        <w:divId w:val="314339188"/>
        <w:rPr>
          <w:rFonts w:eastAsia="Times New Roman"/>
        </w:rPr>
      </w:pPr>
      <w:r>
        <w:rPr>
          <w:rFonts w:eastAsia="Times New Roman"/>
          <w:b/>
          <w:bCs/>
          <w:color w:val="000000"/>
          <w:sz w:val="20"/>
          <w:szCs w:val="20"/>
        </w:rPr>
        <w:t>NOTES TO CONSOLIDATED FINANCIAL STATEMENTS</w:t>
      </w:r>
    </w:p>
    <w:p w:rsidR="00000000" w:rsidRDefault="0094004B">
      <w:pPr>
        <w:divId w:val="1850362365"/>
        <w:rPr>
          <w:rFonts w:eastAsia="Times New Roman"/>
        </w:rPr>
      </w:pPr>
      <w:r>
        <w:rPr>
          <w:rFonts w:eastAsia="Times New Roman"/>
          <w:b/>
          <w:bCs/>
          <w:color w:val="000000"/>
          <w:sz w:val="20"/>
          <w:szCs w:val="20"/>
        </w:rPr>
        <w:t xml:space="preserve">Mortgage Servicing Rights </w:t>
      </w:r>
    </w:p>
    <w:p w:rsidR="00000000" w:rsidRDefault="0094004B">
      <w:pPr>
        <w:jc w:val="both"/>
        <w:divId w:val="351878781"/>
        <w:rPr>
          <w:rFonts w:eastAsia="Times New Roman"/>
        </w:rPr>
      </w:pPr>
      <w:r>
        <w:rPr>
          <w:rFonts w:eastAsia="Times New Roman"/>
          <w:color w:val="000000"/>
          <w:sz w:val="20"/>
          <w:szCs w:val="20"/>
        </w:rPr>
        <w:t>Mortgage servicing rights (“MSRs”) are initially recorded at fair value when mortgage loans are sold or securitized in the secondary market and the right to service these loans is retained for a fee. Commercial MSRs are subsequently accounted for under the</w:t>
      </w:r>
      <w:r>
        <w:rPr>
          <w:rFonts w:eastAsia="Times New Roman"/>
          <w:color w:val="000000"/>
          <w:sz w:val="20"/>
          <w:szCs w:val="20"/>
        </w:rPr>
        <w:t xml:space="preserve"> amortization method. We evaluate for impairment as of each reporting date and recognize any impairment in other non-interest income. See “Note 6—Goodwill and Other Intangible Assets” for additional information. </w:t>
      </w:r>
    </w:p>
    <w:p w:rsidR="00000000" w:rsidRDefault="0094004B">
      <w:pPr>
        <w:divId w:val="1781607329"/>
        <w:rPr>
          <w:rFonts w:eastAsia="Times New Roman"/>
        </w:rPr>
      </w:pPr>
      <w:r>
        <w:rPr>
          <w:rFonts w:eastAsia="Times New Roman"/>
          <w:b/>
          <w:bCs/>
          <w:color w:val="000000"/>
          <w:sz w:val="20"/>
          <w:szCs w:val="20"/>
        </w:rPr>
        <w:t xml:space="preserve">Foreclosed Property and Repossessed Assets </w:t>
      </w:r>
    </w:p>
    <w:p w:rsidR="00000000" w:rsidRDefault="0094004B">
      <w:pPr>
        <w:jc w:val="both"/>
        <w:divId w:val="1534924754"/>
        <w:rPr>
          <w:rFonts w:eastAsia="Times New Roman"/>
        </w:rPr>
      </w:pPr>
      <w:r>
        <w:rPr>
          <w:rFonts w:eastAsia="Times New Roman"/>
          <w:color w:val="000000"/>
          <w:sz w:val="20"/>
          <w:szCs w:val="20"/>
        </w:rPr>
        <w:t>Foreclosed property and repossessed assets obtained through our lending activities typically include commercial real estate or personal property, such as automobiles, and are recorded at net realizable value. For foreclosed property and repossessed assets</w:t>
      </w:r>
      <w:r>
        <w:rPr>
          <w:rFonts w:eastAsia="Times New Roman"/>
          <w:color w:val="000000"/>
          <w:sz w:val="20"/>
          <w:szCs w:val="20"/>
        </w:rPr>
        <w:t>, we generally reclassify the loan to repossessed assets upon repossession of the property in satisfaction of the loan. Net realizable value is the estimated fair value of the underlying collateral less estimated selling costs and is based on appraisals, w</w:t>
      </w:r>
      <w:r>
        <w:rPr>
          <w:rFonts w:eastAsia="Times New Roman"/>
          <w:color w:val="000000"/>
          <w:sz w:val="20"/>
          <w:szCs w:val="20"/>
        </w:rPr>
        <w:t>hen available. Subsequent to initial recognition, foreclosed property and repossessed assets are recorded at the lower of our initial cost basis or net realizable value, which is routinely monitored and updated. Any changes in net realizable value and gain</w:t>
      </w:r>
      <w:r>
        <w:rPr>
          <w:rFonts w:eastAsia="Times New Roman"/>
          <w:color w:val="000000"/>
          <w:sz w:val="20"/>
          <w:szCs w:val="20"/>
        </w:rPr>
        <w:t>s or losses realized from disposition of the property are recorded in other non-interest expense. See “Note 16—Fair Value Measurement” for details.</w:t>
      </w:r>
    </w:p>
    <w:p w:rsidR="00000000" w:rsidRDefault="0094004B">
      <w:pPr>
        <w:divId w:val="1484543418"/>
        <w:rPr>
          <w:rFonts w:eastAsia="Times New Roman"/>
        </w:rPr>
      </w:pPr>
      <w:r>
        <w:rPr>
          <w:rFonts w:eastAsia="Times New Roman"/>
          <w:b/>
          <w:bCs/>
          <w:color w:val="000000"/>
          <w:sz w:val="20"/>
          <w:szCs w:val="20"/>
        </w:rPr>
        <w:t>Restricted Equity Investments</w:t>
      </w:r>
    </w:p>
    <w:p w:rsidR="00000000" w:rsidRDefault="0094004B">
      <w:pPr>
        <w:jc w:val="both"/>
        <w:divId w:val="1378629872"/>
        <w:rPr>
          <w:rFonts w:eastAsia="Times New Roman"/>
        </w:rPr>
      </w:pPr>
      <w:r>
        <w:rPr>
          <w:rFonts w:eastAsia="Times New Roman"/>
          <w:color w:val="000000"/>
          <w:sz w:val="20"/>
          <w:szCs w:val="20"/>
        </w:rPr>
        <w:t>We have investments in Federal Home Loan Bank (“FHLB”) stock and in Federal Re</w:t>
      </w:r>
      <w:r>
        <w:rPr>
          <w:rFonts w:eastAsia="Times New Roman"/>
          <w:color w:val="000000"/>
          <w:sz w:val="20"/>
          <w:szCs w:val="20"/>
        </w:rPr>
        <w:t>serve Bank stock. These investments, which are included in other assets on our consolidated balance sheets, are not marketable, are carried at cost, and are reviewed for impairment if there is any indicator of impairment.</w:t>
      </w:r>
    </w:p>
    <w:p w:rsidR="00000000" w:rsidRDefault="0094004B">
      <w:pPr>
        <w:jc w:val="both"/>
        <w:divId w:val="1847011057"/>
        <w:rPr>
          <w:rFonts w:eastAsia="Times New Roman"/>
        </w:rPr>
      </w:pPr>
      <w:r>
        <w:rPr>
          <w:rFonts w:eastAsia="Times New Roman"/>
          <w:b/>
          <w:bCs/>
          <w:color w:val="000000"/>
          <w:sz w:val="20"/>
          <w:szCs w:val="20"/>
        </w:rPr>
        <w:t>Litigation</w:t>
      </w:r>
    </w:p>
    <w:p w:rsidR="00000000" w:rsidRDefault="0094004B">
      <w:pPr>
        <w:jc w:val="both"/>
        <w:divId w:val="67463849"/>
        <w:rPr>
          <w:rFonts w:eastAsia="Times New Roman"/>
        </w:rPr>
      </w:pPr>
      <w:r>
        <w:rPr>
          <w:rFonts w:eastAsia="Times New Roman"/>
          <w:color w:val="000000"/>
          <w:sz w:val="20"/>
          <w:szCs w:val="20"/>
        </w:rPr>
        <w:t>We establish reserves f</w:t>
      </w:r>
      <w:r>
        <w:rPr>
          <w:rFonts w:eastAsia="Times New Roman"/>
          <w:color w:val="000000"/>
          <w:sz w:val="20"/>
          <w:szCs w:val="20"/>
        </w:rPr>
        <w:t>or litigation-related matters that arise from the ordinary course of our business activities when it is probable that a loss associated with a claim or proceeding has been incurred and the amount of the loss can be reasonably estimated. Professional servic</w:t>
      </w:r>
      <w:r>
        <w:rPr>
          <w:rFonts w:eastAsia="Times New Roman"/>
          <w:color w:val="000000"/>
          <w:sz w:val="20"/>
          <w:szCs w:val="20"/>
        </w:rPr>
        <w:t>e costs, including fees for attorneys and experts, expected to be incurred in connection with a loss contingency are expensed as services are provided. See “Note 18—Commitments, Contingencies, Guarantees and Others” for additional information.</w:t>
      </w:r>
    </w:p>
    <w:p w:rsidR="00000000" w:rsidRDefault="0094004B">
      <w:pPr>
        <w:jc w:val="both"/>
        <w:divId w:val="218639648"/>
        <w:rPr>
          <w:rFonts w:eastAsia="Times New Roman"/>
        </w:rPr>
      </w:pPr>
      <w:r>
        <w:rPr>
          <w:rFonts w:eastAsia="Times New Roman"/>
          <w:b/>
          <w:bCs/>
          <w:color w:val="000000"/>
          <w:sz w:val="20"/>
          <w:szCs w:val="20"/>
        </w:rPr>
        <w:t>Customer Rew</w:t>
      </w:r>
      <w:r>
        <w:rPr>
          <w:rFonts w:eastAsia="Times New Roman"/>
          <w:b/>
          <w:bCs/>
          <w:color w:val="000000"/>
          <w:sz w:val="20"/>
          <w:szCs w:val="20"/>
        </w:rPr>
        <w:t xml:space="preserve">ards Reserve </w:t>
      </w:r>
    </w:p>
    <w:p w:rsidR="00000000" w:rsidRDefault="0094004B">
      <w:pPr>
        <w:jc w:val="both"/>
        <w:divId w:val="1269004081"/>
        <w:rPr>
          <w:rFonts w:eastAsia="Times New Roman"/>
        </w:rPr>
      </w:pPr>
      <w:r>
        <w:rPr>
          <w:rFonts w:eastAsia="Times New Roman"/>
          <w:color w:val="000000"/>
          <w:sz w:val="20"/>
          <w:szCs w:val="20"/>
        </w:rPr>
        <w:t>We offer products, primarily credit cards, which include programs that allow members to earn rewards based on account activity that can be redeemed for cash (primarily in the form of statement credits), gift cards, travel, or covering eligibl</w:t>
      </w:r>
      <w:r>
        <w:rPr>
          <w:rFonts w:eastAsia="Times New Roman"/>
          <w:color w:val="000000"/>
          <w:sz w:val="20"/>
          <w:szCs w:val="20"/>
        </w:rPr>
        <w:t>e charges. The amount of reward that a customer earns varies based on the terms and conditions of the rewards program and product. When rewards are earned by a customer, rewards expense is generally recorded as an offset to interchange income, with a corre</w:t>
      </w:r>
      <w:r>
        <w:rPr>
          <w:rFonts w:eastAsia="Times New Roman"/>
          <w:color w:val="000000"/>
          <w:sz w:val="20"/>
          <w:szCs w:val="20"/>
        </w:rPr>
        <w:t>sponding increase to the customer rewards reserve. The customer rewards reserve is computed based on the estimated future cost of earned rewards that are expected to be redeemed and is reduced as rewards are redeemed. In estimating the customer rewards res</w:t>
      </w:r>
      <w:r>
        <w:rPr>
          <w:rFonts w:eastAsia="Times New Roman"/>
          <w:color w:val="000000"/>
          <w:sz w:val="20"/>
          <w:szCs w:val="20"/>
        </w:rPr>
        <w:t>erve, we consider historical redemption and spending behavior, as well as the terms and conditions of the current rewards programs, among other factors. Our customer rewards reserve assumes the vast majority of all rewards earned will eventually be redeeme</w:t>
      </w:r>
      <w:r>
        <w:rPr>
          <w:rFonts w:eastAsia="Times New Roman"/>
          <w:color w:val="000000"/>
          <w:sz w:val="20"/>
          <w:szCs w:val="20"/>
        </w:rPr>
        <w:t xml:space="preserve">d. </w:t>
      </w:r>
    </w:p>
    <w:p w:rsidR="00000000" w:rsidRDefault="0094004B">
      <w:pPr>
        <w:jc w:val="both"/>
        <w:divId w:val="1064570517"/>
        <w:rPr>
          <w:rFonts w:eastAsia="Times New Roman"/>
        </w:rPr>
      </w:pPr>
      <w:r>
        <w:rPr>
          <w:rFonts w:eastAsia="Times New Roman"/>
          <w:b/>
          <w:bCs/>
          <w:color w:val="000000"/>
          <w:sz w:val="20"/>
          <w:szCs w:val="20"/>
        </w:rPr>
        <w:t xml:space="preserve">Revenue Recognition </w:t>
      </w:r>
    </w:p>
    <w:p w:rsidR="00000000" w:rsidRDefault="0094004B">
      <w:pPr>
        <w:divId w:val="49034362"/>
        <w:rPr>
          <w:rFonts w:eastAsia="Times New Roman"/>
        </w:rPr>
      </w:pPr>
      <w:r>
        <w:rPr>
          <w:rFonts w:eastAsia="Times New Roman"/>
          <w:b/>
          <w:bCs/>
          <w:i/>
          <w:iCs/>
          <w:color w:val="000000"/>
          <w:sz w:val="20"/>
          <w:szCs w:val="20"/>
        </w:rPr>
        <w:t>Interest Income and Fees</w:t>
      </w:r>
    </w:p>
    <w:p w:rsidR="00000000" w:rsidRDefault="0094004B">
      <w:pPr>
        <w:jc w:val="both"/>
        <w:divId w:val="1221211699"/>
        <w:rPr>
          <w:rFonts w:eastAsia="Times New Roman"/>
        </w:rPr>
      </w:pPr>
      <w:r>
        <w:rPr>
          <w:rFonts w:eastAsia="Times New Roman"/>
          <w:color w:val="000000"/>
          <w:sz w:val="20"/>
          <w:szCs w:val="20"/>
        </w:rPr>
        <w:t>Interest income and fees on loans and investment securities are recognized based on the contractual provisions of the underlying arrangements.</w:t>
      </w:r>
    </w:p>
    <w:p w:rsidR="00000000" w:rsidRDefault="0094004B">
      <w:pPr>
        <w:jc w:val="both"/>
        <w:divId w:val="1397774727"/>
        <w:rPr>
          <w:rFonts w:eastAsia="Times New Roman"/>
        </w:rPr>
      </w:pPr>
      <w:r>
        <w:rPr>
          <w:rFonts w:eastAsia="Times New Roman"/>
          <w:color w:val="000000"/>
          <w:sz w:val="20"/>
          <w:szCs w:val="20"/>
        </w:rPr>
        <w:t xml:space="preserve">Loan origination fees, direct loan origination costs, premiums </w:t>
      </w:r>
      <w:r>
        <w:rPr>
          <w:rFonts w:eastAsia="Times New Roman"/>
          <w:color w:val="000000"/>
          <w:sz w:val="20"/>
          <w:szCs w:val="20"/>
        </w:rPr>
        <w:t>and discounts on loans held for investment are deferred and generally amortized into interest income as yield adjustments over the contractual life and/or commitment period using the interest method. Costs deferred include, among other things, incentives p</w:t>
      </w:r>
      <w:r>
        <w:rPr>
          <w:rFonts w:eastAsia="Times New Roman"/>
          <w:color w:val="000000"/>
          <w:sz w:val="20"/>
          <w:szCs w:val="20"/>
        </w:rPr>
        <w:t>aid to our network of auto dealers for loan referrals. In certain circumstances, we elect to factor prepayment estimates into the calculation of the constant effective yield necessary to apply the interest method. Prepayment estimates are based on historic</w:t>
      </w:r>
      <w:r>
        <w:rPr>
          <w:rFonts w:eastAsia="Times New Roman"/>
          <w:color w:val="000000"/>
          <w:sz w:val="20"/>
          <w:szCs w:val="20"/>
        </w:rPr>
        <w:t xml:space="preserve">al prepayment data, existing and forecasted interest rates,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444010090"/>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444010090"/>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444010090"/>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133</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59" style="width:0;height:1.5pt" o:hralign="center" o:hrstd="t" o:hr="t" fillcolor="#a0a0a0" stroked="f"/>
        </w:pict>
      </w:r>
    </w:p>
    <w:p w:rsidR="00000000" w:rsidRDefault="0094004B">
      <w:pPr>
        <w:jc w:val="both"/>
        <w:divId w:val="1031685897"/>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1031685897"/>
        <w:rPr>
          <w:rFonts w:eastAsia="Times New Roman"/>
        </w:rPr>
      </w:pPr>
    </w:p>
    <w:p w:rsidR="00000000" w:rsidRDefault="0094004B">
      <w:pPr>
        <w:jc w:val="center"/>
        <w:divId w:val="1031685897"/>
        <w:rPr>
          <w:rFonts w:eastAsia="Times New Roman"/>
        </w:rPr>
      </w:pPr>
      <w:r>
        <w:rPr>
          <w:rFonts w:eastAsia="Times New Roman"/>
          <w:b/>
          <w:bCs/>
          <w:color w:val="000000"/>
          <w:sz w:val="20"/>
          <w:szCs w:val="20"/>
        </w:rPr>
        <w:t>CAPITAL ONE FINANCIAL CORPORATION</w:t>
      </w:r>
    </w:p>
    <w:p w:rsidR="00000000" w:rsidRDefault="0094004B">
      <w:pPr>
        <w:jc w:val="center"/>
        <w:divId w:val="1031685897"/>
        <w:rPr>
          <w:rFonts w:eastAsia="Times New Roman"/>
        </w:rPr>
      </w:pPr>
      <w:r>
        <w:rPr>
          <w:rFonts w:eastAsia="Times New Roman"/>
          <w:b/>
          <w:bCs/>
          <w:color w:val="000000"/>
          <w:sz w:val="20"/>
          <w:szCs w:val="20"/>
        </w:rPr>
        <w:t>NOTES TO CONSOLIDATED FINANCIAL STATEMENTS</w:t>
      </w:r>
    </w:p>
    <w:p w:rsidR="00000000" w:rsidRDefault="0094004B">
      <w:pPr>
        <w:jc w:val="both"/>
        <w:divId w:val="1116287526"/>
        <w:rPr>
          <w:rFonts w:eastAsia="Times New Roman"/>
        </w:rPr>
      </w:pPr>
      <w:r>
        <w:rPr>
          <w:rFonts w:eastAsia="Times New Roman"/>
          <w:color w:val="000000"/>
          <w:sz w:val="20"/>
          <w:szCs w:val="20"/>
        </w:rPr>
        <w:t>and economic data. For credit card loans, loan origination fees and direct loan origination costs are amortized on a straight-line basis over a 12-month period.</w:t>
      </w:r>
    </w:p>
    <w:p w:rsidR="00000000" w:rsidRDefault="0094004B">
      <w:pPr>
        <w:jc w:val="both"/>
        <w:divId w:val="29455608"/>
        <w:rPr>
          <w:rFonts w:eastAsia="Times New Roman"/>
        </w:rPr>
      </w:pPr>
      <w:r>
        <w:rPr>
          <w:rFonts w:eastAsia="Times New Roman"/>
          <w:color w:val="000000"/>
          <w:sz w:val="20"/>
          <w:szCs w:val="20"/>
        </w:rPr>
        <w:t>Unamortized premiums, discounts and other basis adjustments on investment securities are genera</w:t>
      </w:r>
      <w:r>
        <w:rPr>
          <w:rFonts w:eastAsia="Times New Roman"/>
          <w:color w:val="000000"/>
          <w:sz w:val="20"/>
          <w:szCs w:val="20"/>
        </w:rPr>
        <w:t xml:space="preserve">lly recognized in interest income over the contractual lives of the securities using the interest method. However, premiums for certain callable investment securities are amortized to the earliest call date. </w:t>
      </w:r>
    </w:p>
    <w:p w:rsidR="00000000" w:rsidRDefault="0094004B">
      <w:pPr>
        <w:jc w:val="both"/>
        <w:divId w:val="1895845751"/>
        <w:rPr>
          <w:rFonts w:eastAsia="Times New Roman"/>
        </w:rPr>
      </w:pPr>
      <w:r>
        <w:rPr>
          <w:rFonts w:eastAsia="Times New Roman"/>
          <w:color w:val="000000"/>
          <w:sz w:val="20"/>
          <w:szCs w:val="20"/>
        </w:rPr>
        <w:t>Finance charges and fees on credit card loans a</w:t>
      </w:r>
      <w:r>
        <w:rPr>
          <w:rFonts w:eastAsia="Times New Roman"/>
          <w:color w:val="000000"/>
          <w:sz w:val="20"/>
          <w:szCs w:val="20"/>
        </w:rPr>
        <w:t xml:space="preserve">re recorded in revenue when earned and presented on our consolidated balance sheets within either loan receivables (if they have been billed to the customer) or interest receivable (if they have not yet been billed to the customer). Annual membership fees </w:t>
      </w:r>
      <w:r>
        <w:rPr>
          <w:rFonts w:eastAsia="Times New Roman"/>
          <w:color w:val="000000"/>
          <w:sz w:val="20"/>
          <w:szCs w:val="20"/>
        </w:rPr>
        <w:t>are classified as service charges and other customer-related fees in our consolidated statements of income and are deferred and amortized into income over 12 months on a straight-line basis.</w:t>
      </w:r>
    </w:p>
    <w:p w:rsidR="00000000" w:rsidRDefault="0094004B">
      <w:pPr>
        <w:divId w:val="963997318"/>
        <w:rPr>
          <w:rFonts w:eastAsia="Times New Roman"/>
        </w:rPr>
      </w:pPr>
      <w:r>
        <w:rPr>
          <w:rFonts w:eastAsia="Times New Roman"/>
          <w:b/>
          <w:bCs/>
          <w:i/>
          <w:iCs/>
          <w:color w:val="000000"/>
          <w:sz w:val="20"/>
          <w:szCs w:val="20"/>
        </w:rPr>
        <w:t xml:space="preserve">Interchange Income </w:t>
      </w:r>
    </w:p>
    <w:p w:rsidR="00000000" w:rsidRDefault="0094004B">
      <w:pPr>
        <w:jc w:val="both"/>
        <w:divId w:val="568006216"/>
        <w:rPr>
          <w:rFonts w:eastAsia="Times New Roman"/>
        </w:rPr>
      </w:pPr>
      <w:r>
        <w:rPr>
          <w:rFonts w:eastAsia="Times New Roman"/>
          <w:color w:val="000000"/>
          <w:sz w:val="20"/>
          <w:szCs w:val="20"/>
        </w:rPr>
        <w:t xml:space="preserve">Interchange income generally represents fees </w:t>
      </w:r>
      <w:r>
        <w:rPr>
          <w:rFonts w:eastAsia="Times New Roman"/>
          <w:color w:val="000000"/>
          <w:sz w:val="20"/>
          <w:szCs w:val="20"/>
        </w:rPr>
        <w:t>for standing ready to authorize and providing settlement on credit and debit card transactions processed through the MasterCard® (“MasterCard”) and Visa® (“Visa”) interchange networks. The levels and structure of interchange rates set by MasterCard and Vis</w:t>
      </w:r>
      <w:r>
        <w:rPr>
          <w:rFonts w:eastAsia="Times New Roman"/>
          <w:color w:val="000000"/>
          <w:sz w:val="20"/>
          <w:szCs w:val="20"/>
        </w:rPr>
        <w:t>a can vary based on cardholder purchase volumes, among other factors. We recognize interchange income upon settlement. See “Note 17—Business Segments and Revenue from Contracts with Customers” for additional details.</w:t>
      </w:r>
    </w:p>
    <w:p w:rsidR="00000000" w:rsidRDefault="0094004B">
      <w:pPr>
        <w:divId w:val="1207914662"/>
        <w:rPr>
          <w:rFonts w:eastAsia="Times New Roman"/>
        </w:rPr>
      </w:pPr>
      <w:r>
        <w:rPr>
          <w:rFonts w:eastAsia="Times New Roman"/>
          <w:b/>
          <w:bCs/>
          <w:i/>
          <w:iCs/>
          <w:color w:val="000000"/>
          <w:sz w:val="20"/>
          <w:szCs w:val="20"/>
        </w:rPr>
        <w:t xml:space="preserve">Card Partnership Agreements </w:t>
      </w:r>
    </w:p>
    <w:p w:rsidR="00000000" w:rsidRDefault="0094004B">
      <w:pPr>
        <w:jc w:val="both"/>
        <w:divId w:val="308560445"/>
        <w:rPr>
          <w:rFonts w:eastAsia="Times New Roman"/>
        </w:rPr>
      </w:pPr>
      <w:r>
        <w:rPr>
          <w:rFonts w:eastAsia="Times New Roman"/>
          <w:color w:val="000000"/>
          <w:sz w:val="20"/>
          <w:szCs w:val="20"/>
        </w:rPr>
        <w:t>We have co</w:t>
      </w:r>
      <w:r>
        <w:rPr>
          <w:rFonts w:eastAsia="Times New Roman"/>
          <w:color w:val="000000"/>
          <w:sz w:val="20"/>
          <w:szCs w:val="20"/>
        </w:rPr>
        <w:t xml:space="preserve">ntractual agreements with certain retailers and other partners to provide lending and other services to a mutual customer base. We primarily issue private-label and cobrand credit card loans to these customers over the terms of the partnership agreements. </w:t>
      </w:r>
    </w:p>
    <w:p w:rsidR="00000000" w:rsidRDefault="0094004B">
      <w:pPr>
        <w:jc w:val="both"/>
        <w:divId w:val="954602252"/>
        <w:rPr>
          <w:rFonts w:eastAsia="Times New Roman"/>
        </w:rPr>
      </w:pPr>
      <w:r>
        <w:rPr>
          <w:rFonts w:eastAsia="Times New Roman"/>
          <w:color w:val="000000"/>
          <w:sz w:val="20"/>
          <w:szCs w:val="20"/>
        </w:rPr>
        <w:t>Certain partners assist in or perform marketing activities on our behalf and promote our products and services to their customers. As compensation for providing these services, we often pay royalties, bounties or other special bonuses to these partners. O</w:t>
      </w:r>
      <w:r>
        <w:rPr>
          <w:rFonts w:eastAsia="Times New Roman"/>
          <w:color w:val="000000"/>
          <w:sz w:val="20"/>
          <w:szCs w:val="20"/>
        </w:rPr>
        <w:t>ur payments to partners are generally recorded as reductions of revenue or as marketing expenses, depending on their nature. Our credit card partnership agreements may also provide for profit or revenue sharing payments which are presented as a reduction o</w:t>
      </w:r>
      <w:r>
        <w:rPr>
          <w:rFonts w:eastAsia="Times New Roman"/>
          <w:color w:val="000000"/>
          <w:sz w:val="20"/>
          <w:szCs w:val="20"/>
        </w:rPr>
        <w:t>f the related revenue line item(s) when owed to the partner.</w:t>
      </w:r>
    </w:p>
    <w:p w:rsidR="00000000" w:rsidRDefault="0094004B">
      <w:pPr>
        <w:jc w:val="both"/>
        <w:divId w:val="1314211420"/>
        <w:rPr>
          <w:rFonts w:eastAsia="Times New Roman"/>
        </w:rPr>
      </w:pPr>
      <w:r>
        <w:rPr>
          <w:rFonts w:eastAsia="Times New Roman"/>
          <w:color w:val="000000"/>
          <w:sz w:val="20"/>
          <w:szCs w:val="20"/>
        </w:rPr>
        <w:t xml:space="preserve">When a partner agrees to share a portion of the credit losses associated with the partnership, we evaluate the contractual provisions for the loss share payments as well as applicable accounting </w:t>
      </w:r>
      <w:r>
        <w:rPr>
          <w:rFonts w:eastAsia="Times New Roman"/>
          <w:color w:val="000000"/>
          <w:sz w:val="20"/>
          <w:szCs w:val="20"/>
        </w:rPr>
        <w:t>guidance to determine whether to present the sharing of losses on a gross or net basis in our consolidated financial statements. When loss sharing amounts due from partners are presented on a net basis, they are recorded as a reduction to our provision for</w:t>
      </w:r>
      <w:r>
        <w:rPr>
          <w:rFonts w:eastAsia="Times New Roman"/>
          <w:color w:val="000000"/>
          <w:sz w:val="20"/>
          <w:szCs w:val="20"/>
        </w:rPr>
        <w:t xml:space="preserve"> credit losses in our consolidated statements of income and reduce the charge-off amounts that we report. The allowance for credit losses attributable to these portfolios is also reduced by the expected reimbursements from these partners for loss sharing a</w:t>
      </w:r>
      <w:r>
        <w:rPr>
          <w:rFonts w:eastAsia="Times New Roman"/>
          <w:color w:val="000000"/>
          <w:sz w:val="20"/>
          <w:szCs w:val="20"/>
        </w:rPr>
        <w:t>mounts. See “Note 4—Allowance for Credit Losses and Reserve for Unfunded Lending Commitments” for additional information related to our loss sharing arrangements.</w:t>
      </w:r>
    </w:p>
    <w:p w:rsidR="00000000" w:rsidRDefault="0094004B">
      <w:pPr>
        <w:divId w:val="1324821076"/>
        <w:rPr>
          <w:rFonts w:eastAsia="Times New Roman"/>
        </w:rPr>
      </w:pPr>
      <w:r>
        <w:rPr>
          <w:rFonts w:eastAsia="Times New Roman"/>
          <w:b/>
          <w:bCs/>
          <w:i/>
          <w:iCs/>
          <w:color w:val="000000"/>
          <w:sz w:val="20"/>
          <w:szCs w:val="20"/>
        </w:rPr>
        <w:t xml:space="preserve">Collaborative Arrangements </w:t>
      </w:r>
    </w:p>
    <w:p w:rsidR="00000000" w:rsidRDefault="0094004B">
      <w:pPr>
        <w:jc w:val="both"/>
        <w:divId w:val="1792439370"/>
        <w:rPr>
          <w:rFonts w:eastAsia="Times New Roman"/>
        </w:rPr>
      </w:pPr>
      <w:r>
        <w:rPr>
          <w:rFonts w:eastAsia="Times New Roman"/>
          <w:color w:val="000000"/>
          <w:sz w:val="20"/>
          <w:szCs w:val="20"/>
        </w:rPr>
        <w:t>A collaborative arrangement is a contractual arrangement that inv</w:t>
      </w:r>
      <w:r>
        <w:rPr>
          <w:rFonts w:eastAsia="Times New Roman"/>
          <w:color w:val="000000"/>
          <w:sz w:val="20"/>
          <w:szCs w:val="20"/>
        </w:rPr>
        <w:t>olves a joint operating activity between two or more parties that are active participants in the activity. These parties are exposed to significant risks and rewards based upon the economic success of the joint operating activity. We assess each of our par</w:t>
      </w:r>
      <w:r>
        <w:rPr>
          <w:rFonts w:eastAsia="Times New Roman"/>
          <w:color w:val="000000"/>
          <w:sz w:val="20"/>
          <w:szCs w:val="20"/>
        </w:rPr>
        <w:t>tnership agreements with profit, revenue or loss sharing payments to determine if a collaborative arrangement exists and, if so, how revenue generated from third parties, costs incurred and transactions between participants in the collaborative arrangement</w:t>
      </w:r>
      <w:r>
        <w:rPr>
          <w:rFonts w:eastAsia="Times New Roman"/>
          <w:color w:val="000000"/>
          <w:sz w:val="20"/>
          <w:szCs w:val="20"/>
        </w:rPr>
        <w:t xml:space="preserve"> should be accounted for and reported on our consolidated financial statements.</w:t>
      </w:r>
    </w:p>
    <w:p w:rsidR="00000000" w:rsidRDefault="0094004B">
      <w:pPr>
        <w:jc w:val="both"/>
        <w:divId w:val="1738163598"/>
        <w:rPr>
          <w:rFonts w:eastAsia="Times New Roman"/>
        </w:rPr>
      </w:pPr>
      <w:r>
        <w:rPr>
          <w:rFonts w:eastAsia="Times New Roman"/>
          <w:color w:val="000000"/>
          <w:sz w:val="20"/>
          <w:szCs w:val="20"/>
        </w:rPr>
        <w:t xml:space="preserve">One partnership agreement met the definition of a collaborative arrangement as of December 31, 2021 and 2020. This agreement was amended in the first quarter of 2022. While we </w:t>
      </w:r>
      <w:r>
        <w:rPr>
          <w:rFonts w:eastAsia="Times New Roman"/>
          <w:color w:val="000000"/>
          <w:sz w:val="20"/>
          <w:szCs w:val="20"/>
        </w:rPr>
        <w:t xml:space="preserve">continue to share a fixed percentage of revenues consisting of finance charges and late fees with the partner, and the partner is required to reimburse us for a fixed percentage of credit losses incurred, the amended agreement does not meet the definition </w:t>
      </w:r>
      <w:r>
        <w:rPr>
          <w:rFonts w:eastAsia="Times New Roman"/>
          <w:color w:val="000000"/>
          <w:sz w:val="20"/>
          <w:szCs w:val="20"/>
        </w:rPr>
        <w:t>of a collaborative arrangement. Revenues and losses related to the partner’s credit card program and partnership agreement are reported on a net basis in our consolidated financial statements. Revenue sharing amounts attributable to the partner are recorde</w:t>
      </w:r>
      <w:r>
        <w:rPr>
          <w:rFonts w:eastAsia="Times New Roman"/>
          <w:color w:val="000000"/>
          <w:sz w:val="20"/>
          <w:szCs w:val="20"/>
        </w:rPr>
        <w:t xml:space="preserve">d as an offset against total net revenue in our consolidated statements of income. Interest income was reduced by $1.0 billion and $1.1 billion in the years ended December 31, 2021 and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41701380"/>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41701380"/>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41701380"/>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134</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60" style="width:0;height:1.5pt" o:hralign="center" o:hrstd="t" o:hr="t" fillcolor="#a0a0a0" stroked="f"/>
        </w:pict>
      </w:r>
    </w:p>
    <w:p w:rsidR="00000000" w:rsidRDefault="0094004B">
      <w:pPr>
        <w:jc w:val="both"/>
        <w:divId w:val="1310554820"/>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1310554820"/>
        <w:rPr>
          <w:rFonts w:eastAsia="Times New Roman"/>
        </w:rPr>
      </w:pPr>
    </w:p>
    <w:p w:rsidR="00000000" w:rsidRDefault="0094004B">
      <w:pPr>
        <w:jc w:val="center"/>
        <w:divId w:val="1310554820"/>
        <w:rPr>
          <w:rFonts w:eastAsia="Times New Roman"/>
        </w:rPr>
      </w:pPr>
      <w:r>
        <w:rPr>
          <w:rFonts w:eastAsia="Times New Roman"/>
          <w:b/>
          <w:bCs/>
          <w:color w:val="000000"/>
          <w:sz w:val="20"/>
          <w:szCs w:val="20"/>
        </w:rPr>
        <w:t>CAPITAL ONE FINANCIAL CORPORATION</w:t>
      </w:r>
    </w:p>
    <w:p w:rsidR="00000000" w:rsidRDefault="0094004B">
      <w:pPr>
        <w:jc w:val="center"/>
        <w:divId w:val="1310554820"/>
        <w:rPr>
          <w:rFonts w:eastAsia="Times New Roman"/>
        </w:rPr>
      </w:pPr>
      <w:r>
        <w:rPr>
          <w:rFonts w:eastAsia="Times New Roman"/>
          <w:b/>
          <w:bCs/>
          <w:color w:val="000000"/>
          <w:sz w:val="20"/>
          <w:szCs w:val="20"/>
        </w:rPr>
        <w:t>NOTES TO CONSOLIDATED FINANCIAL STATEMENTS</w:t>
      </w:r>
    </w:p>
    <w:p w:rsidR="00000000" w:rsidRDefault="0094004B">
      <w:pPr>
        <w:jc w:val="both"/>
        <w:divId w:val="1269701771"/>
        <w:rPr>
          <w:rFonts w:eastAsia="Times New Roman"/>
        </w:rPr>
      </w:pPr>
      <w:r>
        <w:rPr>
          <w:rFonts w:eastAsia="Times New Roman"/>
          <w:color w:val="000000"/>
          <w:sz w:val="20"/>
          <w:szCs w:val="20"/>
        </w:rPr>
        <w:t>2020, respectively, for amounts earned by the partner during the years this agreement met the definition of a collaborative arrangement. The impact of all of our loss sharing arrangements that are presented on a net basis is included in “Note 4—Allowance f</w:t>
      </w:r>
      <w:r>
        <w:rPr>
          <w:rFonts w:eastAsia="Times New Roman"/>
          <w:color w:val="000000"/>
          <w:sz w:val="20"/>
          <w:szCs w:val="20"/>
        </w:rPr>
        <w:t>or Credit Losses and Reserve for Unfunded Lending Commitments.”</w:t>
      </w:r>
    </w:p>
    <w:p w:rsidR="00000000" w:rsidRDefault="0094004B">
      <w:pPr>
        <w:divId w:val="595551744"/>
        <w:rPr>
          <w:rFonts w:eastAsia="Times New Roman"/>
        </w:rPr>
      </w:pPr>
      <w:r>
        <w:rPr>
          <w:rFonts w:eastAsia="Times New Roman"/>
          <w:b/>
          <w:bCs/>
          <w:color w:val="000000"/>
          <w:sz w:val="20"/>
          <w:szCs w:val="20"/>
        </w:rPr>
        <w:t xml:space="preserve">Stock-Based Compensation </w:t>
      </w:r>
    </w:p>
    <w:p w:rsidR="00000000" w:rsidRDefault="0094004B">
      <w:pPr>
        <w:jc w:val="both"/>
        <w:divId w:val="563835029"/>
        <w:rPr>
          <w:rFonts w:eastAsia="Times New Roman"/>
        </w:rPr>
      </w:pPr>
      <w:r>
        <w:rPr>
          <w:rFonts w:eastAsia="Times New Roman"/>
          <w:color w:val="000000"/>
          <w:sz w:val="20"/>
          <w:szCs w:val="20"/>
        </w:rPr>
        <w:t>We are authorized to issue stock–based compensation to employees and directors in various forms, primarily as restricted stock units (“RSUs”), performance share units</w:t>
      </w:r>
      <w:r>
        <w:rPr>
          <w:rFonts w:eastAsia="Times New Roman"/>
          <w:color w:val="000000"/>
          <w:sz w:val="20"/>
          <w:szCs w:val="20"/>
        </w:rPr>
        <w:t xml:space="preserve"> (“PSUs”) and stock options. In addition, we also issue cash-settled RSUs which are not counted against the common shares reserved for issuance or available for issuance because they are settled in cash. </w:t>
      </w:r>
    </w:p>
    <w:p w:rsidR="00000000" w:rsidRDefault="0094004B">
      <w:pPr>
        <w:jc w:val="both"/>
        <w:divId w:val="1086268351"/>
        <w:rPr>
          <w:rFonts w:eastAsia="Times New Roman"/>
        </w:rPr>
      </w:pPr>
      <w:r>
        <w:rPr>
          <w:rFonts w:eastAsia="Times New Roman"/>
          <w:color w:val="000000"/>
          <w:sz w:val="20"/>
          <w:szCs w:val="20"/>
        </w:rPr>
        <w:t>For awards settled in shares, we generally recogniz</w:t>
      </w:r>
      <w:r>
        <w:rPr>
          <w:rFonts w:eastAsia="Times New Roman"/>
          <w:color w:val="000000"/>
          <w:sz w:val="20"/>
          <w:szCs w:val="20"/>
        </w:rPr>
        <w:t xml:space="preserve">e compensation expense on a straight-line basis over the award’s requisite service period based on the fair value of the award at the grant date. If an award settled in shares contains a performance condition with graded vesting, we recognize compensation </w:t>
      </w:r>
      <w:r>
        <w:rPr>
          <w:rFonts w:eastAsia="Times New Roman"/>
          <w:color w:val="000000"/>
          <w:sz w:val="20"/>
          <w:szCs w:val="20"/>
        </w:rPr>
        <w:t>expense using the accelerated attribution method. Restricted stock units that are cash-settled are accounted for as liability awards which results in quarterly expense fluctuations based on changes in our stock price through the date that the awards are se</w:t>
      </w:r>
      <w:r>
        <w:rPr>
          <w:rFonts w:eastAsia="Times New Roman"/>
          <w:color w:val="000000"/>
          <w:sz w:val="20"/>
          <w:szCs w:val="20"/>
        </w:rPr>
        <w:t>ttled. Awards to participants that are eligible for retirement or become eligible during the vesting period are expensed immediately or over the time period between the grant date and when the participant becomes retirement eligible, respectively. Stock-ba</w:t>
      </w:r>
      <w:r>
        <w:rPr>
          <w:rFonts w:eastAsia="Times New Roman"/>
          <w:color w:val="000000"/>
          <w:sz w:val="20"/>
          <w:szCs w:val="20"/>
        </w:rPr>
        <w:t xml:space="preserve">sed compensation expense is included in salaries and associate benefits in the consolidated statements of income. </w:t>
      </w:r>
    </w:p>
    <w:p w:rsidR="00000000" w:rsidRDefault="0094004B">
      <w:pPr>
        <w:jc w:val="both"/>
        <w:divId w:val="1840189294"/>
        <w:rPr>
          <w:rFonts w:eastAsia="Times New Roman"/>
        </w:rPr>
      </w:pPr>
      <w:r>
        <w:rPr>
          <w:rFonts w:eastAsia="Times New Roman"/>
          <w:color w:val="000000"/>
          <w:sz w:val="20"/>
          <w:szCs w:val="20"/>
        </w:rPr>
        <w:t>For RSUs and performance share units, the fair value of stock-based compensation used in determining compensation expense will generally equal the fair market value of our common stock on the date of grant. Stock-based compensation expense for equity class</w:t>
      </w:r>
      <w:r>
        <w:rPr>
          <w:rFonts w:eastAsia="Times New Roman"/>
          <w:color w:val="000000"/>
          <w:sz w:val="20"/>
          <w:szCs w:val="20"/>
        </w:rPr>
        <w:t>ified stock options is based on the grant date fair value, which is estimated using a Black-Scholes option pricing model. Certain share-settled awards have discretionary vesting conditions which result in the remeasurement of these awards at fair value eac</w:t>
      </w:r>
      <w:r>
        <w:rPr>
          <w:rFonts w:eastAsia="Times New Roman"/>
          <w:color w:val="000000"/>
          <w:sz w:val="20"/>
          <w:szCs w:val="20"/>
        </w:rPr>
        <w:t>h reporting period and the potential for compensation expense to fluctuate with changes in our stock price. See “Note 13—Stock-Based Compensation Plans” for additional details.</w:t>
      </w:r>
    </w:p>
    <w:p w:rsidR="00000000" w:rsidRDefault="0094004B">
      <w:pPr>
        <w:divId w:val="102650495"/>
        <w:rPr>
          <w:rFonts w:eastAsia="Times New Roman"/>
        </w:rPr>
      </w:pPr>
      <w:r>
        <w:rPr>
          <w:rFonts w:eastAsia="Times New Roman"/>
          <w:b/>
          <w:bCs/>
          <w:color w:val="000000"/>
          <w:sz w:val="20"/>
          <w:szCs w:val="20"/>
        </w:rPr>
        <w:t xml:space="preserve">Marketing Expenses </w:t>
      </w:r>
    </w:p>
    <w:p w:rsidR="00000000" w:rsidRDefault="0094004B">
      <w:pPr>
        <w:jc w:val="both"/>
        <w:divId w:val="1642421103"/>
        <w:rPr>
          <w:rFonts w:eastAsia="Times New Roman"/>
        </w:rPr>
      </w:pPr>
      <w:r>
        <w:rPr>
          <w:rFonts w:eastAsia="Times New Roman"/>
          <w:color w:val="000000"/>
          <w:sz w:val="20"/>
          <w:szCs w:val="20"/>
        </w:rPr>
        <w:t>Marketing expense includes the cost of our various promotio</w:t>
      </w:r>
      <w:r>
        <w:rPr>
          <w:rFonts w:eastAsia="Times New Roman"/>
          <w:color w:val="000000"/>
          <w:sz w:val="20"/>
          <w:szCs w:val="20"/>
        </w:rPr>
        <w:t>nal efforts to attract and retain customers such as advertising, promotional materials, and certain customer incentives, including spend-based bonuses. We expense marketing costs as incurred.</w:t>
      </w:r>
    </w:p>
    <w:p w:rsidR="00000000" w:rsidRDefault="0094004B">
      <w:pPr>
        <w:divId w:val="1736391773"/>
        <w:rPr>
          <w:rFonts w:eastAsia="Times New Roman"/>
        </w:rPr>
      </w:pPr>
      <w:r>
        <w:rPr>
          <w:rFonts w:eastAsia="Times New Roman"/>
          <w:b/>
          <w:bCs/>
          <w:color w:val="000000"/>
          <w:sz w:val="20"/>
          <w:szCs w:val="20"/>
        </w:rPr>
        <w:t>Income Taxes</w:t>
      </w:r>
    </w:p>
    <w:p w:rsidR="00000000" w:rsidRDefault="0094004B">
      <w:pPr>
        <w:jc w:val="both"/>
        <w:divId w:val="1585454018"/>
        <w:rPr>
          <w:rFonts w:eastAsia="Times New Roman"/>
        </w:rPr>
      </w:pPr>
      <w:r>
        <w:rPr>
          <w:rFonts w:eastAsia="Times New Roman"/>
          <w:color w:val="000000"/>
          <w:sz w:val="20"/>
          <w:szCs w:val="20"/>
        </w:rPr>
        <w:t>We recognize the current and deferred tax consequen</w:t>
      </w:r>
      <w:r>
        <w:rPr>
          <w:rFonts w:eastAsia="Times New Roman"/>
          <w:color w:val="000000"/>
          <w:sz w:val="20"/>
          <w:szCs w:val="20"/>
        </w:rPr>
        <w:t>ces of all transactions that have been recognized in the financial statements using the provisions of the enacted tax laws. Current income tax expense represents our estimated taxes to be paid or refunded for the current period and includes income tax expe</w:t>
      </w:r>
      <w:r>
        <w:rPr>
          <w:rFonts w:eastAsia="Times New Roman"/>
          <w:color w:val="000000"/>
          <w:sz w:val="20"/>
          <w:szCs w:val="20"/>
        </w:rPr>
        <w:t>nse related to our uncertain tax positions, as well as tax-related interest and penalties. Deferred tax assets and liabilities are determined based on differences between the financial reporting and tax basis of assets and liabilities and are measured usin</w:t>
      </w:r>
      <w:r>
        <w:rPr>
          <w:rFonts w:eastAsia="Times New Roman"/>
          <w:color w:val="000000"/>
          <w:sz w:val="20"/>
          <w:szCs w:val="20"/>
        </w:rPr>
        <w:t>g the enacted tax rates and laws that will be in effect when the differences are expected to reverse. We record valuation allowances to reduce deferred tax assets to the amount that is more likely than not to be realized. We record the effect of remeasurin</w:t>
      </w:r>
      <w:r>
        <w:rPr>
          <w:rFonts w:eastAsia="Times New Roman"/>
          <w:color w:val="000000"/>
          <w:sz w:val="20"/>
          <w:szCs w:val="20"/>
        </w:rPr>
        <w:t>g deferred tax assets and liabilities due to a change in tax rates or laws as a component of income tax expense related to continuing operations for the period in which the change is enacted. We subsequently release income tax effects stranded in AOCI usin</w:t>
      </w:r>
      <w:r>
        <w:rPr>
          <w:rFonts w:eastAsia="Times New Roman"/>
          <w:color w:val="000000"/>
          <w:sz w:val="20"/>
          <w:szCs w:val="20"/>
        </w:rPr>
        <w:t>g a portfolio approach. Income tax benefits are recognized when, based on their technical merits, they are more likely than not to be sustained upon examination. The amount recognized is the largest amount of benefit that is more likely than not to be real</w:t>
      </w:r>
      <w:r>
        <w:rPr>
          <w:rFonts w:eastAsia="Times New Roman"/>
          <w:color w:val="000000"/>
          <w:sz w:val="20"/>
          <w:szCs w:val="20"/>
        </w:rPr>
        <w:t>ized upon settlement. See “Note 15—Income Taxes” for additional details.</w:t>
      </w:r>
    </w:p>
    <w:p w:rsidR="00000000" w:rsidRDefault="0094004B">
      <w:pPr>
        <w:divId w:val="1587960481"/>
        <w:rPr>
          <w:rFonts w:eastAsia="Times New Roman"/>
        </w:rPr>
      </w:pPr>
      <w:r>
        <w:rPr>
          <w:rFonts w:eastAsia="Times New Roman"/>
          <w:b/>
          <w:bCs/>
          <w:color w:val="000000"/>
          <w:sz w:val="20"/>
          <w:szCs w:val="20"/>
        </w:rPr>
        <w:t>Earnings Per Share</w:t>
      </w:r>
    </w:p>
    <w:p w:rsidR="00000000" w:rsidRDefault="0094004B">
      <w:pPr>
        <w:jc w:val="both"/>
        <w:divId w:val="1788967416"/>
        <w:rPr>
          <w:rFonts w:eastAsia="Times New Roman"/>
        </w:rPr>
      </w:pPr>
      <w:r>
        <w:rPr>
          <w:rFonts w:eastAsia="Times New Roman"/>
          <w:color w:val="000000"/>
          <w:sz w:val="20"/>
          <w:szCs w:val="20"/>
        </w:rPr>
        <w:t>Earnings per share is calculated and reported under the “two-class” method. The “two-class” method is an earnings allocation method under which earnings per share i</w:t>
      </w:r>
      <w:r>
        <w:rPr>
          <w:rFonts w:eastAsia="Times New Roman"/>
          <w:color w:val="000000"/>
          <w:sz w:val="20"/>
          <w:szCs w:val="20"/>
        </w:rPr>
        <w:t>s calculated for each class of common stock and participating security considering both dividends declared or accumulated and participation rights in undistributed earnings as if all such earnings had been distributed during the period. We have unvested sh</w:t>
      </w:r>
      <w:r>
        <w:rPr>
          <w:rFonts w:eastAsia="Times New Roman"/>
          <w:color w:val="000000"/>
          <w:sz w:val="20"/>
          <w:szCs w:val="20"/>
        </w:rPr>
        <w:t>are-based payment awards which have a right to receive non-forfeitable dividends, which are deemed to be participating securities.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998577661"/>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998577661"/>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998577661"/>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135</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61" style="width:0;height:1.5pt" o:hralign="center" o:hrstd="t" o:hr="t" fillcolor="#a0a0a0" stroked="f"/>
        </w:pict>
      </w:r>
    </w:p>
    <w:p w:rsidR="00000000" w:rsidRDefault="0094004B">
      <w:pPr>
        <w:jc w:val="both"/>
        <w:divId w:val="2062359600"/>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2062359600"/>
        <w:rPr>
          <w:rFonts w:eastAsia="Times New Roman"/>
        </w:rPr>
      </w:pPr>
    </w:p>
    <w:p w:rsidR="00000000" w:rsidRDefault="0094004B">
      <w:pPr>
        <w:jc w:val="center"/>
        <w:divId w:val="2062359600"/>
        <w:rPr>
          <w:rFonts w:eastAsia="Times New Roman"/>
        </w:rPr>
      </w:pPr>
      <w:r>
        <w:rPr>
          <w:rFonts w:eastAsia="Times New Roman"/>
          <w:b/>
          <w:bCs/>
          <w:color w:val="000000"/>
          <w:sz w:val="20"/>
          <w:szCs w:val="20"/>
        </w:rPr>
        <w:t>CAPITAL ONE FINANCIAL CORPORATION</w:t>
      </w:r>
    </w:p>
    <w:p w:rsidR="00000000" w:rsidRDefault="0094004B">
      <w:pPr>
        <w:jc w:val="center"/>
        <w:divId w:val="2062359600"/>
        <w:rPr>
          <w:rFonts w:eastAsia="Times New Roman"/>
        </w:rPr>
      </w:pPr>
      <w:r>
        <w:rPr>
          <w:rFonts w:eastAsia="Times New Roman"/>
          <w:b/>
          <w:bCs/>
          <w:color w:val="000000"/>
          <w:sz w:val="20"/>
          <w:szCs w:val="20"/>
        </w:rPr>
        <w:t>NOTES TO CONSOLIDATED FINANCIAL STATEMENTS</w:t>
      </w:r>
    </w:p>
    <w:p w:rsidR="00000000" w:rsidRDefault="0094004B">
      <w:pPr>
        <w:jc w:val="both"/>
        <w:divId w:val="1571572057"/>
        <w:rPr>
          <w:rFonts w:eastAsia="Times New Roman"/>
        </w:rPr>
      </w:pPr>
      <w:r>
        <w:rPr>
          <w:rFonts w:eastAsia="Times New Roman"/>
          <w:color w:val="000000"/>
          <w:sz w:val="20"/>
          <w:szCs w:val="20"/>
        </w:rPr>
        <w:t>We calculate basic earnings per share by dividing net income, af</w:t>
      </w:r>
      <w:r>
        <w:rPr>
          <w:rFonts w:eastAsia="Times New Roman"/>
          <w:color w:val="000000"/>
          <w:sz w:val="20"/>
          <w:szCs w:val="20"/>
        </w:rPr>
        <w:t xml:space="preserve">ter deducting dividends on preferred stock and participating securities as well as undistributed earnings allocated to participating securities, by the average number of common shares outstanding during the period, net of any treasury shares. We calculate </w:t>
      </w:r>
      <w:r>
        <w:rPr>
          <w:rFonts w:eastAsia="Times New Roman"/>
          <w:color w:val="000000"/>
          <w:sz w:val="20"/>
          <w:szCs w:val="20"/>
        </w:rPr>
        <w:t>diluted earnings per share in a similar manner after consideration of the potential dilutive effect of common stock equivalents on the average number of common shares outstanding during the period. Common stock equivalents include stock options, restricted</w:t>
      </w:r>
      <w:r>
        <w:rPr>
          <w:rFonts w:eastAsia="Times New Roman"/>
          <w:color w:val="000000"/>
          <w:sz w:val="20"/>
          <w:szCs w:val="20"/>
        </w:rPr>
        <w:t xml:space="preserve"> stock units, and performance share units. Common stock equivalents are calculated based upon the treasury stock method using an average market price of common shares during the period. Dilution is not considered when a net loss is reported. Common stock e</w:t>
      </w:r>
      <w:r>
        <w:rPr>
          <w:rFonts w:eastAsia="Times New Roman"/>
          <w:color w:val="000000"/>
          <w:sz w:val="20"/>
          <w:szCs w:val="20"/>
        </w:rPr>
        <w:t>quivalents that have an antidilutive effect are excluded from the computation of diluted earnings per share. See “Note 12—Earnings Per Common Share” for additional details.</w:t>
      </w:r>
    </w:p>
    <w:p w:rsidR="00000000" w:rsidRDefault="0094004B">
      <w:pPr>
        <w:divId w:val="1782995216"/>
        <w:rPr>
          <w:rFonts w:eastAsia="Times New Roman"/>
        </w:rPr>
      </w:pPr>
      <w:r>
        <w:rPr>
          <w:rFonts w:eastAsia="Times New Roman"/>
          <w:b/>
          <w:bCs/>
          <w:color w:val="000000"/>
          <w:sz w:val="20"/>
          <w:szCs w:val="20"/>
        </w:rPr>
        <w:t>Derivative Instruments and Hedging Activities</w:t>
      </w:r>
    </w:p>
    <w:p w:rsidR="00000000" w:rsidRDefault="0094004B">
      <w:pPr>
        <w:jc w:val="both"/>
        <w:divId w:val="1847669257"/>
        <w:rPr>
          <w:rFonts w:eastAsia="Times New Roman"/>
        </w:rPr>
      </w:pPr>
      <w:r>
        <w:rPr>
          <w:rFonts w:eastAsia="Times New Roman"/>
          <w:color w:val="000000"/>
          <w:sz w:val="20"/>
          <w:szCs w:val="20"/>
        </w:rPr>
        <w:t>All derivative financial instruments,</w:t>
      </w:r>
      <w:r>
        <w:rPr>
          <w:rFonts w:eastAsia="Times New Roman"/>
          <w:color w:val="000000"/>
          <w:sz w:val="20"/>
          <w:szCs w:val="20"/>
        </w:rPr>
        <w:t xml:space="preserve"> whether designated in a qualifying hedge accounting relationship or not, are reported at their fair value on our consolidated balance sheets as either assets or liabilities. See “Note 9—Derivative Instruments and Hedging Activities” for additional details</w:t>
      </w:r>
      <w:r>
        <w:rPr>
          <w:rFonts w:eastAsia="Times New Roman"/>
          <w:color w:val="000000"/>
          <w:sz w:val="20"/>
          <w:szCs w:val="20"/>
        </w:rPr>
        <w:t>.</w:t>
      </w:r>
    </w:p>
    <w:p w:rsidR="00000000" w:rsidRDefault="0094004B">
      <w:pPr>
        <w:divId w:val="261301965"/>
        <w:rPr>
          <w:rFonts w:eastAsia="Times New Roman"/>
        </w:rPr>
      </w:pPr>
      <w:r>
        <w:rPr>
          <w:rFonts w:eastAsia="Times New Roman"/>
          <w:b/>
          <w:bCs/>
          <w:color w:val="000000"/>
          <w:sz w:val="20"/>
          <w:szCs w:val="20"/>
        </w:rPr>
        <w:t xml:space="preserve">Fair Value </w:t>
      </w:r>
    </w:p>
    <w:p w:rsidR="00000000" w:rsidRDefault="0094004B">
      <w:pPr>
        <w:jc w:val="both"/>
        <w:divId w:val="539706815"/>
        <w:rPr>
          <w:rFonts w:eastAsia="Times New Roman"/>
        </w:rPr>
      </w:pPr>
      <w:r>
        <w:rPr>
          <w:rFonts w:eastAsia="Times New Roman"/>
          <w:color w:val="000000"/>
          <w:sz w:val="20"/>
          <w:szCs w:val="20"/>
        </w:rPr>
        <w:t xml:space="preserve">Fair value, also referred to as an exit price, is defined as the price that would be received for an asset or paid to transfer a liability in an orderly transaction between market participants on the measurement date. See “Note 16—Fair Value </w:t>
      </w:r>
      <w:r>
        <w:rPr>
          <w:rFonts w:eastAsia="Times New Roman"/>
          <w:color w:val="000000"/>
          <w:sz w:val="20"/>
          <w:szCs w:val="20"/>
        </w:rPr>
        <w:t>Measurement” for additional information.</w:t>
      </w:r>
    </w:p>
    <w:p w:rsidR="00000000" w:rsidRDefault="0094004B">
      <w:pPr>
        <w:divId w:val="1043674512"/>
        <w:rPr>
          <w:rFonts w:eastAsia="Times New Roman"/>
        </w:rPr>
      </w:pPr>
      <w:r>
        <w:rPr>
          <w:rFonts w:eastAsia="Times New Roman"/>
          <w:b/>
          <w:bCs/>
          <w:color w:val="000000"/>
          <w:sz w:val="20"/>
          <w:szCs w:val="20"/>
        </w:rPr>
        <w:t xml:space="preserve">Accounting for Acquisitions </w:t>
      </w:r>
    </w:p>
    <w:p w:rsidR="00000000" w:rsidRDefault="0094004B">
      <w:pPr>
        <w:jc w:val="both"/>
        <w:divId w:val="1867522761"/>
        <w:rPr>
          <w:rFonts w:eastAsia="Times New Roman"/>
        </w:rPr>
      </w:pPr>
      <w:r>
        <w:rPr>
          <w:rFonts w:eastAsia="Times New Roman"/>
          <w:color w:val="000000"/>
          <w:sz w:val="20"/>
          <w:szCs w:val="20"/>
        </w:rPr>
        <w:t>We account for business combinations under the acquisition method of accounting. Under the acquisition method, tangible and intangible identifiable assets acquired, liabilities assumed and any non-controlling interest in the acquiree are recorded at fair v</w:t>
      </w:r>
      <w:r>
        <w:rPr>
          <w:rFonts w:eastAsia="Times New Roman"/>
          <w:color w:val="000000"/>
          <w:sz w:val="20"/>
          <w:szCs w:val="20"/>
        </w:rPr>
        <w:t>alue as of the acquisition date, with limited exceptions. Transaction costs and costs to restructure the acquired company are expensed as incurred. Goodwill is recognized as the excess of the acquisition price over the estimated fair value of the identifia</w:t>
      </w:r>
      <w:r>
        <w:rPr>
          <w:rFonts w:eastAsia="Times New Roman"/>
          <w:color w:val="000000"/>
          <w:sz w:val="20"/>
          <w:szCs w:val="20"/>
        </w:rPr>
        <w:t xml:space="preserve">ble net assets acquired. Likewise, if the fair value of the net assets acquired is greater than the acquisition price, a bargain purchase gain is recognized and recorded in other non-interest income. </w:t>
      </w:r>
    </w:p>
    <w:p w:rsidR="00000000" w:rsidRDefault="0094004B">
      <w:pPr>
        <w:jc w:val="both"/>
        <w:divId w:val="433791468"/>
        <w:rPr>
          <w:rFonts w:eastAsia="Times New Roman"/>
        </w:rPr>
      </w:pPr>
      <w:r>
        <w:rPr>
          <w:rFonts w:eastAsia="Times New Roman"/>
          <w:color w:val="000000"/>
          <w:sz w:val="20"/>
          <w:szCs w:val="20"/>
        </w:rPr>
        <w:t>If the acquired set of activities and assets do not mee</w:t>
      </w:r>
      <w:r>
        <w:rPr>
          <w:rFonts w:eastAsia="Times New Roman"/>
          <w:color w:val="000000"/>
          <w:sz w:val="20"/>
          <w:szCs w:val="20"/>
        </w:rPr>
        <w:t>t the accounting definition of a business, the transaction is accounted for as an asset acquisition. In an asset acquisition, the assets acquired are recorded at the purchase price plus any transaction costs incurred and no goodwill is recognized.</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977689990"/>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977689990"/>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977689990"/>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136</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62" style="width:0;height:1.5pt" o:hralign="center" o:hrstd="t" o:hr="t" fillcolor="#a0a0a0" stroked="f"/>
        </w:pict>
      </w:r>
    </w:p>
    <w:p w:rsidR="00000000" w:rsidRDefault="0094004B">
      <w:pPr>
        <w:jc w:val="both"/>
        <w:divId w:val="6518695"/>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6518695"/>
        <w:rPr>
          <w:rFonts w:eastAsia="Times New Roman"/>
        </w:rPr>
      </w:pPr>
    </w:p>
    <w:p w:rsidR="00000000" w:rsidRDefault="0094004B">
      <w:pPr>
        <w:jc w:val="center"/>
        <w:divId w:val="6518695"/>
        <w:rPr>
          <w:rFonts w:eastAsia="Times New Roman"/>
        </w:rPr>
      </w:pPr>
      <w:r>
        <w:rPr>
          <w:rFonts w:eastAsia="Times New Roman"/>
          <w:b/>
          <w:bCs/>
          <w:color w:val="000000"/>
          <w:sz w:val="20"/>
          <w:szCs w:val="20"/>
        </w:rPr>
        <w:t>CAPITAL ONE FINANCIAL CORPORATION</w:t>
      </w:r>
    </w:p>
    <w:p w:rsidR="00000000" w:rsidRDefault="0094004B">
      <w:pPr>
        <w:jc w:val="center"/>
        <w:divId w:val="6518695"/>
        <w:rPr>
          <w:rFonts w:eastAsia="Times New Roman"/>
        </w:rPr>
      </w:pPr>
      <w:r>
        <w:rPr>
          <w:rFonts w:eastAsia="Times New Roman"/>
          <w:b/>
          <w:bCs/>
          <w:color w:val="000000"/>
          <w:sz w:val="20"/>
          <w:szCs w:val="20"/>
        </w:rPr>
        <w:t>NOTES TO CONSOLIDATED FINANCIAL STATEMENTS</w:t>
      </w:r>
    </w:p>
    <w:p w:rsidR="00000000" w:rsidRDefault="0094004B">
      <w:pPr>
        <w:divId w:val="1812750361"/>
        <w:rPr>
          <w:rFonts w:eastAsia="Times New Roman"/>
        </w:rPr>
      </w:pPr>
      <w:r>
        <w:rPr>
          <w:rFonts w:eastAsia="Times New Roman"/>
          <w:b/>
          <w:bCs/>
          <w:color w:val="000000"/>
          <w:sz w:val="20"/>
          <w:szCs w:val="20"/>
        </w:rPr>
        <w:t>Accounting Standards Adopted During the Twelve Months Ended December 31, 2022</w:t>
      </w:r>
    </w:p>
    <w:tbl>
      <w:tblPr>
        <w:tblW w:w="5000" w:type="pct"/>
        <w:jc w:val="center"/>
        <w:tblCellMar>
          <w:top w:w="15" w:type="dxa"/>
          <w:left w:w="15" w:type="dxa"/>
          <w:bottom w:w="15" w:type="dxa"/>
          <w:right w:w="15" w:type="dxa"/>
        </w:tblCellMar>
        <w:tblLook w:val="04A0" w:firstRow="1" w:lastRow="0" w:firstColumn="1" w:lastColumn="0" w:noHBand="0" w:noVBand="1"/>
      </w:tblPr>
      <w:tblGrid>
        <w:gridCol w:w="58"/>
        <w:gridCol w:w="2264"/>
        <w:gridCol w:w="36"/>
        <w:gridCol w:w="36"/>
        <w:gridCol w:w="36"/>
        <w:gridCol w:w="36"/>
        <w:gridCol w:w="41"/>
        <w:gridCol w:w="2788"/>
        <w:gridCol w:w="36"/>
        <w:gridCol w:w="36"/>
        <w:gridCol w:w="36"/>
        <w:gridCol w:w="36"/>
        <w:gridCol w:w="42"/>
        <w:gridCol w:w="2788"/>
        <w:gridCol w:w="37"/>
      </w:tblGrid>
      <w:tr w:rsidR="00000000">
        <w:trPr>
          <w:divId w:val="968826294"/>
          <w:jc w:val="center"/>
        </w:trPr>
        <w:tc>
          <w:tcPr>
            <w:tcW w:w="50" w:type="pct"/>
            <w:vAlign w:val="center"/>
            <w:hideMark/>
          </w:tcPr>
          <w:p w:rsidR="00000000" w:rsidRDefault="0094004B">
            <w:pPr>
              <w:rPr>
                <w:rFonts w:eastAsia="Times New Roman"/>
              </w:rPr>
            </w:pPr>
          </w:p>
        </w:tc>
        <w:tc>
          <w:tcPr>
            <w:tcW w:w="137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9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9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968826294"/>
          <w:jc w:val="center"/>
        </w:trPr>
        <w:tc>
          <w:tcPr>
            <w:tcW w:w="0" w:type="auto"/>
            <w:gridSpan w:val="3"/>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b/>
                <w:bCs/>
                <w:color w:val="000000"/>
                <w:sz w:val="16"/>
                <w:szCs w:val="16"/>
              </w:rPr>
              <w:t>Standard</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b/>
                <w:bCs/>
                <w:color w:val="000000"/>
                <w:sz w:val="16"/>
                <w:szCs w:val="16"/>
              </w:rPr>
              <w:t>Guidance</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b/>
                <w:bCs/>
                <w:color w:val="000000"/>
                <w:sz w:val="16"/>
                <w:szCs w:val="16"/>
              </w:rPr>
              <w:t>Adoption Timing and Financial Statement Impacts</w:t>
            </w:r>
          </w:p>
        </w:tc>
      </w:tr>
      <w:tr w:rsidR="00000000">
        <w:trPr>
          <w:divId w:val="968826294"/>
          <w:jc w:val="center"/>
        </w:trPr>
        <w:tc>
          <w:tcPr>
            <w:tcW w:w="0" w:type="auto"/>
            <w:gridSpan w:val="3"/>
            <w:vAlign w:val="center"/>
            <w:hideMark/>
          </w:tcPr>
          <w:p w:rsidR="00000000" w:rsidRDefault="0094004B">
            <w:pPr>
              <w:spacing w:after="100"/>
              <w:jc w:val="center"/>
              <w:rPr>
                <w:rFonts w:eastAsia="Times New Roman"/>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68826294"/>
          <w:jc w:val="center"/>
        </w:trPr>
        <w:tc>
          <w:tcPr>
            <w:tcW w:w="0" w:type="auto"/>
            <w:gridSpan w:val="3"/>
            <w:tcBorders>
              <w:top w:val="single" w:sz="8" w:space="0" w:color="000000"/>
            </w:tcBorders>
            <w:tcMar>
              <w:top w:w="30" w:type="dxa"/>
              <w:left w:w="20" w:type="dxa"/>
              <w:bottom w:w="30" w:type="dxa"/>
              <w:right w:w="20" w:type="dxa"/>
            </w:tcMar>
            <w:hideMark/>
          </w:tcPr>
          <w:p w:rsidR="00000000" w:rsidRDefault="0094004B">
            <w:pPr>
              <w:spacing w:after="100"/>
              <w:divId w:val="1222012232"/>
              <w:rPr>
                <w:rFonts w:eastAsia="Times New Roman"/>
              </w:rPr>
            </w:pPr>
            <w:r>
              <w:rPr>
                <w:rFonts w:eastAsia="Times New Roman"/>
                <w:color w:val="000000"/>
                <w:sz w:val="18"/>
                <w:szCs w:val="18"/>
              </w:rPr>
              <w:t>Fair Value Hedging</w:t>
            </w:r>
          </w:p>
          <w:p w:rsidR="00000000" w:rsidRDefault="0094004B">
            <w:pPr>
              <w:spacing w:after="100"/>
              <w:divId w:val="43792048"/>
              <w:rPr>
                <w:rFonts w:eastAsia="Times New Roman"/>
              </w:rPr>
            </w:pPr>
          </w:p>
          <w:p w:rsidR="00000000" w:rsidRDefault="0094004B">
            <w:pPr>
              <w:spacing w:after="100"/>
              <w:divId w:val="659238745"/>
              <w:rPr>
                <w:rFonts w:eastAsia="Times New Roman"/>
              </w:rPr>
            </w:pPr>
            <w:r>
              <w:rPr>
                <w:rFonts w:eastAsia="Times New Roman"/>
                <w:color w:val="000000"/>
                <w:sz w:val="18"/>
                <w:szCs w:val="18"/>
              </w:rPr>
              <w:t xml:space="preserve">ASU No. 2022-01, Derivatives and Hedging (Topic 815): </w:t>
            </w:r>
            <w:r>
              <w:rPr>
                <w:rFonts w:eastAsia="Times New Roman"/>
                <w:i/>
                <w:iCs/>
                <w:color w:val="000000"/>
                <w:sz w:val="18"/>
                <w:szCs w:val="18"/>
              </w:rPr>
              <w:t>Fair Value Hedging - Portfolio Layering Method</w:t>
            </w:r>
          </w:p>
          <w:p w:rsidR="00000000" w:rsidRDefault="0094004B">
            <w:pPr>
              <w:spacing w:after="100"/>
              <w:divId w:val="235021402"/>
              <w:rPr>
                <w:rFonts w:eastAsia="Times New Roman"/>
              </w:rPr>
            </w:pPr>
          </w:p>
          <w:p w:rsidR="00000000" w:rsidRDefault="0094004B">
            <w:pPr>
              <w:spacing w:after="100"/>
              <w:divId w:val="749932570"/>
              <w:rPr>
                <w:rFonts w:eastAsia="Times New Roman"/>
              </w:rPr>
            </w:pPr>
            <w:r>
              <w:rPr>
                <w:rFonts w:eastAsia="Times New Roman"/>
                <w:i/>
                <w:iCs/>
                <w:color w:val="000000"/>
                <w:sz w:val="18"/>
                <w:szCs w:val="18"/>
              </w:rPr>
              <w:t>Issued March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94004B">
            <w:pPr>
              <w:spacing w:after="100"/>
              <w:rPr>
                <w:rFonts w:eastAsia="Times New Roman"/>
              </w:rPr>
            </w:pPr>
            <w:r>
              <w:rPr>
                <w:rFonts w:eastAsia="Times New Roman"/>
                <w:color w:val="000000"/>
                <w:sz w:val="18"/>
                <w:szCs w:val="18"/>
              </w:rPr>
              <w:t xml:space="preserve">The amendments in this ASU establish the portfolio-layer method which provides flexibility to achieve fair value hedge accounting for multiple hedged layers within a single closed portfolio of financial assets.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94004B">
            <w:pPr>
              <w:spacing w:after="100"/>
              <w:rPr>
                <w:rFonts w:eastAsia="Times New Roman"/>
              </w:rPr>
            </w:pPr>
            <w:r>
              <w:rPr>
                <w:rFonts w:eastAsia="Times New Roman"/>
                <w:color w:val="000000"/>
                <w:sz w:val="18"/>
                <w:szCs w:val="18"/>
              </w:rPr>
              <w:t xml:space="preserve">We adopted this guidance in the second </w:t>
            </w:r>
            <w:r>
              <w:rPr>
                <w:rFonts w:eastAsia="Times New Roman"/>
                <w:color w:val="000000"/>
                <w:sz w:val="18"/>
                <w:szCs w:val="18"/>
              </w:rPr>
              <w:t>quarter of 2022 using the prospective method of adoption.</w:t>
            </w:r>
            <w:r>
              <w:rPr>
                <w:rFonts w:eastAsia="Times New Roman"/>
                <w:color w:val="000000"/>
                <w:sz w:val="18"/>
                <w:szCs w:val="18"/>
              </w:rPr>
              <w:br/>
            </w:r>
            <w:r>
              <w:rPr>
                <w:rFonts w:eastAsia="Times New Roman"/>
                <w:sz w:val="18"/>
                <w:szCs w:val="18"/>
              </w:rPr>
              <w:br/>
            </w:r>
            <w:r>
              <w:rPr>
                <w:rFonts w:eastAsia="Times New Roman"/>
                <w:color w:val="000000"/>
                <w:sz w:val="18"/>
                <w:szCs w:val="18"/>
              </w:rPr>
              <w:t>Our adoption of this standard did not have an impact on our consolidated financial statements as any designation of portfolio layer method hedges would be applied prospectively.</w:t>
            </w:r>
          </w:p>
        </w:tc>
      </w:tr>
    </w:tbl>
    <w:p w:rsidR="00000000" w:rsidRDefault="0094004B">
      <w:pPr>
        <w:jc w:val="center"/>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200632454"/>
          <w:jc w:val="center"/>
        </w:trPr>
        <w:tc>
          <w:tcPr>
            <w:tcW w:w="50" w:type="pct"/>
            <w:vAlign w:val="center"/>
            <w:hideMark/>
          </w:tcPr>
          <w:p w:rsidR="00000000" w:rsidRDefault="0094004B">
            <w:pPr>
              <w:jc w:val="center"/>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200632454"/>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200632454"/>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137</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63" style="width:0;height:1.5pt" o:hralign="center" o:hrstd="t" o:hr="t" fillcolor="#a0a0a0" stroked="f"/>
        </w:pict>
      </w:r>
    </w:p>
    <w:p w:rsidR="00000000" w:rsidRDefault="0094004B">
      <w:pPr>
        <w:jc w:val="both"/>
        <w:divId w:val="1844390171"/>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1844390171"/>
        <w:rPr>
          <w:rFonts w:eastAsia="Times New Roman"/>
        </w:rPr>
      </w:pPr>
    </w:p>
    <w:p w:rsidR="00000000" w:rsidRDefault="0094004B">
      <w:pPr>
        <w:jc w:val="center"/>
        <w:divId w:val="1844390171"/>
        <w:rPr>
          <w:rFonts w:eastAsia="Times New Roman"/>
        </w:rPr>
      </w:pPr>
      <w:r>
        <w:rPr>
          <w:rFonts w:eastAsia="Times New Roman"/>
          <w:b/>
          <w:bCs/>
          <w:color w:val="000000"/>
          <w:sz w:val="20"/>
          <w:szCs w:val="20"/>
        </w:rPr>
        <w:t>CAPITAL ONE FINANCIAL CORPORATION</w:t>
      </w:r>
    </w:p>
    <w:p w:rsidR="00000000" w:rsidRDefault="0094004B">
      <w:pPr>
        <w:jc w:val="center"/>
        <w:divId w:val="1844390171"/>
        <w:rPr>
          <w:rFonts w:eastAsia="Times New Roman"/>
        </w:rPr>
      </w:pPr>
      <w:r>
        <w:rPr>
          <w:rFonts w:eastAsia="Times New Roman"/>
          <w:b/>
          <w:bCs/>
          <w:color w:val="000000"/>
          <w:sz w:val="20"/>
          <w:szCs w:val="20"/>
        </w:rPr>
        <w:t>NOTES TO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298603425"/>
        </w:trPr>
        <w:tc>
          <w:tcPr>
            <w:tcW w:w="50" w:type="pct"/>
            <w:vAlign w:val="center"/>
            <w:hideMark/>
          </w:tcPr>
          <w:p w:rsidR="00000000" w:rsidRDefault="0094004B">
            <w:pPr>
              <w:jc w:val="center"/>
              <w:rPr>
                <w:rFonts w:eastAsia="Times New Roman"/>
              </w:rPr>
            </w:pPr>
          </w:p>
        </w:tc>
        <w:tc>
          <w:tcPr>
            <w:tcW w:w="494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298603425"/>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20"/>
                <w:szCs w:val="20"/>
              </w:rPr>
              <w:t>NOTE 2—INVESTMENT SECURITIES</w:t>
            </w:r>
          </w:p>
        </w:tc>
      </w:tr>
    </w:tbl>
    <w:p w:rsidR="00000000" w:rsidRDefault="0094004B">
      <w:pPr>
        <w:jc w:val="both"/>
        <w:divId w:val="691343868"/>
        <w:rPr>
          <w:rFonts w:eastAsia="Times New Roman"/>
        </w:rPr>
      </w:pPr>
      <w:r>
        <w:rPr>
          <w:rFonts w:eastAsia="Times New Roman"/>
          <w:color w:val="000000"/>
          <w:sz w:val="20"/>
          <w:szCs w:val="20"/>
        </w:rPr>
        <w:t>Our investment securities portfolio consists of the following: U.S. government-sponsored enterprise or agency (“Agency”) and non-agency residential mortgage-backed securities (“RMBS”), agency commercial mortgage-backed securities (“CMBS”), U.S. Treasury se</w:t>
      </w:r>
      <w:r>
        <w:rPr>
          <w:rFonts w:eastAsia="Times New Roman"/>
          <w:color w:val="000000"/>
          <w:sz w:val="20"/>
          <w:szCs w:val="20"/>
        </w:rPr>
        <w:t>curities and other securities. Agency securities include Government National Mortgage Association (“Ginnie Mae”) guaranteed securities, Federal National Mortgage Association (“Fannie Mae”) and Federal Home Loan Mortgage Corporation (“Freddie Mac”) issued s</w:t>
      </w:r>
      <w:r>
        <w:rPr>
          <w:rFonts w:eastAsia="Times New Roman"/>
          <w:color w:val="000000"/>
          <w:sz w:val="20"/>
          <w:szCs w:val="20"/>
        </w:rPr>
        <w:t>ecurities. The carrying value of our investments in Agency and U.S. Treasury securities represented 97% and 96% of our total investment securities portfolio as of December 31, 2022 and 2021, respectively.</w:t>
      </w:r>
    </w:p>
    <w:p w:rsidR="00000000" w:rsidRDefault="0094004B">
      <w:pPr>
        <w:jc w:val="both"/>
        <w:divId w:val="2056809453"/>
        <w:rPr>
          <w:rFonts w:eastAsia="Times New Roman"/>
        </w:rPr>
      </w:pPr>
      <w:r>
        <w:rPr>
          <w:rFonts w:eastAsia="Times New Roman"/>
          <w:color w:val="000000"/>
          <w:sz w:val="20"/>
          <w:szCs w:val="20"/>
        </w:rPr>
        <w:t>The table below presents the amortized cost, allowa</w:t>
      </w:r>
      <w:r>
        <w:rPr>
          <w:rFonts w:eastAsia="Times New Roman"/>
          <w:color w:val="000000"/>
          <w:sz w:val="20"/>
          <w:szCs w:val="20"/>
        </w:rPr>
        <w:t>nce for credit losses, gross unrealized gains and losses, and fair value aggregated by major security type as of December 31, 2022 and 2021. Accrued interest receivable of $215 million and $207 million as of December 31, 2022 and 2021, respectively, is not</w:t>
      </w:r>
      <w:r>
        <w:rPr>
          <w:rFonts w:eastAsia="Times New Roman"/>
          <w:color w:val="000000"/>
          <w:sz w:val="20"/>
          <w:szCs w:val="20"/>
        </w:rPr>
        <w:t xml:space="preserve"> included in the table below.</w:t>
      </w:r>
    </w:p>
    <w:p w:rsidR="00000000" w:rsidRDefault="0094004B">
      <w:pPr>
        <w:divId w:val="446048318"/>
        <w:rPr>
          <w:rFonts w:eastAsia="Times New Roman"/>
        </w:rPr>
      </w:pPr>
      <w:r>
        <w:rPr>
          <w:rFonts w:eastAsia="Times New Roman"/>
          <w:b/>
          <w:bCs/>
          <w:color w:val="000000"/>
          <w:sz w:val="18"/>
          <w:szCs w:val="18"/>
        </w:rPr>
        <w:t xml:space="preserve">Table 2.1: Investment Securities Available for Sale </w:t>
      </w:r>
    </w:p>
    <w:tbl>
      <w:tblPr>
        <w:tblW w:w="4978" w:type="pct"/>
        <w:tblCellMar>
          <w:top w:w="15" w:type="dxa"/>
          <w:left w:w="15" w:type="dxa"/>
          <w:bottom w:w="15" w:type="dxa"/>
          <w:right w:w="15" w:type="dxa"/>
        </w:tblCellMar>
        <w:tblLook w:val="04A0" w:firstRow="1" w:lastRow="0" w:firstColumn="1" w:lastColumn="0" w:noHBand="0" w:noVBand="1"/>
      </w:tblPr>
      <w:tblGrid>
        <w:gridCol w:w="38"/>
        <w:gridCol w:w="3667"/>
        <w:gridCol w:w="37"/>
        <w:gridCol w:w="36"/>
        <w:gridCol w:w="36"/>
        <w:gridCol w:w="36"/>
        <w:gridCol w:w="111"/>
        <w:gridCol w:w="674"/>
        <w:gridCol w:w="36"/>
        <w:gridCol w:w="36"/>
        <w:gridCol w:w="36"/>
        <w:gridCol w:w="36"/>
        <w:gridCol w:w="111"/>
        <w:gridCol w:w="659"/>
        <w:gridCol w:w="36"/>
        <w:gridCol w:w="36"/>
        <w:gridCol w:w="36"/>
        <w:gridCol w:w="36"/>
        <w:gridCol w:w="111"/>
        <w:gridCol w:w="690"/>
        <w:gridCol w:w="36"/>
        <w:gridCol w:w="36"/>
        <w:gridCol w:w="36"/>
        <w:gridCol w:w="36"/>
        <w:gridCol w:w="111"/>
        <w:gridCol w:w="690"/>
        <w:gridCol w:w="36"/>
        <w:gridCol w:w="36"/>
        <w:gridCol w:w="36"/>
        <w:gridCol w:w="36"/>
        <w:gridCol w:w="110"/>
        <w:gridCol w:w="540"/>
        <w:gridCol w:w="36"/>
      </w:tblGrid>
      <w:tr w:rsidR="00000000">
        <w:trPr>
          <w:divId w:val="1332876209"/>
        </w:trPr>
        <w:tc>
          <w:tcPr>
            <w:tcW w:w="50" w:type="pct"/>
            <w:vAlign w:val="center"/>
            <w:hideMark/>
          </w:tcPr>
          <w:p w:rsidR="00000000" w:rsidRDefault="0094004B">
            <w:pPr>
              <w:rPr>
                <w:rFonts w:eastAsia="Times New Roman"/>
              </w:rPr>
            </w:pPr>
          </w:p>
        </w:tc>
        <w:tc>
          <w:tcPr>
            <w:tcW w:w="252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9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9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9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9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9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332876209"/>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December 31, 2022</w:t>
            </w:r>
          </w:p>
        </w:tc>
      </w:tr>
      <w:tr w:rsidR="00000000">
        <w:trPr>
          <w:divId w:val="1332876209"/>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Amortized</w:t>
            </w:r>
            <w:r>
              <w:rPr>
                <w:rFonts w:eastAsia="Times New Roman"/>
                <w:b/>
                <w:bCs/>
                <w:color w:val="000000"/>
                <w:sz w:val="16"/>
                <w:szCs w:val="16"/>
              </w:rPr>
              <w:br/>
              <w:t>Cost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Allowance</w:t>
            </w:r>
            <w:r>
              <w:rPr>
                <w:rFonts w:eastAsia="Times New Roman"/>
                <w:b/>
                <w:bCs/>
                <w:color w:val="000000"/>
                <w:sz w:val="16"/>
                <w:szCs w:val="16"/>
              </w:rPr>
              <w:br/>
              <w:t> for Credit</w:t>
            </w:r>
            <w:r>
              <w:rPr>
                <w:rFonts w:eastAsia="Times New Roman"/>
                <w:b/>
                <w:bCs/>
                <w:color w:val="000000"/>
                <w:sz w:val="16"/>
                <w:szCs w:val="16"/>
              </w:rPr>
              <w:br/>
              <w:t> Losses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Gross</w:t>
            </w:r>
            <w:r>
              <w:rPr>
                <w:rFonts w:eastAsia="Times New Roman"/>
                <w:b/>
                <w:bCs/>
                <w:color w:val="000000"/>
                <w:sz w:val="16"/>
                <w:szCs w:val="16"/>
              </w:rPr>
              <w:br/>
              <w:t>Unrealized</w:t>
            </w:r>
            <w:r>
              <w:rPr>
                <w:rFonts w:eastAsia="Times New Roman"/>
                <w:b/>
                <w:bCs/>
                <w:color w:val="000000"/>
                <w:sz w:val="16"/>
                <w:szCs w:val="16"/>
              </w:rPr>
              <w:br/>
              <w:t>Gains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Gross</w:t>
            </w:r>
            <w:r>
              <w:rPr>
                <w:rFonts w:eastAsia="Times New Roman"/>
                <w:b/>
                <w:bCs/>
                <w:color w:val="000000"/>
                <w:sz w:val="16"/>
                <w:szCs w:val="16"/>
              </w:rPr>
              <w:br/>
              <w:t>Unrealized</w:t>
            </w:r>
            <w:r>
              <w:rPr>
                <w:rFonts w:eastAsia="Times New Roman"/>
                <w:b/>
                <w:bCs/>
                <w:color w:val="000000"/>
                <w:sz w:val="16"/>
                <w:szCs w:val="16"/>
              </w:rPr>
              <w:br/>
              <w:t>Losses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Fair</w:t>
            </w:r>
            <w:r>
              <w:rPr>
                <w:rFonts w:eastAsia="Times New Roman"/>
                <w:b/>
                <w:bCs/>
                <w:color w:val="000000"/>
                <w:sz w:val="16"/>
                <w:szCs w:val="16"/>
              </w:rPr>
              <w:br/>
              <w:t>Value</w:t>
            </w:r>
          </w:p>
        </w:tc>
      </w:tr>
      <w:tr w:rsidR="00000000">
        <w:trPr>
          <w:divId w:val="1332876209"/>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Investment 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332876209"/>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U.S. Treasury securities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5,129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(90)</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5,041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332876209"/>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RMBS: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332876209"/>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Agency</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71,212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53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(9,413)</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61,852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332876209"/>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Non-agency</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653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93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(6)</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737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332876209"/>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 RMBS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71,865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146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(9,419)</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62,589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332876209"/>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Agency CMBS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8,626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(760)</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7,870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332876209"/>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divId w:val="1771462744"/>
              <w:rPr>
                <w:rFonts w:eastAsia="Times New Roman"/>
              </w:rPr>
            </w:pPr>
            <w:r>
              <w:rPr>
                <w:rFonts w:eastAsia="Times New Roman"/>
                <w:color w:val="000000"/>
                <w:sz w:val="18"/>
                <w:szCs w:val="18"/>
              </w:rPr>
              <w:t>Other securitie</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1,427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(10)</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1,419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332876209"/>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 investment 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87,047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154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(10,279)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76,919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4206"/>
        <w:gridCol w:w="144"/>
        <w:gridCol w:w="144"/>
        <w:gridCol w:w="144"/>
        <w:gridCol w:w="144"/>
        <w:gridCol w:w="144"/>
        <w:gridCol w:w="647"/>
        <w:gridCol w:w="144"/>
        <w:gridCol w:w="144"/>
        <w:gridCol w:w="144"/>
        <w:gridCol w:w="144"/>
        <w:gridCol w:w="144"/>
        <w:gridCol w:w="647"/>
        <w:gridCol w:w="144"/>
        <w:gridCol w:w="144"/>
        <w:gridCol w:w="144"/>
        <w:gridCol w:w="144"/>
        <w:gridCol w:w="144"/>
        <w:gridCol w:w="647"/>
        <w:gridCol w:w="144"/>
        <w:gridCol w:w="144"/>
        <w:gridCol w:w="144"/>
        <w:gridCol w:w="144"/>
        <w:gridCol w:w="144"/>
        <w:gridCol w:w="647"/>
        <w:gridCol w:w="144"/>
        <w:gridCol w:w="144"/>
        <w:gridCol w:w="144"/>
        <w:gridCol w:w="144"/>
        <w:gridCol w:w="144"/>
        <w:gridCol w:w="649"/>
        <w:gridCol w:w="144"/>
      </w:tblGrid>
      <w:tr w:rsidR="00000000">
        <w:tc>
          <w:tcPr>
            <w:tcW w:w="50" w:type="pct"/>
            <w:vAlign w:val="center"/>
            <w:hideMark/>
          </w:tcPr>
          <w:p w:rsidR="00000000" w:rsidRDefault="0094004B">
            <w:pPr>
              <w:rPr>
                <w:rFonts w:eastAsia="Times New Roman"/>
              </w:rPr>
            </w:pPr>
          </w:p>
        </w:tc>
        <w:tc>
          <w:tcPr>
            <w:tcW w:w="253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90"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90"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90"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90"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91"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7"/>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December 31, 2021</w:t>
            </w:r>
          </w:p>
        </w:tc>
      </w:tr>
      <w:tr w:rsidR="00000000">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Amortized</w:t>
            </w:r>
            <w:r>
              <w:rPr>
                <w:rFonts w:eastAsia="Times New Roman"/>
                <w:b/>
                <w:bCs/>
                <w:color w:val="000000"/>
                <w:sz w:val="16"/>
                <w:szCs w:val="16"/>
              </w:rPr>
              <w:br/>
              <w:t>Cost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Allowance</w:t>
            </w:r>
            <w:r>
              <w:rPr>
                <w:rFonts w:eastAsia="Times New Roman"/>
                <w:b/>
                <w:bCs/>
                <w:color w:val="000000"/>
                <w:sz w:val="16"/>
                <w:szCs w:val="16"/>
              </w:rPr>
              <w:br/>
              <w:t> for Credit</w:t>
            </w:r>
            <w:r>
              <w:rPr>
                <w:rFonts w:eastAsia="Times New Roman"/>
                <w:b/>
                <w:bCs/>
                <w:color w:val="000000"/>
                <w:sz w:val="16"/>
                <w:szCs w:val="16"/>
              </w:rPr>
              <w:br/>
              <w:t> Losses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Gross</w:t>
            </w:r>
            <w:r>
              <w:rPr>
                <w:rFonts w:eastAsia="Times New Roman"/>
                <w:b/>
                <w:bCs/>
                <w:color w:val="000000"/>
                <w:sz w:val="16"/>
                <w:szCs w:val="16"/>
              </w:rPr>
              <w:br/>
              <w:t>Unrealized</w:t>
            </w:r>
            <w:r>
              <w:rPr>
                <w:rFonts w:eastAsia="Times New Roman"/>
                <w:b/>
                <w:bCs/>
                <w:color w:val="000000"/>
                <w:sz w:val="16"/>
                <w:szCs w:val="16"/>
              </w:rPr>
              <w:br/>
              <w:t>Gains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Gross</w:t>
            </w:r>
            <w:r>
              <w:rPr>
                <w:rFonts w:eastAsia="Times New Roman"/>
                <w:b/>
                <w:bCs/>
                <w:color w:val="000000"/>
                <w:sz w:val="16"/>
                <w:szCs w:val="16"/>
              </w:rPr>
              <w:br/>
              <w:t>Unrealized</w:t>
            </w:r>
            <w:r>
              <w:rPr>
                <w:rFonts w:eastAsia="Times New Roman"/>
                <w:b/>
                <w:bCs/>
                <w:color w:val="000000"/>
                <w:sz w:val="16"/>
                <w:szCs w:val="16"/>
              </w:rPr>
              <w:br/>
              <w:t>Losses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Fair</w:t>
            </w:r>
            <w:r>
              <w:rPr>
                <w:rFonts w:eastAsia="Times New Roman"/>
                <w:b/>
                <w:bCs/>
                <w:color w:val="000000"/>
                <w:sz w:val="16"/>
                <w:szCs w:val="16"/>
              </w:rPr>
              <w:br/>
              <w:t>Value</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Investment 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U.S. Treasury securities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9,419 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23 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9,442 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RMBS: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Agency</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72,593 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958 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(931)</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72,620 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Non-agency</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792 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205 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996 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 RMBS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73,385 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1,163 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(931)</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73,616 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Agency CMBS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9,237 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195 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(63)</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9,369 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divId w:val="2061049905"/>
              <w:rPr>
                <w:rFonts w:eastAsia="Times New Roman"/>
              </w:rPr>
            </w:pPr>
            <w:r>
              <w:rPr>
                <w:rFonts w:eastAsia="Times New Roman"/>
                <w:color w:val="000000"/>
                <w:sz w:val="18"/>
                <w:szCs w:val="18"/>
              </w:rPr>
              <w:t>Other securitie</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2,830 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6 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2,834 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 investment 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94,871 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1,387 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(996)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95,261 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bl>
    <w:p w:rsidR="00000000" w:rsidRDefault="0094004B">
      <w:pPr>
        <w:divId w:val="166792426"/>
        <w:rPr>
          <w:rFonts w:eastAsia="Times New Roman"/>
        </w:rPr>
      </w:pPr>
      <w:r>
        <w:rPr>
          <w:rFonts w:eastAsia="Times New Roman"/>
          <w:b/>
          <w:bCs/>
          <w:color w:val="000000"/>
          <w:sz w:val="18"/>
          <w:szCs w:val="18"/>
        </w:rPr>
        <w:t>__________    </w:t>
      </w:r>
    </w:p>
    <w:p w:rsidR="00000000" w:rsidRDefault="0094004B">
      <w:pPr>
        <w:ind w:hanging="360"/>
        <w:jc w:val="both"/>
        <w:divId w:val="200020274"/>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Includes $707 million and $2.0 billion of asset-backed securities (“ABS”) as of December 31, 2022 and 2021, respectively. The remaining amount is primarily comprised of supranational bo</w:t>
      </w:r>
      <w:r>
        <w:rPr>
          <w:rFonts w:eastAsia="Times New Roman"/>
          <w:color w:val="000000"/>
          <w:sz w:val="16"/>
          <w:szCs w:val="16"/>
        </w:rPr>
        <w:t>nds and foreign government bonds.</w:t>
      </w:r>
    </w:p>
    <w:p w:rsidR="00000000" w:rsidRDefault="0094004B">
      <w:pPr>
        <w:divId w:val="991526500"/>
        <w:rPr>
          <w:rFonts w:eastAsia="Times New Roman"/>
        </w:rPr>
      </w:pPr>
      <w:r>
        <w:rPr>
          <w:rFonts w:eastAsia="Times New Roman"/>
          <w:b/>
          <w:bCs/>
          <w:color w:val="000000"/>
          <w:sz w:val="20"/>
          <w:szCs w:val="20"/>
        </w:rPr>
        <w:t>Investment Securities in a Gross Unrealized Loss Position</w:t>
      </w:r>
    </w:p>
    <w:p w:rsidR="00000000" w:rsidRDefault="0094004B">
      <w:pPr>
        <w:jc w:val="both"/>
        <w:divId w:val="1823618734"/>
        <w:rPr>
          <w:rFonts w:eastAsia="Times New Roman"/>
        </w:rPr>
      </w:pPr>
      <w:r>
        <w:rPr>
          <w:rFonts w:eastAsia="Times New Roman"/>
          <w:color w:val="000000"/>
          <w:sz w:val="20"/>
          <w:szCs w:val="20"/>
        </w:rPr>
        <w:t>The table below provides the gross unrealized losses and fair value of our securities available for sale aggregated by major security type and the length of time that individual securities have been in a continuous unrealized loss position as of December 3</w:t>
      </w:r>
      <w:r>
        <w:rPr>
          <w:rFonts w:eastAsia="Times New Roman"/>
          <w:color w:val="000000"/>
          <w:sz w:val="20"/>
          <w:szCs w:val="20"/>
        </w:rPr>
        <w:t xml:space="preserve">1, 2022 and 2021. The amounts include securities available for sale without an allowance for credit losses.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505123329"/>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505123329"/>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505123329"/>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138</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64" style="width:0;height:1.5pt" o:hralign="center" o:hrstd="t" o:hr="t" fillcolor="#a0a0a0" stroked="f"/>
        </w:pict>
      </w:r>
    </w:p>
    <w:p w:rsidR="00000000" w:rsidRDefault="0094004B">
      <w:pPr>
        <w:jc w:val="both"/>
        <w:divId w:val="1101343246"/>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1101343246"/>
        <w:rPr>
          <w:rFonts w:eastAsia="Times New Roman"/>
        </w:rPr>
      </w:pPr>
    </w:p>
    <w:p w:rsidR="00000000" w:rsidRDefault="0094004B">
      <w:pPr>
        <w:jc w:val="center"/>
        <w:divId w:val="1101343246"/>
        <w:rPr>
          <w:rFonts w:eastAsia="Times New Roman"/>
        </w:rPr>
      </w:pPr>
      <w:r>
        <w:rPr>
          <w:rFonts w:eastAsia="Times New Roman"/>
          <w:b/>
          <w:bCs/>
          <w:color w:val="000000"/>
          <w:sz w:val="20"/>
          <w:szCs w:val="20"/>
        </w:rPr>
        <w:t>CAPITAL ONE FINANCIAL CORPORATION</w:t>
      </w:r>
    </w:p>
    <w:p w:rsidR="00000000" w:rsidRDefault="0094004B">
      <w:pPr>
        <w:jc w:val="center"/>
        <w:divId w:val="1101343246"/>
        <w:rPr>
          <w:rFonts w:eastAsia="Times New Roman"/>
        </w:rPr>
      </w:pPr>
      <w:r>
        <w:rPr>
          <w:rFonts w:eastAsia="Times New Roman"/>
          <w:b/>
          <w:bCs/>
          <w:color w:val="000000"/>
          <w:sz w:val="20"/>
          <w:szCs w:val="20"/>
        </w:rPr>
        <w:t>NOTES TO CONSOLIDATED FINANCIAL STATEMENTS</w:t>
      </w:r>
    </w:p>
    <w:p w:rsidR="00000000" w:rsidRDefault="0094004B">
      <w:pPr>
        <w:divId w:val="1713767668"/>
        <w:rPr>
          <w:rFonts w:eastAsia="Times New Roman"/>
        </w:rPr>
      </w:pPr>
      <w:r>
        <w:rPr>
          <w:rFonts w:eastAsia="Times New Roman"/>
          <w:b/>
          <w:bCs/>
          <w:color w:val="000000"/>
          <w:sz w:val="18"/>
          <w:szCs w:val="18"/>
        </w:rPr>
        <w:t>Table 2.2: Securities in a Gross Unrealized Loss Position</w:t>
      </w:r>
    </w:p>
    <w:tbl>
      <w:tblPr>
        <w:tblW w:w="5000" w:type="pct"/>
        <w:tblCellMar>
          <w:top w:w="15" w:type="dxa"/>
          <w:left w:w="15" w:type="dxa"/>
          <w:bottom w:w="15" w:type="dxa"/>
          <w:right w:w="15" w:type="dxa"/>
        </w:tblCellMar>
        <w:tblLook w:val="04A0" w:firstRow="1" w:lastRow="0" w:firstColumn="1" w:lastColumn="0" w:noHBand="0" w:noVBand="1"/>
      </w:tblPr>
      <w:tblGrid>
        <w:gridCol w:w="38"/>
        <w:gridCol w:w="2615"/>
        <w:gridCol w:w="37"/>
        <w:gridCol w:w="36"/>
        <w:gridCol w:w="36"/>
        <w:gridCol w:w="36"/>
        <w:gridCol w:w="111"/>
        <w:gridCol w:w="676"/>
        <w:gridCol w:w="36"/>
        <w:gridCol w:w="36"/>
        <w:gridCol w:w="36"/>
        <w:gridCol w:w="36"/>
        <w:gridCol w:w="111"/>
        <w:gridCol w:w="686"/>
        <w:gridCol w:w="36"/>
        <w:gridCol w:w="36"/>
        <w:gridCol w:w="36"/>
        <w:gridCol w:w="36"/>
        <w:gridCol w:w="111"/>
        <w:gridCol w:w="676"/>
        <w:gridCol w:w="36"/>
        <w:gridCol w:w="36"/>
        <w:gridCol w:w="36"/>
        <w:gridCol w:w="36"/>
        <w:gridCol w:w="111"/>
        <w:gridCol w:w="686"/>
        <w:gridCol w:w="36"/>
        <w:gridCol w:w="36"/>
        <w:gridCol w:w="36"/>
        <w:gridCol w:w="36"/>
        <w:gridCol w:w="111"/>
        <w:gridCol w:w="676"/>
        <w:gridCol w:w="36"/>
        <w:gridCol w:w="36"/>
        <w:gridCol w:w="36"/>
        <w:gridCol w:w="36"/>
        <w:gridCol w:w="111"/>
        <w:gridCol w:w="686"/>
        <w:gridCol w:w="36"/>
      </w:tblGrid>
      <w:tr w:rsidR="00000000">
        <w:trPr>
          <w:divId w:val="1176652534"/>
        </w:trPr>
        <w:tc>
          <w:tcPr>
            <w:tcW w:w="50" w:type="pct"/>
            <w:vAlign w:val="center"/>
            <w:hideMark/>
          </w:tcPr>
          <w:p w:rsidR="00000000" w:rsidRDefault="0094004B">
            <w:pPr>
              <w:rPr>
                <w:rFonts w:eastAsia="Times New Roman"/>
              </w:rPr>
            </w:pPr>
          </w:p>
        </w:tc>
        <w:tc>
          <w:tcPr>
            <w:tcW w:w="213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7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7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7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7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7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7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176652534"/>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December 31, 2022</w:t>
            </w:r>
          </w:p>
        </w:tc>
      </w:tr>
      <w:tr w:rsidR="00000000">
        <w:trPr>
          <w:divId w:val="1176652534"/>
        </w:trPr>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Less than 12 Months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12 Months or Longer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Total</w:t>
            </w:r>
          </w:p>
        </w:tc>
      </w:tr>
      <w:tr w:rsidR="00000000">
        <w:trPr>
          <w:divId w:val="1176652534"/>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Gross</w:t>
            </w:r>
            <w:r>
              <w:rPr>
                <w:rFonts w:eastAsia="Times New Roman"/>
                <w:b/>
                <w:bCs/>
                <w:color w:val="000000"/>
                <w:sz w:val="16"/>
                <w:szCs w:val="16"/>
              </w:rPr>
              <w:br/>
              <w:t>Unrealized</w:t>
            </w:r>
            <w:r>
              <w:rPr>
                <w:rFonts w:eastAsia="Times New Roman"/>
                <w:b/>
                <w:bCs/>
                <w:color w:val="000000"/>
                <w:sz w:val="16"/>
                <w:szCs w:val="16"/>
              </w:rPr>
              <w:br/>
              <w:t>Losses</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Fair </w:t>
            </w:r>
            <w:r>
              <w:rPr>
                <w:rFonts w:eastAsia="Times New Roman"/>
                <w:b/>
                <w:bCs/>
                <w:color w:val="000000"/>
                <w:sz w:val="16"/>
                <w:szCs w:val="16"/>
              </w:rPr>
              <w:t>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Gross</w:t>
            </w:r>
            <w:r>
              <w:rPr>
                <w:rFonts w:eastAsia="Times New Roman"/>
                <w:b/>
                <w:bCs/>
                <w:color w:val="000000"/>
                <w:sz w:val="16"/>
                <w:szCs w:val="16"/>
              </w:rPr>
              <w:br/>
              <w:t>Unrealized</w:t>
            </w:r>
            <w:r>
              <w:rPr>
                <w:rFonts w:eastAsia="Times New Roman"/>
                <w:b/>
                <w:bCs/>
                <w:color w:val="000000"/>
                <w:sz w:val="16"/>
                <w:szCs w:val="16"/>
              </w:rPr>
              <w:br/>
              <w:t>Losses</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Gross</w:t>
            </w:r>
            <w:r>
              <w:rPr>
                <w:rFonts w:eastAsia="Times New Roman"/>
                <w:b/>
                <w:bCs/>
                <w:color w:val="000000"/>
                <w:sz w:val="16"/>
                <w:szCs w:val="16"/>
              </w:rPr>
              <w:br/>
              <w:t>Unrealized</w:t>
            </w:r>
            <w:r>
              <w:rPr>
                <w:rFonts w:eastAsia="Times New Roman"/>
                <w:b/>
                <w:bCs/>
                <w:color w:val="000000"/>
                <w:sz w:val="16"/>
                <w:szCs w:val="16"/>
              </w:rPr>
              <w:br/>
              <w:t>Losses</w:t>
            </w:r>
          </w:p>
        </w:tc>
      </w:tr>
      <w:tr w:rsidR="00000000">
        <w:trPr>
          <w:divId w:val="117665253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Investment securities available for sale without an allowance for credit losses: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176652534"/>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U.S. Treasury securities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2,464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(57)</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448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(33)</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2,912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(90)</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176652534"/>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RMBS: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176652534"/>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Agency</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23,271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(1,809)</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36,803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(7,604)</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60,074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(9,413)</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176652534"/>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Non-agency</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176652534"/>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 RMBS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23,285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(1,810)</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36,806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(7,604)</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60,091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(9,414)</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176652534"/>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Agency CMBS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4,325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(267)</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3,214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(493)</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7,539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(760)</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176652534"/>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Other securities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555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(7)</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76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631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(10)</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176652534"/>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divId w:val="2095273665"/>
              <w:rPr>
                <w:rFonts w:eastAsia="Times New Roman"/>
              </w:rPr>
            </w:pPr>
            <w:r>
              <w:rPr>
                <w:rFonts w:eastAsia="Times New Roman"/>
                <w:color w:val="000000"/>
                <w:sz w:val="18"/>
                <w:szCs w:val="18"/>
              </w:rPr>
              <w:t>Total investment securities available for sale in a gross unrealized loss position without an allowance for credit losse</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30,629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(2,141)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40,544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(8,133)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71,173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(10,274)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bl>
    <w:p w:rsidR="00000000" w:rsidRDefault="0094004B">
      <w:pPr>
        <w:divId w:val="117665253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2615"/>
        <w:gridCol w:w="37"/>
        <w:gridCol w:w="36"/>
        <w:gridCol w:w="36"/>
        <w:gridCol w:w="36"/>
        <w:gridCol w:w="111"/>
        <w:gridCol w:w="676"/>
        <w:gridCol w:w="36"/>
        <w:gridCol w:w="36"/>
        <w:gridCol w:w="36"/>
        <w:gridCol w:w="36"/>
        <w:gridCol w:w="111"/>
        <w:gridCol w:w="686"/>
        <w:gridCol w:w="36"/>
        <w:gridCol w:w="36"/>
        <w:gridCol w:w="36"/>
        <w:gridCol w:w="36"/>
        <w:gridCol w:w="111"/>
        <w:gridCol w:w="676"/>
        <w:gridCol w:w="36"/>
        <w:gridCol w:w="36"/>
        <w:gridCol w:w="36"/>
        <w:gridCol w:w="36"/>
        <w:gridCol w:w="111"/>
        <w:gridCol w:w="686"/>
        <w:gridCol w:w="36"/>
        <w:gridCol w:w="36"/>
        <w:gridCol w:w="36"/>
        <w:gridCol w:w="36"/>
        <w:gridCol w:w="111"/>
        <w:gridCol w:w="676"/>
        <w:gridCol w:w="36"/>
        <w:gridCol w:w="36"/>
        <w:gridCol w:w="36"/>
        <w:gridCol w:w="36"/>
        <w:gridCol w:w="111"/>
        <w:gridCol w:w="686"/>
        <w:gridCol w:w="36"/>
      </w:tblGrid>
      <w:tr w:rsidR="00000000">
        <w:trPr>
          <w:divId w:val="1176652534"/>
        </w:trPr>
        <w:tc>
          <w:tcPr>
            <w:tcW w:w="50" w:type="pct"/>
            <w:vAlign w:val="center"/>
            <w:hideMark/>
          </w:tcPr>
          <w:p w:rsidR="00000000" w:rsidRDefault="0094004B">
            <w:pPr>
              <w:rPr>
                <w:rFonts w:eastAsia="Times New Roman"/>
              </w:rPr>
            </w:pPr>
          </w:p>
        </w:tc>
        <w:tc>
          <w:tcPr>
            <w:tcW w:w="213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7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7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7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7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7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7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176652534"/>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December 31, 2021</w:t>
            </w:r>
          </w:p>
        </w:tc>
      </w:tr>
      <w:tr w:rsidR="00000000">
        <w:trPr>
          <w:divId w:val="1176652534"/>
        </w:trPr>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Less than 12 Months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12 Months or Longer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Total</w:t>
            </w:r>
          </w:p>
        </w:tc>
      </w:tr>
      <w:tr w:rsidR="00000000">
        <w:trPr>
          <w:divId w:val="1176652534"/>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Gross</w:t>
            </w:r>
            <w:r>
              <w:rPr>
                <w:rFonts w:eastAsia="Times New Roman"/>
                <w:b/>
                <w:bCs/>
                <w:color w:val="000000"/>
                <w:sz w:val="16"/>
                <w:szCs w:val="16"/>
              </w:rPr>
              <w:br/>
              <w:t>Unrealized</w:t>
            </w:r>
            <w:r>
              <w:rPr>
                <w:rFonts w:eastAsia="Times New Roman"/>
                <w:b/>
                <w:bCs/>
                <w:color w:val="000000"/>
                <w:sz w:val="16"/>
                <w:szCs w:val="16"/>
              </w:rPr>
              <w:br/>
              <w:t>Losses</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Gross</w:t>
            </w:r>
            <w:r>
              <w:rPr>
                <w:rFonts w:eastAsia="Times New Roman"/>
                <w:b/>
                <w:bCs/>
                <w:color w:val="000000"/>
                <w:sz w:val="16"/>
                <w:szCs w:val="16"/>
              </w:rPr>
              <w:br/>
            </w:r>
            <w:r>
              <w:rPr>
                <w:rFonts w:eastAsia="Times New Roman"/>
                <w:b/>
                <w:bCs/>
                <w:color w:val="000000"/>
                <w:sz w:val="16"/>
                <w:szCs w:val="16"/>
              </w:rPr>
              <w:t>Unrealized</w:t>
            </w:r>
            <w:r>
              <w:rPr>
                <w:rFonts w:eastAsia="Times New Roman"/>
                <w:b/>
                <w:bCs/>
                <w:color w:val="000000"/>
                <w:sz w:val="16"/>
                <w:szCs w:val="16"/>
              </w:rPr>
              <w:br/>
              <w:t>Losses</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Gross</w:t>
            </w:r>
            <w:r>
              <w:rPr>
                <w:rFonts w:eastAsia="Times New Roman"/>
                <w:b/>
                <w:bCs/>
                <w:color w:val="000000"/>
                <w:sz w:val="16"/>
                <w:szCs w:val="16"/>
              </w:rPr>
              <w:br/>
              <w:t>Unrealized</w:t>
            </w:r>
            <w:r>
              <w:rPr>
                <w:rFonts w:eastAsia="Times New Roman"/>
                <w:b/>
                <w:bCs/>
                <w:color w:val="000000"/>
                <w:sz w:val="16"/>
                <w:szCs w:val="16"/>
              </w:rPr>
              <w:br/>
              <w:t>Losses</w:t>
            </w:r>
          </w:p>
        </w:tc>
      </w:tr>
      <w:tr w:rsidR="00000000">
        <w:trPr>
          <w:divId w:val="117665253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Investment securities available for sale without an allowance for credit losses: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176652534"/>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176652534"/>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RMBS: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176652534"/>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Agency</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37,492 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(632)</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8,606 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(299)</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46,098 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(931)</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176652534"/>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Non-agency</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176652534"/>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 RMBS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37,495 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(632)</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8,607 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(299)</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46,102 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(931)</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176652534"/>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Agency CMBS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2,999 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(36)</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803 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(27)</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3,802 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(63)</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176652534"/>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Other securities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1,207 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1,207 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176652534"/>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divId w:val="1241406622"/>
              <w:rPr>
                <w:rFonts w:eastAsia="Times New Roman"/>
              </w:rPr>
            </w:pPr>
            <w:r>
              <w:rPr>
                <w:rFonts w:eastAsia="Times New Roman"/>
                <w:color w:val="000000"/>
                <w:sz w:val="18"/>
                <w:szCs w:val="18"/>
              </w:rPr>
              <w:t>Total investment securities available for sale in a gross unrealized loss position without an allowance for credit losse</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41,701 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(670)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9,410 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(326)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51,111 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(996)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bl>
    <w:p w:rsidR="00000000" w:rsidRDefault="0094004B">
      <w:pPr>
        <w:divId w:val="1371764258"/>
        <w:rPr>
          <w:rFonts w:eastAsia="Times New Roman"/>
        </w:rPr>
      </w:pPr>
      <w:r>
        <w:rPr>
          <w:rFonts w:eastAsia="Times New Roman"/>
          <w:color w:val="000000"/>
          <w:sz w:val="20"/>
          <w:szCs w:val="20"/>
        </w:rPr>
        <w:t>__________</w:t>
      </w:r>
    </w:p>
    <w:p w:rsidR="00000000" w:rsidRDefault="0094004B">
      <w:pPr>
        <w:ind w:hanging="360"/>
        <w:jc w:val="both"/>
        <w:divId w:val="869876617"/>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Consists of approxima</w:t>
      </w:r>
      <w:r>
        <w:rPr>
          <w:rFonts w:eastAsia="Times New Roman"/>
          <w:color w:val="000000"/>
          <w:sz w:val="16"/>
          <w:szCs w:val="16"/>
          <w:shd w:val="clear" w:color="auto" w:fill="FFFFFF"/>
        </w:rPr>
        <w:t>tely</w:t>
      </w:r>
      <w:r>
        <w:rPr>
          <w:rFonts w:eastAsia="Times New Roman"/>
          <w:color w:val="000000"/>
          <w:sz w:val="16"/>
          <w:szCs w:val="16"/>
        </w:rPr>
        <w:t xml:space="preserve"> 2,840 and 740 se</w:t>
      </w:r>
      <w:r>
        <w:rPr>
          <w:rFonts w:eastAsia="Times New Roman"/>
          <w:color w:val="000000"/>
          <w:sz w:val="16"/>
          <w:szCs w:val="16"/>
          <w:shd w:val="clear" w:color="auto" w:fill="FFFFFF"/>
        </w:rPr>
        <w:t>cur</w:t>
      </w:r>
      <w:r>
        <w:rPr>
          <w:rFonts w:eastAsia="Times New Roman"/>
          <w:color w:val="000000"/>
          <w:sz w:val="16"/>
          <w:szCs w:val="16"/>
        </w:rPr>
        <w:t>ities in gross unrealized loss positions as of December 31, 2022 and 2021, respectively.</w:t>
      </w:r>
    </w:p>
    <w:p w:rsidR="00000000" w:rsidRDefault="0094004B">
      <w:pPr>
        <w:divId w:val="2122650001"/>
        <w:rPr>
          <w:rFonts w:eastAsia="Times New Roman"/>
        </w:rPr>
      </w:pPr>
      <w:r>
        <w:rPr>
          <w:rFonts w:eastAsia="Times New Roman"/>
          <w:b/>
          <w:bCs/>
          <w:color w:val="000000"/>
          <w:sz w:val="20"/>
          <w:szCs w:val="20"/>
        </w:rPr>
        <w:t>Maturities and Yields of Investment Securities</w:t>
      </w:r>
    </w:p>
    <w:p w:rsidR="00000000" w:rsidRDefault="0094004B">
      <w:pPr>
        <w:jc w:val="both"/>
        <w:divId w:val="1798795452"/>
        <w:rPr>
          <w:rFonts w:eastAsia="Times New Roman"/>
        </w:rPr>
      </w:pPr>
      <w:r>
        <w:rPr>
          <w:rFonts w:eastAsia="Times New Roman"/>
          <w:color w:val="000000"/>
          <w:sz w:val="20"/>
          <w:szCs w:val="20"/>
        </w:rPr>
        <w:t xml:space="preserve">The table below summarizes, as of December 31, 2022, the fair value of our investment securities by major security type </w:t>
      </w:r>
      <w:r>
        <w:rPr>
          <w:rFonts w:eastAsia="Times New Roman"/>
          <w:color w:val="000000"/>
          <w:sz w:val="20"/>
          <w:szCs w:val="20"/>
        </w:rPr>
        <w:t>and contractual maturity as well as the total fair value, amortized cost and weighted-average yields of our investment securities by contractual maturity. Because borrowers may have the right to call or prepay certain obligations, the expected maturities o</w:t>
      </w:r>
      <w:r>
        <w:rPr>
          <w:rFonts w:eastAsia="Times New Roman"/>
          <w:color w:val="000000"/>
          <w:sz w:val="20"/>
          <w:szCs w:val="20"/>
        </w:rPr>
        <w:t>f our securities are likely to differ from the scheduled contractual maturities presented below. The weighted-average yield below represents the effective yield for the investment securities and is calculated based on the amortized cost of each security.</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457720233"/>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457720233"/>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457720233"/>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139</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65" style="width:0;height:1.5pt" o:hralign="center" o:hrstd="t" o:hr="t" fillcolor="#a0a0a0" stroked="f"/>
        </w:pict>
      </w:r>
    </w:p>
    <w:p w:rsidR="00000000" w:rsidRDefault="0094004B">
      <w:pPr>
        <w:jc w:val="both"/>
        <w:divId w:val="1499661156"/>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1499661156"/>
        <w:rPr>
          <w:rFonts w:eastAsia="Times New Roman"/>
        </w:rPr>
      </w:pPr>
    </w:p>
    <w:p w:rsidR="00000000" w:rsidRDefault="0094004B">
      <w:pPr>
        <w:jc w:val="center"/>
        <w:divId w:val="1499661156"/>
        <w:rPr>
          <w:rFonts w:eastAsia="Times New Roman"/>
        </w:rPr>
      </w:pPr>
      <w:r>
        <w:rPr>
          <w:rFonts w:eastAsia="Times New Roman"/>
          <w:b/>
          <w:bCs/>
          <w:color w:val="000000"/>
          <w:sz w:val="20"/>
          <w:szCs w:val="20"/>
        </w:rPr>
        <w:t>CAPITAL ONE FINANCIAL CORPORATION</w:t>
      </w:r>
    </w:p>
    <w:p w:rsidR="00000000" w:rsidRDefault="0094004B">
      <w:pPr>
        <w:jc w:val="center"/>
        <w:divId w:val="1499661156"/>
        <w:rPr>
          <w:rFonts w:eastAsia="Times New Roman"/>
        </w:rPr>
      </w:pPr>
      <w:r>
        <w:rPr>
          <w:rFonts w:eastAsia="Times New Roman"/>
          <w:b/>
          <w:bCs/>
          <w:color w:val="000000"/>
          <w:sz w:val="20"/>
          <w:szCs w:val="20"/>
        </w:rPr>
        <w:t>NOTES TO CONSOLIDATED FINANCIAL STATEMENTS</w:t>
      </w:r>
    </w:p>
    <w:p w:rsidR="00000000" w:rsidRDefault="0094004B">
      <w:pPr>
        <w:divId w:val="530535887"/>
        <w:rPr>
          <w:rFonts w:eastAsia="Times New Roman"/>
        </w:rPr>
      </w:pPr>
      <w:r>
        <w:rPr>
          <w:rFonts w:eastAsia="Times New Roman"/>
          <w:b/>
          <w:bCs/>
          <w:color w:val="000000"/>
          <w:sz w:val="18"/>
          <w:szCs w:val="18"/>
        </w:rPr>
        <w:t>Table 2.3: Contractual Maturities and Weighted-Average Yields of Securities</w:t>
      </w:r>
    </w:p>
    <w:tbl>
      <w:tblPr>
        <w:tblW w:w="4985" w:type="pct"/>
        <w:tblCellMar>
          <w:top w:w="15" w:type="dxa"/>
          <w:left w:w="15" w:type="dxa"/>
          <w:bottom w:w="15" w:type="dxa"/>
          <w:right w:w="15" w:type="dxa"/>
        </w:tblCellMar>
        <w:tblLook w:val="04A0" w:firstRow="1" w:lastRow="0" w:firstColumn="1" w:lastColumn="0" w:noHBand="0" w:noVBand="1"/>
      </w:tblPr>
      <w:tblGrid>
        <w:gridCol w:w="39"/>
        <w:gridCol w:w="3435"/>
        <w:gridCol w:w="38"/>
        <w:gridCol w:w="36"/>
        <w:gridCol w:w="36"/>
        <w:gridCol w:w="36"/>
        <w:gridCol w:w="113"/>
        <w:gridCol w:w="662"/>
        <w:gridCol w:w="38"/>
        <w:gridCol w:w="36"/>
        <w:gridCol w:w="36"/>
        <w:gridCol w:w="36"/>
        <w:gridCol w:w="111"/>
        <w:gridCol w:w="662"/>
        <w:gridCol w:w="37"/>
        <w:gridCol w:w="36"/>
        <w:gridCol w:w="36"/>
        <w:gridCol w:w="36"/>
        <w:gridCol w:w="112"/>
        <w:gridCol w:w="663"/>
        <w:gridCol w:w="38"/>
        <w:gridCol w:w="36"/>
        <w:gridCol w:w="36"/>
        <w:gridCol w:w="36"/>
        <w:gridCol w:w="112"/>
        <w:gridCol w:w="748"/>
        <w:gridCol w:w="38"/>
        <w:gridCol w:w="36"/>
        <w:gridCol w:w="36"/>
        <w:gridCol w:w="36"/>
        <w:gridCol w:w="111"/>
        <w:gridCol w:w="748"/>
        <w:gridCol w:w="36"/>
      </w:tblGrid>
      <w:tr w:rsidR="00000000">
        <w:trPr>
          <w:divId w:val="2043478152"/>
        </w:trPr>
        <w:tc>
          <w:tcPr>
            <w:tcW w:w="50" w:type="pct"/>
            <w:vAlign w:val="center"/>
            <w:hideMark/>
          </w:tcPr>
          <w:p w:rsidR="00000000" w:rsidRDefault="0094004B">
            <w:pPr>
              <w:rPr>
                <w:rFonts w:eastAsia="Times New Roman"/>
              </w:rPr>
            </w:pPr>
          </w:p>
        </w:tc>
        <w:tc>
          <w:tcPr>
            <w:tcW w:w="212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7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7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7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7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7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2043478152"/>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December 31, 2022</w:t>
            </w:r>
          </w:p>
        </w:tc>
      </w:tr>
      <w:tr w:rsidR="00000000">
        <w:trPr>
          <w:divId w:val="2043478152"/>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 xml:space="preserve">Due in </w:t>
            </w:r>
            <w:r>
              <w:rPr>
                <w:rFonts w:eastAsia="Times New Roman"/>
                <w:b/>
                <w:bCs/>
                <w:color w:val="000000"/>
                <w:sz w:val="16"/>
                <w:szCs w:val="16"/>
              </w:rPr>
              <w:br/>
              <w:t>1 Year or Less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Due &gt; 1 Year</w:t>
            </w:r>
            <w:r>
              <w:rPr>
                <w:rFonts w:eastAsia="Times New Roman"/>
                <w:b/>
                <w:bCs/>
                <w:color w:val="000000"/>
                <w:sz w:val="16"/>
                <w:szCs w:val="16"/>
              </w:rPr>
              <w:br/>
              <w:t>through</w:t>
            </w:r>
            <w:r>
              <w:rPr>
                <w:rFonts w:eastAsia="Times New Roman"/>
                <w:b/>
                <w:bCs/>
                <w:color w:val="000000"/>
                <w:sz w:val="16"/>
                <w:szCs w:val="16"/>
              </w:rPr>
              <w:br/>
              <w:t>5 Years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Due &gt;</w:t>
            </w:r>
            <w:r>
              <w:rPr>
                <w:rFonts w:eastAsia="Times New Roman"/>
                <w:b/>
                <w:bCs/>
                <w:color w:val="000000"/>
                <w:sz w:val="16"/>
                <w:szCs w:val="16"/>
              </w:rPr>
              <w:t xml:space="preserve"> 5 Years</w:t>
            </w:r>
            <w:r>
              <w:rPr>
                <w:rFonts w:eastAsia="Times New Roman"/>
                <w:b/>
                <w:bCs/>
                <w:color w:val="000000"/>
                <w:sz w:val="16"/>
                <w:szCs w:val="16"/>
              </w:rPr>
              <w:br/>
              <w:t>through</w:t>
            </w:r>
            <w:r>
              <w:rPr>
                <w:rFonts w:eastAsia="Times New Roman"/>
                <w:b/>
                <w:bCs/>
                <w:color w:val="000000"/>
                <w:sz w:val="16"/>
                <w:szCs w:val="16"/>
              </w:rPr>
              <w:br/>
              <w:t>10 Years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Due &gt; 10 Years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Total</w:t>
            </w:r>
          </w:p>
        </w:tc>
      </w:tr>
      <w:tr w:rsidR="00000000">
        <w:trPr>
          <w:divId w:val="2043478152"/>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Fair value of 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2043478152"/>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U.S. Treasury securities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2"/>
            <w:shd w:val="clear" w:color="auto" w:fill="FFFFFF"/>
            <w:tcMar>
              <w:top w:w="30" w:type="dxa"/>
              <w:left w:w="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2"/>
            <w:shd w:val="clear" w:color="auto" w:fill="FFFFFF"/>
            <w:tcMar>
              <w:top w:w="30" w:type="dxa"/>
              <w:left w:w="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5,041</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2"/>
            <w:shd w:val="clear" w:color="auto" w:fill="FFFFFF"/>
            <w:tcMar>
              <w:top w:w="30" w:type="dxa"/>
              <w:left w:w="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2"/>
            <w:shd w:val="clear" w:color="auto" w:fill="FFFFFF"/>
            <w:tcMar>
              <w:top w:w="30" w:type="dxa"/>
              <w:left w:w="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2"/>
            <w:shd w:val="clear" w:color="auto" w:fill="FFFFFF"/>
            <w:tcMar>
              <w:top w:w="30" w:type="dxa"/>
              <w:left w:w="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5,041</w:t>
            </w:r>
          </w:p>
        </w:tc>
      </w:tr>
      <w:tr w:rsidR="00000000">
        <w:trPr>
          <w:divId w:val="2043478152"/>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divId w:val="2122458795"/>
              <w:rPr>
                <w:rFonts w:eastAsia="Times New Roman"/>
              </w:rPr>
            </w:pPr>
            <w:r>
              <w:rPr>
                <w:rFonts w:eastAsia="Times New Roman"/>
                <w:color w:val="000000"/>
                <w:sz w:val="18"/>
                <w:szCs w:val="18"/>
              </w:rPr>
              <w:t>RMB</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2043478152"/>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Agency</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103</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1,151</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60,598</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61,852</w:t>
            </w:r>
          </w:p>
        </w:tc>
      </w:tr>
      <w:tr w:rsidR="00000000">
        <w:trPr>
          <w:divId w:val="2043478152"/>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Non-agency</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737</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737</w:t>
            </w:r>
          </w:p>
        </w:tc>
      </w:tr>
      <w:tr w:rsidR="00000000">
        <w:trPr>
          <w:divId w:val="2043478152"/>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 RMBS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103</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1,151</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61,335</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62,589</w:t>
            </w:r>
          </w:p>
        </w:tc>
      </w:tr>
      <w:tr w:rsidR="00000000">
        <w:trPr>
          <w:divId w:val="2043478152"/>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divId w:val="18548868"/>
              <w:rPr>
                <w:rFonts w:eastAsia="Times New Roman"/>
              </w:rPr>
            </w:pPr>
            <w:r>
              <w:rPr>
                <w:rFonts w:eastAsia="Times New Roman"/>
                <w:color w:val="000000"/>
                <w:sz w:val="18"/>
                <w:szCs w:val="18"/>
              </w:rPr>
              <w:t>Agency CMB</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296</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2,125</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3,583</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1,866</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7,870</w:t>
            </w:r>
          </w:p>
        </w:tc>
      </w:tr>
      <w:tr w:rsidR="00000000">
        <w:trPr>
          <w:divId w:val="2043478152"/>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Other securities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424</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965</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30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1,419</w:t>
            </w:r>
          </w:p>
        </w:tc>
      </w:tr>
      <w:tr w:rsidR="00000000">
        <w:trPr>
          <w:divId w:val="2043478152"/>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 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2"/>
            <w:tcBorders>
              <w:top w:val="single" w:sz="8" w:space="0" w:color="000000"/>
            </w:tcBorders>
            <w:shd w:val="clear" w:color="auto" w:fill="CCEEFF"/>
            <w:tcMar>
              <w:top w:w="30" w:type="dxa"/>
              <w:left w:w="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720</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2"/>
            <w:tcBorders>
              <w:top w:val="single" w:sz="8" w:space="0" w:color="000000"/>
            </w:tcBorders>
            <w:shd w:val="clear" w:color="auto" w:fill="CCEEFF"/>
            <w:tcMar>
              <w:top w:w="30" w:type="dxa"/>
              <w:left w:w="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8,234</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2"/>
            <w:tcBorders>
              <w:top w:val="single" w:sz="8" w:space="0" w:color="000000"/>
            </w:tcBorders>
            <w:shd w:val="clear" w:color="auto" w:fill="CCEEFF"/>
            <w:tcMar>
              <w:top w:w="30" w:type="dxa"/>
              <w:left w:w="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4,764</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2"/>
            <w:tcBorders>
              <w:top w:val="single" w:sz="8" w:space="0" w:color="000000"/>
            </w:tcBorders>
            <w:shd w:val="clear" w:color="auto" w:fill="CCEEFF"/>
            <w:tcMar>
              <w:top w:w="30" w:type="dxa"/>
              <w:left w:w="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63,201</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2"/>
            <w:tcBorders>
              <w:top w:val="single" w:sz="8" w:space="0" w:color="000000"/>
            </w:tcBorders>
            <w:shd w:val="clear" w:color="auto" w:fill="CCEEFF"/>
            <w:tcMar>
              <w:top w:w="30" w:type="dxa"/>
              <w:left w:w="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76,919</w:t>
            </w:r>
          </w:p>
        </w:tc>
      </w:tr>
      <w:tr w:rsidR="00000000">
        <w:trPr>
          <w:divId w:val="2043478152"/>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Amortized cost of securities available for sale</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2"/>
            <w:tcBorders>
              <w:top w:val="double" w:sz="6" w:space="0" w:color="000000"/>
            </w:tcBorders>
            <w:shd w:val="clear" w:color="auto" w:fill="FFFFFF"/>
            <w:tcMar>
              <w:top w:w="30" w:type="dxa"/>
              <w:left w:w="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726</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2"/>
            <w:tcBorders>
              <w:top w:val="double" w:sz="6" w:space="0" w:color="000000"/>
            </w:tcBorders>
            <w:shd w:val="clear" w:color="auto" w:fill="FFFFFF"/>
            <w:tcMar>
              <w:top w:w="30" w:type="dxa"/>
              <w:left w:w="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8,492</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2"/>
            <w:tcBorders>
              <w:top w:val="double" w:sz="6" w:space="0" w:color="000000"/>
            </w:tcBorders>
            <w:shd w:val="clear" w:color="auto" w:fill="FFFFFF"/>
            <w:tcMar>
              <w:top w:w="30" w:type="dxa"/>
              <w:left w:w="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5,281</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2"/>
            <w:tcBorders>
              <w:top w:val="double" w:sz="6" w:space="0" w:color="000000"/>
            </w:tcBorders>
            <w:shd w:val="clear" w:color="auto" w:fill="FFFFFF"/>
            <w:tcMar>
              <w:top w:w="30" w:type="dxa"/>
              <w:left w:w="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72,548</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2"/>
            <w:tcBorders>
              <w:top w:val="double" w:sz="6" w:space="0" w:color="000000"/>
            </w:tcBorders>
            <w:shd w:val="clear" w:color="auto" w:fill="FFFFFF"/>
            <w:tcMar>
              <w:top w:w="30" w:type="dxa"/>
              <w:left w:w="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87,047</w:t>
            </w:r>
          </w:p>
        </w:tc>
      </w:tr>
      <w:tr w:rsidR="00000000">
        <w:trPr>
          <w:divId w:val="2043478152"/>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Weighted-average yield for 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b/>
                <w:bCs/>
                <w:color w:val="000000"/>
                <w:sz w:val="18"/>
                <w:szCs w:val="18"/>
              </w:rPr>
              <w:t>3.54%</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b/>
                <w:bCs/>
                <w:color w:val="000000"/>
                <w:sz w:val="18"/>
                <w:szCs w:val="18"/>
              </w:rPr>
              <w:t>2.12%</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b/>
                <w:bCs/>
                <w:color w:val="000000"/>
                <w:sz w:val="18"/>
                <w:szCs w:val="18"/>
              </w:rPr>
              <w:t>2.54%</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b/>
                <w:bCs/>
                <w:color w:val="000000"/>
                <w:sz w:val="18"/>
                <w:szCs w:val="18"/>
              </w:rPr>
              <w:t>2.35%</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b/>
                <w:bCs/>
                <w:color w:val="000000"/>
                <w:sz w:val="18"/>
                <w:szCs w:val="18"/>
              </w:rPr>
              <w:t>2.34%</w:t>
            </w:r>
          </w:p>
        </w:tc>
      </w:tr>
      <w:tr w:rsidR="00000000">
        <w:trPr>
          <w:divId w:val="2043478152"/>
        </w:trPr>
        <w:tc>
          <w:tcPr>
            <w:tcW w:w="0" w:type="auto"/>
            <w:gridSpan w:val="3"/>
            <w:vAlign w:val="center"/>
            <w:hideMark/>
          </w:tcPr>
          <w:p w:rsidR="00000000" w:rsidRDefault="0094004B">
            <w:pPr>
              <w:spacing w:after="100"/>
              <w:jc w:val="right"/>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2043478152"/>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2043478152"/>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2043478152"/>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2043478152"/>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2043478152"/>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2043478152"/>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bl>
    <w:p w:rsidR="00000000" w:rsidRDefault="0094004B">
      <w:pPr>
        <w:divId w:val="1895584759"/>
        <w:rPr>
          <w:rFonts w:eastAsia="Times New Roman"/>
        </w:rPr>
      </w:pPr>
      <w:r>
        <w:rPr>
          <w:rFonts w:eastAsia="Times New Roman"/>
          <w:color w:val="000000"/>
          <w:sz w:val="20"/>
          <w:szCs w:val="20"/>
        </w:rPr>
        <w:t>__________</w:t>
      </w:r>
    </w:p>
    <w:p w:rsidR="00000000" w:rsidRDefault="0094004B">
      <w:pPr>
        <w:ind w:hanging="360"/>
        <w:jc w:val="both"/>
        <w:divId w:val="1325280562"/>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As of December 31, 2022, the weighted-average expected maturities of RMBS and Agency CMBS were 7.1 years and 5.0 years, respectively.</w:t>
      </w:r>
    </w:p>
    <w:p w:rsidR="00000000" w:rsidRDefault="0094004B">
      <w:pPr>
        <w:divId w:val="1750226005"/>
        <w:rPr>
          <w:rFonts w:eastAsia="Times New Roman"/>
        </w:rPr>
      </w:pPr>
      <w:r>
        <w:rPr>
          <w:rFonts w:eastAsia="Times New Roman"/>
          <w:b/>
          <w:bCs/>
          <w:color w:val="000000"/>
          <w:sz w:val="18"/>
          <w:szCs w:val="18"/>
        </w:rPr>
        <w:t xml:space="preserve">Table 2.4 </w:t>
      </w:r>
      <w:r>
        <w:rPr>
          <w:rFonts w:eastAsia="Times New Roman"/>
          <w:b/>
          <w:bCs/>
          <w:color w:val="000000"/>
          <w:sz w:val="20"/>
          <w:szCs w:val="20"/>
        </w:rPr>
        <w:t>Net Securities Gains or Losses and Proceeds from Sales</w:t>
      </w:r>
    </w:p>
    <w:p w:rsidR="00000000" w:rsidRDefault="0094004B">
      <w:pPr>
        <w:divId w:val="1884751071"/>
        <w:rPr>
          <w:rFonts w:eastAsia="Times New Roman"/>
        </w:rPr>
      </w:pPr>
      <w:r>
        <w:rPr>
          <w:rFonts w:eastAsia="Times New Roman"/>
          <w:color w:val="000000"/>
          <w:sz w:val="20"/>
          <w:szCs w:val="20"/>
        </w:rPr>
        <w:t>The following table presents the gross realized gains or losses and proceeds from the sale of securities available for sale for the years ended December 31, 2022, 2021 and 2020.</w:t>
      </w:r>
    </w:p>
    <w:tbl>
      <w:tblPr>
        <w:tblW w:w="5000" w:type="pct"/>
        <w:tblCellMar>
          <w:top w:w="15" w:type="dxa"/>
          <w:left w:w="15" w:type="dxa"/>
          <w:bottom w:w="15" w:type="dxa"/>
          <w:right w:w="15" w:type="dxa"/>
        </w:tblCellMar>
        <w:tblLook w:val="04A0" w:firstRow="1" w:lastRow="0" w:firstColumn="1" w:lastColumn="0" w:noHBand="0" w:noVBand="1"/>
      </w:tblPr>
      <w:tblGrid>
        <w:gridCol w:w="39"/>
        <w:gridCol w:w="5366"/>
        <w:gridCol w:w="38"/>
        <w:gridCol w:w="36"/>
        <w:gridCol w:w="36"/>
        <w:gridCol w:w="36"/>
        <w:gridCol w:w="110"/>
        <w:gridCol w:w="699"/>
        <w:gridCol w:w="36"/>
        <w:gridCol w:w="36"/>
        <w:gridCol w:w="36"/>
        <w:gridCol w:w="36"/>
        <w:gridCol w:w="110"/>
        <w:gridCol w:w="701"/>
        <w:gridCol w:w="36"/>
        <w:gridCol w:w="36"/>
        <w:gridCol w:w="36"/>
        <w:gridCol w:w="36"/>
        <w:gridCol w:w="110"/>
        <w:gridCol w:w="701"/>
        <w:gridCol w:w="36"/>
      </w:tblGrid>
      <w:tr w:rsidR="00000000">
        <w:trPr>
          <w:divId w:val="714740299"/>
        </w:trPr>
        <w:tc>
          <w:tcPr>
            <w:tcW w:w="50" w:type="pct"/>
            <w:vAlign w:val="center"/>
            <w:hideMark/>
          </w:tcPr>
          <w:p w:rsidR="00000000" w:rsidRDefault="0094004B">
            <w:pPr>
              <w:rPr>
                <w:rFonts w:eastAsia="Times New Roman"/>
              </w:rPr>
            </w:pPr>
          </w:p>
        </w:tc>
        <w:tc>
          <w:tcPr>
            <w:tcW w:w="325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71"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71"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71"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714740299"/>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Year Ended December 31,</w:t>
            </w:r>
          </w:p>
        </w:tc>
      </w:tr>
      <w:tr w:rsidR="00000000">
        <w:trPr>
          <w:divId w:val="714740299"/>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2020</w:t>
            </w:r>
          </w:p>
        </w:tc>
      </w:tr>
      <w:tr w:rsidR="00000000">
        <w:trPr>
          <w:divId w:val="714740299"/>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Realized gains (losses):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714740299"/>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Gross realized gains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25 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714740299"/>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Gross realized losses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(10)</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(8)</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714740299"/>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Net realized gains (losses)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(9)</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714740299"/>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Total proceeds from sales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2,570</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2,776 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812 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bl>
    <w:p w:rsidR="00000000" w:rsidRDefault="0094004B">
      <w:pPr>
        <w:divId w:val="1159731923"/>
        <w:rPr>
          <w:rFonts w:eastAsia="Times New Roman"/>
        </w:rPr>
      </w:pPr>
      <w:r>
        <w:rPr>
          <w:rFonts w:eastAsia="Times New Roman"/>
          <w:b/>
          <w:bCs/>
          <w:color w:val="000000"/>
          <w:sz w:val="20"/>
          <w:szCs w:val="20"/>
        </w:rPr>
        <w:t>Securities Pledged and Received</w:t>
      </w:r>
    </w:p>
    <w:p w:rsidR="00000000" w:rsidRDefault="0094004B">
      <w:pPr>
        <w:jc w:val="both"/>
        <w:rPr>
          <w:rFonts w:eastAsia="Times New Roman"/>
        </w:rPr>
      </w:pPr>
      <w:r>
        <w:rPr>
          <w:rFonts w:eastAsia="Times New Roman"/>
          <w:color w:val="000000"/>
          <w:sz w:val="20"/>
          <w:szCs w:val="20"/>
        </w:rPr>
        <w:t>We pledged investment securities totaling $21.3 billion and $20.8 billion as of December 31, 2022 and 2021, respectively. These securities are primarily pledged to secur</w:t>
      </w:r>
      <w:r>
        <w:rPr>
          <w:rFonts w:eastAsia="Times New Roman"/>
          <w:color w:val="000000"/>
          <w:sz w:val="20"/>
          <w:szCs w:val="20"/>
        </w:rPr>
        <w:t>e Public Fund Deposits and FHLB advances, as well as for other purposes as required or permitted by law. We accepted pledges of securities with a fair value of approximately $82 million and $1 million as of December 31, 2022 and 2021, respectively, related</w:t>
      </w:r>
      <w:r>
        <w:rPr>
          <w:rFonts w:eastAsia="Times New Roman"/>
          <w:color w:val="000000"/>
          <w:sz w:val="20"/>
          <w:szCs w:val="20"/>
        </w:rPr>
        <w:t xml:space="preserve"> to our derivative transactions.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2035836250"/>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2035836250"/>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2035836250"/>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140</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66" style="width:0;height:1.5pt" o:hralign="center" o:hrstd="t" o:hr="t" fillcolor="#a0a0a0" stroked="f"/>
        </w:pict>
      </w:r>
    </w:p>
    <w:p w:rsidR="00000000" w:rsidRDefault="0094004B">
      <w:pPr>
        <w:jc w:val="both"/>
        <w:divId w:val="627587514"/>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627587514"/>
        <w:rPr>
          <w:rFonts w:eastAsia="Times New Roman"/>
        </w:rPr>
      </w:pPr>
    </w:p>
    <w:p w:rsidR="00000000" w:rsidRDefault="0094004B">
      <w:pPr>
        <w:jc w:val="center"/>
        <w:divId w:val="627587514"/>
        <w:rPr>
          <w:rFonts w:eastAsia="Times New Roman"/>
        </w:rPr>
      </w:pPr>
      <w:r>
        <w:rPr>
          <w:rFonts w:eastAsia="Times New Roman"/>
          <w:b/>
          <w:bCs/>
          <w:color w:val="000000"/>
          <w:sz w:val="20"/>
          <w:szCs w:val="20"/>
        </w:rPr>
        <w:t>CAPITAL ONE FINANCIAL CORPORATION</w:t>
      </w:r>
    </w:p>
    <w:p w:rsidR="00000000" w:rsidRDefault="0094004B">
      <w:pPr>
        <w:jc w:val="center"/>
        <w:divId w:val="627587514"/>
        <w:rPr>
          <w:rFonts w:eastAsia="Times New Roman"/>
        </w:rPr>
      </w:pPr>
      <w:r>
        <w:rPr>
          <w:rFonts w:eastAsia="Times New Roman"/>
          <w:b/>
          <w:bCs/>
          <w:color w:val="000000"/>
          <w:sz w:val="20"/>
          <w:szCs w:val="20"/>
        </w:rPr>
        <w:t>NOTES TO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2121676698"/>
        </w:trPr>
        <w:tc>
          <w:tcPr>
            <w:tcW w:w="50" w:type="pct"/>
            <w:vAlign w:val="center"/>
            <w:hideMark/>
          </w:tcPr>
          <w:p w:rsidR="00000000" w:rsidRDefault="0094004B">
            <w:pPr>
              <w:jc w:val="center"/>
              <w:rPr>
                <w:rFonts w:eastAsia="Times New Roman"/>
              </w:rPr>
            </w:pPr>
          </w:p>
        </w:tc>
        <w:tc>
          <w:tcPr>
            <w:tcW w:w="494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2121676698"/>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20"/>
                <w:szCs w:val="20"/>
              </w:rPr>
              <w:t>NOTE 3—LOANS</w:t>
            </w:r>
          </w:p>
        </w:tc>
      </w:tr>
    </w:tbl>
    <w:p w:rsidR="00000000" w:rsidRDefault="0094004B">
      <w:pPr>
        <w:jc w:val="both"/>
        <w:divId w:val="506870402"/>
        <w:rPr>
          <w:rFonts w:eastAsia="Times New Roman"/>
        </w:rPr>
      </w:pPr>
      <w:r>
        <w:rPr>
          <w:rFonts w:eastAsia="Times New Roman"/>
          <w:color w:val="000000"/>
          <w:sz w:val="20"/>
          <w:szCs w:val="20"/>
        </w:rPr>
        <w:t xml:space="preserve">Our loan portfolio consists of loans held for investment, including loans held in our consolidated trusts, and loans held for sale. We further divide our loans held for investment into three portfolio segments: credit card, consumer banking and commercial </w:t>
      </w:r>
      <w:r>
        <w:rPr>
          <w:rFonts w:eastAsia="Times New Roman"/>
          <w:color w:val="000000"/>
          <w:sz w:val="20"/>
          <w:szCs w:val="20"/>
        </w:rPr>
        <w:t>banking. Credit card loans consist of domestic and international credit card loans. Consumer banking loans consist of auto and retail banking loans. Commercial banking loans consist of commercial and multifamily real estate as well as commercial and indust</w:t>
      </w:r>
      <w:r>
        <w:rPr>
          <w:rFonts w:eastAsia="Times New Roman"/>
          <w:color w:val="000000"/>
          <w:sz w:val="20"/>
          <w:szCs w:val="20"/>
        </w:rPr>
        <w:t xml:space="preserve">rial loans. The information presented in the tables in this note excludes loans held for sale, which are carried at either fair value (if we elect the fair value option) or at the lower of cost or fair value. </w:t>
      </w:r>
    </w:p>
    <w:p w:rsidR="00000000" w:rsidRDefault="0094004B">
      <w:pPr>
        <w:jc w:val="both"/>
        <w:divId w:val="944850234"/>
        <w:rPr>
          <w:rFonts w:eastAsia="Times New Roman"/>
        </w:rPr>
      </w:pPr>
      <w:r>
        <w:rPr>
          <w:rFonts w:eastAsia="Times New Roman"/>
          <w:color w:val="000000"/>
          <w:sz w:val="20"/>
          <w:szCs w:val="20"/>
        </w:rPr>
        <w:t>Accrued interest receivable of $1.9 billion an</w:t>
      </w:r>
      <w:r>
        <w:rPr>
          <w:rFonts w:eastAsia="Times New Roman"/>
          <w:color w:val="000000"/>
          <w:sz w:val="20"/>
          <w:szCs w:val="20"/>
        </w:rPr>
        <w:t>d $1.2 billion as of December 31, 2022 and 2021, respectively, is not included in the tables in this note. The table below presents the composition and aging analysis of our loans held for investment portfolio as of December 31, 2022 and 2021. The delinque</w:t>
      </w:r>
      <w:r>
        <w:rPr>
          <w:rFonts w:eastAsia="Times New Roman"/>
          <w:color w:val="000000"/>
          <w:sz w:val="20"/>
          <w:szCs w:val="20"/>
        </w:rPr>
        <w:t>ncy aging includes all past due loans, both performing and nonperforming.</w:t>
      </w:r>
    </w:p>
    <w:p w:rsidR="00000000" w:rsidRDefault="0094004B">
      <w:pPr>
        <w:divId w:val="1107697915"/>
        <w:rPr>
          <w:rFonts w:eastAsia="Times New Roman"/>
        </w:rPr>
      </w:pPr>
      <w:r>
        <w:rPr>
          <w:rFonts w:eastAsia="Times New Roman"/>
          <w:b/>
          <w:bCs/>
          <w:color w:val="000000"/>
          <w:sz w:val="18"/>
          <w:szCs w:val="18"/>
        </w:rPr>
        <w:t>Table 3.1: Loan Portfolio Composition and Aging Analysis</w:t>
      </w:r>
    </w:p>
    <w:tbl>
      <w:tblPr>
        <w:tblW w:w="5000" w:type="pct"/>
        <w:tblCellMar>
          <w:top w:w="15" w:type="dxa"/>
          <w:left w:w="15" w:type="dxa"/>
          <w:bottom w:w="15" w:type="dxa"/>
          <w:right w:w="15" w:type="dxa"/>
        </w:tblCellMar>
        <w:tblLook w:val="04A0" w:firstRow="1" w:lastRow="0" w:firstColumn="1" w:lastColumn="0" w:noHBand="0" w:noVBand="1"/>
      </w:tblPr>
      <w:tblGrid>
        <w:gridCol w:w="40"/>
        <w:gridCol w:w="2432"/>
        <w:gridCol w:w="38"/>
        <w:gridCol w:w="36"/>
        <w:gridCol w:w="36"/>
        <w:gridCol w:w="36"/>
        <w:gridCol w:w="111"/>
        <w:gridCol w:w="732"/>
        <w:gridCol w:w="36"/>
        <w:gridCol w:w="36"/>
        <w:gridCol w:w="36"/>
        <w:gridCol w:w="36"/>
        <w:gridCol w:w="111"/>
        <w:gridCol w:w="658"/>
        <w:gridCol w:w="36"/>
        <w:gridCol w:w="36"/>
        <w:gridCol w:w="36"/>
        <w:gridCol w:w="36"/>
        <w:gridCol w:w="112"/>
        <w:gridCol w:w="658"/>
        <w:gridCol w:w="37"/>
        <w:gridCol w:w="36"/>
        <w:gridCol w:w="36"/>
        <w:gridCol w:w="36"/>
        <w:gridCol w:w="111"/>
        <w:gridCol w:w="658"/>
        <w:gridCol w:w="36"/>
        <w:gridCol w:w="36"/>
        <w:gridCol w:w="36"/>
        <w:gridCol w:w="36"/>
        <w:gridCol w:w="111"/>
        <w:gridCol w:w="721"/>
        <w:gridCol w:w="36"/>
        <w:gridCol w:w="36"/>
        <w:gridCol w:w="36"/>
        <w:gridCol w:w="36"/>
        <w:gridCol w:w="111"/>
        <w:gridCol w:w="837"/>
        <w:gridCol w:w="36"/>
      </w:tblGrid>
      <w:tr w:rsidR="00000000">
        <w:trPr>
          <w:divId w:val="1107697915"/>
        </w:trPr>
        <w:tc>
          <w:tcPr>
            <w:tcW w:w="50" w:type="pct"/>
            <w:vAlign w:val="center"/>
            <w:hideMark/>
          </w:tcPr>
          <w:p w:rsidR="00000000" w:rsidRDefault="0094004B">
            <w:pPr>
              <w:rPr>
                <w:rFonts w:eastAsia="Times New Roman"/>
              </w:rPr>
            </w:pPr>
          </w:p>
        </w:tc>
        <w:tc>
          <w:tcPr>
            <w:tcW w:w="152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52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3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3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3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52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52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107697915"/>
        </w:trPr>
        <w:tc>
          <w:tcPr>
            <w:tcW w:w="0" w:type="auto"/>
            <w:gridSpan w:val="3"/>
            <w:tcMar>
              <w:top w:w="30" w:type="dxa"/>
              <w:left w:w="155" w:type="dxa"/>
              <w:bottom w:w="30" w:type="dxa"/>
              <w:right w:w="20" w:type="dxa"/>
            </w:tcMar>
            <w:vAlign w:val="bottom"/>
            <w:hideMark/>
          </w:tcPr>
          <w:p w:rsidR="00000000" w:rsidRDefault="0094004B">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December 31, 2022</w:t>
            </w:r>
          </w:p>
        </w:tc>
      </w:tr>
      <w:tr w:rsidR="00000000">
        <w:trPr>
          <w:divId w:val="1107697915"/>
        </w:trPr>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Delinquent Loans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107697915"/>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Current</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30-59</w:t>
            </w:r>
            <w:r>
              <w:rPr>
                <w:rFonts w:eastAsia="Times New Roman"/>
                <w:b/>
                <w:bCs/>
                <w:color w:val="000000"/>
                <w:sz w:val="16"/>
                <w:szCs w:val="16"/>
              </w:rPr>
              <w:br/>
              <w:t>Days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60-89</w:t>
            </w:r>
            <w:r>
              <w:rPr>
                <w:rFonts w:eastAsia="Times New Roman"/>
                <w:b/>
                <w:bCs/>
                <w:color w:val="000000"/>
                <w:sz w:val="16"/>
                <w:szCs w:val="16"/>
              </w:rPr>
              <w:br/>
              <w:t>Days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u w:val="single"/>
              </w:rPr>
              <w:t>&gt;</w:t>
            </w:r>
            <w:r>
              <w:rPr>
                <w:rFonts w:eastAsia="Times New Roman"/>
                <w:b/>
                <w:bCs/>
                <w:color w:val="000000"/>
                <w:sz w:val="16"/>
                <w:szCs w:val="16"/>
              </w:rPr>
              <w:t xml:space="preserve"> 90</w:t>
            </w:r>
          </w:p>
          <w:p w:rsidR="00000000" w:rsidRDefault="0094004B">
            <w:pPr>
              <w:spacing w:after="100"/>
              <w:jc w:val="center"/>
              <w:rPr>
                <w:rFonts w:eastAsia="Times New Roman"/>
              </w:rPr>
            </w:pPr>
            <w:r>
              <w:rPr>
                <w:rFonts w:eastAsia="Times New Roman"/>
                <w:b/>
                <w:bCs/>
                <w:color w:val="000000"/>
                <w:sz w:val="16"/>
                <w:szCs w:val="16"/>
              </w:rPr>
              <w:t>Days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Delinquent</w:t>
            </w:r>
            <w:r>
              <w:rPr>
                <w:rFonts w:eastAsia="Times New Roman"/>
                <w:b/>
                <w:bCs/>
                <w:color w:val="000000"/>
                <w:sz w:val="16"/>
                <w:szCs w:val="16"/>
              </w:rPr>
              <w:br/>
              <w:t>Loans</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Loans</w:t>
            </w:r>
          </w:p>
        </w:tc>
      </w:tr>
      <w:tr w:rsidR="00000000">
        <w:trPr>
          <w:divId w:val="110769791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107697915"/>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2"/>
            <w:shd w:val="clear" w:color="auto" w:fill="FFFFFF"/>
            <w:tcMar>
              <w:top w:w="30" w:type="dxa"/>
              <w:left w:w="0" w:type="dxa"/>
              <w:bottom w:w="30" w:type="dxa"/>
              <w:right w:w="140" w:type="dxa"/>
            </w:tcMar>
            <w:vAlign w:val="center"/>
            <w:hideMark/>
          </w:tcPr>
          <w:p w:rsidR="00000000" w:rsidRDefault="0094004B">
            <w:pPr>
              <w:spacing w:after="100"/>
              <w:jc w:val="right"/>
              <w:rPr>
                <w:rFonts w:eastAsia="Times New Roman"/>
              </w:rPr>
            </w:pPr>
            <w:r>
              <w:rPr>
                <w:rFonts w:eastAsia="Times New Roman"/>
                <w:b/>
                <w:bCs/>
                <w:color w:val="000000"/>
                <w:sz w:val="18"/>
                <w:szCs w:val="18"/>
              </w:rPr>
              <w:t>127,066</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2"/>
            <w:shd w:val="clear" w:color="auto" w:fill="FFFFFF"/>
            <w:tcMar>
              <w:top w:w="30" w:type="dxa"/>
              <w:left w:w="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18"/>
                <w:szCs w:val="18"/>
              </w:rPr>
              <w:t>1,405</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2"/>
            <w:shd w:val="clear" w:color="auto" w:fill="FFFFFF"/>
            <w:tcMar>
              <w:top w:w="30" w:type="dxa"/>
              <w:left w:w="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18"/>
                <w:szCs w:val="18"/>
              </w:rPr>
              <w:t>975</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2"/>
            <w:shd w:val="clear" w:color="auto" w:fill="FFFFFF"/>
            <w:tcMar>
              <w:top w:w="30" w:type="dxa"/>
              <w:left w:w="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18"/>
                <w:szCs w:val="18"/>
              </w:rPr>
              <w:t>2,135</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2"/>
            <w:shd w:val="clear" w:color="auto" w:fill="FFFFFF"/>
            <w:tcMar>
              <w:top w:w="30" w:type="dxa"/>
              <w:left w:w="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18"/>
                <w:szCs w:val="18"/>
              </w:rPr>
              <w:t>4,515</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2"/>
            <w:shd w:val="clear" w:color="auto" w:fill="FFFFFF"/>
            <w:tcMar>
              <w:top w:w="30" w:type="dxa"/>
              <w:left w:w="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18"/>
                <w:szCs w:val="18"/>
              </w:rPr>
              <w:t>131,581</w:t>
            </w:r>
          </w:p>
        </w:tc>
      </w:tr>
      <w:tr w:rsidR="00000000">
        <w:trPr>
          <w:divId w:val="1107697915"/>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5,895</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86</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58</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110</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254</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6,149</w:t>
            </w:r>
          </w:p>
        </w:tc>
      </w:tr>
      <w:tr w:rsidR="00000000">
        <w:trPr>
          <w:divId w:val="1107697915"/>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b/>
                <w:bCs/>
                <w:color w:val="000000"/>
                <w:sz w:val="18"/>
                <w:szCs w:val="18"/>
              </w:rPr>
              <w:t>132,961</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18"/>
                <w:szCs w:val="18"/>
              </w:rPr>
              <w:t>1,491</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18"/>
                <w:szCs w:val="18"/>
              </w:rPr>
              <w:t>1,033</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18"/>
                <w:szCs w:val="18"/>
              </w:rPr>
              <w:t>2,245</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18"/>
                <w:szCs w:val="18"/>
              </w:rPr>
              <w:t>4,769</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18"/>
                <w:szCs w:val="18"/>
              </w:rPr>
              <w:t>137,730</w:t>
            </w:r>
          </w:p>
        </w:tc>
      </w:tr>
      <w:tr w:rsidR="00000000">
        <w:trPr>
          <w:divId w:val="1107697915"/>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107697915"/>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b/>
                <w:bCs/>
                <w:color w:val="000000"/>
                <w:sz w:val="18"/>
                <w:szCs w:val="18"/>
              </w:rPr>
              <w:t>73,467</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18"/>
                <w:szCs w:val="18"/>
              </w:rPr>
              <w:t>3,101</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18"/>
                <w:szCs w:val="18"/>
              </w:rPr>
              <w:t>1,418</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18"/>
                <w:szCs w:val="18"/>
              </w:rPr>
              <w:t>387</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18"/>
                <w:szCs w:val="18"/>
              </w:rPr>
              <w:t>4,906</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18"/>
                <w:szCs w:val="18"/>
              </w:rPr>
              <w:t>78,373</w:t>
            </w:r>
          </w:p>
        </w:tc>
      </w:tr>
      <w:tr w:rsidR="00000000">
        <w:trPr>
          <w:divId w:val="1107697915"/>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Retail banking</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b/>
                <w:bCs/>
                <w:color w:val="000000"/>
                <w:sz w:val="18"/>
                <w:szCs w:val="18"/>
              </w:rPr>
              <w:t>1,518</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18"/>
                <w:szCs w:val="18"/>
              </w:rPr>
              <w:t>13</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18"/>
                <w:szCs w:val="18"/>
              </w:rPr>
              <w:t>4</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18"/>
                <w:szCs w:val="18"/>
              </w:rPr>
              <w:t>17</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18"/>
                <w:szCs w:val="18"/>
              </w:rPr>
              <w:t>34</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18"/>
                <w:szCs w:val="18"/>
              </w:rPr>
              <w:t>1,552</w:t>
            </w:r>
          </w:p>
        </w:tc>
      </w:tr>
      <w:tr w:rsidR="00000000">
        <w:trPr>
          <w:divId w:val="1107697915"/>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b/>
                <w:bCs/>
                <w:color w:val="000000"/>
                <w:sz w:val="18"/>
                <w:szCs w:val="18"/>
              </w:rPr>
              <w:t>74,985</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18"/>
                <w:szCs w:val="18"/>
              </w:rPr>
              <w:t>3,114</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18"/>
                <w:szCs w:val="18"/>
              </w:rPr>
              <w:t>1,422</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18"/>
                <w:szCs w:val="18"/>
              </w:rPr>
              <w:t>404</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18"/>
                <w:szCs w:val="18"/>
              </w:rPr>
              <w:t>4,940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18"/>
                <w:szCs w:val="18"/>
              </w:rPr>
              <w:t>79,925</w:t>
            </w:r>
          </w:p>
        </w:tc>
      </w:tr>
      <w:tr w:rsidR="00000000">
        <w:trPr>
          <w:divId w:val="1107697915"/>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107697915"/>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37,417</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1</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35</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36</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37,453</w:t>
            </w:r>
          </w:p>
        </w:tc>
      </w:tr>
      <w:tr w:rsidR="00000000">
        <w:trPr>
          <w:divId w:val="1107697915"/>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b/>
                <w:bCs/>
                <w:color w:val="000000"/>
                <w:sz w:val="18"/>
                <w:szCs w:val="18"/>
              </w:rPr>
              <w:t>56,942</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18"/>
                <w:szCs w:val="18"/>
              </w:rPr>
              <w:t>61</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18"/>
                <w:szCs w:val="18"/>
              </w:rPr>
              <w:t>55</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18"/>
                <w:szCs w:val="18"/>
              </w:rPr>
              <w:t>165</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18"/>
                <w:szCs w:val="18"/>
              </w:rPr>
              <w:t>281</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18"/>
                <w:szCs w:val="18"/>
              </w:rPr>
              <w:t>57,223</w:t>
            </w:r>
          </w:p>
        </w:tc>
      </w:tr>
      <w:tr w:rsidR="00000000">
        <w:trPr>
          <w:divId w:val="1107697915"/>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 commercial banking</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b/>
                <w:bCs/>
                <w:color w:val="000000"/>
                <w:sz w:val="18"/>
                <w:szCs w:val="18"/>
              </w:rPr>
              <w:t>94,359</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18"/>
                <w:szCs w:val="18"/>
              </w:rPr>
              <w:t>61</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18"/>
                <w:szCs w:val="18"/>
              </w:rPr>
              <w:t>56</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18"/>
                <w:szCs w:val="18"/>
              </w:rPr>
              <w:t>200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18"/>
                <w:szCs w:val="18"/>
              </w:rPr>
              <w:t>317</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18"/>
                <w:szCs w:val="18"/>
              </w:rPr>
              <w:t>94,676</w:t>
            </w:r>
          </w:p>
        </w:tc>
      </w:tr>
      <w:tr w:rsidR="00000000">
        <w:trPr>
          <w:divId w:val="1107697915"/>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divId w:val="1769933346"/>
              <w:rPr>
                <w:rFonts w:eastAsia="Times New Roman"/>
              </w:rPr>
            </w:pPr>
            <w:r>
              <w:rPr>
                <w:rFonts w:eastAsia="Times New Roman"/>
                <w:color w:val="000000"/>
                <w:sz w:val="18"/>
                <w:szCs w:val="18"/>
              </w:rPr>
              <w:t>Total loan</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2"/>
            <w:tcBorders>
              <w:top w:val="single" w:sz="8" w:space="0" w:color="000000"/>
            </w:tcBorders>
            <w:shd w:val="clear" w:color="auto" w:fill="CCEEFF"/>
            <w:tcMar>
              <w:top w:w="30" w:type="dxa"/>
              <w:left w:w="0" w:type="dxa"/>
              <w:bottom w:w="30" w:type="dxa"/>
              <w:right w:w="140" w:type="dxa"/>
            </w:tcMar>
            <w:vAlign w:val="center"/>
            <w:hideMark/>
          </w:tcPr>
          <w:p w:rsidR="00000000" w:rsidRDefault="0094004B">
            <w:pPr>
              <w:spacing w:after="100"/>
              <w:jc w:val="right"/>
              <w:rPr>
                <w:rFonts w:eastAsia="Times New Roman"/>
              </w:rPr>
            </w:pPr>
            <w:r>
              <w:rPr>
                <w:rFonts w:eastAsia="Times New Roman"/>
                <w:b/>
                <w:bCs/>
                <w:color w:val="000000"/>
                <w:sz w:val="18"/>
                <w:szCs w:val="18"/>
              </w:rPr>
              <w:t>302,305</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2"/>
            <w:tcBorders>
              <w:top w:val="single" w:sz="8" w:space="0" w:color="000000"/>
            </w:tcBorders>
            <w:shd w:val="clear" w:color="auto" w:fill="CCEEFF"/>
            <w:tcMar>
              <w:top w:w="30" w:type="dxa"/>
              <w:left w:w="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18"/>
                <w:szCs w:val="18"/>
              </w:rPr>
              <w:t>4,666</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2"/>
            <w:tcBorders>
              <w:top w:val="single" w:sz="8" w:space="0" w:color="000000"/>
            </w:tcBorders>
            <w:shd w:val="clear" w:color="auto" w:fill="CCEEFF"/>
            <w:tcMar>
              <w:top w:w="30" w:type="dxa"/>
              <w:left w:w="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18"/>
                <w:szCs w:val="18"/>
              </w:rPr>
              <w:t>2,511</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2"/>
            <w:tcBorders>
              <w:top w:val="single" w:sz="8" w:space="0" w:color="000000"/>
            </w:tcBorders>
            <w:shd w:val="clear" w:color="auto" w:fill="CCEEFF"/>
            <w:tcMar>
              <w:top w:w="30" w:type="dxa"/>
              <w:left w:w="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18"/>
                <w:szCs w:val="18"/>
              </w:rPr>
              <w:t>2,849</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2"/>
            <w:tcBorders>
              <w:top w:val="single" w:sz="8" w:space="0" w:color="000000"/>
            </w:tcBorders>
            <w:shd w:val="clear" w:color="auto" w:fill="CCEEFF"/>
            <w:tcMar>
              <w:top w:w="30" w:type="dxa"/>
              <w:left w:w="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18"/>
                <w:szCs w:val="18"/>
              </w:rPr>
              <w:t>10,026</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2"/>
            <w:tcBorders>
              <w:top w:val="single" w:sz="8" w:space="0" w:color="000000"/>
            </w:tcBorders>
            <w:shd w:val="clear" w:color="auto" w:fill="CCEEFF"/>
            <w:tcMar>
              <w:top w:w="30" w:type="dxa"/>
              <w:left w:w="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18"/>
                <w:szCs w:val="18"/>
              </w:rPr>
              <w:t>312,331</w:t>
            </w:r>
          </w:p>
        </w:tc>
      </w:tr>
      <w:tr w:rsidR="00000000">
        <w:trPr>
          <w:divId w:val="1107697915"/>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 of Total loans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b/>
                <w:bCs/>
                <w:color w:val="000000"/>
                <w:sz w:val="18"/>
                <w:szCs w:val="18"/>
              </w:rPr>
              <w:t>96.79%</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b/>
                <w:bCs/>
                <w:color w:val="000000"/>
                <w:sz w:val="18"/>
                <w:szCs w:val="18"/>
              </w:rPr>
              <w:t>1.50%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b/>
                <w:bCs/>
                <w:color w:val="000000"/>
                <w:sz w:val="18"/>
                <w:szCs w:val="18"/>
              </w:rPr>
              <w:t>0.80%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b/>
                <w:bCs/>
                <w:color w:val="000000"/>
                <w:sz w:val="18"/>
                <w:szCs w:val="18"/>
              </w:rPr>
              <w:t>0.91%</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b/>
                <w:bCs/>
                <w:color w:val="000000"/>
                <w:sz w:val="18"/>
                <w:szCs w:val="18"/>
              </w:rPr>
              <w:t>3.21%</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b/>
                <w:bCs/>
                <w:color w:val="000000"/>
                <w:sz w:val="18"/>
                <w:szCs w:val="18"/>
              </w:rPr>
              <w:t>100.00%</w:t>
            </w:r>
          </w:p>
        </w:tc>
      </w:tr>
    </w:tbl>
    <w:p w:rsidR="00000000" w:rsidRDefault="0094004B">
      <w:pPr>
        <w:divId w:val="1107697915"/>
        <w:rPr>
          <w:rFonts w:eastAsia="Times New Roman"/>
        </w:rPr>
      </w:pPr>
      <w:r>
        <w:rPr>
          <w:rFonts w:eastAsia="Times New Roman"/>
          <w:color w:val="000000"/>
          <w:sz w:val="20"/>
          <w:szCs w:val="20"/>
        </w:rPr>
        <w:t>    </w:t>
      </w:r>
    </w:p>
    <w:tbl>
      <w:tblPr>
        <w:tblW w:w="5000" w:type="pct"/>
        <w:tblCellMar>
          <w:top w:w="15" w:type="dxa"/>
          <w:left w:w="15" w:type="dxa"/>
          <w:bottom w:w="15" w:type="dxa"/>
          <w:right w:w="15" w:type="dxa"/>
        </w:tblCellMar>
        <w:tblLook w:val="04A0" w:firstRow="1" w:lastRow="0" w:firstColumn="1" w:lastColumn="0" w:noHBand="0" w:noVBand="1"/>
      </w:tblPr>
      <w:tblGrid>
        <w:gridCol w:w="39"/>
        <w:gridCol w:w="2477"/>
        <w:gridCol w:w="38"/>
        <w:gridCol w:w="36"/>
        <w:gridCol w:w="36"/>
        <w:gridCol w:w="36"/>
        <w:gridCol w:w="111"/>
        <w:gridCol w:w="776"/>
        <w:gridCol w:w="36"/>
        <w:gridCol w:w="36"/>
        <w:gridCol w:w="36"/>
        <w:gridCol w:w="36"/>
        <w:gridCol w:w="112"/>
        <w:gridCol w:w="630"/>
        <w:gridCol w:w="36"/>
        <w:gridCol w:w="36"/>
        <w:gridCol w:w="36"/>
        <w:gridCol w:w="36"/>
        <w:gridCol w:w="111"/>
        <w:gridCol w:w="630"/>
        <w:gridCol w:w="36"/>
        <w:gridCol w:w="36"/>
        <w:gridCol w:w="36"/>
        <w:gridCol w:w="36"/>
        <w:gridCol w:w="110"/>
        <w:gridCol w:w="631"/>
        <w:gridCol w:w="36"/>
        <w:gridCol w:w="36"/>
        <w:gridCol w:w="36"/>
        <w:gridCol w:w="36"/>
        <w:gridCol w:w="111"/>
        <w:gridCol w:w="778"/>
        <w:gridCol w:w="36"/>
        <w:gridCol w:w="36"/>
        <w:gridCol w:w="36"/>
        <w:gridCol w:w="36"/>
        <w:gridCol w:w="110"/>
        <w:gridCol w:w="778"/>
        <w:gridCol w:w="36"/>
      </w:tblGrid>
      <w:tr w:rsidR="00000000">
        <w:trPr>
          <w:divId w:val="1107697915"/>
        </w:trPr>
        <w:tc>
          <w:tcPr>
            <w:tcW w:w="50" w:type="pct"/>
            <w:vAlign w:val="center"/>
            <w:hideMark/>
          </w:tcPr>
          <w:p w:rsidR="00000000" w:rsidRDefault="0094004B">
            <w:pPr>
              <w:rPr>
                <w:rFonts w:eastAsia="Times New Roman"/>
              </w:rPr>
            </w:pPr>
          </w:p>
        </w:tc>
        <w:tc>
          <w:tcPr>
            <w:tcW w:w="152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52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3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3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3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52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52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107697915"/>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December 31, 2021</w:t>
            </w:r>
          </w:p>
        </w:tc>
      </w:tr>
      <w:tr w:rsidR="00000000">
        <w:trPr>
          <w:divId w:val="1107697915"/>
        </w:trPr>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4"/>
            <w:tcBorders>
              <w:top w:val="single" w:sz="8" w:space="0" w:color="000000"/>
            </w:tcBorders>
            <w:shd w:val="clear" w:color="auto" w:fill="FFFFFF"/>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Delinquent Loans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r>
      <w:tr w:rsidR="00000000">
        <w:trPr>
          <w:divId w:val="1107697915"/>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Current</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30-59</w:t>
            </w:r>
            <w:r>
              <w:rPr>
                <w:rFonts w:eastAsia="Times New Roman"/>
                <w:b/>
                <w:bCs/>
                <w:color w:val="000000"/>
                <w:sz w:val="16"/>
                <w:szCs w:val="16"/>
              </w:rPr>
              <w:br/>
              <w:t>Days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60-89</w:t>
            </w:r>
            <w:r>
              <w:rPr>
                <w:rFonts w:eastAsia="Times New Roman"/>
                <w:b/>
                <w:bCs/>
                <w:color w:val="000000"/>
                <w:sz w:val="16"/>
                <w:szCs w:val="16"/>
              </w:rPr>
              <w:br/>
              <w:t>Days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u w:val="single"/>
              </w:rPr>
              <w:t>&gt;</w:t>
            </w:r>
            <w:r>
              <w:rPr>
                <w:rFonts w:eastAsia="Times New Roman"/>
                <w:b/>
                <w:bCs/>
                <w:color w:val="000000"/>
                <w:sz w:val="16"/>
                <w:szCs w:val="16"/>
              </w:rPr>
              <w:t xml:space="preserve"> 90</w:t>
            </w:r>
          </w:p>
          <w:p w:rsidR="00000000" w:rsidRDefault="0094004B">
            <w:pPr>
              <w:spacing w:after="100"/>
              <w:jc w:val="center"/>
              <w:rPr>
                <w:rFonts w:eastAsia="Times New Roman"/>
              </w:rPr>
            </w:pPr>
            <w:r>
              <w:rPr>
                <w:rFonts w:eastAsia="Times New Roman"/>
                <w:b/>
                <w:bCs/>
                <w:color w:val="000000"/>
                <w:sz w:val="16"/>
                <w:szCs w:val="16"/>
              </w:rPr>
              <w:t>Days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Delinquent</w:t>
            </w:r>
            <w:r>
              <w:rPr>
                <w:rFonts w:eastAsia="Times New Roman"/>
                <w:b/>
                <w:bCs/>
                <w:color w:val="000000"/>
                <w:sz w:val="16"/>
                <w:szCs w:val="16"/>
              </w:rPr>
              <w:br/>
              <w:t>Loans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Loans</w:t>
            </w:r>
          </w:p>
        </w:tc>
      </w:tr>
      <w:tr w:rsidR="00000000">
        <w:trPr>
          <w:divId w:val="110769791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107697915"/>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106,312</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773</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528</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1,110 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2,411 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108,723 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107697915"/>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5,836</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77</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50</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86 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213 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6,049 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1107697915"/>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112,148</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850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578</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1,196 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2,624 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114,772 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107697915"/>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107697915"/>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72,221</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2,385</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933</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240 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3,558 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75,779 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107697915"/>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Retail banking</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1,807</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35</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7</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18 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60 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1,867 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107697915"/>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bottom w:val="single" w:sz="8" w:space="0" w:color="000000"/>
            </w:tcBorders>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74,028</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tcBorders>
              <w:top w:val="single" w:sz="8" w:space="0" w:color="000000"/>
              <w:bottom w:val="single" w:sz="8" w:space="0" w:color="000000"/>
            </w:tcBorders>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2,420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tcBorders>
              <w:top w:val="single" w:sz="8" w:space="0" w:color="000000"/>
              <w:bottom w:val="single" w:sz="8" w:space="0" w:color="000000"/>
            </w:tcBorders>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940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258 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3,618 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77,646 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94004B">
            <w:pPr>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141</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67" style="width:0;height:1.5pt" o:hralign="center" o:hrstd="t" o:hr="t" fillcolor="#a0a0a0" stroked="f"/>
        </w:pict>
      </w:r>
    </w:p>
    <w:p w:rsidR="00000000" w:rsidRDefault="0094004B">
      <w:pPr>
        <w:jc w:val="both"/>
        <w:divId w:val="469329997"/>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469329997"/>
        <w:rPr>
          <w:rFonts w:eastAsia="Times New Roman"/>
        </w:rPr>
      </w:pPr>
    </w:p>
    <w:p w:rsidR="00000000" w:rsidRDefault="0094004B">
      <w:pPr>
        <w:jc w:val="center"/>
        <w:divId w:val="469329997"/>
        <w:rPr>
          <w:rFonts w:eastAsia="Times New Roman"/>
        </w:rPr>
      </w:pPr>
      <w:r>
        <w:rPr>
          <w:rFonts w:eastAsia="Times New Roman"/>
          <w:b/>
          <w:bCs/>
          <w:color w:val="000000"/>
          <w:sz w:val="20"/>
          <w:szCs w:val="20"/>
        </w:rPr>
        <w:t>CAPITAL ONE FINANCIAL CORPORATION</w:t>
      </w:r>
    </w:p>
    <w:p w:rsidR="00000000" w:rsidRDefault="0094004B">
      <w:pPr>
        <w:jc w:val="center"/>
        <w:divId w:val="469329997"/>
        <w:rPr>
          <w:rFonts w:eastAsia="Times New Roman"/>
        </w:rPr>
      </w:pPr>
      <w:r>
        <w:rPr>
          <w:rFonts w:eastAsia="Times New Roman"/>
          <w:b/>
          <w:bCs/>
          <w:color w:val="000000"/>
          <w:sz w:val="20"/>
          <w:szCs w:val="20"/>
        </w:rPr>
        <w:t>NOTES TO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39"/>
        <w:gridCol w:w="2477"/>
        <w:gridCol w:w="38"/>
        <w:gridCol w:w="36"/>
        <w:gridCol w:w="36"/>
        <w:gridCol w:w="36"/>
        <w:gridCol w:w="111"/>
        <w:gridCol w:w="776"/>
        <w:gridCol w:w="36"/>
        <w:gridCol w:w="36"/>
        <w:gridCol w:w="36"/>
        <w:gridCol w:w="36"/>
        <w:gridCol w:w="111"/>
        <w:gridCol w:w="630"/>
        <w:gridCol w:w="36"/>
        <w:gridCol w:w="36"/>
        <w:gridCol w:w="36"/>
        <w:gridCol w:w="36"/>
        <w:gridCol w:w="111"/>
        <w:gridCol w:w="630"/>
        <w:gridCol w:w="36"/>
        <w:gridCol w:w="36"/>
        <w:gridCol w:w="36"/>
        <w:gridCol w:w="36"/>
        <w:gridCol w:w="111"/>
        <w:gridCol w:w="630"/>
        <w:gridCol w:w="36"/>
        <w:gridCol w:w="36"/>
        <w:gridCol w:w="36"/>
        <w:gridCol w:w="36"/>
        <w:gridCol w:w="111"/>
        <w:gridCol w:w="777"/>
        <w:gridCol w:w="36"/>
        <w:gridCol w:w="36"/>
        <w:gridCol w:w="36"/>
        <w:gridCol w:w="36"/>
        <w:gridCol w:w="112"/>
        <w:gridCol w:w="778"/>
        <w:gridCol w:w="36"/>
      </w:tblGrid>
      <w:tr w:rsidR="00000000">
        <w:trPr>
          <w:divId w:val="428933361"/>
        </w:trPr>
        <w:tc>
          <w:tcPr>
            <w:tcW w:w="50" w:type="pct"/>
            <w:vAlign w:val="center"/>
            <w:hideMark/>
          </w:tcPr>
          <w:p w:rsidR="00000000" w:rsidRDefault="0094004B">
            <w:pPr>
              <w:jc w:val="center"/>
              <w:rPr>
                <w:rFonts w:eastAsia="Times New Roman"/>
              </w:rPr>
            </w:pPr>
          </w:p>
        </w:tc>
        <w:tc>
          <w:tcPr>
            <w:tcW w:w="152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52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3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3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3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52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52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428933361"/>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December 31, 2021</w:t>
            </w:r>
          </w:p>
        </w:tc>
      </w:tr>
      <w:tr w:rsidR="00000000">
        <w:trPr>
          <w:divId w:val="428933361"/>
        </w:trPr>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4"/>
            <w:tcBorders>
              <w:top w:val="single" w:sz="8" w:space="0" w:color="000000"/>
            </w:tcBorders>
            <w:shd w:val="clear" w:color="auto" w:fill="FFFFFF"/>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Delinquent Loans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r>
      <w:tr w:rsidR="00000000">
        <w:trPr>
          <w:divId w:val="428933361"/>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Current</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30-59</w:t>
            </w:r>
            <w:r>
              <w:rPr>
                <w:rFonts w:eastAsia="Times New Roman"/>
                <w:b/>
                <w:bCs/>
                <w:color w:val="000000"/>
                <w:sz w:val="16"/>
                <w:szCs w:val="16"/>
              </w:rPr>
              <w:br/>
              <w:t>Days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60-89</w:t>
            </w:r>
            <w:r>
              <w:rPr>
                <w:rFonts w:eastAsia="Times New Roman"/>
                <w:b/>
                <w:bCs/>
                <w:color w:val="000000"/>
                <w:sz w:val="16"/>
                <w:szCs w:val="16"/>
              </w:rPr>
              <w:br/>
              <w:t>Days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u w:val="single"/>
              </w:rPr>
              <w:t>&gt;</w:t>
            </w:r>
            <w:r>
              <w:rPr>
                <w:rFonts w:eastAsia="Times New Roman"/>
                <w:b/>
                <w:bCs/>
                <w:color w:val="000000"/>
                <w:sz w:val="16"/>
                <w:szCs w:val="16"/>
              </w:rPr>
              <w:t xml:space="preserve"> 90</w:t>
            </w:r>
          </w:p>
          <w:p w:rsidR="00000000" w:rsidRDefault="0094004B">
            <w:pPr>
              <w:spacing w:after="100"/>
              <w:jc w:val="center"/>
              <w:rPr>
                <w:rFonts w:eastAsia="Times New Roman"/>
              </w:rPr>
            </w:pPr>
            <w:r>
              <w:rPr>
                <w:rFonts w:eastAsia="Times New Roman"/>
                <w:b/>
                <w:bCs/>
                <w:color w:val="000000"/>
                <w:sz w:val="16"/>
                <w:szCs w:val="16"/>
              </w:rPr>
              <w:t>Days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Delinquent</w:t>
            </w:r>
            <w:r>
              <w:rPr>
                <w:rFonts w:eastAsia="Times New Roman"/>
                <w:b/>
                <w:bCs/>
                <w:color w:val="000000"/>
                <w:sz w:val="16"/>
                <w:szCs w:val="16"/>
              </w:rPr>
              <w:br/>
              <w:t>Loans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Loans</w:t>
            </w:r>
          </w:p>
        </w:tc>
      </w:tr>
      <w:tr w:rsidR="00000000">
        <w:trPr>
          <w:divId w:val="428933361"/>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428933361"/>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35,100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92</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35</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35</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162</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35,262</w:t>
            </w:r>
          </w:p>
        </w:tc>
      </w:tr>
      <w:tr w:rsidR="00000000">
        <w:trPr>
          <w:divId w:val="428933361"/>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49,379</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139</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103</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39</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281</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49,660</w:t>
            </w:r>
          </w:p>
        </w:tc>
      </w:tr>
      <w:tr w:rsidR="00000000">
        <w:trPr>
          <w:divId w:val="428933361"/>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 commercial banking</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84,479</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231</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138</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74</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443</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84,922</w:t>
            </w:r>
          </w:p>
        </w:tc>
      </w:tr>
      <w:tr w:rsidR="00000000">
        <w:trPr>
          <w:divId w:val="428933361"/>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divId w:val="44186239"/>
              <w:rPr>
                <w:rFonts w:eastAsia="Times New Roman"/>
              </w:rPr>
            </w:pPr>
            <w:r>
              <w:rPr>
                <w:rFonts w:eastAsia="Times New Roman"/>
                <w:color w:val="000000"/>
                <w:sz w:val="18"/>
                <w:szCs w:val="18"/>
              </w:rPr>
              <w:t>Total loan</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gridSpan w:val="2"/>
            <w:tcBorders>
              <w:top w:val="single" w:sz="8" w:space="0" w:color="000000"/>
            </w:tcBorders>
            <w:shd w:val="clear" w:color="auto" w:fill="CCEEFF"/>
            <w:tcMar>
              <w:top w:w="30" w:type="dxa"/>
              <w:left w:w="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270,655</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gridSpan w:val="2"/>
            <w:tcBorders>
              <w:top w:val="single" w:sz="8" w:space="0" w:color="000000"/>
            </w:tcBorders>
            <w:shd w:val="clear" w:color="auto" w:fill="CCEEFF"/>
            <w:tcMar>
              <w:top w:w="30" w:type="dxa"/>
              <w:left w:w="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3,501</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gridSpan w:val="2"/>
            <w:tcBorders>
              <w:top w:val="single" w:sz="8" w:space="0" w:color="000000"/>
            </w:tcBorders>
            <w:shd w:val="clear" w:color="auto" w:fill="CCEEFF"/>
            <w:tcMar>
              <w:top w:w="30" w:type="dxa"/>
              <w:left w:w="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1,656</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gridSpan w:val="2"/>
            <w:tcBorders>
              <w:top w:val="single" w:sz="8" w:space="0" w:color="000000"/>
            </w:tcBorders>
            <w:shd w:val="clear" w:color="auto" w:fill="CCEEFF"/>
            <w:tcMar>
              <w:top w:w="30" w:type="dxa"/>
              <w:left w:w="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1,528</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gridSpan w:val="2"/>
            <w:tcBorders>
              <w:top w:val="single" w:sz="8" w:space="0" w:color="000000"/>
            </w:tcBorders>
            <w:shd w:val="clear" w:color="auto" w:fill="CCEEFF"/>
            <w:tcMar>
              <w:top w:w="30" w:type="dxa"/>
              <w:left w:w="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6,685</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gridSpan w:val="2"/>
            <w:tcBorders>
              <w:top w:val="single" w:sz="8" w:space="0" w:color="000000"/>
            </w:tcBorders>
            <w:shd w:val="clear" w:color="auto" w:fill="CCEEFF"/>
            <w:tcMar>
              <w:top w:w="30" w:type="dxa"/>
              <w:left w:w="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277,340</w:t>
            </w:r>
          </w:p>
        </w:tc>
      </w:tr>
      <w:tr w:rsidR="00000000">
        <w:trPr>
          <w:divId w:val="428933361"/>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 of Total loans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97.59%</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1.26%</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0.60%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0.55%</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2.41%</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100.00%</w:t>
            </w:r>
          </w:p>
        </w:tc>
      </w:tr>
    </w:tbl>
    <w:p w:rsidR="00000000" w:rsidRDefault="0094004B">
      <w:pPr>
        <w:divId w:val="428933361"/>
        <w:rPr>
          <w:rFonts w:eastAsia="Times New Roman"/>
        </w:rPr>
      </w:pPr>
      <w:r>
        <w:rPr>
          <w:rFonts w:eastAsia="Times New Roman"/>
          <w:color w:val="000000"/>
          <w:sz w:val="20"/>
          <w:szCs w:val="20"/>
        </w:rPr>
        <w:t>__________</w:t>
      </w:r>
    </w:p>
    <w:p w:rsidR="00000000" w:rsidRDefault="0094004B">
      <w:pPr>
        <w:ind w:hanging="360"/>
        <w:jc w:val="both"/>
        <w:divId w:val="615452644"/>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Loans include unamortized premiums, discounts, and deferred fees and costs totaling $1.4 billion as of both December 31, 2022 and 2021.</w:t>
      </w:r>
    </w:p>
    <w:p w:rsidR="00000000" w:rsidRDefault="0094004B">
      <w:pPr>
        <w:jc w:val="both"/>
        <w:divId w:val="678430287"/>
        <w:rPr>
          <w:rFonts w:eastAsia="Times New Roman"/>
        </w:rPr>
      </w:pPr>
      <w:r>
        <w:rPr>
          <w:rFonts w:eastAsia="Times New Roman"/>
          <w:color w:val="000000"/>
          <w:sz w:val="20"/>
          <w:szCs w:val="20"/>
        </w:rPr>
        <w:t>The following table presents our loans held for investment that are 90 days or more past due that continue to accrue interest, loans that are classified as nonperforming and loans that are classified as nonperforming without an allowance as of December 31,</w:t>
      </w:r>
      <w:r>
        <w:rPr>
          <w:rFonts w:eastAsia="Times New Roman"/>
          <w:color w:val="000000"/>
          <w:sz w:val="20"/>
          <w:szCs w:val="20"/>
        </w:rPr>
        <w:t xml:space="preserve"> 2022 and 2021. Nonperforming loans generally include loans that have been placed on nonaccrual status.</w:t>
      </w:r>
    </w:p>
    <w:p w:rsidR="00000000" w:rsidRDefault="0094004B">
      <w:pPr>
        <w:divId w:val="2081100426"/>
        <w:rPr>
          <w:rFonts w:eastAsia="Times New Roman"/>
        </w:rPr>
      </w:pPr>
      <w:r>
        <w:rPr>
          <w:rFonts w:eastAsia="Times New Roman"/>
          <w:b/>
          <w:bCs/>
          <w:color w:val="000000"/>
          <w:sz w:val="18"/>
          <w:szCs w:val="18"/>
        </w:rPr>
        <w:t>Table 3.2: 90+ Day Delinquent Loans Accruing Interest and Nonperforming Loans</w:t>
      </w:r>
    </w:p>
    <w:tbl>
      <w:tblPr>
        <w:tblW w:w="5000" w:type="pct"/>
        <w:tblCellMar>
          <w:top w:w="15" w:type="dxa"/>
          <w:left w:w="15" w:type="dxa"/>
          <w:bottom w:w="15" w:type="dxa"/>
          <w:right w:w="15" w:type="dxa"/>
        </w:tblCellMar>
        <w:tblLook w:val="04A0" w:firstRow="1" w:lastRow="0" w:firstColumn="1" w:lastColumn="0" w:noHBand="0" w:noVBand="1"/>
      </w:tblPr>
      <w:tblGrid>
        <w:gridCol w:w="45"/>
        <w:gridCol w:w="1137"/>
        <w:gridCol w:w="38"/>
        <w:gridCol w:w="36"/>
        <w:gridCol w:w="36"/>
        <w:gridCol w:w="36"/>
        <w:gridCol w:w="110"/>
        <w:gridCol w:w="450"/>
        <w:gridCol w:w="200"/>
        <w:gridCol w:w="36"/>
        <w:gridCol w:w="36"/>
        <w:gridCol w:w="36"/>
        <w:gridCol w:w="111"/>
        <w:gridCol w:w="1002"/>
        <w:gridCol w:w="200"/>
        <w:gridCol w:w="36"/>
        <w:gridCol w:w="36"/>
        <w:gridCol w:w="36"/>
        <w:gridCol w:w="111"/>
        <w:gridCol w:w="1004"/>
        <w:gridCol w:w="200"/>
        <w:gridCol w:w="36"/>
        <w:gridCol w:w="36"/>
        <w:gridCol w:w="36"/>
        <w:gridCol w:w="110"/>
        <w:gridCol w:w="450"/>
        <w:gridCol w:w="170"/>
        <w:gridCol w:w="36"/>
        <w:gridCol w:w="36"/>
        <w:gridCol w:w="36"/>
        <w:gridCol w:w="111"/>
        <w:gridCol w:w="1002"/>
        <w:gridCol w:w="170"/>
        <w:gridCol w:w="36"/>
        <w:gridCol w:w="36"/>
        <w:gridCol w:w="36"/>
        <w:gridCol w:w="111"/>
        <w:gridCol w:w="1004"/>
        <w:gridCol w:w="170"/>
      </w:tblGrid>
      <w:tr w:rsidR="00000000">
        <w:trPr>
          <w:divId w:val="518009635"/>
        </w:trPr>
        <w:tc>
          <w:tcPr>
            <w:tcW w:w="50" w:type="pct"/>
            <w:vAlign w:val="center"/>
            <w:hideMark/>
          </w:tcPr>
          <w:p w:rsidR="00000000" w:rsidRDefault="0094004B">
            <w:pPr>
              <w:rPr>
                <w:rFonts w:eastAsia="Times New Roman"/>
              </w:rPr>
            </w:pPr>
          </w:p>
        </w:tc>
        <w:tc>
          <w:tcPr>
            <w:tcW w:w="1290"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9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52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53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9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52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53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518009635"/>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December 31, 2022</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December 31, 2021</w:t>
            </w:r>
          </w:p>
        </w:tc>
      </w:tr>
      <w:tr w:rsidR="00000000">
        <w:trPr>
          <w:divId w:val="518009635"/>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u w:val="single"/>
              </w:rPr>
              <w:t>&gt;</w:t>
            </w:r>
            <w:r>
              <w:rPr>
                <w:rFonts w:eastAsia="Times New Roman"/>
                <w:b/>
                <w:bCs/>
                <w:color w:val="000000"/>
                <w:sz w:val="16"/>
                <w:szCs w:val="16"/>
              </w:rPr>
              <w:t xml:space="preserve"> 90 Days and Accruing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 xml:space="preserve">Nonperforming </w:t>
            </w:r>
          </w:p>
          <w:p w:rsidR="00000000" w:rsidRDefault="0094004B">
            <w:pPr>
              <w:spacing w:after="100"/>
              <w:jc w:val="center"/>
              <w:rPr>
                <w:rFonts w:eastAsia="Times New Roman"/>
              </w:rPr>
            </w:pPr>
            <w:r>
              <w:rPr>
                <w:rFonts w:eastAsia="Times New Roman"/>
                <w:b/>
                <w:bCs/>
                <w:color w:val="000000"/>
                <w:sz w:val="16"/>
                <w:szCs w:val="16"/>
              </w:rPr>
              <w:t>Loan</w:t>
            </w:r>
            <w:r>
              <w:rPr>
                <w:rFonts w:eastAsia="Times New Roman"/>
                <w:b/>
                <w:bCs/>
                <w:color w:val="000000"/>
                <w:sz w:val="16"/>
                <w:szCs w:val="16"/>
              </w:rPr>
              <w:t>s</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Nonperforming</w:t>
            </w:r>
            <w:r>
              <w:rPr>
                <w:rFonts w:eastAsia="Times New Roman"/>
                <w:b/>
                <w:bCs/>
                <w:color w:val="000000"/>
                <w:sz w:val="16"/>
                <w:szCs w:val="16"/>
              </w:rPr>
              <w:br/>
              <w:t> Loans Without an Allowance</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u w:val="single"/>
              </w:rPr>
              <w:t>&gt;</w:t>
            </w:r>
            <w:r>
              <w:rPr>
                <w:rFonts w:eastAsia="Times New Roman"/>
                <w:b/>
                <w:bCs/>
                <w:color w:val="000000"/>
                <w:sz w:val="16"/>
                <w:szCs w:val="16"/>
              </w:rPr>
              <w:t xml:space="preserve"> 90 Days and Accruing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 xml:space="preserve">Nonperforming </w:t>
            </w:r>
          </w:p>
          <w:p w:rsidR="00000000" w:rsidRDefault="0094004B">
            <w:pPr>
              <w:spacing w:after="100"/>
              <w:jc w:val="center"/>
              <w:rPr>
                <w:rFonts w:eastAsia="Times New Roman"/>
              </w:rPr>
            </w:pPr>
            <w:r>
              <w:rPr>
                <w:rFonts w:eastAsia="Times New Roman"/>
                <w:b/>
                <w:bCs/>
                <w:color w:val="000000"/>
                <w:sz w:val="16"/>
                <w:szCs w:val="16"/>
              </w:rPr>
              <w:t>Loan</w:t>
            </w:r>
            <w:r>
              <w:rPr>
                <w:rFonts w:eastAsia="Times New Roman"/>
                <w:b/>
                <w:bCs/>
                <w:color w:val="000000"/>
                <w:sz w:val="16"/>
                <w:szCs w:val="16"/>
              </w:rPr>
              <w:t>s</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Nonperforming</w:t>
            </w:r>
            <w:r>
              <w:rPr>
                <w:rFonts w:eastAsia="Times New Roman"/>
                <w:b/>
                <w:bCs/>
                <w:color w:val="000000"/>
                <w:sz w:val="16"/>
                <w:szCs w:val="16"/>
              </w:rPr>
              <w:br/>
              <w:t> Loans Without an Allowance</w:t>
            </w:r>
          </w:p>
        </w:tc>
      </w:tr>
      <w:tr w:rsidR="00000000">
        <w:trPr>
          <w:divId w:val="518009635"/>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518009635"/>
        </w:trPr>
        <w:tc>
          <w:tcPr>
            <w:tcW w:w="0" w:type="auto"/>
            <w:gridSpan w:val="3"/>
            <w:shd w:val="clear" w:color="auto" w:fill="FFFFFF"/>
            <w:tcMar>
              <w:top w:w="30" w:type="dxa"/>
              <w:left w:w="245"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2,135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1,110 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518009635"/>
        </w:trPr>
        <w:tc>
          <w:tcPr>
            <w:tcW w:w="0" w:type="auto"/>
            <w:gridSpan w:val="3"/>
            <w:shd w:val="clear" w:color="auto" w:fill="CCEEFF"/>
            <w:tcMar>
              <w:top w:w="30" w:type="dxa"/>
              <w:left w:w="245"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105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82 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518009635"/>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2,240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1,192 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518009635"/>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518009635"/>
        </w:trPr>
        <w:tc>
          <w:tcPr>
            <w:tcW w:w="0" w:type="auto"/>
            <w:gridSpan w:val="3"/>
            <w:shd w:val="clear" w:color="auto" w:fill="FFFFFF"/>
            <w:tcMar>
              <w:top w:w="30" w:type="dxa"/>
              <w:left w:w="245"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595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344 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518009635"/>
        </w:trPr>
        <w:tc>
          <w:tcPr>
            <w:tcW w:w="0" w:type="auto"/>
            <w:gridSpan w:val="3"/>
            <w:shd w:val="clear" w:color="auto" w:fill="CCEEFF"/>
            <w:tcMar>
              <w:top w:w="30" w:type="dxa"/>
              <w:left w:w="245"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Retail banking</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39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47 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4 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518009635"/>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634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391 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518009635"/>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518009635"/>
        </w:trPr>
        <w:tc>
          <w:tcPr>
            <w:tcW w:w="0" w:type="auto"/>
            <w:gridSpan w:val="3"/>
            <w:shd w:val="clear" w:color="auto" w:fill="FFFFFF"/>
            <w:tcMar>
              <w:top w:w="30" w:type="dxa"/>
              <w:left w:w="245"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271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246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383 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268 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518009635"/>
        </w:trPr>
        <w:tc>
          <w:tcPr>
            <w:tcW w:w="0" w:type="auto"/>
            <w:gridSpan w:val="3"/>
            <w:shd w:val="clear" w:color="auto" w:fill="CCEEFF"/>
            <w:tcMar>
              <w:top w:w="30" w:type="dxa"/>
              <w:left w:w="245"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430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294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316 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257 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518009635"/>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Total commercial banking</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701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540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699 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525 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518009635"/>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2,240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1,344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548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1,195 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1,100 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529 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518009635"/>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 of Total loans held for investment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0.72</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0.43</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0.18</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0.43 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0.40 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0.19 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8"/>
                <w:szCs w:val="18"/>
              </w:rPr>
              <w:t>%</w:t>
            </w:r>
          </w:p>
        </w:tc>
      </w:tr>
    </w:tbl>
    <w:p w:rsidR="00000000" w:rsidRDefault="0094004B">
      <w:pPr>
        <w:divId w:val="518009635"/>
        <w:rPr>
          <w:rFonts w:eastAsia="Times New Roman"/>
        </w:rPr>
      </w:pPr>
      <w:r>
        <w:rPr>
          <w:rFonts w:eastAsia="Times New Roman"/>
          <w:color w:val="000000"/>
          <w:sz w:val="20"/>
          <w:szCs w:val="20"/>
        </w:rPr>
        <w:t>__________</w:t>
      </w:r>
    </w:p>
    <w:p w:rsidR="00000000" w:rsidRDefault="0094004B">
      <w:pPr>
        <w:ind w:hanging="360"/>
        <w:jc w:val="both"/>
        <w:divId w:val="1384406448"/>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We recognized interest income for loans classified as nonperforming of $66 million and $43 million for the years ended December 31, 2022 and 2021</w:t>
      </w:r>
      <w:r>
        <w:rPr>
          <w:rFonts w:eastAsia="Times New Roman"/>
          <w:color w:val="000000"/>
          <w:sz w:val="20"/>
          <w:szCs w:val="20"/>
        </w:rPr>
        <w:t xml:space="preserve"> </w:t>
      </w:r>
      <w:r>
        <w:rPr>
          <w:rFonts w:eastAsia="Times New Roman"/>
          <w:color w:val="000000"/>
          <w:sz w:val="16"/>
          <w:szCs w:val="16"/>
        </w:rPr>
        <w:t>respectively.</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631396228"/>
          <w:jc w:val="center"/>
        </w:trPr>
        <w:tc>
          <w:tcPr>
            <w:tcW w:w="50" w:type="pct"/>
            <w:vAlign w:val="center"/>
            <w:hideMark/>
          </w:tcPr>
          <w:p w:rsidR="00000000" w:rsidRDefault="0094004B">
            <w:pPr>
              <w:ind w:hanging="360"/>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631396228"/>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631396228"/>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142</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68" style="width:0;height:1.5pt" o:hralign="center" o:hrstd="t" o:hr="t" fillcolor="#a0a0a0" stroked="f"/>
        </w:pict>
      </w:r>
    </w:p>
    <w:p w:rsidR="00000000" w:rsidRDefault="0094004B">
      <w:pPr>
        <w:jc w:val="both"/>
        <w:divId w:val="1753312606"/>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1753312606"/>
        <w:rPr>
          <w:rFonts w:eastAsia="Times New Roman"/>
        </w:rPr>
      </w:pPr>
    </w:p>
    <w:p w:rsidR="00000000" w:rsidRDefault="0094004B">
      <w:pPr>
        <w:jc w:val="center"/>
        <w:divId w:val="1753312606"/>
        <w:rPr>
          <w:rFonts w:eastAsia="Times New Roman"/>
        </w:rPr>
      </w:pPr>
      <w:r>
        <w:rPr>
          <w:rFonts w:eastAsia="Times New Roman"/>
          <w:b/>
          <w:bCs/>
          <w:color w:val="000000"/>
          <w:sz w:val="20"/>
          <w:szCs w:val="20"/>
        </w:rPr>
        <w:t>CAPITAL ONE FINANCIAL CORPORATION</w:t>
      </w:r>
    </w:p>
    <w:p w:rsidR="00000000" w:rsidRDefault="0094004B">
      <w:pPr>
        <w:jc w:val="center"/>
        <w:divId w:val="1753312606"/>
        <w:rPr>
          <w:rFonts w:eastAsia="Times New Roman"/>
        </w:rPr>
      </w:pPr>
      <w:r>
        <w:rPr>
          <w:rFonts w:eastAsia="Times New Roman"/>
          <w:b/>
          <w:bCs/>
          <w:color w:val="000000"/>
          <w:sz w:val="20"/>
          <w:szCs w:val="20"/>
        </w:rPr>
        <w:t>NOTES TO CONSOLIDATED FINANCIAL STATEMENTS</w:t>
      </w:r>
    </w:p>
    <w:p w:rsidR="00000000" w:rsidRDefault="0094004B">
      <w:pPr>
        <w:divId w:val="1466653599"/>
        <w:rPr>
          <w:rFonts w:eastAsia="Times New Roman"/>
        </w:rPr>
      </w:pPr>
      <w:r>
        <w:rPr>
          <w:rFonts w:eastAsia="Times New Roman"/>
          <w:b/>
          <w:bCs/>
          <w:color w:val="000000"/>
          <w:sz w:val="20"/>
          <w:szCs w:val="20"/>
        </w:rPr>
        <w:t>Credit Quality Indicators</w:t>
      </w:r>
    </w:p>
    <w:p w:rsidR="00000000" w:rsidRDefault="0094004B">
      <w:pPr>
        <w:jc w:val="both"/>
        <w:divId w:val="239028161"/>
        <w:rPr>
          <w:rFonts w:eastAsia="Times New Roman"/>
        </w:rPr>
      </w:pPr>
      <w:r>
        <w:rPr>
          <w:rFonts w:eastAsia="Times New Roman"/>
          <w:color w:val="000000"/>
          <w:sz w:val="20"/>
          <w:szCs w:val="20"/>
        </w:rPr>
        <w:t>We closely monitor economic conditions and loan performance trends to assess and manage our exposure to credit risk. We discuss these risks and our credit quality indicator for each portfolio segment below.</w:t>
      </w:r>
    </w:p>
    <w:p w:rsidR="00000000" w:rsidRDefault="0094004B">
      <w:pPr>
        <w:jc w:val="both"/>
        <w:divId w:val="1554853519"/>
        <w:rPr>
          <w:rFonts w:eastAsia="Times New Roman"/>
        </w:rPr>
      </w:pPr>
      <w:r>
        <w:rPr>
          <w:rFonts w:eastAsia="Times New Roman"/>
          <w:b/>
          <w:bCs/>
          <w:i/>
          <w:iCs/>
          <w:color w:val="000000"/>
          <w:sz w:val="20"/>
          <w:szCs w:val="20"/>
        </w:rPr>
        <w:t>Credit Card</w:t>
      </w:r>
    </w:p>
    <w:p w:rsidR="00000000" w:rsidRDefault="0094004B">
      <w:pPr>
        <w:jc w:val="both"/>
        <w:divId w:val="860826929"/>
        <w:rPr>
          <w:rFonts w:eastAsia="Times New Roman"/>
        </w:rPr>
      </w:pPr>
      <w:r>
        <w:rPr>
          <w:rFonts w:eastAsia="Times New Roman"/>
          <w:color w:val="000000"/>
          <w:sz w:val="20"/>
          <w:szCs w:val="20"/>
        </w:rPr>
        <w:t>Our credit card loan portfolio is hig</w:t>
      </w:r>
      <w:r>
        <w:rPr>
          <w:rFonts w:eastAsia="Times New Roman"/>
          <w:color w:val="000000"/>
          <w:sz w:val="20"/>
          <w:szCs w:val="20"/>
        </w:rPr>
        <w:t>hly diversified across millions of accounts and numerous geographies without significant individual exposure. We therefore generally manage credit risk based on portfolios with common risk characteristics. The risk in our credit card loan portfolio correla</w:t>
      </w:r>
      <w:r>
        <w:rPr>
          <w:rFonts w:eastAsia="Times New Roman"/>
          <w:color w:val="000000"/>
          <w:sz w:val="20"/>
          <w:szCs w:val="20"/>
        </w:rPr>
        <w:t>tes to broad economic trends, such as unemployment rates and the U.S. Real Gross Domestic Product (“GDP”) Rate, as well as consumers’ financial condition, all of which can have a material effect on credit performance. The key indicator we assess in monitor</w:t>
      </w:r>
      <w:r>
        <w:rPr>
          <w:rFonts w:eastAsia="Times New Roman"/>
          <w:color w:val="000000"/>
          <w:sz w:val="20"/>
          <w:szCs w:val="20"/>
        </w:rPr>
        <w:t xml:space="preserve">ing the credit quality and risk of our credit card loan portfolio is delinquency trends, including an analysis of loan migration between delinquency categories over time. </w:t>
      </w:r>
    </w:p>
    <w:p w:rsidR="00000000" w:rsidRDefault="0094004B">
      <w:pPr>
        <w:divId w:val="1454322868"/>
        <w:rPr>
          <w:rFonts w:eastAsia="Times New Roman"/>
        </w:rPr>
      </w:pPr>
      <w:r>
        <w:rPr>
          <w:rFonts w:eastAsia="Times New Roman"/>
          <w:color w:val="000000"/>
          <w:sz w:val="20"/>
          <w:szCs w:val="20"/>
        </w:rPr>
        <w:t>The table below presents our credit card portfolio by delinquency status as of Decem</w:t>
      </w:r>
      <w:r>
        <w:rPr>
          <w:rFonts w:eastAsia="Times New Roman"/>
          <w:color w:val="000000"/>
          <w:sz w:val="20"/>
          <w:szCs w:val="20"/>
        </w:rPr>
        <w:t>ber 31, 2022 and 2021.</w:t>
      </w:r>
    </w:p>
    <w:p w:rsidR="00000000" w:rsidRDefault="0094004B">
      <w:pPr>
        <w:divId w:val="1872378048"/>
        <w:rPr>
          <w:rFonts w:eastAsia="Times New Roman"/>
        </w:rPr>
      </w:pPr>
      <w:r>
        <w:rPr>
          <w:rFonts w:eastAsia="Times New Roman"/>
          <w:b/>
          <w:bCs/>
          <w:color w:val="000000"/>
          <w:sz w:val="18"/>
          <w:szCs w:val="18"/>
        </w:rPr>
        <w:t>Table 3.3: Credit Card Delinquency Status</w:t>
      </w:r>
    </w:p>
    <w:tbl>
      <w:tblPr>
        <w:tblW w:w="5000" w:type="pct"/>
        <w:tblCellMar>
          <w:top w:w="15" w:type="dxa"/>
          <w:left w:w="15" w:type="dxa"/>
          <w:bottom w:w="15" w:type="dxa"/>
          <w:right w:w="15" w:type="dxa"/>
        </w:tblCellMar>
        <w:tblLook w:val="04A0" w:firstRow="1" w:lastRow="0" w:firstColumn="1" w:lastColumn="0" w:noHBand="0" w:noVBand="1"/>
      </w:tblPr>
      <w:tblGrid>
        <w:gridCol w:w="41"/>
        <w:gridCol w:w="2460"/>
        <w:gridCol w:w="40"/>
        <w:gridCol w:w="36"/>
        <w:gridCol w:w="36"/>
        <w:gridCol w:w="36"/>
        <w:gridCol w:w="36"/>
        <w:gridCol w:w="36"/>
        <w:gridCol w:w="110"/>
        <w:gridCol w:w="722"/>
        <w:gridCol w:w="36"/>
        <w:gridCol w:w="36"/>
        <w:gridCol w:w="36"/>
        <w:gridCol w:w="36"/>
        <w:gridCol w:w="111"/>
        <w:gridCol w:w="722"/>
        <w:gridCol w:w="36"/>
        <w:gridCol w:w="36"/>
        <w:gridCol w:w="36"/>
        <w:gridCol w:w="36"/>
        <w:gridCol w:w="110"/>
        <w:gridCol w:w="666"/>
        <w:gridCol w:w="36"/>
        <w:gridCol w:w="36"/>
        <w:gridCol w:w="36"/>
        <w:gridCol w:w="36"/>
        <w:gridCol w:w="110"/>
        <w:gridCol w:w="723"/>
        <w:gridCol w:w="36"/>
        <w:gridCol w:w="36"/>
        <w:gridCol w:w="36"/>
        <w:gridCol w:w="36"/>
        <w:gridCol w:w="111"/>
        <w:gridCol w:w="681"/>
        <w:gridCol w:w="36"/>
        <w:gridCol w:w="36"/>
        <w:gridCol w:w="36"/>
        <w:gridCol w:w="36"/>
        <w:gridCol w:w="110"/>
        <w:gridCol w:w="653"/>
        <w:gridCol w:w="36"/>
      </w:tblGrid>
      <w:tr w:rsidR="00000000">
        <w:trPr>
          <w:divId w:val="995035811"/>
        </w:trPr>
        <w:tc>
          <w:tcPr>
            <w:tcW w:w="50" w:type="pct"/>
            <w:vAlign w:val="center"/>
            <w:hideMark/>
          </w:tcPr>
          <w:p w:rsidR="00000000" w:rsidRDefault="0094004B">
            <w:pPr>
              <w:rPr>
                <w:rFonts w:eastAsia="Times New Roman"/>
              </w:rPr>
            </w:pPr>
          </w:p>
        </w:tc>
        <w:tc>
          <w:tcPr>
            <w:tcW w:w="154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1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78"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1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78"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78"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1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78"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78"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7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995035811"/>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December 31, 2022</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December 31, 2021</w:t>
            </w:r>
          </w:p>
        </w:tc>
      </w:tr>
      <w:tr w:rsidR="00000000">
        <w:trPr>
          <w:divId w:val="995035811"/>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Revolving Loans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Revolving Loans Converted to Term</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Total</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Revolving Loans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Revolving Loans Converted to Term</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Total</w:t>
            </w:r>
          </w:p>
        </w:tc>
      </w:tr>
      <w:tr w:rsidR="00000000">
        <w:trPr>
          <w:divId w:val="995035811"/>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995035811"/>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995035811"/>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divId w:val="761101031"/>
              <w:rPr>
                <w:rFonts w:eastAsia="Times New Roman"/>
              </w:rPr>
            </w:pPr>
            <w:r>
              <w:rPr>
                <w:rFonts w:eastAsia="Times New Roman"/>
                <w:color w:val="000000"/>
                <w:sz w:val="18"/>
                <w:szCs w:val="18"/>
              </w:rPr>
              <w:t>Current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126,811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255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127,066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105,985 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327 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106,312 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995035811"/>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divId w:val="531112029"/>
              <w:rPr>
                <w:rFonts w:eastAsia="Times New Roman"/>
              </w:rPr>
            </w:pPr>
            <w:r>
              <w:rPr>
                <w:rFonts w:eastAsia="Times New Roman"/>
                <w:color w:val="000000"/>
                <w:sz w:val="18"/>
                <w:szCs w:val="18"/>
              </w:rPr>
              <w:t>30-59 days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1,388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1,405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760 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13 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773 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995035811"/>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divId w:val="579952678"/>
              <w:rPr>
                <w:rFonts w:eastAsia="Times New Roman"/>
              </w:rPr>
            </w:pPr>
            <w:r>
              <w:rPr>
                <w:rFonts w:eastAsia="Times New Roman"/>
                <w:color w:val="000000"/>
                <w:sz w:val="18"/>
                <w:szCs w:val="18"/>
              </w:rPr>
              <w:t>60-89 days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964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975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519 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9 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528 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995035811"/>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divId w:val="1068764563"/>
              <w:rPr>
                <w:rFonts w:eastAsia="Times New Roman"/>
              </w:rPr>
            </w:pPr>
            <w:r>
              <w:rPr>
                <w:rFonts w:eastAsia="Times New Roman"/>
                <w:color w:val="000000"/>
                <w:sz w:val="18"/>
                <w:szCs w:val="18"/>
              </w:rPr>
              <w:t>Greater than 90 days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2,121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2,135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1,100 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1,110 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995035811"/>
        </w:trPr>
        <w:tc>
          <w:tcPr>
            <w:tcW w:w="0" w:type="auto"/>
            <w:gridSpan w:val="3"/>
            <w:shd w:val="clear" w:color="auto" w:fill="CCEEFF"/>
            <w:tcMar>
              <w:top w:w="30" w:type="dxa"/>
              <w:left w:w="245"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Total domestic credit card</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131,284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297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131,581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108,364 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108,723 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995035811"/>
          <w:trHeight w:val="240"/>
        </w:trPr>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995035811"/>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995035811"/>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divId w:val="1254165176"/>
              <w:rPr>
                <w:rFonts w:eastAsia="Times New Roman"/>
              </w:rPr>
            </w:pPr>
            <w:r>
              <w:rPr>
                <w:rFonts w:eastAsia="Times New Roman"/>
                <w:color w:val="000000"/>
                <w:sz w:val="18"/>
                <w:szCs w:val="18"/>
              </w:rPr>
              <w:t>Current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5,866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5,895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5,795 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41 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5,836 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995035811"/>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divId w:val="927350884"/>
              <w:rPr>
                <w:rFonts w:eastAsia="Times New Roman"/>
              </w:rPr>
            </w:pPr>
            <w:r>
              <w:rPr>
                <w:rFonts w:eastAsia="Times New Roman"/>
                <w:color w:val="000000"/>
                <w:sz w:val="18"/>
                <w:szCs w:val="18"/>
              </w:rPr>
              <w:t>30-59 days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83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86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73 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4 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77 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995035811"/>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divId w:val="1411736487"/>
              <w:rPr>
                <w:rFonts w:eastAsia="Times New Roman"/>
              </w:rPr>
            </w:pPr>
            <w:r>
              <w:rPr>
                <w:rFonts w:eastAsia="Times New Roman"/>
                <w:color w:val="000000"/>
                <w:sz w:val="18"/>
                <w:szCs w:val="18"/>
              </w:rPr>
              <w:t>60-89 days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55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58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47 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50 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995035811"/>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divId w:val="601497271"/>
              <w:rPr>
                <w:rFonts w:eastAsia="Times New Roman"/>
              </w:rPr>
            </w:pPr>
            <w:r>
              <w:rPr>
                <w:rFonts w:eastAsia="Times New Roman"/>
                <w:color w:val="000000"/>
                <w:sz w:val="18"/>
                <w:szCs w:val="18"/>
              </w:rPr>
              <w:t>Greater than 90 days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106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110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82 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4 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86 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995035811"/>
        </w:trPr>
        <w:tc>
          <w:tcPr>
            <w:tcW w:w="0" w:type="auto"/>
            <w:gridSpan w:val="3"/>
            <w:shd w:val="clear" w:color="auto" w:fill="FFFFFF"/>
            <w:tcMar>
              <w:top w:w="30" w:type="dxa"/>
              <w:left w:w="245"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Total international card businesses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6,110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39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6,149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5,997 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52 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6,049 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995035811"/>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Total credit card</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137,394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336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137,730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114,361 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411 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114,772 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94004B">
            <w:pPr>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143</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69" style="width:0;height:1.5pt" o:hralign="center" o:hrstd="t" o:hr="t" fillcolor="#a0a0a0" stroked="f"/>
        </w:pict>
      </w:r>
    </w:p>
    <w:p w:rsidR="00000000" w:rsidRDefault="0094004B">
      <w:pPr>
        <w:jc w:val="both"/>
        <w:divId w:val="1105686508"/>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1105686508"/>
        <w:rPr>
          <w:rFonts w:eastAsia="Times New Roman"/>
        </w:rPr>
      </w:pPr>
    </w:p>
    <w:p w:rsidR="00000000" w:rsidRDefault="0094004B">
      <w:pPr>
        <w:jc w:val="center"/>
        <w:divId w:val="1105686508"/>
        <w:rPr>
          <w:rFonts w:eastAsia="Times New Roman"/>
        </w:rPr>
      </w:pPr>
      <w:r>
        <w:rPr>
          <w:rFonts w:eastAsia="Times New Roman"/>
          <w:b/>
          <w:bCs/>
          <w:color w:val="000000"/>
          <w:sz w:val="20"/>
          <w:szCs w:val="20"/>
        </w:rPr>
        <w:t>CAPITAL ONE FINANCIAL CORPORATION</w:t>
      </w:r>
    </w:p>
    <w:p w:rsidR="00000000" w:rsidRDefault="0094004B">
      <w:pPr>
        <w:jc w:val="center"/>
        <w:divId w:val="1105686508"/>
        <w:rPr>
          <w:rFonts w:eastAsia="Times New Roman"/>
        </w:rPr>
      </w:pPr>
      <w:r>
        <w:rPr>
          <w:rFonts w:eastAsia="Times New Roman"/>
          <w:b/>
          <w:bCs/>
          <w:color w:val="000000"/>
          <w:sz w:val="20"/>
          <w:szCs w:val="20"/>
        </w:rPr>
        <w:t>NOTES TO CONSOLIDATED FINANCIAL STATEMENTS</w:t>
      </w:r>
    </w:p>
    <w:p w:rsidR="00000000" w:rsidRDefault="0094004B">
      <w:pPr>
        <w:divId w:val="1412503381"/>
        <w:rPr>
          <w:rFonts w:eastAsia="Times New Roman"/>
        </w:rPr>
      </w:pPr>
      <w:r>
        <w:rPr>
          <w:rFonts w:eastAsia="Times New Roman"/>
          <w:b/>
          <w:bCs/>
          <w:i/>
          <w:iCs/>
          <w:color w:val="000000"/>
          <w:sz w:val="20"/>
          <w:szCs w:val="20"/>
        </w:rPr>
        <w:t>Consumer Banking</w:t>
      </w:r>
    </w:p>
    <w:p w:rsidR="00000000" w:rsidRDefault="0094004B">
      <w:pPr>
        <w:jc w:val="both"/>
        <w:divId w:val="893002870"/>
        <w:rPr>
          <w:rFonts w:eastAsia="Times New Roman"/>
        </w:rPr>
      </w:pPr>
      <w:r>
        <w:rPr>
          <w:rFonts w:eastAsia="Times New Roman"/>
          <w:color w:val="000000"/>
          <w:sz w:val="20"/>
          <w:szCs w:val="20"/>
        </w:rPr>
        <w:t xml:space="preserve">Our consumer banking loan portfolio consists of auto and retail banking loans. Similar to our credit card loan portfolio, the risk in our consumer banking loan portfolio correlates to broad economic trends as well as consumers’ financial condition, all of </w:t>
      </w:r>
      <w:r>
        <w:rPr>
          <w:rFonts w:eastAsia="Times New Roman"/>
          <w:color w:val="000000"/>
          <w:sz w:val="20"/>
          <w:szCs w:val="20"/>
        </w:rPr>
        <w:t>which can have a material effect on credit performance. The key indicator we monitor when assessing the credit quality and risk of our auto loan portfolio is borrower credit scores as they measure the creditworthiness of borrowers. Delinquency trends are t</w:t>
      </w:r>
      <w:r>
        <w:rPr>
          <w:rFonts w:eastAsia="Times New Roman"/>
          <w:color w:val="000000"/>
          <w:sz w:val="20"/>
          <w:szCs w:val="20"/>
        </w:rPr>
        <w:t>he key indicator we assess in monitoring the credit quality and risk of our retail banking loan portfolio.</w:t>
      </w:r>
    </w:p>
    <w:p w:rsidR="00000000" w:rsidRDefault="0094004B">
      <w:pPr>
        <w:jc w:val="both"/>
        <w:divId w:val="1609463437"/>
        <w:rPr>
          <w:rFonts w:eastAsia="Times New Roman"/>
        </w:rPr>
      </w:pPr>
      <w:r>
        <w:rPr>
          <w:rFonts w:eastAsia="Times New Roman"/>
          <w:color w:val="000000"/>
          <w:sz w:val="20"/>
          <w:szCs w:val="20"/>
        </w:rPr>
        <w:t>The table below presents our consumer banking portfolio of loans held for investment by credit quality indicator as of December 31, 2022 and 2021. We</w:t>
      </w:r>
      <w:r>
        <w:rPr>
          <w:rFonts w:eastAsia="Times New Roman"/>
          <w:color w:val="000000"/>
          <w:sz w:val="20"/>
          <w:szCs w:val="20"/>
        </w:rPr>
        <w:t xml:space="preserve"> present our auto loan portfolio by FICO scores at origination and our retail banking loan portfolio by delinquency status, which includes all past due loans, both performing and nonperforming.</w:t>
      </w:r>
    </w:p>
    <w:p w:rsidR="00000000" w:rsidRDefault="0094004B">
      <w:pPr>
        <w:divId w:val="942033109"/>
        <w:rPr>
          <w:rFonts w:eastAsia="Times New Roman"/>
        </w:rPr>
      </w:pPr>
      <w:r>
        <w:rPr>
          <w:rFonts w:eastAsia="Times New Roman"/>
          <w:b/>
          <w:bCs/>
          <w:color w:val="000000"/>
          <w:sz w:val="18"/>
          <w:szCs w:val="18"/>
        </w:rPr>
        <w:t>Table 3.4: Consumer Banking Portfolio by Credit Quality Indica</w:t>
      </w:r>
      <w:r>
        <w:rPr>
          <w:rFonts w:eastAsia="Times New Roman"/>
          <w:b/>
          <w:bCs/>
          <w:color w:val="000000"/>
          <w:sz w:val="18"/>
          <w:szCs w:val="18"/>
        </w:rPr>
        <w:t>tor</w:t>
      </w:r>
    </w:p>
    <w:tbl>
      <w:tblPr>
        <w:tblW w:w="5000" w:type="pct"/>
        <w:tblCellMar>
          <w:top w:w="15" w:type="dxa"/>
          <w:left w:w="15" w:type="dxa"/>
          <w:bottom w:w="15" w:type="dxa"/>
          <w:right w:w="15" w:type="dxa"/>
        </w:tblCellMar>
        <w:tblLook w:val="04A0" w:firstRow="1" w:lastRow="0" w:firstColumn="1" w:lastColumn="0" w:noHBand="0" w:noVBand="1"/>
      </w:tblPr>
      <w:tblGrid>
        <w:gridCol w:w="49"/>
        <w:gridCol w:w="95"/>
        <w:gridCol w:w="853"/>
        <w:gridCol w:w="39"/>
        <w:gridCol w:w="36"/>
        <w:gridCol w:w="36"/>
        <w:gridCol w:w="36"/>
        <w:gridCol w:w="110"/>
        <w:gridCol w:w="449"/>
        <w:gridCol w:w="91"/>
        <w:gridCol w:w="36"/>
        <w:gridCol w:w="17"/>
        <w:gridCol w:w="19"/>
        <w:gridCol w:w="36"/>
        <w:gridCol w:w="36"/>
        <w:gridCol w:w="53"/>
        <w:gridCol w:w="57"/>
        <w:gridCol w:w="87"/>
        <w:gridCol w:w="144"/>
        <w:gridCol w:w="144"/>
        <w:gridCol w:w="165"/>
        <w:gridCol w:w="36"/>
        <w:gridCol w:w="36"/>
        <w:gridCol w:w="36"/>
        <w:gridCol w:w="36"/>
        <w:gridCol w:w="110"/>
        <w:gridCol w:w="71"/>
        <w:gridCol w:w="144"/>
        <w:gridCol w:w="144"/>
        <w:gridCol w:w="144"/>
        <w:gridCol w:w="37"/>
        <w:gridCol w:w="36"/>
        <w:gridCol w:w="36"/>
        <w:gridCol w:w="35"/>
        <w:gridCol w:w="1"/>
        <w:gridCol w:w="36"/>
        <w:gridCol w:w="107"/>
        <w:gridCol w:w="3"/>
        <w:gridCol w:w="450"/>
        <w:gridCol w:w="36"/>
        <w:gridCol w:w="1"/>
        <w:gridCol w:w="35"/>
        <w:gridCol w:w="36"/>
        <w:gridCol w:w="36"/>
        <w:gridCol w:w="37"/>
        <w:gridCol w:w="73"/>
        <w:gridCol w:w="71"/>
        <w:gridCol w:w="144"/>
        <w:gridCol w:w="144"/>
        <w:gridCol w:w="91"/>
        <w:gridCol w:w="36"/>
        <w:gridCol w:w="17"/>
        <w:gridCol w:w="19"/>
        <w:gridCol w:w="36"/>
        <w:gridCol w:w="36"/>
        <w:gridCol w:w="110"/>
        <w:gridCol w:w="289"/>
        <w:gridCol w:w="144"/>
        <w:gridCol w:w="17"/>
        <w:gridCol w:w="36"/>
        <w:gridCol w:w="36"/>
        <w:gridCol w:w="36"/>
        <w:gridCol w:w="19"/>
        <w:gridCol w:w="17"/>
        <w:gridCol w:w="110"/>
        <w:gridCol w:w="17"/>
        <w:gridCol w:w="144"/>
        <w:gridCol w:w="144"/>
        <w:gridCol w:w="235"/>
        <w:gridCol w:w="36"/>
        <w:gridCol w:w="36"/>
        <w:gridCol w:w="36"/>
        <w:gridCol w:w="36"/>
        <w:gridCol w:w="111"/>
        <w:gridCol w:w="144"/>
        <w:gridCol w:w="144"/>
        <w:gridCol w:w="144"/>
        <w:gridCol w:w="144"/>
        <w:gridCol w:w="5"/>
        <w:gridCol w:w="36"/>
        <w:gridCol w:w="36"/>
        <w:gridCol w:w="36"/>
        <w:gridCol w:w="31"/>
        <w:gridCol w:w="5"/>
        <w:gridCol w:w="111"/>
        <w:gridCol w:w="374"/>
        <w:gridCol w:w="144"/>
        <w:gridCol w:w="112"/>
        <w:gridCol w:w="32"/>
        <w:gridCol w:w="4"/>
        <w:gridCol w:w="36"/>
        <w:gridCol w:w="36"/>
        <w:gridCol w:w="36"/>
        <w:gridCol w:w="32"/>
        <w:gridCol w:w="78"/>
        <w:gridCol w:w="66"/>
        <w:gridCol w:w="144"/>
        <w:gridCol w:w="330"/>
        <w:gridCol w:w="36"/>
        <w:gridCol w:w="124"/>
        <w:gridCol w:w="144"/>
        <w:gridCol w:w="144"/>
        <w:gridCol w:w="144"/>
        <w:gridCol w:w="144"/>
        <w:gridCol w:w="144"/>
        <w:gridCol w:w="490"/>
        <w:gridCol w:w="144"/>
        <w:gridCol w:w="144"/>
        <w:gridCol w:w="144"/>
        <w:gridCol w:w="144"/>
        <w:gridCol w:w="144"/>
        <w:gridCol w:w="526"/>
        <w:gridCol w:w="144"/>
        <w:gridCol w:w="144"/>
        <w:gridCol w:w="144"/>
        <w:gridCol w:w="144"/>
        <w:gridCol w:w="144"/>
        <w:gridCol w:w="672"/>
        <w:gridCol w:w="144"/>
        <w:gridCol w:w="144"/>
        <w:gridCol w:w="144"/>
        <w:gridCol w:w="144"/>
        <w:gridCol w:w="144"/>
        <w:gridCol w:w="491"/>
        <w:gridCol w:w="144"/>
      </w:tblGrid>
      <w:tr w:rsidR="00000000">
        <w:trPr>
          <w:gridAfter w:val="26"/>
          <w:divId w:val="458181899"/>
        </w:trPr>
        <w:tc>
          <w:tcPr>
            <w:tcW w:w="50" w:type="pct"/>
            <w:vAlign w:val="center"/>
            <w:hideMark/>
          </w:tcPr>
          <w:p w:rsidR="00000000" w:rsidRDefault="0094004B">
            <w:pPr>
              <w:rPr>
                <w:rFonts w:eastAsia="Times New Roman"/>
              </w:rPr>
            </w:pPr>
          </w:p>
        </w:tc>
        <w:tc>
          <w:tcPr>
            <w:tcW w:w="968" w:type="pct"/>
            <w:gridSpan w:val="2"/>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95" w:type="pct"/>
            <w:gridSpan w:val="2"/>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gridSpan w:val="2"/>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gridSpan w:val="2"/>
            <w:vAlign w:val="center"/>
            <w:hideMark/>
          </w:tcPr>
          <w:p w:rsidR="00000000" w:rsidRDefault="0094004B">
            <w:pPr>
              <w:spacing w:after="100"/>
              <w:rPr>
                <w:rFonts w:eastAsia="Times New Roman"/>
                <w:sz w:val="20"/>
                <w:szCs w:val="20"/>
              </w:rPr>
            </w:pPr>
          </w:p>
        </w:tc>
        <w:tc>
          <w:tcPr>
            <w:tcW w:w="295" w:type="pct"/>
            <w:gridSpan w:val="4"/>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95" w:type="pct"/>
            <w:gridSpan w:val="5"/>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gridSpan w:val="2"/>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gridSpan w:val="2"/>
            <w:vAlign w:val="center"/>
            <w:hideMark/>
          </w:tcPr>
          <w:p w:rsidR="00000000" w:rsidRDefault="0094004B">
            <w:pPr>
              <w:spacing w:after="100"/>
              <w:rPr>
                <w:rFonts w:eastAsia="Times New Roman"/>
                <w:sz w:val="20"/>
                <w:szCs w:val="20"/>
              </w:rPr>
            </w:pPr>
          </w:p>
        </w:tc>
        <w:tc>
          <w:tcPr>
            <w:tcW w:w="29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gridSpan w:val="2"/>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gridSpan w:val="2"/>
            <w:vAlign w:val="center"/>
            <w:hideMark/>
          </w:tcPr>
          <w:p w:rsidR="00000000" w:rsidRDefault="0094004B">
            <w:pPr>
              <w:spacing w:after="100"/>
              <w:rPr>
                <w:rFonts w:eastAsia="Times New Roman"/>
                <w:sz w:val="20"/>
                <w:szCs w:val="20"/>
              </w:rPr>
            </w:pPr>
          </w:p>
        </w:tc>
        <w:tc>
          <w:tcPr>
            <w:tcW w:w="295" w:type="pct"/>
            <w:gridSpan w:val="4"/>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gridSpan w:val="2"/>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66" w:type="pct"/>
            <w:gridSpan w:val="3"/>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gridSpan w:val="2"/>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95" w:type="pct"/>
            <w:gridSpan w:val="4"/>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17" w:type="pct"/>
            <w:gridSpan w:val="5"/>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gridSpan w:val="2"/>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05" w:type="pct"/>
            <w:gridSpan w:val="3"/>
            <w:vAlign w:val="center"/>
            <w:hideMark/>
          </w:tcPr>
          <w:p w:rsidR="00000000" w:rsidRDefault="0094004B">
            <w:pPr>
              <w:spacing w:after="100"/>
              <w:rPr>
                <w:rFonts w:eastAsia="Times New Roman"/>
                <w:sz w:val="20"/>
                <w:szCs w:val="20"/>
              </w:rPr>
            </w:pPr>
          </w:p>
        </w:tc>
        <w:tc>
          <w:tcPr>
            <w:tcW w:w="5" w:type="pct"/>
            <w:gridSpan w:val="2"/>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gridSpan w:val="2"/>
            <w:vAlign w:val="center"/>
            <w:hideMark/>
          </w:tcPr>
          <w:p w:rsidR="00000000" w:rsidRDefault="0094004B">
            <w:pPr>
              <w:spacing w:after="100"/>
              <w:rPr>
                <w:rFonts w:eastAsia="Times New Roman"/>
                <w:sz w:val="20"/>
                <w:szCs w:val="20"/>
              </w:rPr>
            </w:pPr>
          </w:p>
        </w:tc>
        <w:tc>
          <w:tcPr>
            <w:tcW w:w="296" w:type="pct"/>
            <w:gridSpan w:val="3"/>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gridAfter w:val="26"/>
          <w:divId w:val="458181899"/>
        </w:trPr>
        <w:tc>
          <w:tcPr>
            <w:tcW w:w="0" w:type="auto"/>
            <w:gridSpan w:val="4"/>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91"/>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5"/>
                <w:szCs w:val="15"/>
              </w:rPr>
              <w:t>December 31, 2022</w:t>
            </w:r>
          </w:p>
        </w:tc>
        <w:tc>
          <w:tcPr>
            <w:tcW w:w="0" w:type="auto"/>
            <w:vAlign w:val="center"/>
            <w:hideMark/>
          </w:tcPr>
          <w:p w:rsidR="00000000" w:rsidRDefault="0094004B">
            <w:pPr>
              <w:spacing w:after="100"/>
              <w:jc w:val="center"/>
              <w:rPr>
                <w:rFonts w:eastAsia="Times New Roman"/>
              </w:rPr>
            </w:pPr>
          </w:p>
        </w:tc>
      </w:tr>
      <w:tr w:rsidR="00000000">
        <w:trPr>
          <w:gridAfter w:val="26"/>
          <w:divId w:val="458181899"/>
        </w:trPr>
        <w:tc>
          <w:tcPr>
            <w:tcW w:w="0" w:type="auto"/>
            <w:gridSpan w:val="4"/>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6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5"/>
                <w:szCs w:val="15"/>
              </w:rPr>
              <w:t>Term Loans by Vintage Year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7"/>
            <w:tcBorders>
              <w:top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6"/>
            <w:tcBorders>
              <w:top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5"/>
            <w:tcBorders>
              <w:top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gridAfter w:val="26"/>
          <w:divId w:val="458181899"/>
        </w:trPr>
        <w:tc>
          <w:tcPr>
            <w:tcW w:w="0" w:type="auto"/>
            <w:gridSpan w:val="4"/>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5"/>
                <w:szCs w:val="15"/>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4"/>
            <w:tcBorders>
              <w:top w:val="single" w:sz="4"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5"/>
                <w:szCs w:val="15"/>
              </w:rPr>
              <w:t>2022</w:t>
            </w:r>
          </w:p>
        </w:tc>
        <w:tc>
          <w:tcPr>
            <w:tcW w:w="0" w:type="auto"/>
            <w:gridSpan w:val="4"/>
            <w:tcBorders>
              <w:top w:val="single" w:sz="4"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7"/>
            <w:tcBorders>
              <w:top w:val="single" w:sz="4"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5"/>
                <w:szCs w:val="15"/>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7"/>
            <w:tcBorders>
              <w:top w:val="single" w:sz="4"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5"/>
                <w:szCs w:val="15"/>
              </w:rPr>
              <w:t>2020</w:t>
            </w:r>
          </w:p>
        </w:tc>
        <w:tc>
          <w:tcPr>
            <w:tcW w:w="0" w:type="auto"/>
            <w:gridSpan w:val="4"/>
            <w:tcBorders>
              <w:top w:val="single" w:sz="4"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4"/>
            <w:tcBorders>
              <w:top w:val="single" w:sz="4"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5"/>
                <w:szCs w:val="15"/>
              </w:rPr>
              <w:t>2019</w:t>
            </w:r>
          </w:p>
        </w:tc>
        <w:tc>
          <w:tcPr>
            <w:tcW w:w="0" w:type="auto"/>
            <w:gridSpan w:val="4"/>
            <w:tcBorders>
              <w:top w:val="single" w:sz="4"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7"/>
            <w:tcBorders>
              <w:top w:val="single" w:sz="4"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5"/>
                <w:szCs w:val="15"/>
              </w:rPr>
              <w:t>2018</w:t>
            </w:r>
          </w:p>
        </w:tc>
        <w:tc>
          <w:tcPr>
            <w:tcW w:w="0" w:type="auto"/>
            <w:gridSpan w:val="4"/>
            <w:tcBorders>
              <w:top w:val="single" w:sz="4"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5"/>
            <w:tcBorders>
              <w:top w:val="single" w:sz="4"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5"/>
                <w:szCs w:val="15"/>
              </w:rPr>
              <w:t>Prior</w:t>
            </w:r>
          </w:p>
        </w:tc>
        <w:tc>
          <w:tcPr>
            <w:tcW w:w="0" w:type="auto"/>
            <w:gridSpan w:val="4"/>
            <w:tcBorders>
              <w:top w:val="single" w:sz="4"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6"/>
            <w:tcBorders>
              <w:top w:val="single" w:sz="4"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5"/>
                <w:szCs w:val="15"/>
              </w:rPr>
              <w:t>Total Term Loans</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7"/>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5"/>
                <w:szCs w:val="15"/>
              </w:rPr>
              <w:t>Revolving Loans</w:t>
            </w:r>
          </w:p>
        </w:tc>
        <w:tc>
          <w:tcPr>
            <w:tcW w:w="0" w:type="auto"/>
            <w:gridSpan w:val="4"/>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5"/>
                <w:szCs w:val="15"/>
              </w:rPr>
              <w:t>Revolving Loans Converted to Term</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5"/>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5"/>
                <w:szCs w:val="15"/>
              </w:rPr>
              <w:t>Total</w:t>
            </w:r>
          </w:p>
        </w:tc>
        <w:tc>
          <w:tcPr>
            <w:tcW w:w="0" w:type="auto"/>
            <w:vAlign w:val="center"/>
            <w:hideMark/>
          </w:tcPr>
          <w:p w:rsidR="00000000" w:rsidRDefault="0094004B">
            <w:pPr>
              <w:spacing w:after="100"/>
              <w:jc w:val="center"/>
              <w:rPr>
                <w:rFonts w:eastAsia="Times New Roman"/>
              </w:rPr>
            </w:pPr>
          </w:p>
        </w:tc>
      </w:tr>
      <w:tr w:rsidR="00000000">
        <w:trPr>
          <w:gridAfter w:val="26"/>
          <w:divId w:val="458181899"/>
        </w:trPr>
        <w:tc>
          <w:tcPr>
            <w:tcW w:w="0" w:type="auto"/>
            <w:gridSpan w:val="4"/>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4"/>
            <w:vAlign w:val="center"/>
            <w:hideMark/>
          </w:tcPr>
          <w:p w:rsidR="00000000" w:rsidRDefault="0094004B">
            <w:pPr>
              <w:spacing w:after="100"/>
              <w:rPr>
                <w:rFonts w:eastAsia="Times New Roman"/>
                <w:sz w:val="20"/>
                <w:szCs w:val="20"/>
              </w:rPr>
            </w:pPr>
          </w:p>
        </w:tc>
        <w:tc>
          <w:tcPr>
            <w:tcW w:w="0" w:type="auto"/>
            <w:gridSpan w:val="4"/>
            <w:vAlign w:val="center"/>
            <w:hideMark/>
          </w:tcPr>
          <w:p w:rsidR="00000000" w:rsidRDefault="0094004B">
            <w:pPr>
              <w:spacing w:after="100"/>
              <w:rPr>
                <w:rFonts w:eastAsia="Times New Roman"/>
                <w:sz w:val="20"/>
                <w:szCs w:val="20"/>
              </w:rPr>
            </w:pPr>
          </w:p>
        </w:tc>
        <w:tc>
          <w:tcPr>
            <w:tcW w:w="0" w:type="auto"/>
            <w:gridSpan w:val="7"/>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7"/>
            <w:vAlign w:val="center"/>
            <w:hideMark/>
          </w:tcPr>
          <w:p w:rsidR="00000000" w:rsidRDefault="0094004B">
            <w:pPr>
              <w:spacing w:after="100"/>
              <w:rPr>
                <w:rFonts w:eastAsia="Times New Roman"/>
                <w:sz w:val="20"/>
                <w:szCs w:val="20"/>
              </w:rPr>
            </w:pPr>
          </w:p>
        </w:tc>
        <w:tc>
          <w:tcPr>
            <w:tcW w:w="0" w:type="auto"/>
            <w:gridSpan w:val="4"/>
            <w:vAlign w:val="center"/>
            <w:hideMark/>
          </w:tcPr>
          <w:p w:rsidR="00000000" w:rsidRDefault="0094004B">
            <w:pPr>
              <w:spacing w:after="100"/>
              <w:rPr>
                <w:rFonts w:eastAsia="Times New Roman"/>
                <w:sz w:val="20"/>
                <w:szCs w:val="20"/>
              </w:rPr>
            </w:pPr>
          </w:p>
        </w:tc>
        <w:tc>
          <w:tcPr>
            <w:tcW w:w="0" w:type="auto"/>
            <w:gridSpan w:val="4"/>
            <w:vAlign w:val="center"/>
            <w:hideMark/>
          </w:tcPr>
          <w:p w:rsidR="00000000" w:rsidRDefault="0094004B">
            <w:pPr>
              <w:spacing w:after="100"/>
              <w:rPr>
                <w:rFonts w:eastAsia="Times New Roman"/>
                <w:sz w:val="20"/>
                <w:szCs w:val="20"/>
              </w:rPr>
            </w:pPr>
          </w:p>
        </w:tc>
        <w:tc>
          <w:tcPr>
            <w:tcW w:w="0" w:type="auto"/>
            <w:gridSpan w:val="4"/>
            <w:vAlign w:val="center"/>
            <w:hideMark/>
          </w:tcPr>
          <w:p w:rsidR="00000000" w:rsidRDefault="0094004B">
            <w:pPr>
              <w:spacing w:after="100"/>
              <w:rPr>
                <w:rFonts w:eastAsia="Times New Roman"/>
                <w:sz w:val="20"/>
                <w:szCs w:val="20"/>
              </w:rPr>
            </w:pPr>
          </w:p>
        </w:tc>
        <w:tc>
          <w:tcPr>
            <w:tcW w:w="0" w:type="auto"/>
            <w:gridSpan w:val="7"/>
            <w:vAlign w:val="center"/>
            <w:hideMark/>
          </w:tcPr>
          <w:p w:rsidR="00000000" w:rsidRDefault="0094004B">
            <w:pPr>
              <w:spacing w:after="100"/>
              <w:rPr>
                <w:rFonts w:eastAsia="Times New Roman"/>
                <w:sz w:val="20"/>
                <w:szCs w:val="20"/>
              </w:rPr>
            </w:pPr>
          </w:p>
        </w:tc>
        <w:tc>
          <w:tcPr>
            <w:tcW w:w="0" w:type="auto"/>
            <w:gridSpan w:val="4"/>
            <w:vAlign w:val="center"/>
            <w:hideMark/>
          </w:tcPr>
          <w:p w:rsidR="00000000" w:rsidRDefault="0094004B">
            <w:pPr>
              <w:spacing w:after="100"/>
              <w:rPr>
                <w:rFonts w:eastAsia="Times New Roman"/>
                <w:sz w:val="20"/>
                <w:szCs w:val="20"/>
              </w:rPr>
            </w:pPr>
          </w:p>
        </w:tc>
        <w:tc>
          <w:tcPr>
            <w:tcW w:w="0" w:type="auto"/>
            <w:gridSpan w:val="5"/>
            <w:vAlign w:val="center"/>
            <w:hideMark/>
          </w:tcPr>
          <w:p w:rsidR="00000000" w:rsidRDefault="0094004B">
            <w:pPr>
              <w:spacing w:after="100"/>
              <w:rPr>
                <w:rFonts w:eastAsia="Times New Roman"/>
                <w:sz w:val="20"/>
                <w:szCs w:val="20"/>
              </w:rPr>
            </w:pPr>
          </w:p>
        </w:tc>
        <w:tc>
          <w:tcPr>
            <w:tcW w:w="0" w:type="auto"/>
            <w:gridSpan w:val="4"/>
            <w:vAlign w:val="center"/>
            <w:hideMark/>
          </w:tcPr>
          <w:p w:rsidR="00000000" w:rsidRDefault="0094004B">
            <w:pPr>
              <w:spacing w:after="100"/>
              <w:rPr>
                <w:rFonts w:eastAsia="Times New Roman"/>
                <w:sz w:val="20"/>
                <w:szCs w:val="20"/>
              </w:rPr>
            </w:pPr>
          </w:p>
        </w:tc>
        <w:tc>
          <w:tcPr>
            <w:tcW w:w="0" w:type="auto"/>
            <w:gridSpan w:val="6"/>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7"/>
            <w:vAlign w:val="center"/>
            <w:hideMark/>
          </w:tcPr>
          <w:p w:rsidR="00000000" w:rsidRDefault="0094004B">
            <w:pPr>
              <w:spacing w:after="100"/>
              <w:rPr>
                <w:rFonts w:eastAsia="Times New Roman"/>
                <w:sz w:val="20"/>
                <w:szCs w:val="20"/>
              </w:rPr>
            </w:pPr>
          </w:p>
        </w:tc>
        <w:tc>
          <w:tcPr>
            <w:tcW w:w="0" w:type="auto"/>
            <w:gridSpan w:val="4"/>
            <w:vAlign w:val="center"/>
            <w:hideMark/>
          </w:tcPr>
          <w:p w:rsidR="00000000" w:rsidRDefault="0094004B">
            <w:pPr>
              <w:spacing w:after="100"/>
              <w:rPr>
                <w:rFonts w:eastAsia="Times New Roman"/>
                <w:sz w:val="20"/>
                <w:szCs w:val="20"/>
              </w:rPr>
            </w:pPr>
          </w:p>
        </w:tc>
        <w:tc>
          <w:tcPr>
            <w:tcW w:w="0" w:type="auto"/>
            <w:gridSpan w:val="6"/>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5"/>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gridAfter w:val="26"/>
          <w:divId w:val="458181899"/>
        </w:trPr>
        <w:tc>
          <w:tcPr>
            <w:tcW w:w="0" w:type="auto"/>
            <w:gridSpan w:val="4"/>
            <w:tcBorders>
              <w:top w:val="single" w:sz="4" w:space="0" w:color="000000"/>
            </w:tcBorders>
            <w:shd w:val="clear" w:color="auto" w:fill="CCEEFF"/>
            <w:tcMar>
              <w:top w:w="30" w:type="dxa"/>
              <w:left w:w="20" w:type="dxa"/>
              <w:bottom w:w="30" w:type="dxa"/>
              <w:right w:w="20" w:type="dxa"/>
            </w:tcMar>
            <w:vAlign w:val="bottom"/>
            <w:hideMark/>
          </w:tcPr>
          <w:p w:rsidR="00000000" w:rsidRDefault="0094004B">
            <w:pPr>
              <w:spacing w:after="100"/>
              <w:divId w:val="1073048330"/>
              <w:rPr>
                <w:rFonts w:eastAsia="Times New Roman"/>
              </w:rPr>
            </w:pPr>
            <w:r>
              <w:rPr>
                <w:rFonts w:eastAsia="Times New Roman"/>
                <w:b/>
                <w:bCs/>
                <w:color w:val="000000"/>
                <w:sz w:val="18"/>
                <w:szCs w:val="18"/>
              </w:rPr>
              <w:t>Auto</w:t>
            </w:r>
            <w:r>
              <w:rPr>
                <w:rFonts w:eastAsia="Times New Roman"/>
                <w:color w:val="000000"/>
                <w:sz w:val="18"/>
                <w:szCs w:val="18"/>
              </w:rPr>
              <w:t>—</w:t>
            </w:r>
            <w:r>
              <w:rPr>
                <w:rFonts w:eastAsia="Times New Roman"/>
                <w:b/>
                <w:bCs/>
                <w:color w:val="000000"/>
                <w:sz w:val="18"/>
                <w:szCs w:val="18"/>
              </w:rPr>
              <w:t>At origination FICO scores</w:t>
            </w:r>
            <w:r>
              <w:rPr>
                <w:rFonts w:eastAsia="Times New Roman"/>
                <w:b/>
                <w:bCs/>
                <w:color w:val="000000"/>
                <w:sz w:val="18"/>
                <w:szCs w:val="18"/>
              </w:rPr>
              <w:t>:</w:t>
            </w:r>
            <w:r>
              <w:rPr>
                <w:rFonts w:eastAsia="Times New Roman"/>
                <w:b/>
                <w:bCs/>
                <w:color w:val="000000"/>
                <w:sz w:val="12"/>
                <w:szCs w:val="12"/>
              </w:rPr>
              <w:t>(1</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4"/>
            <w:tcBorders>
              <w:top w:val="single" w:sz="4"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7"/>
            <w:tcBorders>
              <w:top w:val="single" w:sz="4"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7"/>
            <w:tcBorders>
              <w:top w:val="single" w:sz="4"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4"/>
            <w:tcBorders>
              <w:top w:val="single" w:sz="4"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7"/>
            <w:tcBorders>
              <w:top w:val="single" w:sz="4"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5"/>
            <w:tcBorders>
              <w:top w:val="single" w:sz="4"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6"/>
            <w:tcBorders>
              <w:top w:val="single" w:sz="4"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7"/>
            <w:tcBorders>
              <w:top w:val="single" w:sz="4"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6"/>
            <w:tcBorders>
              <w:top w:val="single" w:sz="4"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5"/>
            <w:tcBorders>
              <w:top w:val="single" w:sz="4"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94004B">
        <w:trPr>
          <w:gridAfter w:val="26"/>
          <w:divId w:val="458181899"/>
        </w:trPr>
        <w:tc>
          <w:tcPr>
            <w:tcW w:w="0" w:type="auto"/>
            <w:gridSpan w:val="4"/>
            <w:shd w:val="clear" w:color="auto" w:fill="FFFFFF"/>
            <w:tcMar>
              <w:top w:w="30" w:type="dxa"/>
              <w:left w:w="38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Greater than 660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2"/>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17,872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4"/>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14,246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5"/>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5,354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2,595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4"/>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1,032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3"/>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328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4"/>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41,427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5"/>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3"/>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gridSpan w:val="2"/>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3"/>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41,427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94004B">
        <w:trPr>
          <w:gridAfter w:val="26"/>
          <w:divId w:val="458181899"/>
        </w:trPr>
        <w:tc>
          <w:tcPr>
            <w:tcW w:w="0" w:type="auto"/>
            <w:gridSpan w:val="4"/>
            <w:shd w:val="clear" w:color="auto" w:fill="CCEEFF"/>
            <w:tcMar>
              <w:top w:w="30" w:type="dxa"/>
              <w:left w:w="38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621-660</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6,212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5,060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2,257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1,167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513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185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15,394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gridSpan w:val="2"/>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15,394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94004B">
        <w:trPr>
          <w:gridAfter w:val="26"/>
          <w:divId w:val="458181899"/>
        </w:trPr>
        <w:tc>
          <w:tcPr>
            <w:tcW w:w="0" w:type="auto"/>
            <w:gridSpan w:val="4"/>
            <w:shd w:val="clear" w:color="auto" w:fill="FFFFFF"/>
            <w:tcMar>
              <w:top w:w="30" w:type="dxa"/>
              <w:left w:w="38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620 or below</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7,717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6,501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3,898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2,144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914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378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21,552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gridSpan w:val="2"/>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21,552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94004B">
        <w:trPr>
          <w:gridAfter w:val="26"/>
          <w:divId w:val="458181899"/>
        </w:trPr>
        <w:tc>
          <w:tcPr>
            <w:tcW w:w="0" w:type="auto"/>
            <w:gridSpan w:val="4"/>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18"/>
                <w:szCs w:val="18"/>
              </w:rPr>
              <w:t>Total auto</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31,801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6"/>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25,807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6"/>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11,509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5,906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6"/>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2,459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4"/>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891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5"/>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78,373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6"/>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4"/>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gridSpan w:val="2"/>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5"/>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78,373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gridAfter w:val="26"/>
          <w:divId w:val="458181899"/>
          <w:trHeight w:val="280"/>
        </w:trPr>
        <w:tc>
          <w:tcPr>
            <w:tcW w:w="0" w:type="auto"/>
            <w:gridSpan w:val="4"/>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4"/>
            <w:tcBorders>
              <w:top w:val="single" w:sz="8"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7"/>
            <w:tcBorders>
              <w:top w:val="single" w:sz="8"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7"/>
            <w:tcBorders>
              <w:top w:val="single" w:sz="8"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4"/>
            <w:tcBorders>
              <w:top w:val="single" w:sz="8"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7"/>
            <w:tcBorders>
              <w:top w:val="single" w:sz="8"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5"/>
            <w:tcBorders>
              <w:top w:val="single" w:sz="8"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6"/>
            <w:tcBorders>
              <w:top w:val="single" w:sz="8"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7"/>
            <w:tcBorders>
              <w:top w:val="single" w:sz="8"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6"/>
            <w:tcBorders>
              <w:top w:val="single" w:sz="8"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5"/>
            <w:tcBorders>
              <w:top w:val="single" w:sz="8"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gridAfter w:val="26"/>
          <w:divId w:val="458181899"/>
        </w:trPr>
        <w:tc>
          <w:tcPr>
            <w:tcW w:w="0" w:type="auto"/>
            <w:gridSpan w:val="4"/>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18"/>
                <w:szCs w:val="18"/>
              </w:rPr>
              <w:t>Retail banking—Delinquency status: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7"/>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7"/>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7"/>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6"/>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7"/>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6"/>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94004B">
        <w:trPr>
          <w:gridAfter w:val="26"/>
          <w:divId w:val="458181899"/>
        </w:trPr>
        <w:tc>
          <w:tcPr>
            <w:tcW w:w="0" w:type="auto"/>
            <w:gridSpan w:val="4"/>
            <w:shd w:val="clear" w:color="auto" w:fill="FFFFFF"/>
            <w:tcMar>
              <w:top w:w="30" w:type="dxa"/>
              <w:left w:w="38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Current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166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128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82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133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127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470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1,106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408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gridSpan w:val="2"/>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1,518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94004B">
        <w:trPr>
          <w:gridAfter w:val="26"/>
          <w:divId w:val="458181899"/>
        </w:trPr>
        <w:tc>
          <w:tcPr>
            <w:tcW w:w="0" w:type="auto"/>
            <w:gridSpan w:val="4"/>
            <w:shd w:val="clear" w:color="auto" w:fill="CCEEFF"/>
            <w:tcMar>
              <w:top w:w="30" w:type="dxa"/>
              <w:left w:w="38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30-59 days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gridSpan w:val="2"/>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94004B">
        <w:trPr>
          <w:gridAfter w:val="26"/>
          <w:divId w:val="458181899"/>
        </w:trPr>
        <w:tc>
          <w:tcPr>
            <w:tcW w:w="0" w:type="auto"/>
            <w:gridSpan w:val="4"/>
            <w:shd w:val="clear" w:color="auto" w:fill="FFFFFF"/>
            <w:tcMar>
              <w:top w:w="30" w:type="dxa"/>
              <w:left w:w="38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60-89 days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gridSpan w:val="2"/>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94004B">
        <w:trPr>
          <w:gridAfter w:val="26"/>
          <w:divId w:val="458181899"/>
        </w:trPr>
        <w:tc>
          <w:tcPr>
            <w:tcW w:w="0" w:type="auto"/>
            <w:gridSpan w:val="4"/>
            <w:shd w:val="clear" w:color="auto" w:fill="CCEEFF"/>
            <w:tcMar>
              <w:top w:w="30" w:type="dxa"/>
              <w:left w:w="38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Greater than 90 days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w:t>
            </w:r>
            <w:r>
              <w:rPr>
                <w:rFonts w:eastAsia="Times New Roman"/>
                <w:color w:val="000000"/>
                <w:sz w:val="18"/>
                <w:szCs w:val="18"/>
              </w:rPr>
              <w:t> </w:t>
            </w:r>
          </w:p>
        </w:tc>
        <w:tc>
          <w:tcPr>
            <w:tcW w:w="0" w:type="auto"/>
            <w:gridSpan w:val="2"/>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94004B">
        <w:trPr>
          <w:gridAfter w:val="26"/>
          <w:divId w:val="458181899"/>
        </w:trPr>
        <w:tc>
          <w:tcPr>
            <w:tcW w:w="0" w:type="auto"/>
            <w:gridSpan w:val="4"/>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18"/>
                <w:szCs w:val="18"/>
              </w:rPr>
              <w:t>Total retail banking</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168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6"/>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130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6"/>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82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133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6"/>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130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4"/>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481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5"/>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1,124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6"/>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422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4"/>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6</w:t>
            </w:r>
            <w:r>
              <w:rPr>
                <w:rFonts w:eastAsia="Times New Roman"/>
                <w:color w:val="000000"/>
                <w:sz w:val="18"/>
                <w:szCs w:val="18"/>
              </w:rPr>
              <w:t> </w:t>
            </w:r>
          </w:p>
        </w:tc>
        <w:tc>
          <w:tcPr>
            <w:tcW w:w="0" w:type="auto"/>
            <w:gridSpan w:val="2"/>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5"/>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1,552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94004B">
        <w:trPr>
          <w:gridAfter w:val="26"/>
          <w:divId w:val="458181899"/>
        </w:trPr>
        <w:tc>
          <w:tcPr>
            <w:tcW w:w="0" w:type="auto"/>
            <w:gridSpan w:val="4"/>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18"/>
                <w:szCs w:val="18"/>
              </w:rPr>
              <w:t>Total consumer banking</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31,969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4"/>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25,937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5"/>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11,591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6,039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4"/>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2,589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3"/>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1,372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4"/>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79,497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5"/>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422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3"/>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6</w:t>
            </w:r>
            <w:r>
              <w:rPr>
                <w:rFonts w:eastAsia="Times New Roman"/>
                <w:color w:val="000000"/>
                <w:sz w:val="18"/>
                <w:szCs w:val="18"/>
              </w:rPr>
              <w:t> </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3"/>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79,925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c>
          <w:tcPr>
            <w:tcW w:w="50" w:type="pct"/>
            <w:gridSpan w:val="2"/>
            <w:vAlign w:val="center"/>
            <w:hideMark/>
          </w:tcPr>
          <w:p w:rsidR="00000000" w:rsidRDefault="0094004B">
            <w:pPr>
              <w:rPr>
                <w:rFonts w:eastAsia="Times New Roman"/>
              </w:rPr>
            </w:pPr>
          </w:p>
        </w:tc>
        <w:tc>
          <w:tcPr>
            <w:tcW w:w="939" w:type="pct"/>
            <w:gridSpan w:val="7"/>
            <w:vAlign w:val="center"/>
            <w:hideMark/>
          </w:tcPr>
          <w:p w:rsidR="00000000" w:rsidRDefault="0094004B">
            <w:pPr>
              <w:spacing w:after="100"/>
              <w:rPr>
                <w:rFonts w:eastAsia="Times New Roman"/>
                <w:sz w:val="20"/>
                <w:szCs w:val="20"/>
              </w:rPr>
            </w:pPr>
          </w:p>
        </w:tc>
        <w:tc>
          <w:tcPr>
            <w:tcW w:w="5" w:type="pct"/>
            <w:gridSpan w:val="3"/>
            <w:vAlign w:val="center"/>
            <w:hideMark/>
          </w:tcPr>
          <w:p w:rsidR="00000000" w:rsidRDefault="0094004B">
            <w:pPr>
              <w:spacing w:after="100"/>
              <w:rPr>
                <w:rFonts w:eastAsia="Times New Roman"/>
                <w:sz w:val="20"/>
                <w:szCs w:val="20"/>
              </w:rPr>
            </w:pPr>
          </w:p>
        </w:tc>
        <w:tc>
          <w:tcPr>
            <w:tcW w:w="5" w:type="pct"/>
            <w:gridSpan w:val="4"/>
            <w:vAlign w:val="center"/>
            <w:hideMark/>
          </w:tcPr>
          <w:p w:rsidR="00000000" w:rsidRDefault="0094004B">
            <w:pPr>
              <w:spacing w:after="100"/>
              <w:rPr>
                <w:rFonts w:eastAsia="Times New Roman"/>
                <w:sz w:val="20"/>
                <w:szCs w:val="20"/>
              </w:rPr>
            </w:pPr>
          </w:p>
        </w:tc>
        <w:tc>
          <w:tcPr>
            <w:tcW w:w="26" w:type="pct"/>
            <w:gridSpan w:val="2"/>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95" w:type="pct"/>
            <w:gridSpan w:val="7"/>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gridSpan w:val="4"/>
            <w:vAlign w:val="center"/>
            <w:hideMark/>
          </w:tcPr>
          <w:p w:rsidR="00000000" w:rsidRDefault="0094004B">
            <w:pPr>
              <w:spacing w:after="100"/>
              <w:rPr>
                <w:rFonts w:eastAsia="Times New Roman"/>
                <w:sz w:val="20"/>
                <w:szCs w:val="20"/>
              </w:rPr>
            </w:pPr>
          </w:p>
        </w:tc>
        <w:tc>
          <w:tcPr>
            <w:tcW w:w="50" w:type="pct"/>
            <w:gridSpan w:val="3"/>
            <w:vAlign w:val="center"/>
            <w:hideMark/>
          </w:tcPr>
          <w:p w:rsidR="00000000" w:rsidRDefault="0094004B">
            <w:pPr>
              <w:spacing w:after="100"/>
              <w:rPr>
                <w:rFonts w:eastAsia="Times New Roman"/>
                <w:sz w:val="20"/>
                <w:szCs w:val="20"/>
              </w:rPr>
            </w:pPr>
          </w:p>
        </w:tc>
        <w:tc>
          <w:tcPr>
            <w:tcW w:w="295" w:type="pct"/>
            <w:gridSpan w:val="4"/>
            <w:vAlign w:val="center"/>
            <w:hideMark/>
          </w:tcPr>
          <w:p w:rsidR="00000000" w:rsidRDefault="0094004B">
            <w:pPr>
              <w:spacing w:after="100"/>
              <w:rPr>
                <w:rFonts w:eastAsia="Times New Roman"/>
                <w:sz w:val="20"/>
                <w:szCs w:val="20"/>
              </w:rPr>
            </w:pPr>
          </w:p>
        </w:tc>
        <w:tc>
          <w:tcPr>
            <w:tcW w:w="5" w:type="pct"/>
            <w:gridSpan w:val="4"/>
            <w:vAlign w:val="center"/>
            <w:hideMark/>
          </w:tcPr>
          <w:p w:rsidR="00000000" w:rsidRDefault="0094004B">
            <w:pPr>
              <w:spacing w:after="100"/>
              <w:rPr>
                <w:rFonts w:eastAsia="Times New Roman"/>
                <w:sz w:val="20"/>
                <w:szCs w:val="20"/>
              </w:rPr>
            </w:pPr>
          </w:p>
        </w:tc>
        <w:tc>
          <w:tcPr>
            <w:tcW w:w="5" w:type="pct"/>
            <w:gridSpan w:val="2"/>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gridSpan w:val="3"/>
            <w:vAlign w:val="center"/>
            <w:hideMark/>
          </w:tcPr>
          <w:p w:rsidR="00000000" w:rsidRDefault="0094004B">
            <w:pPr>
              <w:spacing w:after="100"/>
              <w:rPr>
                <w:rFonts w:eastAsia="Times New Roman"/>
                <w:sz w:val="20"/>
                <w:szCs w:val="20"/>
              </w:rPr>
            </w:pPr>
          </w:p>
        </w:tc>
        <w:tc>
          <w:tcPr>
            <w:tcW w:w="295" w:type="pct"/>
            <w:gridSpan w:val="5"/>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gridSpan w:val="5"/>
            <w:vAlign w:val="center"/>
            <w:hideMark/>
          </w:tcPr>
          <w:p w:rsidR="00000000" w:rsidRDefault="0094004B">
            <w:pPr>
              <w:spacing w:after="100"/>
              <w:rPr>
                <w:rFonts w:eastAsia="Times New Roman"/>
                <w:sz w:val="20"/>
                <w:szCs w:val="20"/>
              </w:rPr>
            </w:pPr>
          </w:p>
        </w:tc>
        <w:tc>
          <w:tcPr>
            <w:tcW w:w="26" w:type="pct"/>
            <w:gridSpan w:val="3"/>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95" w:type="pct"/>
            <w:gridSpan w:val="6"/>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gridSpan w:val="5"/>
            <w:vAlign w:val="center"/>
            <w:hideMark/>
          </w:tcPr>
          <w:p w:rsidR="00000000" w:rsidRDefault="0094004B">
            <w:pPr>
              <w:spacing w:after="100"/>
              <w:rPr>
                <w:rFonts w:eastAsia="Times New Roman"/>
                <w:sz w:val="20"/>
                <w:szCs w:val="20"/>
              </w:rPr>
            </w:pPr>
          </w:p>
        </w:tc>
        <w:tc>
          <w:tcPr>
            <w:tcW w:w="295" w:type="pct"/>
            <w:gridSpan w:val="3"/>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gridSpan w:val="2"/>
            <w:vAlign w:val="center"/>
            <w:hideMark/>
          </w:tcPr>
          <w:p w:rsidR="00000000" w:rsidRDefault="0094004B">
            <w:pPr>
              <w:spacing w:after="100"/>
              <w:rPr>
                <w:rFonts w:eastAsia="Times New Roman"/>
                <w:sz w:val="20"/>
                <w:szCs w:val="20"/>
              </w:rPr>
            </w:pPr>
          </w:p>
        </w:tc>
        <w:tc>
          <w:tcPr>
            <w:tcW w:w="26" w:type="pct"/>
            <w:gridSpan w:val="5"/>
            <w:vAlign w:val="center"/>
            <w:hideMark/>
          </w:tcPr>
          <w:p w:rsidR="00000000" w:rsidRDefault="0094004B">
            <w:pPr>
              <w:spacing w:after="100"/>
              <w:rPr>
                <w:rFonts w:eastAsia="Times New Roman"/>
                <w:sz w:val="20"/>
                <w:szCs w:val="20"/>
              </w:rPr>
            </w:pPr>
          </w:p>
        </w:tc>
        <w:tc>
          <w:tcPr>
            <w:tcW w:w="5" w:type="pct"/>
            <w:gridSpan w:val="2"/>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95" w:type="pct"/>
            <w:gridSpan w:val="3"/>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9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1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0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9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c>
          <w:tcPr>
            <w:tcW w:w="0" w:type="auto"/>
            <w:gridSpan w:val="12"/>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7"/>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105"/>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5"/>
                <w:szCs w:val="15"/>
              </w:rPr>
              <w:t>December 31, 2021</w:t>
            </w:r>
          </w:p>
        </w:tc>
        <w:tc>
          <w:tcPr>
            <w:tcW w:w="0" w:type="auto"/>
            <w:vAlign w:val="center"/>
            <w:hideMark/>
          </w:tcPr>
          <w:p w:rsidR="00000000" w:rsidRDefault="0094004B">
            <w:pPr>
              <w:spacing w:after="100"/>
              <w:rPr>
                <w:rFonts w:eastAsia="Times New Roman"/>
                <w:sz w:val="20"/>
                <w:szCs w:val="20"/>
              </w:rPr>
            </w:pPr>
          </w:p>
        </w:tc>
      </w:tr>
      <w:tr w:rsidR="00000000">
        <w:tc>
          <w:tcPr>
            <w:tcW w:w="0" w:type="auto"/>
            <w:gridSpan w:val="12"/>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7"/>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88"/>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5"/>
                <w:szCs w:val="15"/>
              </w:rPr>
              <w:t>Term Loans by Vintage Year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tcBorders>
              <w:top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c>
          <w:tcPr>
            <w:tcW w:w="0" w:type="auto"/>
            <w:gridSpan w:val="12"/>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5"/>
                <w:szCs w:val="15"/>
              </w:rPr>
              <w:t>(Dollars in millions)</w:t>
            </w:r>
          </w:p>
        </w:tc>
        <w:tc>
          <w:tcPr>
            <w:tcW w:w="0" w:type="auto"/>
            <w:gridSpan w:val="7"/>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5"/>
                <w:szCs w:val="15"/>
              </w:rPr>
              <w:t>2021</w:t>
            </w:r>
          </w:p>
        </w:tc>
        <w:tc>
          <w:tcPr>
            <w:tcW w:w="0" w:type="auto"/>
            <w:gridSpan w:val="6"/>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11"/>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5"/>
                <w:szCs w:val="15"/>
              </w:rPr>
              <w:t>2020</w:t>
            </w: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5"/>
                <w:szCs w:val="15"/>
              </w:rPr>
              <w:t>2019</w:t>
            </w:r>
          </w:p>
        </w:tc>
        <w:tc>
          <w:tcPr>
            <w:tcW w:w="0" w:type="auto"/>
            <w:gridSpan w:val="9"/>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8"/>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5"/>
                <w:szCs w:val="15"/>
              </w:rPr>
              <w:t>2018</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5"/>
                <w:szCs w:val="15"/>
              </w:rPr>
              <w:t>2017</w:t>
            </w:r>
          </w:p>
        </w:tc>
        <w:tc>
          <w:tcPr>
            <w:tcW w:w="0" w:type="auto"/>
            <w:gridSpan w:val="9"/>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5"/>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5"/>
                <w:szCs w:val="15"/>
              </w:rPr>
              <w:t>Prior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5"/>
                <w:szCs w:val="15"/>
              </w:rPr>
              <w:t>Total Term Loans</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5"/>
                <w:szCs w:val="15"/>
              </w:rPr>
              <w:t>Revolving Loans</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5"/>
                <w:szCs w:val="15"/>
              </w:rPr>
              <w:t>Revolving Loans Converted to Term</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2"/>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5"/>
                <w:szCs w:val="15"/>
              </w:rPr>
              <w:t>Total</w:t>
            </w:r>
          </w:p>
        </w:tc>
        <w:tc>
          <w:tcPr>
            <w:tcW w:w="0" w:type="auto"/>
            <w:vAlign w:val="center"/>
            <w:hideMark/>
          </w:tcPr>
          <w:p w:rsidR="00000000" w:rsidRDefault="0094004B">
            <w:pPr>
              <w:spacing w:after="100"/>
              <w:rPr>
                <w:rFonts w:eastAsia="Times New Roman"/>
                <w:sz w:val="20"/>
                <w:szCs w:val="20"/>
              </w:rPr>
            </w:pPr>
          </w:p>
        </w:tc>
      </w:tr>
      <w:tr w:rsidR="00000000">
        <w:tc>
          <w:tcPr>
            <w:tcW w:w="0" w:type="auto"/>
            <w:gridSpan w:val="12"/>
            <w:vAlign w:val="center"/>
            <w:hideMark/>
          </w:tcPr>
          <w:p w:rsidR="00000000" w:rsidRDefault="0094004B">
            <w:pPr>
              <w:spacing w:after="100"/>
              <w:jc w:val="center"/>
              <w:rPr>
                <w:rFonts w:eastAsia="Times New Roman"/>
              </w:rPr>
            </w:pPr>
          </w:p>
        </w:tc>
        <w:tc>
          <w:tcPr>
            <w:tcW w:w="0" w:type="auto"/>
            <w:gridSpan w:val="7"/>
            <w:vAlign w:val="center"/>
            <w:hideMark/>
          </w:tcPr>
          <w:p w:rsidR="00000000" w:rsidRDefault="0094004B">
            <w:pPr>
              <w:spacing w:after="100"/>
              <w:rPr>
                <w:rFonts w:eastAsia="Times New Roman"/>
                <w:sz w:val="20"/>
                <w:szCs w:val="20"/>
              </w:rPr>
            </w:pPr>
          </w:p>
        </w:tc>
        <w:tc>
          <w:tcPr>
            <w:tcW w:w="0" w:type="auto"/>
            <w:gridSpan w:val="9"/>
            <w:vAlign w:val="center"/>
            <w:hideMark/>
          </w:tcPr>
          <w:p w:rsidR="00000000" w:rsidRDefault="0094004B">
            <w:pPr>
              <w:spacing w:after="100"/>
              <w:rPr>
                <w:rFonts w:eastAsia="Times New Roman"/>
                <w:sz w:val="20"/>
                <w:szCs w:val="20"/>
              </w:rPr>
            </w:pPr>
          </w:p>
        </w:tc>
        <w:tc>
          <w:tcPr>
            <w:tcW w:w="0" w:type="auto"/>
            <w:gridSpan w:val="6"/>
            <w:vAlign w:val="center"/>
            <w:hideMark/>
          </w:tcPr>
          <w:p w:rsidR="00000000" w:rsidRDefault="0094004B">
            <w:pPr>
              <w:spacing w:after="100"/>
              <w:rPr>
                <w:rFonts w:eastAsia="Times New Roman"/>
                <w:sz w:val="20"/>
                <w:szCs w:val="20"/>
              </w:rPr>
            </w:pPr>
          </w:p>
        </w:tc>
        <w:tc>
          <w:tcPr>
            <w:tcW w:w="0" w:type="auto"/>
            <w:gridSpan w:val="11"/>
            <w:vAlign w:val="center"/>
            <w:hideMark/>
          </w:tcPr>
          <w:p w:rsidR="00000000" w:rsidRDefault="0094004B">
            <w:pPr>
              <w:spacing w:after="100"/>
              <w:rPr>
                <w:rFonts w:eastAsia="Times New Roman"/>
                <w:sz w:val="20"/>
                <w:szCs w:val="20"/>
              </w:rPr>
            </w:pPr>
          </w:p>
        </w:tc>
        <w:tc>
          <w:tcPr>
            <w:tcW w:w="0" w:type="auto"/>
            <w:gridSpan w:val="4"/>
            <w:vAlign w:val="center"/>
            <w:hideMark/>
          </w:tcPr>
          <w:p w:rsidR="00000000" w:rsidRDefault="0094004B">
            <w:pPr>
              <w:spacing w:after="100"/>
              <w:rPr>
                <w:rFonts w:eastAsia="Times New Roman"/>
                <w:sz w:val="20"/>
                <w:szCs w:val="20"/>
              </w:rPr>
            </w:pPr>
          </w:p>
        </w:tc>
        <w:tc>
          <w:tcPr>
            <w:tcW w:w="0" w:type="auto"/>
            <w:gridSpan w:val="9"/>
            <w:vAlign w:val="center"/>
            <w:hideMark/>
          </w:tcPr>
          <w:p w:rsidR="00000000" w:rsidRDefault="0094004B">
            <w:pPr>
              <w:spacing w:after="100"/>
              <w:rPr>
                <w:rFonts w:eastAsia="Times New Roman"/>
                <w:sz w:val="20"/>
                <w:szCs w:val="20"/>
              </w:rPr>
            </w:pPr>
          </w:p>
        </w:tc>
        <w:tc>
          <w:tcPr>
            <w:tcW w:w="0" w:type="auto"/>
            <w:gridSpan w:val="9"/>
            <w:vAlign w:val="center"/>
            <w:hideMark/>
          </w:tcPr>
          <w:p w:rsidR="00000000" w:rsidRDefault="0094004B">
            <w:pPr>
              <w:spacing w:after="100"/>
              <w:rPr>
                <w:rFonts w:eastAsia="Times New Roman"/>
                <w:sz w:val="20"/>
                <w:szCs w:val="20"/>
              </w:rPr>
            </w:pPr>
          </w:p>
        </w:tc>
        <w:tc>
          <w:tcPr>
            <w:tcW w:w="0" w:type="auto"/>
            <w:gridSpan w:val="8"/>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9"/>
            <w:vAlign w:val="center"/>
            <w:hideMark/>
          </w:tcPr>
          <w:p w:rsidR="00000000" w:rsidRDefault="0094004B">
            <w:pPr>
              <w:spacing w:after="100"/>
              <w:rPr>
                <w:rFonts w:eastAsia="Times New Roman"/>
                <w:sz w:val="20"/>
                <w:szCs w:val="20"/>
              </w:rPr>
            </w:pPr>
          </w:p>
        </w:tc>
        <w:tc>
          <w:tcPr>
            <w:tcW w:w="0" w:type="auto"/>
            <w:gridSpan w:val="9"/>
            <w:vAlign w:val="center"/>
            <w:hideMark/>
          </w:tcPr>
          <w:p w:rsidR="00000000" w:rsidRDefault="0094004B">
            <w:pPr>
              <w:spacing w:after="100"/>
              <w:rPr>
                <w:rFonts w:eastAsia="Times New Roman"/>
                <w:sz w:val="20"/>
                <w:szCs w:val="20"/>
              </w:rPr>
            </w:pPr>
          </w:p>
        </w:tc>
        <w:tc>
          <w:tcPr>
            <w:tcW w:w="0" w:type="auto"/>
            <w:gridSpan w:val="5"/>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2"/>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c>
          <w:tcPr>
            <w:tcW w:w="0" w:type="auto"/>
            <w:gridSpan w:val="12"/>
            <w:tcBorders>
              <w:top w:val="single" w:sz="4" w:space="0" w:color="000000"/>
            </w:tcBorders>
            <w:shd w:val="clear" w:color="auto" w:fill="CCEEFF"/>
            <w:tcMar>
              <w:top w:w="30" w:type="dxa"/>
              <w:left w:w="20" w:type="dxa"/>
              <w:bottom w:w="30" w:type="dxa"/>
              <w:right w:w="20" w:type="dxa"/>
            </w:tcMar>
            <w:vAlign w:val="bottom"/>
            <w:hideMark/>
          </w:tcPr>
          <w:p w:rsidR="00000000" w:rsidRDefault="0094004B">
            <w:pPr>
              <w:spacing w:after="100"/>
              <w:divId w:val="1287158874"/>
              <w:rPr>
                <w:rFonts w:eastAsia="Times New Roman"/>
              </w:rPr>
            </w:pPr>
            <w:r>
              <w:rPr>
                <w:rFonts w:eastAsia="Times New Roman"/>
                <w:b/>
                <w:bCs/>
                <w:color w:val="000000"/>
                <w:sz w:val="18"/>
                <w:szCs w:val="18"/>
              </w:rPr>
              <w:t>Auto</w:t>
            </w:r>
            <w:r>
              <w:rPr>
                <w:rFonts w:eastAsia="Times New Roman"/>
                <w:color w:val="000000"/>
                <w:sz w:val="18"/>
                <w:szCs w:val="18"/>
              </w:rPr>
              <w:t>—</w:t>
            </w:r>
            <w:r>
              <w:rPr>
                <w:rFonts w:eastAsia="Times New Roman"/>
                <w:b/>
                <w:bCs/>
                <w:color w:val="000000"/>
                <w:sz w:val="18"/>
                <w:szCs w:val="18"/>
              </w:rPr>
              <w:t>At origination FICO scores</w:t>
            </w:r>
            <w:r>
              <w:rPr>
                <w:rFonts w:eastAsia="Times New Roman"/>
                <w:b/>
                <w:bCs/>
                <w:color w:val="000000"/>
                <w:sz w:val="18"/>
                <w:szCs w:val="18"/>
              </w:rPr>
              <w:t>:</w:t>
            </w:r>
            <w:r>
              <w:rPr>
                <w:rFonts w:eastAsia="Times New Roman"/>
                <w:b/>
                <w:bCs/>
                <w:color w:val="000000"/>
                <w:sz w:val="12"/>
                <w:szCs w:val="12"/>
              </w:rPr>
              <w:t>(1</w:t>
            </w:r>
            <w:r>
              <w:rPr>
                <w:rFonts w:eastAsia="Times New Roman"/>
                <w:b/>
                <w:bCs/>
                <w:color w:val="000000"/>
                <w:sz w:val="12"/>
                <w:szCs w:val="12"/>
              </w:rPr>
              <w:t>)</w:t>
            </w:r>
          </w:p>
        </w:tc>
        <w:tc>
          <w:tcPr>
            <w:tcW w:w="0" w:type="auto"/>
            <w:gridSpan w:val="7"/>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9"/>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6"/>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11"/>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9"/>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9"/>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8"/>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9"/>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9"/>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5"/>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94004B">
        <w:tc>
          <w:tcPr>
            <w:tcW w:w="0" w:type="auto"/>
            <w:gridSpan w:val="12"/>
            <w:shd w:val="clear" w:color="auto" w:fill="FFFFFF"/>
            <w:tcMar>
              <w:top w:w="30" w:type="dxa"/>
              <w:left w:w="38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Greater than 660</w:t>
            </w:r>
          </w:p>
        </w:tc>
        <w:tc>
          <w:tcPr>
            <w:tcW w:w="0" w:type="auto"/>
            <w:gridSpan w:val="7"/>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7"/>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20,758 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6"/>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4"/>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8,630 </w:t>
            </w:r>
          </w:p>
        </w:tc>
        <w:tc>
          <w:tcPr>
            <w:tcW w:w="0" w:type="auto"/>
            <w:gridSpan w:val="4"/>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5"/>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4,739 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6"/>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2,394 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3"/>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1,153 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3"/>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301 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37,975 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37,975 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c>
          <w:tcPr>
            <w:tcW w:w="0" w:type="auto"/>
            <w:gridSpan w:val="12"/>
            <w:shd w:val="clear" w:color="auto" w:fill="CCEEFF"/>
            <w:tcMar>
              <w:top w:w="30" w:type="dxa"/>
              <w:left w:w="38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621-660</w:t>
            </w:r>
          </w:p>
        </w:tc>
        <w:tc>
          <w:tcPr>
            <w:tcW w:w="0" w:type="auto"/>
            <w:gridSpan w:val="7"/>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8"/>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7,456 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6"/>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3,721 </w:t>
            </w:r>
          </w:p>
        </w:tc>
        <w:tc>
          <w:tcPr>
            <w:tcW w:w="0" w:type="auto"/>
            <w:gridSpan w:val="4"/>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2,109 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1,084 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537 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157 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15,064 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15,064 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c>
          <w:tcPr>
            <w:tcW w:w="0" w:type="auto"/>
            <w:gridSpan w:val="12"/>
            <w:shd w:val="clear" w:color="auto" w:fill="FFFFFF"/>
            <w:tcMar>
              <w:top w:w="30" w:type="dxa"/>
              <w:left w:w="38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620 or below</w:t>
            </w:r>
          </w:p>
        </w:tc>
        <w:tc>
          <w:tcPr>
            <w:tcW w:w="0" w:type="auto"/>
            <w:gridSpan w:val="7"/>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8"/>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9,522 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6"/>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6,336 </w:t>
            </w:r>
          </w:p>
        </w:tc>
        <w:tc>
          <w:tcPr>
            <w:tcW w:w="0" w:type="auto"/>
            <w:gridSpan w:val="4"/>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3,767 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1,840 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949 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326 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22,740 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22,740 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c>
          <w:tcPr>
            <w:tcW w:w="0" w:type="auto"/>
            <w:gridSpan w:val="12"/>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18"/>
                <w:szCs w:val="18"/>
              </w:rPr>
              <w:t>Total auto</w:t>
            </w:r>
          </w:p>
        </w:tc>
        <w:tc>
          <w:tcPr>
            <w:tcW w:w="0" w:type="auto"/>
            <w:gridSpan w:val="7"/>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8"/>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37,736 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6"/>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7"/>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18,687 </w:t>
            </w:r>
          </w:p>
        </w:tc>
        <w:tc>
          <w:tcPr>
            <w:tcW w:w="0" w:type="auto"/>
            <w:gridSpan w:val="4"/>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8"/>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10,615 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7"/>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5,318 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8"/>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2,639 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4"/>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784 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75,779 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75,779 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trHeight w:val="280"/>
        </w:trPr>
        <w:tc>
          <w:tcPr>
            <w:tcW w:w="0" w:type="auto"/>
            <w:gridSpan w:val="12"/>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7"/>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9"/>
            <w:tcBorders>
              <w:top w:val="single" w:sz="8"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6"/>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11"/>
            <w:tcBorders>
              <w:top w:val="single" w:sz="8"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9"/>
            <w:tcBorders>
              <w:top w:val="single" w:sz="8"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8"/>
            <w:tcBorders>
              <w:top w:val="single" w:sz="8"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9"/>
            <w:tcBorders>
              <w:top w:val="single" w:sz="8"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5"/>
            <w:tcBorders>
              <w:top w:val="single" w:sz="8"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tcBorders>
              <w:top w:val="single" w:sz="8"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c>
          <w:tcPr>
            <w:tcW w:w="0" w:type="auto"/>
            <w:gridSpan w:val="12"/>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18"/>
                <w:szCs w:val="18"/>
              </w:rPr>
              <w:t>Retail banking—Delinquency status:</w:t>
            </w:r>
          </w:p>
        </w:tc>
        <w:tc>
          <w:tcPr>
            <w:tcW w:w="0" w:type="auto"/>
            <w:gridSpan w:val="7"/>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9"/>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6"/>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11"/>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9"/>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9"/>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8"/>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9"/>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9"/>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c>
          <w:tcPr>
            <w:tcW w:w="0" w:type="auto"/>
            <w:gridSpan w:val="12"/>
            <w:shd w:val="clear" w:color="auto" w:fill="FFFFFF"/>
            <w:tcMar>
              <w:top w:w="30" w:type="dxa"/>
              <w:left w:w="38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Current</w:t>
            </w:r>
          </w:p>
        </w:tc>
        <w:tc>
          <w:tcPr>
            <w:tcW w:w="0" w:type="auto"/>
            <w:gridSpan w:val="7"/>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8"/>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285 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6"/>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171 </w:t>
            </w:r>
          </w:p>
        </w:tc>
        <w:tc>
          <w:tcPr>
            <w:tcW w:w="0" w:type="auto"/>
            <w:gridSpan w:val="4"/>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172 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161 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176 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491 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1,456 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345 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6 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1,807 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c>
          <w:tcPr>
            <w:tcW w:w="0" w:type="auto"/>
            <w:gridSpan w:val="12"/>
            <w:shd w:val="clear" w:color="auto" w:fill="CCEEFF"/>
            <w:tcMar>
              <w:top w:w="30" w:type="dxa"/>
              <w:left w:w="38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30-59 days</w:t>
            </w:r>
          </w:p>
        </w:tc>
        <w:tc>
          <w:tcPr>
            <w:tcW w:w="0" w:type="auto"/>
            <w:gridSpan w:val="7"/>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8"/>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6"/>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2 </w:t>
            </w:r>
          </w:p>
        </w:tc>
        <w:tc>
          <w:tcPr>
            <w:tcW w:w="0" w:type="auto"/>
            <w:gridSpan w:val="4"/>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7 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12 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23 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35 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c>
          <w:tcPr>
            <w:tcW w:w="0" w:type="auto"/>
            <w:gridSpan w:val="12"/>
            <w:shd w:val="clear" w:color="auto" w:fill="FFFFFF"/>
            <w:tcMar>
              <w:top w:w="30" w:type="dxa"/>
              <w:left w:w="38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60-89 days</w:t>
            </w:r>
          </w:p>
        </w:tc>
        <w:tc>
          <w:tcPr>
            <w:tcW w:w="0" w:type="auto"/>
            <w:gridSpan w:val="7"/>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8"/>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6"/>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4 </w:t>
            </w:r>
          </w:p>
        </w:tc>
        <w:tc>
          <w:tcPr>
            <w:tcW w:w="0" w:type="auto"/>
            <w:gridSpan w:val="4"/>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6 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7 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c>
          <w:tcPr>
            <w:tcW w:w="0" w:type="auto"/>
            <w:gridSpan w:val="12"/>
            <w:shd w:val="clear" w:color="auto" w:fill="CCEEFF"/>
            <w:tcMar>
              <w:top w:w="30" w:type="dxa"/>
              <w:left w:w="38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Greater than 90 days</w:t>
            </w:r>
          </w:p>
        </w:tc>
        <w:tc>
          <w:tcPr>
            <w:tcW w:w="0" w:type="auto"/>
            <w:gridSpan w:val="7"/>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8"/>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6"/>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1 </w:t>
            </w:r>
          </w:p>
        </w:tc>
        <w:tc>
          <w:tcPr>
            <w:tcW w:w="0" w:type="auto"/>
            <w:gridSpan w:val="4"/>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9 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12 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4 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18 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c>
          <w:tcPr>
            <w:tcW w:w="0" w:type="auto"/>
            <w:gridSpan w:val="12"/>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18"/>
                <w:szCs w:val="18"/>
              </w:rPr>
              <w:t>Total retail banking</w:t>
            </w:r>
          </w:p>
        </w:tc>
        <w:tc>
          <w:tcPr>
            <w:tcW w:w="0" w:type="auto"/>
            <w:gridSpan w:val="7"/>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8"/>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285 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6"/>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7"/>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178 </w:t>
            </w:r>
          </w:p>
        </w:tc>
        <w:tc>
          <w:tcPr>
            <w:tcW w:w="0" w:type="auto"/>
            <w:gridSpan w:val="4"/>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8"/>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174 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7"/>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169 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8"/>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177 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4"/>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503 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1,486 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373 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8 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1,867 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bl>
    <w:p w:rsidR="00000000" w:rsidRDefault="0094004B">
      <w:pPr>
        <w:jc w:val="center"/>
        <w:divId w:val="1847210111"/>
        <w:rPr>
          <w:rFonts w:eastAsia="Times New Roman"/>
          <w:vanish/>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847210111"/>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847210111"/>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847210111"/>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144</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70" style="width:0;height:1.5pt" o:hralign="center" o:hrstd="t" o:hr="t" fillcolor="#a0a0a0" stroked="f"/>
        </w:pict>
      </w:r>
    </w:p>
    <w:p w:rsidR="00000000" w:rsidRDefault="0094004B">
      <w:pPr>
        <w:jc w:val="both"/>
        <w:divId w:val="1584341176"/>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1584341176"/>
        <w:rPr>
          <w:rFonts w:eastAsia="Times New Roman"/>
        </w:rPr>
      </w:pPr>
    </w:p>
    <w:p w:rsidR="00000000" w:rsidRDefault="0094004B">
      <w:pPr>
        <w:jc w:val="center"/>
        <w:divId w:val="1584341176"/>
        <w:rPr>
          <w:rFonts w:eastAsia="Times New Roman"/>
        </w:rPr>
      </w:pPr>
      <w:r>
        <w:rPr>
          <w:rFonts w:eastAsia="Times New Roman"/>
          <w:b/>
          <w:bCs/>
          <w:color w:val="000000"/>
          <w:sz w:val="20"/>
          <w:szCs w:val="20"/>
        </w:rPr>
        <w:t>CAPITAL ONE FINANCIAL CORPORATION</w:t>
      </w:r>
    </w:p>
    <w:p w:rsidR="00000000" w:rsidRDefault="0094004B">
      <w:pPr>
        <w:jc w:val="center"/>
        <w:divId w:val="1584341176"/>
        <w:rPr>
          <w:rFonts w:eastAsia="Times New Roman"/>
        </w:rPr>
      </w:pPr>
      <w:r>
        <w:rPr>
          <w:rFonts w:eastAsia="Times New Roman"/>
          <w:b/>
          <w:bCs/>
          <w:color w:val="000000"/>
          <w:sz w:val="20"/>
          <w:szCs w:val="20"/>
        </w:rPr>
        <w:t>NOTES TO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40"/>
        <w:gridCol w:w="747"/>
        <w:gridCol w:w="37"/>
        <w:gridCol w:w="36"/>
        <w:gridCol w:w="36"/>
        <w:gridCol w:w="36"/>
        <w:gridCol w:w="110"/>
        <w:gridCol w:w="540"/>
        <w:gridCol w:w="36"/>
        <w:gridCol w:w="36"/>
        <w:gridCol w:w="36"/>
        <w:gridCol w:w="36"/>
        <w:gridCol w:w="110"/>
        <w:gridCol w:w="540"/>
        <w:gridCol w:w="36"/>
        <w:gridCol w:w="36"/>
        <w:gridCol w:w="36"/>
        <w:gridCol w:w="36"/>
        <w:gridCol w:w="110"/>
        <w:gridCol w:w="540"/>
        <w:gridCol w:w="36"/>
        <w:gridCol w:w="36"/>
        <w:gridCol w:w="36"/>
        <w:gridCol w:w="36"/>
        <w:gridCol w:w="110"/>
        <w:gridCol w:w="450"/>
        <w:gridCol w:w="36"/>
        <w:gridCol w:w="36"/>
        <w:gridCol w:w="36"/>
        <w:gridCol w:w="36"/>
        <w:gridCol w:w="110"/>
        <w:gridCol w:w="450"/>
        <w:gridCol w:w="36"/>
        <w:gridCol w:w="36"/>
        <w:gridCol w:w="36"/>
        <w:gridCol w:w="36"/>
        <w:gridCol w:w="110"/>
        <w:gridCol w:w="450"/>
        <w:gridCol w:w="36"/>
        <w:gridCol w:w="36"/>
        <w:gridCol w:w="36"/>
        <w:gridCol w:w="36"/>
        <w:gridCol w:w="110"/>
        <w:gridCol w:w="540"/>
        <w:gridCol w:w="36"/>
        <w:gridCol w:w="36"/>
        <w:gridCol w:w="36"/>
        <w:gridCol w:w="36"/>
        <w:gridCol w:w="111"/>
        <w:gridCol w:w="581"/>
        <w:gridCol w:w="36"/>
        <w:gridCol w:w="36"/>
        <w:gridCol w:w="36"/>
        <w:gridCol w:w="36"/>
        <w:gridCol w:w="111"/>
        <w:gridCol w:w="630"/>
        <w:gridCol w:w="36"/>
        <w:gridCol w:w="36"/>
        <w:gridCol w:w="36"/>
        <w:gridCol w:w="36"/>
        <w:gridCol w:w="110"/>
        <w:gridCol w:w="540"/>
        <w:gridCol w:w="36"/>
      </w:tblGrid>
      <w:tr w:rsidR="00000000">
        <w:trPr>
          <w:divId w:val="1506869449"/>
        </w:trPr>
        <w:tc>
          <w:tcPr>
            <w:tcW w:w="50" w:type="pct"/>
            <w:vAlign w:val="center"/>
            <w:hideMark/>
          </w:tcPr>
          <w:p w:rsidR="00000000" w:rsidRDefault="0094004B">
            <w:pPr>
              <w:jc w:val="center"/>
              <w:rPr>
                <w:rFonts w:eastAsia="Times New Roman"/>
              </w:rPr>
            </w:pPr>
          </w:p>
        </w:tc>
        <w:tc>
          <w:tcPr>
            <w:tcW w:w="93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9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9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9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9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9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9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9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1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0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9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506869449"/>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56"/>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5"/>
                <w:szCs w:val="15"/>
              </w:rPr>
              <w:t>December 31, 2021</w:t>
            </w:r>
          </w:p>
        </w:tc>
        <w:tc>
          <w:tcPr>
            <w:tcW w:w="0" w:type="auto"/>
            <w:vAlign w:val="center"/>
            <w:hideMark/>
          </w:tcPr>
          <w:p w:rsidR="00000000" w:rsidRDefault="0094004B">
            <w:pPr>
              <w:spacing w:after="100"/>
              <w:rPr>
                <w:rFonts w:eastAsia="Times New Roman"/>
                <w:sz w:val="20"/>
                <w:szCs w:val="20"/>
              </w:rPr>
            </w:pPr>
          </w:p>
        </w:tc>
      </w:tr>
      <w:tr w:rsidR="00000000">
        <w:trPr>
          <w:divId w:val="1506869449"/>
        </w:trPr>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9"/>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5"/>
                <w:szCs w:val="15"/>
              </w:rPr>
              <w:t>Term Loans by Vintage Year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tcBorders>
              <w:top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1506869449"/>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5"/>
                <w:szCs w:val="15"/>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5"/>
                <w:szCs w:val="15"/>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5"/>
                <w:szCs w:val="15"/>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5"/>
                <w:szCs w:val="15"/>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5"/>
                <w:szCs w:val="15"/>
              </w:rPr>
              <w:t>2018</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5"/>
                <w:szCs w:val="15"/>
              </w:rPr>
              <w:t>2017</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5"/>
                <w:szCs w:val="15"/>
              </w:rPr>
              <w:t>Prior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5"/>
                <w:szCs w:val="15"/>
              </w:rPr>
              <w:t>Total Term Loans</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5"/>
                <w:szCs w:val="15"/>
              </w:rPr>
              <w:t>Revolving Loans</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5"/>
                <w:szCs w:val="15"/>
              </w:rPr>
              <w:t>Revolving Loans Converted to Term</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2"/>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5"/>
                <w:szCs w:val="15"/>
              </w:rPr>
              <w:t>Total</w:t>
            </w:r>
          </w:p>
        </w:tc>
        <w:tc>
          <w:tcPr>
            <w:tcW w:w="0" w:type="auto"/>
            <w:vAlign w:val="center"/>
            <w:hideMark/>
          </w:tcPr>
          <w:p w:rsidR="00000000" w:rsidRDefault="0094004B">
            <w:pPr>
              <w:spacing w:after="100"/>
              <w:rPr>
                <w:rFonts w:eastAsia="Times New Roman"/>
                <w:sz w:val="20"/>
                <w:szCs w:val="20"/>
              </w:rPr>
            </w:pPr>
          </w:p>
        </w:tc>
      </w:tr>
      <w:tr w:rsidR="0094004B">
        <w:trPr>
          <w:divId w:val="1506869449"/>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18"/>
                <w:szCs w:val="18"/>
              </w:rPr>
              <w:t>Total consumer banking</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38,021 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18,865 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10,789 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5,487 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2,816 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1,287 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77,265 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373 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77,646 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bl>
    <w:p w:rsidR="00000000" w:rsidRDefault="0094004B">
      <w:pPr>
        <w:jc w:val="both"/>
        <w:divId w:val="1506869449"/>
        <w:rPr>
          <w:rFonts w:eastAsia="Times New Roman"/>
        </w:rPr>
      </w:pPr>
      <w:r>
        <w:rPr>
          <w:rFonts w:eastAsia="Times New Roman"/>
          <w:color w:val="000000"/>
          <w:sz w:val="20"/>
          <w:szCs w:val="20"/>
        </w:rPr>
        <w:t>__________</w:t>
      </w:r>
    </w:p>
    <w:p w:rsidR="00000000" w:rsidRDefault="0094004B">
      <w:pPr>
        <w:ind w:hanging="360"/>
        <w:jc w:val="both"/>
        <w:divId w:val="450827358"/>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Amounts represent period-end loans held for investment in each credit score category. Auto credit scores generally represent a</w:t>
      </w:r>
      <w:r>
        <w:rPr>
          <w:rFonts w:eastAsia="Times New Roman"/>
          <w:color w:val="000000"/>
          <w:sz w:val="16"/>
          <w:szCs w:val="16"/>
        </w:rPr>
        <w:t>verage FICO scores obtained from three credit bureaus at the time of application and are not refreshed thereafter. Balances for which no credit score is available or the credit score is invalid are included in the 620 or below category.</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537424007"/>
          <w:jc w:val="center"/>
        </w:trPr>
        <w:tc>
          <w:tcPr>
            <w:tcW w:w="50" w:type="pct"/>
            <w:vAlign w:val="center"/>
            <w:hideMark/>
          </w:tcPr>
          <w:p w:rsidR="00000000" w:rsidRDefault="0094004B">
            <w:pPr>
              <w:ind w:hanging="360"/>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537424007"/>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537424007"/>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145</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71" style="width:0;height:1.5pt" o:hralign="center" o:hrstd="t" o:hr="t" fillcolor="#a0a0a0" stroked="f"/>
        </w:pict>
      </w:r>
    </w:p>
    <w:p w:rsidR="00000000" w:rsidRDefault="0094004B">
      <w:pPr>
        <w:jc w:val="both"/>
        <w:divId w:val="1149596482"/>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1149596482"/>
        <w:rPr>
          <w:rFonts w:eastAsia="Times New Roman"/>
        </w:rPr>
      </w:pPr>
    </w:p>
    <w:p w:rsidR="00000000" w:rsidRDefault="0094004B">
      <w:pPr>
        <w:jc w:val="center"/>
        <w:divId w:val="1149596482"/>
        <w:rPr>
          <w:rFonts w:eastAsia="Times New Roman"/>
        </w:rPr>
      </w:pPr>
      <w:r>
        <w:rPr>
          <w:rFonts w:eastAsia="Times New Roman"/>
          <w:b/>
          <w:bCs/>
          <w:color w:val="000000"/>
          <w:sz w:val="20"/>
          <w:szCs w:val="20"/>
        </w:rPr>
        <w:t>CAPITAL ONE FINANCIAL CORPORATION</w:t>
      </w:r>
    </w:p>
    <w:p w:rsidR="00000000" w:rsidRDefault="0094004B">
      <w:pPr>
        <w:jc w:val="center"/>
        <w:divId w:val="1149596482"/>
        <w:rPr>
          <w:rFonts w:eastAsia="Times New Roman"/>
        </w:rPr>
      </w:pPr>
      <w:r>
        <w:rPr>
          <w:rFonts w:eastAsia="Times New Roman"/>
          <w:b/>
          <w:bCs/>
          <w:color w:val="000000"/>
          <w:sz w:val="20"/>
          <w:szCs w:val="20"/>
        </w:rPr>
        <w:t>NOTES TO CONSOLIDATED FINANCIAL STATEMENTS</w:t>
      </w:r>
    </w:p>
    <w:p w:rsidR="00000000" w:rsidRDefault="0094004B">
      <w:pPr>
        <w:jc w:val="both"/>
        <w:divId w:val="1361516070"/>
        <w:rPr>
          <w:rFonts w:eastAsia="Times New Roman"/>
        </w:rPr>
      </w:pPr>
      <w:r>
        <w:rPr>
          <w:rFonts w:eastAsia="Times New Roman"/>
          <w:b/>
          <w:bCs/>
          <w:i/>
          <w:iCs/>
          <w:color w:val="000000"/>
          <w:sz w:val="20"/>
          <w:szCs w:val="20"/>
        </w:rPr>
        <w:t>Commercial Banking</w:t>
      </w:r>
    </w:p>
    <w:p w:rsidR="00000000" w:rsidRDefault="0094004B">
      <w:pPr>
        <w:jc w:val="both"/>
        <w:divId w:val="1128544837"/>
        <w:rPr>
          <w:rFonts w:eastAsia="Times New Roman"/>
        </w:rPr>
      </w:pPr>
      <w:r>
        <w:rPr>
          <w:rFonts w:eastAsia="Times New Roman"/>
          <w:color w:val="000000"/>
          <w:sz w:val="20"/>
          <w:szCs w:val="20"/>
        </w:rPr>
        <w:t xml:space="preserve">The key credit quality indicator for our commercial loan portfolios is our internal risk ratings. We assign internal risk ratings to loans based on relevant information about the ability of the borrowers to repay their debt. In determining the risk rating </w:t>
      </w:r>
      <w:r>
        <w:rPr>
          <w:rFonts w:eastAsia="Times New Roman"/>
          <w:color w:val="000000"/>
          <w:sz w:val="20"/>
          <w:szCs w:val="20"/>
        </w:rPr>
        <w:t>of a particular loan, some of the factors considered are the borrower’s current financial condition, historical and projected future credit performance, prospects for support from financially responsible guarantors, the estimated realizable value of any co</w:t>
      </w:r>
      <w:r>
        <w:rPr>
          <w:rFonts w:eastAsia="Times New Roman"/>
          <w:color w:val="000000"/>
          <w:sz w:val="20"/>
          <w:szCs w:val="20"/>
        </w:rPr>
        <w:t>llateral and current economic trends. The scale based on our internal risk rating system is as follows:</w:t>
      </w:r>
    </w:p>
    <w:p w:rsidR="00000000" w:rsidRDefault="0094004B">
      <w:pPr>
        <w:ind w:hanging="360"/>
        <w:jc w:val="both"/>
        <w:divId w:val="1919707813"/>
        <w:rPr>
          <w:rFonts w:eastAsia="Times New Roman"/>
        </w:rPr>
      </w:pPr>
      <w:r>
        <w:rPr>
          <w:rFonts w:eastAsia="Times New Roman"/>
          <w:color w:val="000000"/>
          <w:sz w:val="20"/>
          <w:szCs w:val="20"/>
        </w:rPr>
        <w:t>•</w:t>
      </w:r>
      <w:r>
        <w:rPr>
          <w:rFonts w:eastAsia="Times New Roman"/>
          <w:i/>
          <w:iCs/>
          <w:color w:val="000000"/>
          <w:sz w:val="20"/>
          <w:szCs w:val="20"/>
        </w:rPr>
        <w:t>Noncriticized:</w:t>
      </w:r>
      <w:r>
        <w:rPr>
          <w:rFonts w:eastAsia="Times New Roman"/>
          <w:color w:val="000000"/>
          <w:sz w:val="20"/>
          <w:szCs w:val="20"/>
        </w:rPr>
        <w:t xml:space="preserve"> Loans that have not been designated as criticized, frequently referred to as “pass” loans.</w:t>
      </w:r>
    </w:p>
    <w:p w:rsidR="00000000" w:rsidRDefault="0094004B">
      <w:pPr>
        <w:ind w:hanging="360"/>
        <w:jc w:val="both"/>
        <w:divId w:val="1492285079"/>
        <w:rPr>
          <w:rFonts w:eastAsia="Times New Roman"/>
        </w:rPr>
      </w:pPr>
      <w:r>
        <w:rPr>
          <w:rFonts w:eastAsia="Times New Roman"/>
          <w:color w:val="000000"/>
          <w:sz w:val="20"/>
          <w:szCs w:val="20"/>
        </w:rPr>
        <w:t>•</w:t>
      </w:r>
      <w:r>
        <w:rPr>
          <w:rFonts w:eastAsia="Times New Roman"/>
          <w:i/>
          <w:iCs/>
          <w:color w:val="000000"/>
          <w:sz w:val="20"/>
          <w:szCs w:val="20"/>
        </w:rPr>
        <w:t>Criticized performing:</w:t>
      </w:r>
      <w:r>
        <w:rPr>
          <w:rFonts w:eastAsia="Times New Roman"/>
          <w:color w:val="000000"/>
          <w:sz w:val="20"/>
          <w:szCs w:val="20"/>
        </w:rPr>
        <w:t xml:space="preserve"> Loans in which the fi</w:t>
      </w:r>
      <w:r>
        <w:rPr>
          <w:rFonts w:eastAsia="Times New Roman"/>
          <w:color w:val="000000"/>
          <w:sz w:val="20"/>
          <w:szCs w:val="20"/>
        </w:rPr>
        <w:t xml:space="preserve">nancial condition of the obligor is stressed, affecting earnings, cash flows or collateral values. The borrower currently has adequate capacity to meet near-term obligations; however, the stress, left unabated, may result in deterioration of the repayment </w:t>
      </w:r>
      <w:r>
        <w:rPr>
          <w:rFonts w:eastAsia="Times New Roman"/>
          <w:color w:val="000000"/>
          <w:sz w:val="20"/>
          <w:szCs w:val="20"/>
        </w:rPr>
        <w:t>prospects at some future date.</w:t>
      </w:r>
    </w:p>
    <w:p w:rsidR="00000000" w:rsidRDefault="0094004B">
      <w:pPr>
        <w:ind w:hanging="360"/>
        <w:jc w:val="both"/>
        <w:divId w:val="397554478"/>
        <w:rPr>
          <w:rFonts w:eastAsia="Times New Roman"/>
        </w:rPr>
      </w:pPr>
      <w:r>
        <w:rPr>
          <w:rFonts w:eastAsia="Times New Roman"/>
          <w:color w:val="000000"/>
          <w:sz w:val="20"/>
          <w:szCs w:val="20"/>
        </w:rPr>
        <w:t>•</w:t>
      </w:r>
      <w:r>
        <w:rPr>
          <w:rFonts w:eastAsia="Times New Roman"/>
          <w:i/>
          <w:iCs/>
          <w:color w:val="000000"/>
          <w:sz w:val="20"/>
          <w:szCs w:val="20"/>
        </w:rPr>
        <w:t>Criticized nonperforming:</w:t>
      </w:r>
      <w:r>
        <w:rPr>
          <w:rFonts w:eastAsia="Times New Roman"/>
          <w:color w:val="000000"/>
          <w:sz w:val="20"/>
          <w:szCs w:val="20"/>
        </w:rPr>
        <w:t xml:space="preserve"> Loans that are not adequately protected by the current net worth and paying capacity of the obligor or the collateral pledged, if any. Loans classified as criticized nonperforming have a well-define</w:t>
      </w:r>
      <w:r>
        <w:rPr>
          <w:rFonts w:eastAsia="Times New Roman"/>
          <w:color w:val="000000"/>
          <w:sz w:val="20"/>
          <w:szCs w:val="20"/>
        </w:rPr>
        <w:t>d weakness, or weaknesses, which jeopardize the full repayment of the debt. These loans are characterized by the distinct possibility that we will sustain a credit loss if the deficiencies are not corrected and are generally placed on nonaccrual status.</w:t>
      </w:r>
    </w:p>
    <w:p w:rsidR="00000000" w:rsidRDefault="0094004B">
      <w:pPr>
        <w:jc w:val="both"/>
        <w:divId w:val="297272104"/>
        <w:rPr>
          <w:rFonts w:eastAsia="Times New Roman"/>
        </w:rPr>
      </w:pPr>
      <w:r>
        <w:rPr>
          <w:rFonts w:eastAsia="Times New Roman"/>
          <w:color w:val="000000"/>
          <w:sz w:val="20"/>
          <w:szCs w:val="20"/>
        </w:rPr>
        <w:t>We</w:t>
      </w:r>
      <w:r>
        <w:rPr>
          <w:rFonts w:eastAsia="Times New Roman"/>
          <w:color w:val="000000"/>
          <w:sz w:val="20"/>
          <w:szCs w:val="20"/>
        </w:rPr>
        <w:t xml:space="preserve"> use our internal risk rating system for regulatory reporting, determining the frequency of credit exposure reviews, and evaluating and determining the allowance for credit losses. Generally, loans that are designated as criticized performing and criticize</w:t>
      </w:r>
      <w:r>
        <w:rPr>
          <w:rFonts w:eastAsia="Times New Roman"/>
          <w:color w:val="000000"/>
          <w:sz w:val="20"/>
          <w:szCs w:val="20"/>
        </w:rPr>
        <w:t>d nonperforming are reviewed quarterly by management to determine if they are appropriately classified/rated and whether any impairment exists. Noncriticized loans are also generally reviewed, at least annually, to determine the appropriate risk rating. In</w:t>
      </w:r>
      <w:r>
        <w:rPr>
          <w:rFonts w:eastAsia="Times New Roman"/>
          <w:color w:val="000000"/>
          <w:sz w:val="20"/>
          <w:szCs w:val="20"/>
        </w:rPr>
        <w:t xml:space="preserve"> addition, we evaluate the risk rating during the renewal process of any loan or if a loan becomes past due.</w:t>
      </w:r>
    </w:p>
    <w:p w:rsidR="00000000" w:rsidRDefault="0094004B">
      <w:pPr>
        <w:jc w:val="both"/>
        <w:divId w:val="821233918"/>
        <w:rPr>
          <w:rFonts w:eastAsia="Times New Roman"/>
        </w:rPr>
      </w:pPr>
      <w:r>
        <w:rPr>
          <w:rFonts w:eastAsia="Times New Roman"/>
          <w:color w:val="000000"/>
          <w:sz w:val="20"/>
          <w:szCs w:val="20"/>
        </w:rPr>
        <w:t>The following table presents our commercial banking portfolio of loans held for investment by internal risk ratings as of December 31, 2022 and 202</w:t>
      </w:r>
      <w:r>
        <w:rPr>
          <w:rFonts w:eastAsia="Times New Roman"/>
          <w:color w:val="000000"/>
          <w:sz w:val="20"/>
          <w:szCs w:val="20"/>
        </w:rPr>
        <w:t>1. The internal risk rating status includes all past due loans, both performing and nonperforming.</w:t>
      </w:r>
    </w:p>
    <w:p w:rsidR="00000000" w:rsidRDefault="0094004B">
      <w:pPr>
        <w:divId w:val="233859414"/>
        <w:rPr>
          <w:rFonts w:eastAsia="Times New Roman"/>
        </w:rPr>
      </w:pPr>
      <w:r>
        <w:rPr>
          <w:rFonts w:eastAsia="Times New Roman"/>
          <w:b/>
          <w:bCs/>
          <w:color w:val="000000"/>
          <w:sz w:val="18"/>
          <w:szCs w:val="18"/>
        </w:rPr>
        <w:t>Table 3.5: Commercial Banking Portfolio by Internal Risk Ratings</w:t>
      </w:r>
    </w:p>
    <w:tbl>
      <w:tblPr>
        <w:tblW w:w="5000" w:type="pct"/>
        <w:tblCellMar>
          <w:top w:w="15" w:type="dxa"/>
          <w:left w:w="15" w:type="dxa"/>
          <w:bottom w:w="15" w:type="dxa"/>
          <w:right w:w="15" w:type="dxa"/>
        </w:tblCellMar>
        <w:tblLook w:val="04A0" w:firstRow="1" w:lastRow="0" w:firstColumn="1" w:lastColumn="0" w:noHBand="0" w:noVBand="1"/>
      </w:tblPr>
      <w:tblGrid>
        <w:gridCol w:w="65"/>
        <w:gridCol w:w="79"/>
        <w:gridCol w:w="1330"/>
        <w:gridCol w:w="40"/>
        <w:gridCol w:w="36"/>
        <w:gridCol w:w="36"/>
        <w:gridCol w:w="36"/>
        <w:gridCol w:w="110"/>
        <w:gridCol w:w="540"/>
        <w:gridCol w:w="36"/>
        <w:gridCol w:w="36"/>
        <w:gridCol w:w="36"/>
        <w:gridCol w:w="36"/>
        <w:gridCol w:w="110"/>
        <w:gridCol w:w="281"/>
        <w:gridCol w:w="144"/>
        <w:gridCol w:w="115"/>
        <w:gridCol w:w="29"/>
        <w:gridCol w:w="7"/>
        <w:gridCol w:w="36"/>
        <w:gridCol w:w="36"/>
        <w:gridCol w:w="36"/>
        <w:gridCol w:w="110"/>
        <w:gridCol w:w="450"/>
        <w:gridCol w:w="36"/>
        <w:gridCol w:w="36"/>
        <w:gridCol w:w="36"/>
        <w:gridCol w:w="36"/>
        <w:gridCol w:w="110"/>
        <w:gridCol w:w="450"/>
        <w:gridCol w:w="36"/>
        <w:gridCol w:w="36"/>
        <w:gridCol w:w="36"/>
        <w:gridCol w:w="36"/>
        <w:gridCol w:w="110"/>
        <w:gridCol w:w="450"/>
        <w:gridCol w:w="36"/>
        <w:gridCol w:w="36"/>
        <w:gridCol w:w="36"/>
        <w:gridCol w:w="36"/>
        <w:gridCol w:w="110"/>
        <w:gridCol w:w="339"/>
        <w:gridCol w:w="111"/>
        <w:gridCol w:w="33"/>
        <w:gridCol w:w="3"/>
        <w:gridCol w:w="36"/>
        <w:gridCol w:w="36"/>
        <w:gridCol w:w="36"/>
        <w:gridCol w:w="33"/>
        <w:gridCol w:w="77"/>
        <w:gridCol w:w="540"/>
        <w:gridCol w:w="36"/>
        <w:gridCol w:w="36"/>
        <w:gridCol w:w="36"/>
        <w:gridCol w:w="36"/>
        <w:gridCol w:w="110"/>
        <w:gridCol w:w="540"/>
        <w:gridCol w:w="36"/>
        <w:gridCol w:w="36"/>
        <w:gridCol w:w="36"/>
        <w:gridCol w:w="36"/>
        <w:gridCol w:w="111"/>
        <w:gridCol w:w="618"/>
        <w:gridCol w:w="36"/>
        <w:gridCol w:w="36"/>
        <w:gridCol w:w="36"/>
        <w:gridCol w:w="36"/>
        <w:gridCol w:w="110"/>
        <w:gridCol w:w="138"/>
        <w:gridCol w:w="144"/>
        <w:gridCol w:w="258"/>
        <w:gridCol w:w="36"/>
      </w:tblGrid>
      <w:tr w:rsidR="00000000">
        <w:trPr>
          <w:divId w:val="662045836"/>
        </w:trPr>
        <w:tc>
          <w:tcPr>
            <w:tcW w:w="50" w:type="pct"/>
            <w:vAlign w:val="center"/>
            <w:hideMark/>
          </w:tcPr>
          <w:p w:rsidR="00000000" w:rsidRDefault="0094004B">
            <w:pPr>
              <w:rPr>
                <w:rFonts w:eastAsia="Times New Roman"/>
              </w:rPr>
            </w:pPr>
          </w:p>
        </w:tc>
        <w:tc>
          <w:tcPr>
            <w:tcW w:w="1085" w:type="pct"/>
            <w:gridSpan w:val="2"/>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9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88" w:type="pct"/>
            <w:gridSpan w:val="3"/>
            <w:vAlign w:val="center"/>
            <w:hideMark/>
          </w:tcPr>
          <w:p w:rsidR="00000000" w:rsidRDefault="0094004B">
            <w:pPr>
              <w:spacing w:after="100"/>
              <w:rPr>
                <w:rFonts w:eastAsia="Times New Roman"/>
                <w:sz w:val="20"/>
                <w:szCs w:val="20"/>
              </w:rPr>
            </w:pPr>
          </w:p>
        </w:tc>
        <w:tc>
          <w:tcPr>
            <w:tcW w:w="5" w:type="pct"/>
            <w:gridSpan w:val="2"/>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88"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7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7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73" w:type="pct"/>
            <w:gridSpan w:val="2"/>
            <w:vAlign w:val="center"/>
            <w:hideMark/>
          </w:tcPr>
          <w:p w:rsidR="00000000" w:rsidRDefault="0094004B">
            <w:pPr>
              <w:spacing w:after="100"/>
              <w:rPr>
                <w:rFonts w:eastAsia="Times New Roman"/>
                <w:sz w:val="20"/>
                <w:szCs w:val="20"/>
              </w:rPr>
            </w:pPr>
          </w:p>
        </w:tc>
        <w:tc>
          <w:tcPr>
            <w:tcW w:w="5" w:type="pct"/>
            <w:gridSpan w:val="2"/>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gridSpan w:val="2"/>
            <w:vAlign w:val="center"/>
            <w:hideMark/>
          </w:tcPr>
          <w:p w:rsidR="00000000" w:rsidRDefault="0094004B">
            <w:pPr>
              <w:spacing w:after="100"/>
              <w:rPr>
                <w:rFonts w:eastAsia="Times New Roman"/>
                <w:sz w:val="20"/>
                <w:szCs w:val="20"/>
              </w:rPr>
            </w:pPr>
          </w:p>
        </w:tc>
        <w:tc>
          <w:tcPr>
            <w:tcW w:w="288"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1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4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96" w:type="pct"/>
            <w:gridSpan w:val="3"/>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662045836"/>
        </w:trPr>
        <w:tc>
          <w:tcPr>
            <w:tcW w:w="0" w:type="auto"/>
            <w:gridSpan w:val="4"/>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64"/>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5"/>
                <w:szCs w:val="15"/>
              </w:rPr>
              <w:t>December 31, 2022</w:t>
            </w:r>
          </w:p>
        </w:tc>
        <w:tc>
          <w:tcPr>
            <w:tcW w:w="0" w:type="auto"/>
            <w:vAlign w:val="center"/>
            <w:hideMark/>
          </w:tcPr>
          <w:p w:rsidR="00000000" w:rsidRDefault="0094004B">
            <w:pPr>
              <w:spacing w:after="100"/>
              <w:rPr>
                <w:rFonts w:eastAsia="Times New Roman"/>
                <w:sz w:val="20"/>
                <w:szCs w:val="20"/>
              </w:rPr>
            </w:pPr>
          </w:p>
        </w:tc>
      </w:tr>
      <w:tr w:rsidR="00000000">
        <w:trPr>
          <w:divId w:val="662045836"/>
        </w:trPr>
        <w:tc>
          <w:tcPr>
            <w:tcW w:w="0" w:type="auto"/>
            <w:gridSpan w:val="4"/>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45"/>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5"/>
                <w:szCs w:val="15"/>
              </w:rPr>
              <w:t>Term Loans by Vintage Year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662045836"/>
        </w:trPr>
        <w:tc>
          <w:tcPr>
            <w:tcW w:w="0" w:type="auto"/>
            <w:gridSpan w:val="4"/>
            <w:tcBorders>
              <w:bottom w:val="single" w:sz="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5"/>
                <w:szCs w:val="15"/>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5"/>
                <w:szCs w:val="15"/>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6"/>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5"/>
                <w:szCs w:val="15"/>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5"/>
                <w:szCs w:val="15"/>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5"/>
                <w:szCs w:val="15"/>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5"/>
                <w:szCs w:val="15"/>
              </w:rPr>
              <w:t>2018</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5"/>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5"/>
                <w:szCs w:val="15"/>
              </w:rPr>
              <w:t>Prior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4"/>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5"/>
                <w:szCs w:val="15"/>
              </w:rPr>
              <w:t>Total Term Loans</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5"/>
                <w:szCs w:val="15"/>
              </w:rPr>
              <w:t>Revolving Loans</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5"/>
                <w:szCs w:val="15"/>
              </w:rPr>
              <w:t>Revolving Loans Converted to Term</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4"/>
            <w:tcBorders>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5"/>
                <w:szCs w:val="15"/>
              </w:rPr>
              <w:t>Total</w:t>
            </w:r>
          </w:p>
        </w:tc>
        <w:tc>
          <w:tcPr>
            <w:tcW w:w="0" w:type="auto"/>
            <w:vAlign w:val="center"/>
            <w:hideMark/>
          </w:tcPr>
          <w:p w:rsidR="00000000" w:rsidRDefault="0094004B">
            <w:pPr>
              <w:spacing w:after="100"/>
              <w:rPr>
                <w:rFonts w:eastAsia="Times New Roman"/>
                <w:sz w:val="20"/>
                <w:szCs w:val="20"/>
              </w:rPr>
            </w:pPr>
          </w:p>
        </w:tc>
      </w:tr>
      <w:tr w:rsidR="00000000">
        <w:trPr>
          <w:divId w:val="662045836"/>
        </w:trPr>
        <w:tc>
          <w:tcPr>
            <w:tcW w:w="0" w:type="auto"/>
            <w:gridSpan w:val="4"/>
            <w:tcBorders>
              <w:top w:val="single" w:sz="8" w:space="0" w:color="000000"/>
            </w:tcBorders>
            <w:shd w:val="clear" w:color="auto" w:fill="CCEEFF"/>
            <w:tcMar>
              <w:top w:w="30" w:type="dxa"/>
              <w:left w:w="20" w:type="dxa"/>
              <w:bottom w:w="30" w:type="dxa"/>
              <w:right w:w="20" w:type="dxa"/>
            </w:tcMar>
            <w:vAlign w:val="bottom"/>
            <w:hideMark/>
          </w:tcPr>
          <w:p w:rsidR="00000000" w:rsidRDefault="0094004B">
            <w:pPr>
              <w:spacing w:after="100"/>
              <w:divId w:val="692655111"/>
              <w:rPr>
                <w:rFonts w:eastAsia="Times New Roman"/>
              </w:rPr>
            </w:pPr>
            <w:r>
              <w:rPr>
                <w:rFonts w:eastAsia="Times New Roman"/>
                <w:b/>
                <w:bCs/>
                <w:color w:val="000000"/>
                <w:sz w:val="18"/>
                <w:szCs w:val="18"/>
              </w:rPr>
              <w:t>Internal risk rating</w:t>
            </w:r>
            <w:r>
              <w:rPr>
                <w:rFonts w:eastAsia="Times New Roman"/>
                <w:b/>
                <w:bCs/>
                <w:color w:val="000000"/>
                <w:sz w:val="18"/>
                <w:szCs w:val="18"/>
              </w:rPr>
              <w:t>:</w:t>
            </w:r>
            <w:r>
              <w:rPr>
                <w:rFonts w:eastAsia="Times New Roman"/>
                <w:b/>
                <w:bCs/>
                <w:color w:val="000000"/>
                <w:sz w:val="12"/>
                <w:szCs w:val="12"/>
              </w:rPr>
              <w:t>(1</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6"/>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5"/>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4"/>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4"/>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662045836"/>
        </w:trPr>
        <w:tc>
          <w:tcPr>
            <w:tcW w:w="0" w:type="auto"/>
            <w:gridSpan w:val="4"/>
            <w:shd w:val="clear" w:color="auto" w:fill="FFFFFF"/>
            <w:tcMar>
              <w:top w:w="30" w:type="dxa"/>
              <w:left w:w="155"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6"/>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5"/>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94004B">
        <w:trPr>
          <w:divId w:val="662045836"/>
        </w:trPr>
        <w:tc>
          <w:tcPr>
            <w:tcW w:w="0" w:type="auto"/>
            <w:gridSpan w:val="4"/>
            <w:shd w:val="clear" w:color="auto" w:fill="CCEEFF"/>
            <w:tcMar>
              <w:top w:w="30" w:type="dxa"/>
              <w:left w:w="38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Noncriticized</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9,527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3"/>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4,086</w:t>
            </w:r>
            <w:r>
              <w:rPr>
                <w:rFonts w:eastAsia="Times New Roman"/>
                <w:color w:val="000000"/>
                <w:sz w:val="18"/>
                <w:szCs w:val="18"/>
              </w:rPr>
              <w:t> </w:t>
            </w:r>
          </w:p>
        </w:tc>
        <w:tc>
          <w:tcPr>
            <w:tcW w:w="0" w:type="auto"/>
            <w:gridSpan w:val="2"/>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1,161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1,671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1,280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2"/>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2,898</w:t>
            </w:r>
            <w:r>
              <w:rPr>
                <w:rFonts w:eastAsia="Times New Roman"/>
                <w:color w:val="000000"/>
                <w:sz w:val="18"/>
                <w:szCs w:val="18"/>
              </w:rPr>
              <w:t> </w:t>
            </w:r>
          </w:p>
        </w:tc>
        <w:tc>
          <w:tcPr>
            <w:tcW w:w="0" w:type="auto"/>
            <w:gridSpan w:val="2"/>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20,623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13,254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3"/>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33,902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94004B">
        <w:trPr>
          <w:divId w:val="662045836"/>
        </w:trPr>
        <w:tc>
          <w:tcPr>
            <w:tcW w:w="0" w:type="auto"/>
            <w:gridSpan w:val="4"/>
            <w:shd w:val="clear" w:color="auto" w:fill="FFFFFF"/>
            <w:tcMar>
              <w:top w:w="30" w:type="dxa"/>
              <w:left w:w="38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Criticized performing</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814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376</w:t>
            </w:r>
            <w:r>
              <w:rPr>
                <w:rFonts w:eastAsia="Times New Roman"/>
                <w:color w:val="000000"/>
                <w:sz w:val="18"/>
                <w:szCs w:val="18"/>
              </w:rPr>
              <w:t> </w:t>
            </w:r>
          </w:p>
        </w:tc>
        <w:tc>
          <w:tcPr>
            <w:tcW w:w="0" w:type="auto"/>
            <w:gridSpan w:val="2"/>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202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412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302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1,061</w:t>
            </w:r>
            <w:r>
              <w:rPr>
                <w:rFonts w:eastAsia="Times New Roman"/>
                <w:color w:val="000000"/>
                <w:sz w:val="18"/>
                <w:szCs w:val="18"/>
              </w:rPr>
              <w:t> </w:t>
            </w:r>
          </w:p>
        </w:tc>
        <w:tc>
          <w:tcPr>
            <w:tcW w:w="0" w:type="auto"/>
            <w:gridSpan w:val="2"/>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3,167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113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3,280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94004B">
        <w:trPr>
          <w:divId w:val="662045836"/>
        </w:trPr>
        <w:tc>
          <w:tcPr>
            <w:tcW w:w="0" w:type="auto"/>
            <w:gridSpan w:val="4"/>
            <w:shd w:val="clear" w:color="auto" w:fill="CCEEFF"/>
            <w:tcMar>
              <w:top w:w="30" w:type="dxa"/>
              <w:left w:w="38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Criticized nonperforming</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101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22</w:t>
            </w:r>
            <w:r>
              <w:rPr>
                <w:rFonts w:eastAsia="Times New Roman"/>
                <w:color w:val="000000"/>
                <w:sz w:val="18"/>
                <w:szCs w:val="18"/>
              </w:rPr>
              <w:t> </w:t>
            </w:r>
          </w:p>
        </w:tc>
        <w:tc>
          <w:tcPr>
            <w:tcW w:w="0" w:type="auto"/>
            <w:gridSpan w:val="2"/>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116</w:t>
            </w:r>
            <w:r>
              <w:rPr>
                <w:rFonts w:eastAsia="Times New Roman"/>
                <w:color w:val="000000"/>
                <w:sz w:val="18"/>
                <w:szCs w:val="18"/>
              </w:rPr>
              <w:t> </w:t>
            </w:r>
          </w:p>
        </w:tc>
        <w:tc>
          <w:tcPr>
            <w:tcW w:w="0" w:type="auto"/>
            <w:gridSpan w:val="2"/>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271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271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94004B">
        <w:trPr>
          <w:divId w:val="662045836"/>
        </w:trPr>
        <w:tc>
          <w:tcPr>
            <w:tcW w:w="0" w:type="auto"/>
            <w:gridSpan w:val="4"/>
            <w:shd w:val="clear" w:color="auto" w:fill="FFFFFF"/>
            <w:tcMar>
              <w:top w:w="30" w:type="dxa"/>
              <w:left w:w="245"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Total commercial and multifamily real estate</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10,442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4"/>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4,484</w:t>
            </w:r>
            <w:r>
              <w:rPr>
                <w:rFonts w:eastAsia="Times New Roman"/>
                <w:color w:val="000000"/>
                <w:sz w:val="18"/>
                <w:szCs w:val="18"/>
              </w:rPr>
              <w:t> </w:t>
            </w:r>
          </w:p>
        </w:tc>
        <w:tc>
          <w:tcPr>
            <w:tcW w:w="0" w:type="auto"/>
            <w:gridSpan w:val="2"/>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1,363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2,096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1,601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4,075</w:t>
            </w:r>
            <w:r>
              <w:rPr>
                <w:rFonts w:eastAsia="Times New Roman"/>
                <w:color w:val="000000"/>
                <w:sz w:val="18"/>
                <w:szCs w:val="18"/>
              </w:rPr>
              <w:t> </w:t>
            </w:r>
          </w:p>
        </w:tc>
        <w:tc>
          <w:tcPr>
            <w:tcW w:w="0" w:type="auto"/>
            <w:gridSpan w:val="2"/>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24,061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13,367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4"/>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37,453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662045836"/>
        </w:trPr>
        <w:tc>
          <w:tcPr>
            <w:tcW w:w="0" w:type="auto"/>
            <w:gridSpan w:val="4"/>
            <w:shd w:val="clear" w:color="auto" w:fill="CCEEFF"/>
            <w:tcMar>
              <w:top w:w="30" w:type="dxa"/>
              <w:left w:w="155"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6"/>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5"/>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4"/>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4"/>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94004B">
        <w:trPr>
          <w:divId w:val="662045836"/>
        </w:trPr>
        <w:tc>
          <w:tcPr>
            <w:tcW w:w="0" w:type="auto"/>
            <w:gridSpan w:val="4"/>
            <w:shd w:val="clear" w:color="auto" w:fill="FFFFFF"/>
            <w:tcMar>
              <w:top w:w="30" w:type="dxa"/>
              <w:left w:w="38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Noncriticized</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22,105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6,031</w:t>
            </w:r>
            <w:r>
              <w:rPr>
                <w:rFonts w:eastAsia="Times New Roman"/>
                <w:color w:val="000000"/>
                <w:sz w:val="18"/>
                <w:szCs w:val="18"/>
              </w:rPr>
              <w:t> </w:t>
            </w:r>
          </w:p>
        </w:tc>
        <w:tc>
          <w:tcPr>
            <w:tcW w:w="0" w:type="auto"/>
            <w:gridSpan w:val="2"/>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2,934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1,809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973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2,658</w:t>
            </w:r>
            <w:r>
              <w:rPr>
                <w:rFonts w:eastAsia="Times New Roman"/>
                <w:color w:val="000000"/>
                <w:sz w:val="18"/>
                <w:szCs w:val="18"/>
              </w:rPr>
              <w:t> </w:t>
            </w:r>
          </w:p>
        </w:tc>
        <w:tc>
          <w:tcPr>
            <w:tcW w:w="0" w:type="auto"/>
            <w:gridSpan w:val="2"/>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36,510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17,187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53,718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94004B">
        <w:trPr>
          <w:divId w:val="662045836"/>
        </w:trPr>
        <w:tc>
          <w:tcPr>
            <w:tcW w:w="0" w:type="auto"/>
            <w:gridSpan w:val="4"/>
            <w:shd w:val="clear" w:color="auto" w:fill="CCEEFF"/>
            <w:tcMar>
              <w:top w:w="30" w:type="dxa"/>
              <w:left w:w="38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Criticized performing</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992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560</w:t>
            </w:r>
            <w:r>
              <w:rPr>
                <w:rFonts w:eastAsia="Times New Roman"/>
                <w:color w:val="000000"/>
                <w:sz w:val="18"/>
                <w:szCs w:val="18"/>
              </w:rPr>
              <w:t> </w:t>
            </w:r>
          </w:p>
        </w:tc>
        <w:tc>
          <w:tcPr>
            <w:tcW w:w="0" w:type="auto"/>
            <w:gridSpan w:val="2"/>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156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160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167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76</w:t>
            </w:r>
            <w:r>
              <w:rPr>
                <w:rFonts w:eastAsia="Times New Roman"/>
                <w:color w:val="000000"/>
                <w:sz w:val="18"/>
                <w:szCs w:val="18"/>
              </w:rPr>
              <w:t> </w:t>
            </w:r>
          </w:p>
        </w:tc>
        <w:tc>
          <w:tcPr>
            <w:tcW w:w="0" w:type="auto"/>
            <w:gridSpan w:val="2"/>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2,111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964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3,075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94004B">
        <w:trPr>
          <w:divId w:val="662045836"/>
        </w:trPr>
        <w:tc>
          <w:tcPr>
            <w:tcW w:w="0" w:type="auto"/>
            <w:gridSpan w:val="4"/>
            <w:shd w:val="clear" w:color="auto" w:fill="FFFFFF"/>
            <w:tcMar>
              <w:top w:w="30" w:type="dxa"/>
              <w:left w:w="38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Criticized nonperforming</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196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21</w:t>
            </w:r>
            <w:r>
              <w:rPr>
                <w:rFonts w:eastAsia="Times New Roman"/>
                <w:color w:val="000000"/>
                <w:sz w:val="18"/>
                <w:szCs w:val="18"/>
              </w:rPr>
              <w:t> </w:t>
            </w:r>
          </w:p>
        </w:tc>
        <w:tc>
          <w:tcPr>
            <w:tcW w:w="0" w:type="auto"/>
            <w:gridSpan w:val="2"/>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87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40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5</w:t>
            </w:r>
            <w:r>
              <w:rPr>
                <w:rFonts w:eastAsia="Times New Roman"/>
                <w:color w:val="000000"/>
                <w:sz w:val="18"/>
                <w:szCs w:val="18"/>
              </w:rPr>
              <w:t> </w:t>
            </w:r>
          </w:p>
        </w:tc>
        <w:tc>
          <w:tcPr>
            <w:tcW w:w="0" w:type="auto"/>
            <w:gridSpan w:val="2"/>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354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76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430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94004B">
        <w:trPr>
          <w:divId w:val="662045836"/>
        </w:trPr>
        <w:tc>
          <w:tcPr>
            <w:tcW w:w="0" w:type="auto"/>
            <w:gridSpan w:val="4"/>
            <w:shd w:val="clear" w:color="auto" w:fill="CCEEFF"/>
            <w:tcMar>
              <w:top w:w="30" w:type="dxa"/>
              <w:left w:w="245"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Total commercial and industrial</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23,293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4"/>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6,612</w:t>
            </w:r>
            <w:r>
              <w:rPr>
                <w:rFonts w:eastAsia="Times New Roman"/>
                <w:color w:val="000000"/>
                <w:sz w:val="18"/>
                <w:szCs w:val="18"/>
              </w:rPr>
              <w:t> </w:t>
            </w:r>
          </w:p>
        </w:tc>
        <w:tc>
          <w:tcPr>
            <w:tcW w:w="0" w:type="auto"/>
            <w:gridSpan w:val="2"/>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3,095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2,056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1,180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2,739</w:t>
            </w:r>
            <w:r>
              <w:rPr>
                <w:rFonts w:eastAsia="Times New Roman"/>
                <w:color w:val="000000"/>
                <w:sz w:val="18"/>
                <w:szCs w:val="18"/>
              </w:rPr>
              <w:t> </w:t>
            </w:r>
          </w:p>
        </w:tc>
        <w:tc>
          <w:tcPr>
            <w:tcW w:w="0" w:type="auto"/>
            <w:gridSpan w:val="2"/>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38,975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18,227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4"/>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57,223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94004B">
        <w:trPr>
          <w:divId w:val="662045836"/>
        </w:trPr>
        <w:tc>
          <w:tcPr>
            <w:tcW w:w="0" w:type="auto"/>
            <w:gridSpan w:val="4"/>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Total commercial banking</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33,735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3"/>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11,096</w:t>
            </w:r>
            <w:r>
              <w:rPr>
                <w:rFonts w:eastAsia="Times New Roman"/>
                <w:color w:val="000000"/>
                <w:sz w:val="18"/>
                <w:szCs w:val="18"/>
              </w:rPr>
              <w:t> </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4,458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4,152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2,781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6,814</w:t>
            </w:r>
            <w:r>
              <w:rPr>
                <w:rFonts w:eastAsia="Times New Roman"/>
                <w:color w:val="000000"/>
                <w:sz w:val="18"/>
                <w:szCs w:val="18"/>
              </w:rPr>
              <w:t> </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63,036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31,594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46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3"/>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94,676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blPrEx>
          <w:tblW w:w="4992" w:type="pct"/>
          <w:jc w:val="center"/>
        </w:tblPrEx>
        <w:trPr>
          <w:gridAfter w:val="2"/>
          <w:jc w:val="center"/>
        </w:trPr>
        <w:tc>
          <w:tcPr>
            <w:tcW w:w="50" w:type="pct"/>
            <w:gridSpan w:val="2"/>
            <w:vAlign w:val="center"/>
            <w:hideMark/>
          </w:tcPr>
          <w:p w:rsidR="00000000" w:rsidRDefault="0094004B">
            <w:pPr>
              <w:rPr>
                <w:rFonts w:eastAsia="Times New Roman"/>
              </w:rPr>
            </w:pPr>
          </w:p>
        </w:tc>
        <w:tc>
          <w:tcPr>
            <w:tcW w:w="1606" w:type="pct"/>
            <w:gridSpan w:val="13"/>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gridSpan w:val="2"/>
            <w:vAlign w:val="center"/>
            <w:hideMark/>
          </w:tcPr>
          <w:p w:rsidR="00000000" w:rsidRDefault="0094004B">
            <w:pPr>
              <w:spacing w:after="100"/>
              <w:rPr>
                <w:rFonts w:eastAsia="Times New Roman"/>
                <w:sz w:val="20"/>
                <w:szCs w:val="20"/>
              </w:rPr>
            </w:pPr>
          </w:p>
        </w:tc>
        <w:tc>
          <w:tcPr>
            <w:tcW w:w="1614" w:type="pct"/>
            <w:gridSpan w:val="24"/>
            <w:vAlign w:val="center"/>
            <w:hideMark/>
          </w:tcPr>
          <w:p w:rsidR="00000000" w:rsidRDefault="0094004B">
            <w:pPr>
              <w:spacing w:after="100"/>
              <w:rPr>
                <w:rFonts w:eastAsia="Times New Roman"/>
                <w:sz w:val="20"/>
                <w:szCs w:val="20"/>
              </w:rPr>
            </w:pPr>
          </w:p>
        </w:tc>
        <w:tc>
          <w:tcPr>
            <w:tcW w:w="5" w:type="pct"/>
            <w:gridSpan w:val="2"/>
            <w:vAlign w:val="center"/>
            <w:hideMark/>
          </w:tcPr>
          <w:p w:rsidR="00000000" w:rsidRDefault="0094004B">
            <w:pPr>
              <w:spacing w:after="100"/>
              <w:rPr>
                <w:rFonts w:eastAsia="Times New Roman"/>
                <w:sz w:val="20"/>
                <w:szCs w:val="20"/>
              </w:rPr>
            </w:pPr>
          </w:p>
        </w:tc>
        <w:tc>
          <w:tcPr>
            <w:tcW w:w="50" w:type="pct"/>
            <w:gridSpan w:val="5"/>
            <w:vAlign w:val="center"/>
            <w:hideMark/>
          </w:tcPr>
          <w:p w:rsidR="00000000" w:rsidRDefault="0094004B">
            <w:pPr>
              <w:spacing w:after="100"/>
              <w:rPr>
                <w:rFonts w:eastAsia="Times New Roman"/>
                <w:sz w:val="20"/>
                <w:szCs w:val="20"/>
              </w:rPr>
            </w:pPr>
          </w:p>
        </w:tc>
        <w:tc>
          <w:tcPr>
            <w:tcW w:w="1614" w:type="pct"/>
            <w:gridSpan w:val="20"/>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blPrEx>
          <w:tblW w:w="4992" w:type="pct"/>
          <w:jc w:val="center"/>
        </w:tblPrEx>
        <w:trPr>
          <w:gridAfter w:val="2"/>
          <w:trHeight w:val="300"/>
          <w:jc w:val="center"/>
        </w:trPr>
        <w:tc>
          <w:tcPr>
            <w:tcW w:w="0" w:type="auto"/>
            <w:gridSpan w:val="70"/>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blPrEx>
          <w:tblW w:w="4992" w:type="pct"/>
          <w:jc w:val="center"/>
        </w:tblPrEx>
        <w:trPr>
          <w:gridAfter w:val="2"/>
          <w:jc w:val="center"/>
        </w:trPr>
        <w:tc>
          <w:tcPr>
            <w:tcW w:w="0" w:type="auto"/>
            <w:gridSpan w:val="16"/>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8"/>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146</w:t>
            </w:r>
          </w:p>
        </w:tc>
        <w:tc>
          <w:tcPr>
            <w:tcW w:w="0" w:type="auto"/>
            <w:gridSpan w:val="26"/>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72" style="width:0;height:1.5pt" o:hralign="center" o:hrstd="t" o:hr="t" fillcolor="#a0a0a0" stroked="f"/>
        </w:pict>
      </w:r>
    </w:p>
    <w:p w:rsidR="00000000" w:rsidRDefault="0094004B">
      <w:pPr>
        <w:jc w:val="both"/>
        <w:divId w:val="532155811"/>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532155811"/>
        <w:rPr>
          <w:rFonts w:eastAsia="Times New Roman"/>
        </w:rPr>
      </w:pPr>
    </w:p>
    <w:p w:rsidR="00000000" w:rsidRDefault="0094004B">
      <w:pPr>
        <w:jc w:val="center"/>
        <w:divId w:val="532155811"/>
        <w:rPr>
          <w:rFonts w:eastAsia="Times New Roman"/>
        </w:rPr>
      </w:pPr>
      <w:r>
        <w:rPr>
          <w:rFonts w:eastAsia="Times New Roman"/>
          <w:b/>
          <w:bCs/>
          <w:color w:val="000000"/>
          <w:sz w:val="20"/>
          <w:szCs w:val="20"/>
        </w:rPr>
        <w:t>CAPITAL ONE FINANCIAL CORPORATION</w:t>
      </w:r>
    </w:p>
    <w:p w:rsidR="00000000" w:rsidRDefault="0094004B">
      <w:pPr>
        <w:jc w:val="center"/>
        <w:divId w:val="532155811"/>
        <w:rPr>
          <w:rFonts w:eastAsia="Times New Roman"/>
        </w:rPr>
      </w:pPr>
      <w:r>
        <w:rPr>
          <w:rFonts w:eastAsia="Times New Roman"/>
          <w:b/>
          <w:bCs/>
          <w:color w:val="000000"/>
          <w:sz w:val="20"/>
          <w:szCs w:val="20"/>
        </w:rPr>
        <w:t>NOTES TO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66"/>
        <w:gridCol w:w="1409"/>
        <w:gridCol w:w="40"/>
        <w:gridCol w:w="36"/>
        <w:gridCol w:w="36"/>
        <w:gridCol w:w="36"/>
        <w:gridCol w:w="110"/>
        <w:gridCol w:w="540"/>
        <w:gridCol w:w="36"/>
        <w:gridCol w:w="36"/>
        <w:gridCol w:w="36"/>
        <w:gridCol w:w="36"/>
        <w:gridCol w:w="110"/>
        <w:gridCol w:w="540"/>
        <w:gridCol w:w="36"/>
        <w:gridCol w:w="36"/>
        <w:gridCol w:w="36"/>
        <w:gridCol w:w="36"/>
        <w:gridCol w:w="110"/>
        <w:gridCol w:w="540"/>
        <w:gridCol w:w="36"/>
        <w:gridCol w:w="36"/>
        <w:gridCol w:w="36"/>
        <w:gridCol w:w="36"/>
        <w:gridCol w:w="110"/>
        <w:gridCol w:w="450"/>
        <w:gridCol w:w="36"/>
        <w:gridCol w:w="36"/>
        <w:gridCol w:w="36"/>
        <w:gridCol w:w="36"/>
        <w:gridCol w:w="110"/>
        <w:gridCol w:w="450"/>
        <w:gridCol w:w="36"/>
        <w:gridCol w:w="36"/>
        <w:gridCol w:w="36"/>
        <w:gridCol w:w="36"/>
        <w:gridCol w:w="110"/>
        <w:gridCol w:w="450"/>
        <w:gridCol w:w="36"/>
        <w:gridCol w:w="36"/>
        <w:gridCol w:w="36"/>
        <w:gridCol w:w="36"/>
        <w:gridCol w:w="110"/>
        <w:gridCol w:w="540"/>
        <w:gridCol w:w="36"/>
        <w:gridCol w:w="36"/>
        <w:gridCol w:w="36"/>
        <w:gridCol w:w="36"/>
        <w:gridCol w:w="110"/>
        <w:gridCol w:w="540"/>
        <w:gridCol w:w="36"/>
        <w:gridCol w:w="36"/>
        <w:gridCol w:w="36"/>
        <w:gridCol w:w="36"/>
        <w:gridCol w:w="111"/>
        <w:gridCol w:w="618"/>
        <w:gridCol w:w="36"/>
        <w:gridCol w:w="36"/>
        <w:gridCol w:w="36"/>
        <w:gridCol w:w="36"/>
        <w:gridCol w:w="110"/>
        <w:gridCol w:w="540"/>
        <w:gridCol w:w="36"/>
      </w:tblGrid>
      <w:tr w:rsidR="00000000">
        <w:trPr>
          <w:divId w:val="1204442208"/>
        </w:trPr>
        <w:tc>
          <w:tcPr>
            <w:tcW w:w="50" w:type="pct"/>
            <w:vAlign w:val="center"/>
            <w:hideMark/>
          </w:tcPr>
          <w:p w:rsidR="00000000" w:rsidRDefault="0094004B">
            <w:pPr>
              <w:jc w:val="center"/>
              <w:rPr>
                <w:rFonts w:eastAsia="Times New Roman"/>
              </w:rPr>
            </w:pPr>
          </w:p>
        </w:tc>
        <w:tc>
          <w:tcPr>
            <w:tcW w:w="1078"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0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88"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88"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7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7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7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88"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1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4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9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204442208"/>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56"/>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5"/>
                <w:szCs w:val="15"/>
              </w:rPr>
              <w:t>December 31, 2021</w:t>
            </w:r>
          </w:p>
        </w:tc>
        <w:tc>
          <w:tcPr>
            <w:tcW w:w="0" w:type="auto"/>
            <w:vAlign w:val="center"/>
            <w:hideMark/>
          </w:tcPr>
          <w:p w:rsidR="00000000" w:rsidRDefault="0094004B">
            <w:pPr>
              <w:spacing w:after="100"/>
              <w:rPr>
                <w:rFonts w:eastAsia="Times New Roman"/>
                <w:sz w:val="20"/>
                <w:szCs w:val="20"/>
              </w:rPr>
            </w:pPr>
          </w:p>
        </w:tc>
      </w:tr>
      <w:tr w:rsidR="00000000">
        <w:trPr>
          <w:divId w:val="1204442208"/>
        </w:trPr>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9"/>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5"/>
                <w:szCs w:val="15"/>
              </w:rPr>
              <w:t>Term Loans by Vintage Year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tcBorders>
              <w:top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1204442208"/>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5"/>
                <w:szCs w:val="15"/>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5"/>
                <w:szCs w:val="15"/>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5"/>
                <w:szCs w:val="15"/>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5"/>
                <w:szCs w:val="15"/>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5"/>
                <w:szCs w:val="15"/>
              </w:rPr>
              <w:t>2018</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5"/>
                <w:szCs w:val="15"/>
              </w:rPr>
              <w:t>2017</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5"/>
                <w:szCs w:val="15"/>
              </w:rPr>
              <w:t>Prior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5"/>
                <w:szCs w:val="15"/>
              </w:rPr>
              <w:t>Total Term Loans</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5"/>
                <w:szCs w:val="15"/>
              </w:rPr>
              <w:t>Revolving Loans</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5"/>
                <w:szCs w:val="15"/>
              </w:rPr>
              <w:t>Revolving Loans Converted to Term</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2"/>
            <w:tcBorders>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5"/>
                <w:szCs w:val="15"/>
              </w:rPr>
              <w:t>Total</w:t>
            </w:r>
          </w:p>
        </w:tc>
        <w:tc>
          <w:tcPr>
            <w:tcW w:w="0" w:type="auto"/>
            <w:vAlign w:val="center"/>
            <w:hideMark/>
          </w:tcPr>
          <w:p w:rsidR="00000000" w:rsidRDefault="0094004B">
            <w:pPr>
              <w:spacing w:after="100"/>
              <w:rPr>
                <w:rFonts w:eastAsia="Times New Roman"/>
                <w:sz w:val="20"/>
                <w:szCs w:val="20"/>
              </w:rPr>
            </w:pPr>
          </w:p>
        </w:tc>
      </w:tr>
      <w:tr w:rsidR="00000000">
        <w:trPr>
          <w:divId w:val="1204442208"/>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4004B">
            <w:pPr>
              <w:spacing w:after="100"/>
              <w:divId w:val="1091394222"/>
              <w:rPr>
                <w:rFonts w:eastAsia="Times New Roman"/>
              </w:rPr>
            </w:pPr>
            <w:r>
              <w:rPr>
                <w:rFonts w:eastAsia="Times New Roman"/>
                <w:b/>
                <w:bCs/>
                <w:color w:val="000000"/>
                <w:sz w:val="18"/>
                <w:szCs w:val="18"/>
              </w:rPr>
              <w:t>Internal risk rating</w:t>
            </w:r>
            <w:r>
              <w:rPr>
                <w:rFonts w:eastAsia="Times New Roman"/>
                <w:b/>
                <w:bCs/>
                <w:color w:val="000000"/>
                <w:sz w:val="18"/>
                <w:szCs w:val="18"/>
              </w:rPr>
              <w:t>:</w:t>
            </w:r>
            <w:r>
              <w:rPr>
                <w:rFonts w:eastAsia="Times New Roman"/>
                <w:b/>
                <w:bCs/>
                <w:color w:val="000000"/>
                <w:sz w:val="12"/>
                <w:szCs w:val="12"/>
              </w:rPr>
              <w:t>(1</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1204442208"/>
        </w:trPr>
        <w:tc>
          <w:tcPr>
            <w:tcW w:w="0" w:type="auto"/>
            <w:gridSpan w:val="3"/>
            <w:shd w:val="clear" w:color="auto" w:fill="FFFFFF"/>
            <w:tcMar>
              <w:top w:w="30" w:type="dxa"/>
              <w:left w:w="155"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94004B">
        <w:trPr>
          <w:divId w:val="1204442208"/>
        </w:trPr>
        <w:tc>
          <w:tcPr>
            <w:tcW w:w="0" w:type="auto"/>
            <w:gridSpan w:val="3"/>
            <w:shd w:val="clear" w:color="auto" w:fill="CCEEFF"/>
            <w:tcMar>
              <w:top w:w="30" w:type="dxa"/>
              <w:left w:w="38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Noncriticized</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6,590 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2,924 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3,393 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2,401 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793 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3,538 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19,639 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12,286 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31,925 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94004B">
        <w:trPr>
          <w:divId w:val="1204442208"/>
        </w:trPr>
        <w:tc>
          <w:tcPr>
            <w:tcW w:w="0" w:type="auto"/>
            <w:gridSpan w:val="3"/>
            <w:shd w:val="clear" w:color="auto" w:fill="FFFFFF"/>
            <w:tcMar>
              <w:top w:w="30" w:type="dxa"/>
              <w:left w:w="38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Criticized performing</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248 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195 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329 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317 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261 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1,478 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2,828 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101 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25 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2,954 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94004B">
        <w:trPr>
          <w:divId w:val="1204442208"/>
        </w:trPr>
        <w:tc>
          <w:tcPr>
            <w:tcW w:w="0" w:type="auto"/>
            <w:gridSpan w:val="3"/>
            <w:shd w:val="clear" w:color="auto" w:fill="CCEEFF"/>
            <w:tcMar>
              <w:top w:w="30" w:type="dxa"/>
              <w:left w:w="38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Criticized nonperforming</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88 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9 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266 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383 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383 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94004B">
        <w:trPr>
          <w:divId w:val="1204442208"/>
        </w:trPr>
        <w:tc>
          <w:tcPr>
            <w:tcW w:w="0" w:type="auto"/>
            <w:gridSpan w:val="3"/>
            <w:shd w:val="clear" w:color="auto" w:fill="FFFFFF"/>
            <w:tcMar>
              <w:top w:w="30" w:type="dxa"/>
              <w:left w:w="245"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Total commercial and multifamily real estate</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6,838 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3,119 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3,810 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2,738 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1,063 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5,282 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22,850 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12,387 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35,262 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1204442208"/>
        </w:trPr>
        <w:tc>
          <w:tcPr>
            <w:tcW w:w="0" w:type="auto"/>
            <w:gridSpan w:val="3"/>
            <w:shd w:val="clear" w:color="auto" w:fill="CCEEFF"/>
            <w:tcMar>
              <w:top w:w="30" w:type="dxa"/>
              <w:left w:w="155"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94004B">
        <w:trPr>
          <w:divId w:val="1204442208"/>
        </w:trPr>
        <w:tc>
          <w:tcPr>
            <w:tcW w:w="0" w:type="auto"/>
            <w:gridSpan w:val="3"/>
            <w:shd w:val="clear" w:color="auto" w:fill="FFFFFF"/>
            <w:tcMar>
              <w:top w:w="30" w:type="dxa"/>
              <w:left w:w="38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Noncriticized</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12,662 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7,039 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5,506 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2,750 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1,730 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3,033 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32,720 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14,310 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59 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47,089 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94004B">
        <w:trPr>
          <w:divId w:val="1204442208"/>
        </w:trPr>
        <w:tc>
          <w:tcPr>
            <w:tcW w:w="0" w:type="auto"/>
            <w:gridSpan w:val="3"/>
            <w:shd w:val="clear" w:color="auto" w:fill="CCEEFF"/>
            <w:tcMar>
              <w:top w:w="30" w:type="dxa"/>
              <w:left w:w="38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Criticized performing</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279 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188 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838 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207 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120 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167 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1,799 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456 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2,255 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94004B">
        <w:trPr>
          <w:divId w:val="1204442208"/>
        </w:trPr>
        <w:tc>
          <w:tcPr>
            <w:tcW w:w="0" w:type="auto"/>
            <w:gridSpan w:val="3"/>
            <w:shd w:val="clear" w:color="auto" w:fill="FFFFFF"/>
            <w:tcMar>
              <w:top w:w="30" w:type="dxa"/>
              <w:left w:w="38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Criticized nonperforming</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32 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52 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85 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93 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6 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278 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38 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316 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94004B">
        <w:trPr>
          <w:divId w:val="1204442208"/>
        </w:trPr>
        <w:tc>
          <w:tcPr>
            <w:tcW w:w="0" w:type="auto"/>
            <w:gridSpan w:val="3"/>
            <w:shd w:val="clear" w:color="auto" w:fill="CCEEFF"/>
            <w:tcMar>
              <w:top w:w="30" w:type="dxa"/>
              <w:left w:w="245"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Total commercial and industrial</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12,973 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7,279 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6,429 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3,050 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1,856 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3,210 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34,797 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14,804 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49,660 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94004B">
        <w:trPr>
          <w:divId w:val="1204442208"/>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Total commercial banking</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19,811 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10,398 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10,239 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5,788 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2,919 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8,492 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57,647 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27,191 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84 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84,922 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bl>
    <w:p w:rsidR="00000000" w:rsidRDefault="0094004B">
      <w:pPr>
        <w:jc w:val="both"/>
        <w:divId w:val="1204442208"/>
        <w:rPr>
          <w:rFonts w:eastAsia="Times New Roman"/>
        </w:rPr>
      </w:pPr>
      <w:r>
        <w:rPr>
          <w:rFonts w:eastAsia="Times New Roman"/>
          <w:color w:val="000000"/>
          <w:sz w:val="20"/>
          <w:szCs w:val="20"/>
        </w:rPr>
        <w:t>__________</w:t>
      </w:r>
    </w:p>
    <w:p w:rsidR="00000000" w:rsidRDefault="0094004B">
      <w:pPr>
        <w:ind w:hanging="360"/>
        <w:jc w:val="both"/>
        <w:divId w:val="71582622"/>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Criticized exposures correspond to the “Special Mention,” “Substandard” and “Doub</w:t>
      </w:r>
      <w:r>
        <w:rPr>
          <w:rFonts w:eastAsia="Times New Roman"/>
          <w:color w:val="000000"/>
          <w:sz w:val="16"/>
          <w:szCs w:val="16"/>
        </w:rPr>
        <w:t>tful” asset categories defined by bank regulatory authorities.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33970480"/>
          <w:jc w:val="center"/>
        </w:trPr>
        <w:tc>
          <w:tcPr>
            <w:tcW w:w="50" w:type="pct"/>
            <w:vAlign w:val="center"/>
            <w:hideMark/>
          </w:tcPr>
          <w:p w:rsidR="00000000" w:rsidRDefault="0094004B">
            <w:pPr>
              <w:ind w:hanging="360"/>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33970480"/>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33970480"/>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147</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73" style="width:0;height:1.5pt" o:hralign="center" o:hrstd="t" o:hr="t" fillcolor="#a0a0a0" stroked="f"/>
        </w:pict>
      </w:r>
    </w:p>
    <w:p w:rsidR="00000000" w:rsidRDefault="0094004B">
      <w:pPr>
        <w:jc w:val="both"/>
        <w:divId w:val="920218591"/>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920218591"/>
        <w:rPr>
          <w:rFonts w:eastAsia="Times New Roman"/>
        </w:rPr>
      </w:pPr>
    </w:p>
    <w:p w:rsidR="00000000" w:rsidRDefault="0094004B">
      <w:pPr>
        <w:jc w:val="center"/>
        <w:divId w:val="920218591"/>
        <w:rPr>
          <w:rFonts w:eastAsia="Times New Roman"/>
        </w:rPr>
      </w:pPr>
      <w:r>
        <w:rPr>
          <w:rFonts w:eastAsia="Times New Roman"/>
          <w:b/>
          <w:bCs/>
          <w:color w:val="000000"/>
          <w:sz w:val="20"/>
          <w:szCs w:val="20"/>
        </w:rPr>
        <w:t>CAPITAL ONE FINANCIAL CORPORATION</w:t>
      </w:r>
    </w:p>
    <w:p w:rsidR="00000000" w:rsidRDefault="0094004B">
      <w:pPr>
        <w:jc w:val="center"/>
        <w:divId w:val="920218591"/>
        <w:rPr>
          <w:rFonts w:eastAsia="Times New Roman"/>
        </w:rPr>
      </w:pPr>
      <w:r>
        <w:rPr>
          <w:rFonts w:eastAsia="Times New Roman"/>
          <w:b/>
          <w:bCs/>
          <w:color w:val="000000"/>
          <w:sz w:val="20"/>
          <w:szCs w:val="20"/>
        </w:rPr>
        <w:t>NOTES TO CONSOLIDATED FINANCIAL STATEMENTS</w:t>
      </w:r>
    </w:p>
    <w:p w:rsidR="00000000" w:rsidRDefault="0094004B">
      <w:pPr>
        <w:jc w:val="both"/>
        <w:divId w:val="70584254"/>
        <w:rPr>
          <w:rFonts w:eastAsia="Times New Roman"/>
        </w:rPr>
      </w:pPr>
      <w:r>
        <w:rPr>
          <w:rFonts w:eastAsia="Times New Roman"/>
          <w:b/>
          <w:bCs/>
          <w:color w:val="000000"/>
          <w:sz w:val="20"/>
          <w:szCs w:val="20"/>
        </w:rPr>
        <w:t>Troubled Debt Restructurings</w:t>
      </w:r>
    </w:p>
    <w:p w:rsidR="00000000" w:rsidRDefault="0094004B">
      <w:pPr>
        <w:jc w:val="both"/>
        <w:divId w:val="2133282792"/>
        <w:rPr>
          <w:rFonts w:eastAsia="Times New Roman"/>
        </w:rPr>
      </w:pPr>
      <w:r>
        <w:rPr>
          <w:rFonts w:eastAsia="Times New Roman"/>
          <w:color w:val="000000"/>
          <w:sz w:val="20"/>
          <w:szCs w:val="20"/>
        </w:rPr>
        <w:t>As part of our loss mitigation efforts, we may provide short-term (one to twelve months) or long-term (greater than twelve months) modifications to a borrower experiencing financial difficulty to improve long-term collectability of the loan and to avoid th</w:t>
      </w:r>
      <w:r>
        <w:rPr>
          <w:rFonts w:eastAsia="Times New Roman"/>
          <w:color w:val="000000"/>
          <w:sz w:val="20"/>
          <w:szCs w:val="20"/>
        </w:rPr>
        <w:t xml:space="preserve">e need for repossession or foreclosure of collateral. </w:t>
      </w:r>
    </w:p>
    <w:p w:rsidR="00000000" w:rsidRDefault="0094004B">
      <w:pPr>
        <w:jc w:val="both"/>
        <w:rPr>
          <w:rFonts w:eastAsia="Times New Roman"/>
        </w:rPr>
      </w:pPr>
      <w:r>
        <w:rPr>
          <w:rFonts w:eastAsia="Times New Roman"/>
          <w:color w:val="000000"/>
          <w:sz w:val="20"/>
          <w:szCs w:val="20"/>
        </w:rPr>
        <w:t>We consider the impact of all loan modifications, whether or not that modification is classified as a troubled debt restructuring (“TDR”), when estimating the credit quality of our loan portfolio and e</w:t>
      </w:r>
      <w:r>
        <w:rPr>
          <w:rFonts w:eastAsia="Times New Roman"/>
          <w:color w:val="000000"/>
          <w:sz w:val="20"/>
          <w:szCs w:val="20"/>
        </w:rPr>
        <w:t>stablishing allowance levels. For our Commercial Banking customers, loan modifications are also considered in the assignment of an internal risk rating.</w:t>
      </w:r>
    </w:p>
    <w:p w:rsidR="00000000" w:rsidRDefault="0094004B">
      <w:pPr>
        <w:jc w:val="both"/>
        <w:rPr>
          <w:rFonts w:eastAsia="Times New Roman"/>
        </w:rPr>
      </w:pPr>
    </w:p>
    <w:p w:rsidR="00000000" w:rsidRDefault="0094004B">
      <w:pPr>
        <w:jc w:val="both"/>
        <w:rPr>
          <w:rFonts w:eastAsia="Times New Roman"/>
        </w:rPr>
      </w:pPr>
      <w:r>
        <w:rPr>
          <w:rFonts w:eastAsia="Times New Roman"/>
          <w:color w:val="000000"/>
          <w:sz w:val="20"/>
          <w:szCs w:val="20"/>
        </w:rPr>
        <w:t>Additional guidance issued by the Federal Banking Agencies and contained in the Coronavirus Aid, Reli</w:t>
      </w:r>
      <w:r>
        <w:rPr>
          <w:rFonts w:eastAsia="Times New Roman"/>
          <w:color w:val="000000"/>
          <w:sz w:val="20"/>
          <w:szCs w:val="20"/>
        </w:rPr>
        <w:t>ef, and Economic Security Act (the “CARES Act”) provided banking organizations with TDR relief for loan modifications to certain qualifying borrowers impacted by the Coronavirus Disease of 2019 (“COVID-19”) pandemic. The guidance in the CARES Act expired o</w:t>
      </w:r>
      <w:r>
        <w:rPr>
          <w:rFonts w:eastAsia="Times New Roman"/>
          <w:color w:val="000000"/>
          <w:sz w:val="20"/>
          <w:szCs w:val="20"/>
        </w:rPr>
        <w:t xml:space="preserve">n January 1, 2022, at which time we also concurrently ceased applying the additional guidance issued by the Federal Banking Agencies. We adopted Accounting Standard Update (“ASU”) No. 2022-02 as of January 1, 2023, which eliminates the accounting guidance </w:t>
      </w:r>
      <w:r>
        <w:rPr>
          <w:rFonts w:eastAsia="Times New Roman"/>
          <w:color w:val="000000"/>
          <w:sz w:val="20"/>
          <w:szCs w:val="20"/>
        </w:rPr>
        <w:t>for TDRs.</w:t>
      </w:r>
    </w:p>
    <w:p w:rsidR="00000000" w:rsidRDefault="0094004B">
      <w:pPr>
        <w:jc w:val="both"/>
        <w:divId w:val="453132127"/>
        <w:rPr>
          <w:rFonts w:eastAsia="Times New Roman"/>
        </w:rPr>
      </w:pPr>
      <w:r>
        <w:rPr>
          <w:rFonts w:eastAsia="Times New Roman"/>
          <w:color w:val="000000"/>
          <w:sz w:val="20"/>
          <w:szCs w:val="20"/>
        </w:rPr>
        <w:t xml:space="preserve">Total recorded TDRs were $2.7 billion and $1.6 billion as of December 31, 2022 and 2021, respectively. TDRs classified as performing in our credit card and consumer banking loan portfolios totaled $1.5 billion and $1.1 billion as of December 31, </w:t>
      </w:r>
      <w:r>
        <w:rPr>
          <w:rFonts w:eastAsia="Times New Roman"/>
          <w:color w:val="000000"/>
          <w:sz w:val="20"/>
          <w:szCs w:val="20"/>
        </w:rPr>
        <w:t>2022 and 2021, respectively. TDRs classified as performing in our commercial banking loan portfolio totaled $595 million and $192 million as of December 31, 2022 and 2021, respectively. Commitments to lend additional funds on loans modified in TDRs totaled</w:t>
      </w:r>
      <w:r>
        <w:rPr>
          <w:rFonts w:eastAsia="Times New Roman"/>
          <w:color w:val="000000"/>
          <w:sz w:val="20"/>
          <w:szCs w:val="20"/>
        </w:rPr>
        <w:t xml:space="preserve"> $219 million and $168 million as of December 31, 2022 and 2021, respectively.</w:t>
      </w:r>
    </w:p>
    <w:p w:rsidR="00000000" w:rsidRDefault="0094004B">
      <w:pPr>
        <w:jc w:val="both"/>
        <w:divId w:val="847787562"/>
        <w:rPr>
          <w:rFonts w:eastAsia="Times New Roman"/>
        </w:rPr>
      </w:pPr>
      <w:r>
        <w:rPr>
          <w:rFonts w:eastAsia="Times New Roman"/>
          <w:color w:val="000000"/>
          <w:sz w:val="20"/>
          <w:szCs w:val="20"/>
        </w:rPr>
        <w:t>The following tables present the major modification types, amortized cost amounts and financial effects of loans modified in a TDR during the years ended December 31, 2022, 2021</w:t>
      </w:r>
      <w:r>
        <w:rPr>
          <w:rFonts w:eastAsia="Times New Roman"/>
          <w:color w:val="000000"/>
          <w:sz w:val="20"/>
          <w:szCs w:val="20"/>
        </w:rPr>
        <w:t xml:space="preserve"> and 2020.</w:t>
      </w:r>
    </w:p>
    <w:p w:rsidR="00000000" w:rsidRDefault="0094004B">
      <w:pPr>
        <w:divId w:val="267003958"/>
        <w:rPr>
          <w:rFonts w:eastAsia="Times New Roman"/>
        </w:rPr>
      </w:pPr>
      <w:r>
        <w:rPr>
          <w:rFonts w:eastAsia="Times New Roman"/>
          <w:b/>
          <w:bCs/>
          <w:color w:val="000000"/>
          <w:sz w:val="18"/>
          <w:szCs w:val="18"/>
        </w:rPr>
        <w:t>Table 3.6: Troubled Debt Restructurings</w:t>
      </w:r>
    </w:p>
    <w:tbl>
      <w:tblPr>
        <w:tblW w:w="5000" w:type="pct"/>
        <w:tblCellMar>
          <w:top w:w="15" w:type="dxa"/>
          <w:left w:w="15" w:type="dxa"/>
          <w:bottom w:w="15" w:type="dxa"/>
          <w:right w:w="15" w:type="dxa"/>
        </w:tblCellMar>
        <w:tblLook w:val="04A0" w:firstRow="1" w:lastRow="0" w:firstColumn="1" w:lastColumn="0" w:noHBand="0" w:noVBand="1"/>
      </w:tblPr>
      <w:tblGrid>
        <w:gridCol w:w="39"/>
        <w:gridCol w:w="2885"/>
        <w:gridCol w:w="38"/>
        <w:gridCol w:w="36"/>
        <w:gridCol w:w="36"/>
        <w:gridCol w:w="36"/>
        <w:gridCol w:w="111"/>
        <w:gridCol w:w="679"/>
        <w:gridCol w:w="36"/>
        <w:gridCol w:w="36"/>
        <w:gridCol w:w="36"/>
        <w:gridCol w:w="36"/>
        <w:gridCol w:w="88"/>
        <w:gridCol w:w="657"/>
        <w:gridCol w:w="201"/>
        <w:gridCol w:w="37"/>
        <w:gridCol w:w="46"/>
        <w:gridCol w:w="37"/>
        <w:gridCol w:w="87"/>
        <w:gridCol w:w="656"/>
        <w:gridCol w:w="200"/>
        <w:gridCol w:w="36"/>
        <w:gridCol w:w="36"/>
        <w:gridCol w:w="36"/>
        <w:gridCol w:w="81"/>
        <w:gridCol w:w="609"/>
        <w:gridCol w:w="203"/>
        <w:gridCol w:w="38"/>
        <w:gridCol w:w="38"/>
        <w:gridCol w:w="38"/>
        <w:gridCol w:w="84"/>
        <w:gridCol w:w="624"/>
        <w:gridCol w:w="38"/>
        <w:gridCol w:w="36"/>
        <w:gridCol w:w="36"/>
        <w:gridCol w:w="36"/>
        <w:gridCol w:w="36"/>
        <w:gridCol w:w="36"/>
        <w:gridCol w:w="36"/>
        <w:gridCol w:w="36"/>
        <w:gridCol w:w="36"/>
        <w:gridCol w:w="36"/>
        <w:gridCol w:w="36"/>
        <w:gridCol w:w="36"/>
        <w:gridCol w:w="36"/>
      </w:tblGrid>
      <w:tr w:rsidR="00000000">
        <w:trPr>
          <w:divId w:val="847716274"/>
        </w:trPr>
        <w:tc>
          <w:tcPr>
            <w:tcW w:w="50" w:type="pct"/>
            <w:vAlign w:val="center"/>
            <w:hideMark/>
          </w:tcPr>
          <w:p w:rsidR="00000000" w:rsidRDefault="0094004B">
            <w:pPr>
              <w:rPr>
                <w:rFonts w:eastAsia="Times New Roman"/>
              </w:rPr>
            </w:pPr>
          </w:p>
        </w:tc>
        <w:tc>
          <w:tcPr>
            <w:tcW w:w="260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7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7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7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7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7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847716274"/>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1"/>
            <w:tcBorders>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Year Ended December 31, 2022</w:t>
            </w: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847716274"/>
        </w:trPr>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Reduced Interest Rate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Term Extension</w:t>
            </w:r>
          </w:p>
        </w:tc>
        <w:tc>
          <w:tcPr>
            <w:tcW w:w="0" w:type="auto"/>
            <w:gridSpan w:val="3"/>
            <w:vAlign w:val="center"/>
            <w:hideMark/>
          </w:tcPr>
          <w:p w:rsidR="00000000" w:rsidRDefault="0094004B">
            <w:pPr>
              <w:spacing w:after="100"/>
              <w:jc w:val="center"/>
              <w:rPr>
                <w:rFonts w:eastAsia="Times New Roman"/>
              </w:rPr>
            </w:pPr>
          </w:p>
        </w:tc>
        <w:tc>
          <w:tcPr>
            <w:tcW w:w="0" w:type="auto"/>
            <w:gridSpan w:val="3"/>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847716274"/>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Total Loans Modifie</w:t>
            </w:r>
            <w:r>
              <w:rPr>
                <w:rFonts w:eastAsia="Times New Roman"/>
                <w:b/>
                <w:bCs/>
                <w:color w:val="000000"/>
                <w:sz w:val="16"/>
                <w:szCs w:val="16"/>
              </w:rPr>
              <w:t>d</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 of TDR Activit</w:t>
            </w:r>
            <w:r>
              <w:rPr>
                <w:rFonts w:eastAsia="Times New Roman"/>
                <w:b/>
                <w:bCs/>
                <w:color w:val="000000"/>
                <w:sz w:val="16"/>
                <w:szCs w:val="16"/>
              </w:rPr>
              <w:t>y</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Average Rate Reduction</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 of TDR Activit</w:t>
            </w:r>
            <w:r>
              <w:rPr>
                <w:rFonts w:eastAsia="Times New Roman"/>
                <w:b/>
                <w:bCs/>
                <w:color w:val="000000"/>
                <w:sz w:val="16"/>
                <w:szCs w:val="16"/>
              </w:rPr>
              <w:t>y</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Average Term Extension (Months)</w:t>
            </w:r>
          </w:p>
        </w:tc>
        <w:tc>
          <w:tcPr>
            <w:tcW w:w="0" w:type="auto"/>
            <w:gridSpan w:val="3"/>
            <w:vAlign w:val="center"/>
            <w:hideMark/>
          </w:tcPr>
          <w:p w:rsidR="00000000" w:rsidRDefault="0094004B">
            <w:pPr>
              <w:spacing w:after="100"/>
              <w:jc w:val="center"/>
              <w:rPr>
                <w:rFonts w:eastAsia="Times New Roman"/>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84771627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847716274"/>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2"/>
            <w:shd w:val="clear" w:color="auto" w:fill="FFFFFF"/>
            <w:tcMar>
              <w:top w:w="30" w:type="dxa"/>
              <w:left w:w="0" w:type="dxa"/>
              <w:bottom w:w="30" w:type="dxa"/>
              <w:right w:w="140" w:type="dxa"/>
            </w:tcMar>
            <w:vAlign w:val="center"/>
            <w:hideMark/>
          </w:tcPr>
          <w:p w:rsidR="00000000" w:rsidRDefault="0094004B">
            <w:pPr>
              <w:spacing w:after="100"/>
              <w:jc w:val="right"/>
              <w:rPr>
                <w:rFonts w:eastAsia="Times New Roman"/>
              </w:rPr>
            </w:pPr>
            <w:r>
              <w:rPr>
                <w:rFonts w:eastAsia="Times New Roman"/>
                <w:b/>
                <w:bCs/>
                <w:color w:val="000000"/>
                <w:sz w:val="18"/>
                <w:szCs w:val="18"/>
              </w:rPr>
              <w:t>306</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16.54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18"/>
                <w:szCs w:val="18"/>
              </w:rPr>
              <w:t>N/A</w:t>
            </w:r>
          </w:p>
        </w:tc>
        <w:tc>
          <w:tcPr>
            <w:tcW w:w="0" w:type="auto"/>
            <w:gridSpan w:val="3"/>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847716274"/>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b/>
                <w:bCs/>
                <w:color w:val="000000"/>
                <w:sz w:val="18"/>
                <w:szCs w:val="18"/>
              </w:rPr>
              <w:t>127</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27.42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18"/>
                <w:szCs w:val="18"/>
              </w:rPr>
              <w:t>N/A</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18"/>
                <w:szCs w:val="18"/>
              </w:rPr>
              <w:t>N/A</w:t>
            </w:r>
          </w:p>
        </w:tc>
        <w:tc>
          <w:tcPr>
            <w:tcW w:w="0" w:type="auto"/>
            <w:gridSpan w:val="3"/>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847716274"/>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b/>
                <w:bCs/>
                <w:color w:val="000000"/>
                <w:sz w:val="18"/>
                <w:szCs w:val="18"/>
              </w:rPr>
              <w:t>433</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19.73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18"/>
                <w:szCs w:val="18"/>
              </w:rPr>
              <w:t>N/A</w:t>
            </w:r>
          </w:p>
        </w:tc>
        <w:tc>
          <w:tcPr>
            <w:tcW w:w="0" w:type="auto"/>
            <w:gridSpan w:val="3"/>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847716274"/>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847716274"/>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b/>
                <w:bCs/>
                <w:color w:val="000000"/>
                <w:sz w:val="18"/>
                <w:szCs w:val="18"/>
              </w:rPr>
              <w:t>1,070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57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8.53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97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18"/>
                <w:szCs w:val="18"/>
              </w:rPr>
              <w:t>4</w:t>
            </w:r>
          </w:p>
        </w:tc>
        <w:tc>
          <w:tcPr>
            <w:tcW w:w="0" w:type="auto"/>
            <w:gridSpan w:val="3"/>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847716274"/>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Retail banking</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b/>
                <w:bCs/>
                <w:color w:val="000000"/>
                <w:sz w:val="18"/>
                <w:szCs w:val="18"/>
              </w:rPr>
              <w:t>7</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18"/>
                <w:szCs w:val="18"/>
              </w:rPr>
              <w:t>N/A</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18"/>
                <w:szCs w:val="18"/>
              </w:rPr>
              <w:t>N/A</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92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18"/>
                <w:szCs w:val="18"/>
              </w:rPr>
              <w:t>13</w:t>
            </w:r>
          </w:p>
        </w:tc>
        <w:tc>
          <w:tcPr>
            <w:tcW w:w="0" w:type="auto"/>
            <w:gridSpan w:val="3"/>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847716274"/>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b/>
                <w:bCs/>
                <w:color w:val="000000"/>
                <w:sz w:val="18"/>
                <w:szCs w:val="18"/>
              </w:rPr>
              <w:t>1,077</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57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8.53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97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18"/>
                <w:szCs w:val="18"/>
              </w:rPr>
              <w:t>4</w:t>
            </w:r>
          </w:p>
        </w:tc>
        <w:tc>
          <w:tcPr>
            <w:tcW w:w="0" w:type="auto"/>
            <w:gridSpan w:val="3"/>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847716274"/>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847716274"/>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b/>
                <w:bCs/>
                <w:color w:val="000000"/>
                <w:sz w:val="18"/>
                <w:szCs w:val="18"/>
              </w:rPr>
              <w:t>385</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0.28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84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18"/>
                <w:szCs w:val="18"/>
              </w:rPr>
              <w:t>13</w:t>
            </w:r>
          </w:p>
        </w:tc>
        <w:tc>
          <w:tcPr>
            <w:tcW w:w="0" w:type="auto"/>
            <w:gridSpan w:val="3"/>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847716274"/>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b/>
                <w:bCs/>
                <w:color w:val="000000"/>
                <w:sz w:val="18"/>
                <w:szCs w:val="18"/>
              </w:rPr>
              <w:t>357</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18"/>
                <w:szCs w:val="18"/>
              </w:rPr>
              <w:t>N/A</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18"/>
                <w:szCs w:val="18"/>
              </w:rPr>
              <w:t>N/A</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64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18"/>
                <w:szCs w:val="18"/>
              </w:rPr>
              <w:t>13</w:t>
            </w:r>
          </w:p>
        </w:tc>
        <w:tc>
          <w:tcPr>
            <w:tcW w:w="0" w:type="auto"/>
            <w:gridSpan w:val="3"/>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847716274"/>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 commercial banking</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b/>
                <w:bCs/>
                <w:color w:val="000000"/>
                <w:sz w:val="18"/>
                <w:szCs w:val="18"/>
              </w:rPr>
              <w:t>742</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0.28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74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18"/>
                <w:szCs w:val="18"/>
              </w:rPr>
              <w:t>13</w:t>
            </w:r>
          </w:p>
        </w:tc>
        <w:tc>
          <w:tcPr>
            <w:tcW w:w="0" w:type="auto"/>
            <w:gridSpan w:val="3"/>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847716274"/>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140" w:type="dxa"/>
            </w:tcMar>
            <w:vAlign w:val="center"/>
            <w:hideMark/>
          </w:tcPr>
          <w:p w:rsidR="00000000" w:rsidRDefault="0094004B">
            <w:pPr>
              <w:spacing w:after="100"/>
              <w:jc w:val="right"/>
              <w:rPr>
                <w:rFonts w:eastAsia="Times New Roman"/>
              </w:rPr>
            </w:pPr>
            <w:r>
              <w:rPr>
                <w:rFonts w:eastAsia="Times New Roman"/>
                <w:b/>
                <w:bCs/>
                <w:color w:val="000000"/>
                <w:sz w:val="18"/>
                <w:szCs w:val="18"/>
              </w:rPr>
              <w:t>2,252</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94004B">
            <w:pPr>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148</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74" style="width:0;height:1.5pt" o:hralign="center" o:hrstd="t" o:hr="t" fillcolor="#a0a0a0" stroked="f"/>
        </w:pict>
      </w:r>
    </w:p>
    <w:p w:rsidR="00000000" w:rsidRDefault="0094004B">
      <w:pPr>
        <w:jc w:val="both"/>
        <w:divId w:val="706956846"/>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706956846"/>
        <w:rPr>
          <w:rFonts w:eastAsia="Times New Roman"/>
        </w:rPr>
      </w:pPr>
    </w:p>
    <w:p w:rsidR="00000000" w:rsidRDefault="0094004B">
      <w:pPr>
        <w:jc w:val="center"/>
        <w:divId w:val="706956846"/>
        <w:rPr>
          <w:rFonts w:eastAsia="Times New Roman"/>
        </w:rPr>
      </w:pPr>
      <w:r>
        <w:rPr>
          <w:rFonts w:eastAsia="Times New Roman"/>
          <w:b/>
          <w:bCs/>
          <w:color w:val="000000"/>
          <w:sz w:val="20"/>
          <w:szCs w:val="20"/>
        </w:rPr>
        <w:t>CAPITAL ONE FINANCIAL CORPORATION</w:t>
      </w:r>
    </w:p>
    <w:p w:rsidR="00000000" w:rsidRDefault="0094004B">
      <w:pPr>
        <w:jc w:val="center"/>
        <w:divId w:val="706956846"/>
        <w:rPr>
          <w:rFonts w:eastAsia="Times New Roman"/>
        </w:rPr>
      </w:pPr>
      <w:r>
        <w:rPr>
          <w:rFonts w:eastAsia="Times New Roman"/>
          <w:b/>
          <w:bCs/>
          <w:color w:val="000000"/>
          <w:sz w:val="20"/>
          <w:szCs w:val="20"/>
        </w:rPr>
        <w:t>NOTES TO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39"/>
        <w:gridCol w:w="1355"/>
        <w:gridCol w:w="38"/>
        <w:gridCol w:w="36"/>
        <w:gridCol w:w="36"/>
        <w:gridCol w:w="36"/>
        <w:gridCol w:w="111"/>
        <w:gridCol w:w="679"/>
        <w:gridCol w:w="36"/>
        <w:gridCol w:w="36"/>
        <w:gridCol w:w="36"/>
        <w:gridCol w:w="36"/>
        <w:gridCol w:w="80"/>
        <w:gridCol w:w="608"/>
        <w:gridCol w:w="172"/>
        <w:gridCol w:w="40"/>
        <w:gridCol w:w="207"/>
        <w:gridCol w:w="39"/>
        <w:gridCol w:w="87"/>
        <w:gridCol w:w="648"/>
        <w:gridCol w:w="171"/>
        <w:gridCol w:w="36"/>
        <w:gridCol w:w="36"/>
        <w:gridCol w:w="36"/>
        <w:gridCol w:w="82"/>
        <w:gridCol w:w="609"/>
        <w:gridCol w:w="171"/>
        <w:gridCol w:w="38"/>
        <w:gridCol w:w="119"/>
        <w:gridCol w:w="37"/>
        <w:gridCol w:w="84"/>
        <w:gridCol w:w="624"/>
        <w:gridCol w:w="36"/>
        <w:gridCol w:w="36"/>
        <w:gridCol w:w="36"/>
        <w:gridCol w:w="36"/>
        <w:gridCol w:w="82"/>
        <w:gridCol w:w="609"/>
        <w:gridCol w:w="170"/>
        <w:gridCol w:w="36"/>
        <w:gridCol w:w="36"/>
        <w:gridCol w:w="36"/>
        <w:gridCol w:w="111"/>
        <w:gridCol w:w="648"/>
        <w:gridCol w:w="36"/>
      </w:tblGrid>
      <w:tr w:rsidR="00000000">
        <w:trPr>
          <w:divId w:val="11108199"/>
        </w:trPr>
        <w:tc>
          <w:tcPr>
            <w:tcW w:w="50" w:type="pct"/>
            <w:vAlign w:val="center"/>
            <w:hideMark/>
          </w:tcPr>
          <w:p w:rsidR="00000000" w:rsidRDefault="0094004B">
            <w:pPr>
              <w:jc w:val="center"/>
              <w:rPr>
                <w:rFonts w:eastAsia="Times New Roman"/>
              </w:rPr>
            </w:pPr>
          </w:p>
        </w:tc>
        <w:tc>
          <w:tcPr>
            <w:tcW w:w="1670"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7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7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7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7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7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7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7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1108199"/>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Year Ended December 31, 2021</w:t>
            </w:r>
          </w:p>
        </w:tc>
      </w:tr>
      <w:tr w:rsidR="00000000">
        <w:trPr>
          <w:divId w:val="11108199"/>
        </w:trPr>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Reduced Interest Rate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Term Extension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Balance Reduction</w:t>
            </w:r>
          </w:p>
        </w:tc>
      </w:tr>
      <w:tr w:rsidR="00000000">
        <w:trPr>
          <w:divId w:val="11108199"/>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Total Loans Modifie</w:t>
            </w:r>
            <w:r>
              <w:rPr>
                <w:rFonts w:eastAsia="Times New Roman"/>
                <w:b/>
                <w:bCs/>
                <w:color w:val="000000"/>
                <w:sz w:val="16"/>
                <w:szCs w:val="16"/>
              </w:rPr>
              <w:t>d</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 of TDR Activit</w:t>
            </w:r>
            <w:r>
              <w:rPr>
                <w:rFonts w:eastAsia="Times New Roman"/>
                <w:b/>
                <w:bCs/>
                <w:color w:val="000000"/>
                <w:sz w:val="16"/>
                <w:szCs w:val="16"/>
              </w:rPr>
              <w:t>y</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Average Rate Reduction</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 of TDR Activit</w:t>
            </w:r>
            <w:r>
              <w:rPr>
                <w:rFonts w:eastAsia="Times New Roman"/>
                <w:b/>
                <w:bCs/>
                <w:color w:val="000000"/>
                <w:sz w:val="16"/>
                <w:szCs w:val="16"/>
              </w:rPr>
              <w:t>y</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Average Term Extension (Months)</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 of</w:t>
            </w:r>
            <w:r>
              <w:rPr>
                <w:rFonts w:eastAsia="Times New Roman"/>
                <w:b/>
                <w:bCs/>
                <w:color w:val="000000"/>
                <w:sz w:val="16"/>
                <w:szCs w:val="16"/>
              </w:rPr>
              <w:br/>
              <w:t>TDR</w:t>
            </w:r>
            <w:r>
              <w:rPr>
                <w:rFonts w:eastAsia="Times New Roman"/>
                <w:b/>
                <w:bCs/>
                <w:color w:val="000000"/>
                <w:sz w:val="16"/>
                <w:szCs w:val="16"/>
              </w:rPr>
              <w:br/>
              <w:t>Activit</w:t>
            </w:r>
            <w:r>
              <w:rPr>
                <w:rFonts w:eastAsia="Times New Roman"/>
                <w:b/>
                <w:bCs/>
                <w:color w:val="000000"/>
                <w:sz w:val="16"/>
                <w:szCs w:val="16"/>
              </w:rPr>
              <w:t>y</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Gross</w:t>
            </w:r>
            <w:r>
              <w:rPr>
                <w:rFonts w:eastAsia="Times New Roman"/>
                <w:b/>
                <w:bCs/>
                <w:color w:val="000000"/>
                <w:sz w:val="16"/>
                <w:szCs w:val="16"/>
              </w:rPr>
              <w:br/>
              <w:t>Balance</w:t>
            </w:r>
            <w:r>
              <w:rPr>
                <w:rFonts w:eastAsia="Times New Roman"/>
                <w:b/>
                <w:bCs/>
                <w:color w:val="000000"/>
                <w:sz w:val="16"/>
                <w:szCs w:val="16"/>
              </w:rPr>
              <w:br/>
              <w:t>Reduction</w:t>
            </w:r>
          </w:p>
        </w:tc>
      </w:tr>
      <w:tr w:rsidR="00000000">
        <w:trPr>
          <w:divId w:val="11108199"/>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1108199"/>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154</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100 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15.90 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18"/>
                <w:szCs w:val="18"/>
              </w:rPr>
              <w:t>N/A</w:t>
            </w:r>
          </w:p>
        </w:tc>
        <w:tc>
          <w:tcPr>
            <w:tcW w:w="0" w:type="auto"/>
            <w:gridSpan w:val="3"/>
            <w:shd w:val="clear" w:color="auto" w:fill="FFFFFF"/>
            <w:tcMar>
              <w:top w:w="0" w:type="dxa"/>
              <w:left w:w="20" w:type="dxa"/>
              <w:bottom w:w="0" w:type="dxa"/>
              <w:right w:w="14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18"/>
                <w:szCs w:val="18"/>
              </w:rPr>
              <w:t>N/A</w:t>
            </w:r>
          </w:p>
        </w:tc>
      </w:tr>
      <w:tr w:rsidR="00000000">
        <w:trPr>
          <w:divId w:val="11108199"/>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123</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100 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27.70 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18"/>
                <w:szCs w:val="18"/>
              </w:rPr>
              <w:t>N/A</w:t>
            </w:r>
          </w:p>
        </w:tc>
        <w:tc>
          <w:tcPr>
            <w:tcW w:w="0" w:type="auto"/>
            <w:gridSpan w:val="3"/>
            <w:shd w:val="clear" w:color="auto" w:fill="CCEEFF"/>
            <w:tcMar>
              <w:top w:w="0" w:type="dxa"/>
              <w:left w:w="20" w:type="dxa"/>
              <w:bottom w:w="0" w:type="dxa"/>
              <w:right w:w="14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18"/>
                <w:szCs w:val="18"/>
              </w:rPr>
              <w:t>N/A</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18"/>
                <w:szCs w:val="18"/>
              </w:rPr>
              <w:t>N/A</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18"/>
                <w:szCs w:val="18"/>
              </w:rPr>
              <w:t>N/A</w:t>
            </w:r>
          </w:p>
        </w:tc>
      </w:tr>
      <w:tr w:rsidR="00000000">
        <w:trPr>
          <w:divId w:val="11108199"/>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277</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100 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21.15 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18"/>
                <w:szCs w:val="18"/>
              </w:rPr>
              <w:t>N/A</w:t>
            </w:r>
          </w:p>
        </w:tc>
        <w:tc>
          <w:tcPr>
            <w:tcW w:w="0" w:type="auto"/>
            <w:gridSpan w:val="3"/>
            <w:shd w:val="clear" w:color="auto" w:fill="FFFFFF"/>
            <w:tcMar>
              <w:top w:w="0" w:type="dxa"/>
              <w:left w:w="20" w:type="dxa"/>
              <w:bottom w:w="0" w:type="dxa"/>
              <w:right w:w="14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18"/>
                <w:szCs w:val="18"/>
              </w:rPr>
              <w:t>N/A</w:t>
            </w:r>
          </w:p>
        </w:tc>
      </w:tr>
      <w:tr w:rsidR="00000000">
        <w:trPr>
          <w:divId w:val="11108199"/>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14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14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14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1108199"/>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371</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43 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8.72 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93 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18"/>
                <w:szCs w:val="18"/>
              </w:rPr>
              <w:t>4</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380" w:type="dxa"/>
            </w:tcMar>
            <w:vAlign w:val="center"/>
            <w:hideMark/>
          </w:tcPr>
          <w:p w:rsidR="00000000" w:rsidRDefault="0094004B">
            <w:pPr>
              <w:spacing w:after="100"/>
              <w:jc w:val="right"/>
              <w:rPr>
                <w:rFonts w:eastAsia="Times New Roman"/>
              </w:rPr>
            </w:pPr>
            <w:r>
              <w:rPr>
                <w:rFonts w:eastAsia="Times New Roman"/>
                <w:color w:val="000000"/>
                <w:sz w:val="18"/>
                <w:szCs w:val="18"/>
              </w:rPr>
              <w:t>1</w:t>
            </w:r>
          </w:p>
        </w:tc>
      </w:tr>
      <w:tr w:rsidR="00000000">
        <w:trPr>
          <w:divId w:val="11108199"/>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Retail banking</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3</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13 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2.94 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18"/>
                <w:szCs w:val="18"/>
              </w:rPr>
              <w:t>42</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18"/>
                <w:szCs w:val="18"/>
              </w:rPr>
              <w:t>N/A</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18"/>
                <w:szCs w:val="18"/>
              </w:rPr>
              <w:t>N/A</w:t>
            </w:r>
          </w:p>
        </w:tc>
      </w:tr>
      <w:tr w:rsidR="00000000">
        <w:trPr>
          <w:divId w:val="11108199"/>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374</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42 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8.70 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93 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18"/>
                <w:szCs w:val="18"/>
              </w:rPr>
              <w:t>4</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380" w:type="dxa"/>
            </w:tcMar>
            <w:vAlign w:val="center"/>
            <w:hideMark/>
          </w:tcPr>
          <w:p w:rsidR="00000000" w:rsidRDefault="0094004B">
            <w:pPr>
              <w:spacing w:after="100"/>
              <w:jc w:val="right"/>
              <w:rPr>
                <w:rFonts w:eastAsia="Times New Roman"/>
              </w:rPr>
            </w:pPr>
            <w:r>
              <w:rPr>
                <w:rFonts w:eastAsia="Times New Roman"/>
                <w:color w:val="000000"/>
                <w:sz w:val="18"/>
                <w:szCs w:val="18"/>
              </w:rPr>
              <w:t>1</w:t>
            </w:r>
          </w:p>
        </w:tc>
      </w:tr>
      <w:tr w:rsidR="00000000">
        <w:trPr>
          <w:divId w:val="11108199"/>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14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14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14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14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1108199"/>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49</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21 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1.19 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85 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18"/>
                <w:szCs w:val="18"/>
              </w:rPr>
              <w:t>11</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18"/>
                <w:szCs w:val="18"/>
              </w:rPr>
              <w:t>N/A</w:t>
            </w:r>
          </w:p>
        </w:tc>
      </w:tr>
      <w:tr w:rsidR="00000000">
        <w:trPr>
          <w:divId w:val="11108199"/>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112</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18"/>
                <w:szCs w:val="18"/>
              </w:rPr>
              <w:t>N/A</w:t>
            </w:r>
          </w:p>
        </w:tc>
        <w:tc>
          <w:tcPr>
            <w:tcW w:w="0" w:type="auto"/>
            <w:gridSpan w:val="3"/>
            <w:shd w:val="clear" w:color="auto" w:fill="CCEEFF"/>
            <w:tcMar>
              <w:top w:w="0" w:type="dxa"/>
              <w:left w:w="20" w:type="dxa"/>
              <w:bottom w:w="0" w:type="dxa"/>
              <w:right w:w="26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18"/>
                <w:szCs w:val="18"/>
              </w:rPr>
              <w:t>N/A</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18"/>
                <w:szCs w:val="18"/>
              </w:rPr>
              <w:t>6</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18"/>
                <w:szCs w:val="18"/>
              </w:rPr>
              <w:t>N/A</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18"/>
                <w:szCs w:val="18"/>
              </w:rPr>
              <w:t>N/A</w:t>
            </w:r>
          </w:p>
        </w:tc>
      </w:tr>
      <w:tr w:rsidR="00000000">
        <w:trPr>
          <w:divId w:val="11108199"/>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 commercial banking</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161</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18"/>
                <w:szCs w:val="18"/>
              </w:rPr>
              <w:t>6</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1.19 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46 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18"/>
                <w:szCs w:val="18"/>
              </w:rPr>
              <w:t>9</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18"/>
                <w:szCs w:val="18"/>
              </w:rPr>
              <w:t>N/A</w:t>
            </w:r>
          </w:p>
        </w:tc>
      </w:tr>
      <w:tr w:rsidR="00000000">
        <w:trPr>
          <w:divId w:val="11108199"/>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812</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6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6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380" w:type="dxa"/>
            </w:tcMar>
            <w:vAlign w:val="center"/>
            <w:hideMark/>
          </w:tcPr>
          <w:p w:rsidR="00000000" w:rsidRDefault="0094004B">
            <w:pPr>
              <w:spacing w:after="100"/>
              <w:rPr>
                <w:rFonts w:eastAsia="Times New Roman"/>
                <w:sz w:val="20"/>
                <w:szCs w:val="20"/>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2774"/>
        <w:gridCol w:w="144"/>
        <w:gridCol w:w="144"/>
        <w:gridCol w:w="144"/>
        <w:gridCol w:w="144"/>
        <w:gridCol w:w="144"/>
        <w:gridCol w:w="624"/>
        <w:gridCol w:w="144"/>
        <w:gridCol w:w="144"/>
        <w:gridCol w:w="144"/>
        <w:gridCol w:w="144"/>
        <w:gridCol w:w="144"/>
        <w:gridCol w:w="624"/>
        <w:gridCol w:w="144"/>
        <w:gridCol w:w="144"/>
        <w:gridCol w:w="144"/>
        <w:gridCol w:w="144"/>
        <w:gridCol w:w="144"/>
        <w:gridCol w:w="624"/>
        <w:gridCol w:w="144"/>
        <w:gridCol w:w="144"/>
        <w:gridCol w:w="144"/>
        <w:gridCol w:w="144"/>
        <w:gridCol w:w="144"/>
        <w:gridCol w:w="624"/>
        <w:gridCol w:w="144"/>
        <w:gridCol w:w="144"/>
        <w:gridCol w:w="144"/>
        <w:gridCol w:w="144"/>
        <w:gridCol w:w="144"/>
        <w:gridCol w:w="624"/>
        <w:gridCol w:w="144"/>
        <w:gridCol w:w="144"/>
        <w:gridCol w:w="144"/>
        <w:gridCol w:w="144"/>
        <w:gridCol w:w="144"/>
        <w:gridCol w:w="624"/>
        <w:gridCol w:w="144"/>
        <w:gridCol w:w="144"/>
        <w:gridCol w:w="144"/>
        <w:gridCol w:w="144"/>
        <w:gridCol w:w="144"/>
        <w:gridCol w:w="624"/>
        <w:gridCol w:w="144"/>
      </w:tblGrid>
      <w:tr w:rsidR="00000000">
        <w:tc>
          <w:tcPr>
            <w:tcW w:w="50" w:type="pct"/>
            <w:vAlign w:val="center"/>
            <w:hideMark/>
          </w:tcPr>
          <w:p w:rsidR="00000000" w:rsidRDefault="0094004B">
            <w:pPr>
              <w:rPr>
                <w:rFonts w:eastAsia="Times New Roman"/>
              </w:rPr>
            </w:pPr>
          </w:p>
        </w:tc>
        <w:tc>
          <w:tcPr>
            <w:tcW w:w="1670"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7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7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7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7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7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7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7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Year Ended December 31, 2020</w:t>
            </w:r>
          </w:p>
        </w:tc>
      </w:tr>
      <w:tr w:rsidR="00000000">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Reduced Interest Rate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Term Extension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Balance Reduction</w:t>
            </w:r>
          </w:p>
        </w:tc>
      </w:tr>
      <w:tr w:rsidR="00000000">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Total Loans Modifie</w:t>
            </w:r>
            <w:r>
              <w:rPr>
                <w:rFonts w:eastAsia="Times New Roman"/>
                <w:b/>
                <w:bCs/>
                <w:color w:val="000000"/>
                <w:sz w:val="16"/>
                <w:szCs w:val="16"/>
              </w:rPr>
              <w:t>d</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 of TDR Activit</w:t>
            </w:r>
            <w:r>
              <w:rPr>
                <w:rFonts w:eastAsia="Times New Roman"/>
                <w:b/>
                <w:bCs/>
                <w:color w:val="000000"/>
                <w:sz w:val="16"/>
                <w:szCs w:val="16"/>
              </w:rPr>
              <w:t>y</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Average Rate Reduction</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 of TDR Activit</w:t>
            </w:r>
            <w:r>
              <w:rPr>
                <w:rFonts w:eastAsia="Times New Roman"/>
                <w:b/>
                <w:bCs/>
                <w:color w:val="000000"/>
                <w:sz w:val="16"/>
                <w:szCs w:val="16"/>
              </w:rPr>
              <w:t>y</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Average Term Extension (Months)</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 of TDR Activit</w:t>
            </w:r>
            <w:r>
              <w:rPr>
                <w:rFonts w:eastAsia="Times New Roman"/>
                <w:b/>
                <w:bCs/>
                <w:color w:val="000000"/>
                <w:sz w:val="16"/>
                <w:szCs w:val="16"/>
              </w:rPr>
              <w:t>y</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Gross Balance Reduction</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243</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100 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15.94 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18"/>
                <w:szCs w:val="18"/>
              </w:rPr>
              <w:t>N/A</w:t>
            </w:r>
          </w:p>
        </w:tc>
        <w:tc>
          <w:tcPr>
            <w:tcW w:w="0" w:type="auto"/>
            <w:gridSpan w:val="3"/>
            <w:shd w:val="clear" w:color="auto" w:fill="FFFFFF"/>
            <w:tcMar>
              <w:top w:w="0" w:type="dxa"/>
              <w:left w:w="20" w:type="dxa"/>
              <w:bottom w:w="0" w:type="dxa"/>
              <w:right w:w="14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18"/>
                <w:szCs w:val="18"/>
              </w:rPr>
              <w:t>N/A</w:t>
            </w:r>
          </w:p>
        </w:tc>
      </w:tr>
      <w:tr w:rsidR="00000000">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168</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100 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27.38 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18"/>
                <w:szCs w:val="18"/>
              </w:rPr>
              <w:t>N/A</w:t>
            </w:r>
          </w:p>
        </w:tc>
        <w:tc>
          <w:tcPr>
            <w:tcW w:w="0" w:type="auto"/>
            <w:gridSpan w:val="3"/>
            <w:shd w:val="clear" w:color="auto" w:fill="CCEEFF"/>
            <w:tcMar>
              <w:top w:w="0" w:type="dxa"/>
              <w:left w:w="20" w:type="dxa"/>
              <w:bottom w:w="0" w:type="dxa"/>
              <w:right w:w="14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18"/>
                <w:szCs w:val="18"/>
              </w:rPr>
              <w:t>N/A</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18"/>
                <w:szCs w:val="18"/>
              </w:rPr>
              <w:t>N/A</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18"/>
                <w:szCs w:val="18"/>
              </w:rPr>
              <w:t>N/A</w:t>
            </w:r>
          </w:p>
        </w:tc>
      </w:tr>
      <w:tr w:rsidR="00000000">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411</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100 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20.61 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18"/>
                <w:szCs w:val="18"/>
              </w:rPr>
              <w:t>N/A</w:t>
            </w:r>
          </w:p>
        </w:tc>
        <w:tc>
          <w:tcPr>
            <w:tcW w:w="0" w:type="auto"/>
            <w:gridSpan w:val="3"/>
            <w:shd w:val="clear" w:color="auto" w:fill="FFFFFF"/>
            <w:tcMar>
              <w:top w:w="0" w:type="dxa"/>
              <w:left w:w="20" w:type="dxa"/>
              <w:bottom w:w="0" w:type="dxa"/>
              <w:right w:w="14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18"/>
                <w:szCs w:val="18"/>
              </w:rPr>
              <w:t>N/A</w:t>
            </w:r>
          </w:p>
        </w:tc>
      </w:tr>
      <w:tr w:rsidR="00000000">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14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14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14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536</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11 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5.68 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95 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18"/>
                <w:szCs w:val="18"/>
              </w:rPr>
              <w:t>3</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1</w:t>
            </w:r>
          </w:p>
        </w:tc>
      </w:tr>
      <w:tr w:rsidR="00000000">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Retail banking</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5</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11 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10.86 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18"/>
                <w:szCs w:val="18"/>
              </w:rPr>
              <w:t>8</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18"/>
                <w:szCs w:val="18"/>
              </w:rPr>
              <w:t>N/A</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18"/>
                <w:szCs w:val="18"/>
              </w:rPr>
              <w:t>N/A</w:t>
            </w:r>
          </w:p>
        </w:tc>
      </w:tr>
      <w:tr w:rsidR="00000000">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541</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11 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5.73 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94 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18"/>
                <w:szCs w:val="18"/>
              </w:rPr>
              <w:t>3</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1</w:t>
            </w:r>
          </w:p>
        </w:tc>
      </w:tr>
      <w:tr w:rsidR="00000000">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14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14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14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14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98</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86 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18"/>
                <w:szCs w:val="18"/>
              </w:rPr>
              <w:t>5</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18"/>
                <w:szCs w:val="18"/>
              </w:rPr>
              <w:t>N/A</w:t>
            </w:r>
          </w:p>
        </w:tc>
      </w:tr>
      <w:tr w:rsidR="00000000">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439</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18"/>
                <w:szCs w:val="18"/>
              </w:rPr>
              <w:t>4</w:t>
            </w:r>
          </w:p>
        </w:tc>
        <w:tc>
          <w:tcPr>
            <w:tcW w:w="0" w:type="auto"/>
            <w:gridSpan w:val="3"/>
            <w:shd w:val="clear" w:color="auto" w:fill="CCEEFF"/>
            <w:tcMar>
              <w:top w:w="0" w:type="dxa"/>
              <w:left w:w="20" w:type="dxa"/>
              <w:bottom w:w="0" w:type="dxa"/>
              <w:right w:w="26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0.14 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52 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18"/>
                <w:szCs w:val="18"/>
              </w:rPr>
              <w:t>21</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7</w:t>
            </w:r>
          </w:p>
        </w:tc>
      </w:tr>
      <w:tr w:rsidR="00000000">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 commercial banking</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537</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18"/>
                <w:szCs w:val="18"/>
              </w:rPr>
              <w:t>3</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0.14 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58 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color w:val="000000"/>
                <w:sz w:val="18"/>
                <w:szCs w:val="18"/>
              </w:rPr>
              <w:t>17</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7</w:t>
            </w:r>
          </w:p>
        </w:tc>
      </w:tr>
      <w:tr w:rsidR="00000000">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140" w:type="dxa"/>
            </w:tcMar>
            <w:vAlign w:val="center"/>
            <w:hideMark/>
          </w:tcPr>
          <w:p w:rsidR="00000000" w:rsidRDefault="0094004B">
            <w:pPr>
              <w:spacing w:after="100"/>
              <w:jc w:val="right"/>
              <w:rPr>
                <w:rFonts w:eastAsia="Times New Roman"/>
              </w:rPr>
            </w:pPr>
            <w:r>
              <w:rPr>
                <w:rFonts w:eastAsia="Times New Roman"/>
                <w:color w:val="000000"/>
                <w:sz w:val="18"/>
                <w:szCs w:val="18"/>
              </w:rPr>
              <w:t>1,489</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6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6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38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bl>
    <w:p w:rsidR="00000000" w:rsidRDefault="0094004B">
      <w:pPr>
        <w:rPr>
          <w:rFonts w:eastAsia="Times New Roman"/>
        </w:rPr>
      </w:pPr>
      <w:r>
        <w:rPr>
          <w:rFonts w:eastAsia="Times New Roman"/>
          <w:color w:val="000000"/>
          <w:sz w:val="20"/>
          <w:szCs w:val="20"/>
        </w:rPr>
        <w:t>__________</w:t>
      </w:r>
    </w:p>
    <w:p w:rsidR="00000000" w:rsidRDefault="0094004B">
      <w:pPr>
        <w:ind w:hanging="360"/>
        <w:jc w:val="both"/>
        <w:divId w:val="1835299825"/>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Represents the amortized cost of total loans modified in TD</w:t>
      </w:r>
      <w:r>
        <w:rPr>
          <w:rFonts w:eastAsia="Times New Roman"/>
          <w:color w:val="000000"/>
          <w:sz w:val="16"/>
          <w:szCs w:val="16"/>
        </w:rPr>
        <w:t>R at the end of the period in which they were modified. As not every modification type is included in the table above, the total percentage of TDR activity may not add up to 100%. Some loans may receive more than one type of modification.</w:t>
      </w:r>
    </w:p>
    <w:p w:rsidR="00000000" w:rsidRDefault="0094004B">
      <w:pPr>
        <w:ind w:hanging="360"/>
        <w:jc w:val="both"/>
        <w:divId w:val="331228552"/>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Due to multipl</w:t>
      </w:r>
      <w:r>
        <w:rPr>
          <w:rFonts w:eastAsia="Times New Roman"/>
          <w:color w:val="000000"/>
          <w:sz w:val="16"/>
          <w:szCs w:val="16"/>
        </w:rPr>
        <w:t>e modification types granted to some troubled borrowers, percentages may total more than 100% for certain loan types.</w:t>
      </w:r>
    </w:p>
    <w:p w:rsidR="00000000" w:rsidRDefault="0094004B">
      <w:pPr>
        <w:divId w:val="1978608568"/>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099908923"/>
          <w:jc w:val="center"/>
        </w:trPr>
        <w:tc>
          <w:tcPr>
            <w:tcW w:w="50" w:type="pct"/>
            <w:vAlign w:val="center"/>
            <w:hideMark/>
          </w:tcPr>
          <w:p w:rsidR="00000000" w:rsidRDefault="0094004B">
            <w:pPr>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099908923"/>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099908923"/>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149</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75" style="width:0;height:1.5pt" o:hralign="center" o:hrstd="t" o:hr="t" fillcolor="#a0a0a0" stroked="f"/>
        </w:pict>
      </w:r>
    </w:p>
    <w:p w:rsidR="00000000" w:rsidRDefault="0094004B">
      <w:pPr>
        <w:jc w:val="both"/>
        <w:divId w:val="1765999668"/>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1765999668"/>
        <w:rPr>
          <w:rFonts w:eastAsia="Times New Roman"/>
        </w:rPr>
      </w:pPr>
    </w:p>
    <w:p w:rsidR="00000000" w:rsidRDefault="0094004B">
      <w:pPr>
        <w:jc w:val="center"/>
        <w:divId w:val="1765999668"/>
        <w:rPr>
          <w:rFonts w:eastAsia="Times New Roman"/>
        </w:rPr>
      </w:pPr>
      <w:r>
        <w:rPr>
          <w:rFonts w:eastAsia="Times New Roman"/>
          <w:b/>
          <w:bCs/>
          <w:color w:val="000000"/>
          <w:sz w:val="20"/>
          <w:szCs w:val="20"/>
        </w:rPr>
        <w:t>CAPITAL ONE FINANCIAL CORPORATION</w:t>
      </w:r>
    </w:p>
    <w:p w:rsidR="00000000" w:rsidRDefault="0094004B">
      <w:pPr>
        <w:jc w:val="center"/>
        <w:divId w:val="1765999668"/>
        <w:rPr>
          <w:rFonts w:eastAsia="Times New Roman"/>
        </w:rPr>
      </w:pPr>
      <w:r>
        <w:rPr>
          <w:rFonts w:eastAsia="Times New Roman"/>
          <w:b/>
          <w:bCs/>
          <w:color w:val="000000"/>
          <w:sz w:val="20"/>
          <w:szCs w:val="20"/>
        </w:rPr>
        <w:t>NOTES TO CONSOLIDATED FINANCIAL STATEMENTS</w:t>
      </w:r>
    </w:p>
    <w:p w:rsidR="00000000" w:rsidRDefault="0094004B">
      <w:pPr>
        <w:divId w:val="1158839830"/>
        <w:rPr>
          <w:rFonts w:eastAsia="Times New Roman"/>
        </w:rPr>
      </w:pPr>
      <w:r>
        <w:rPr>
          <w:rFonts w:eastAsia="Times New Roman"/>
          <w:b/>
          <w:bCs/>
          <w:i/>
          <w:iCs/>
          <w:color w:val="000000"/>
          <w:sz w:val="20"/>
          <w:szCs w:val="20"/>
        </w:rPr>
        <w:t>Subsequent Defaults of Completed TDR Modifications</w:t>
      </w:r>
    </w:p>
    <w:p w:rsidR="00000000" w:rsidRDefault="0094004B">
      <w:pPr>
        <w:jc w:val="both"/>
        <w:divId w:val="1279337711"/>
        <w:rPr>
          <w:rFonts w:eastAsia="Times New Roman"/>
        </w:rPr>
      </w:pPr>
      <w:r>
        <w:rPr>
          <w:rFonts w:eastAsia="Times New Roman"/>
          <w:color w:val="000000"/>
          <w:sz w:val="20"/>
          <w:szCs w:val="20"/>
        </w:rPr>
        <w:t>The following table presents the type, number and amortized cost of loans modified in a TDR that experienced a default during the period and had completed a modification event in the twelve months prior to the default. A default occurs if the loan is eithe</w:t>
      </w:r>
      <w:r>
        <w:rPr>
          <w:rFonts w:eastAsia="Times New Roman"/>
          <w:color w:val="000000"/>
          <w:sz w:val="20"/>
          <w:szCs w:val="20"/>
        </w:rPr>
        <w:t>r 90 days or more delinquent, has been charged off as of the end of the period presented or has been reclassified from accrual to nonaccrual status.</w:t>
      </w:r>
    </w:p>
    <w:p w:rsidR="00000000" w:rsidRDefault="0094004B">
      <w:pPr>
        <w:divId w:val="70976741"/>
        <w:rPr>
          <w:rFonts w:eastAsia="Times New Roman"/>
        </w:rPr>
      </w:pPr>
      <w:r>
        <w:rPr>
          <w:rFonts w:eastAsia="Times New Roman"/>
          <w:b/>
          <w:bCs/>
          <w:color w:val="000000"/>
          <w:sz w:val="18"/>
          <w:szCs w:val="18"/>
        </w:rPr>
        <w:t>Table 3.7: TDR—Subsequent Defaults</w:t>
      </w:r>
    </w:p>
    <w:tbl>
      <w:tblPr>
        <w:tblW w:w="5000" w:type="pct"/>
        <w:tblCellMar>
          <w:top w:w="15" w:type="dxa"/>
          <w:left w:w="15" w:type="dxa"/>
          <w:bottom w:w="15" w:type="dxa"/>
          <w:right w:w="15" w:type="dxa"/>
        </w:tblCellMar>
        <w:tblLook w:val="04A0" w:firstRow="1" w:lastRow="0" w:firstColumn="1" w:lastColumn="0" w:noHBand="0" w:noVBand="1"/>
      </w:tblPr>
      <w:tblGrid>
        <w:gridCol w:w="39"/>
        <w:gridCol w:w="2571"/>
        <w:gridCol w:w="38"/>
        <w:gridCol w:w="36"/>
        <w:gridCol w:w="36"/>
        <w:gridCol w:w="36"/>
        <w:gridCol w:w="36"/>
        <w:gridCol w:w="36"/>
        <w:gridCol w:w="36"/>
        <w:gridCol w:w="36"/>
        <w:gridCol w:w="120"/>
        <w:gridCol w:w="120"/>
        <w:gridCol w:w="120"/>
        <w:gridCol w:w="46"/>
        <w:gridCol w:w="88"/>
        <w:gridCol w:w="687"/>
        <w:gridCol w:w="36"/>
        <w:gridCol w:w="36"/>
        <w:gridCol w:w="36"/>
        <w:gridCol w:w="36"/>
        <w:gridCol w:w="111"/>
        <w:gridCol w:w="526"/>
        <w:gridCol w:w="37"/>
        <w:gridCol w:w="36"/>
        <w:gridCol w:w="36"/>
        <w:gridCol w:w="36"/>
        <w:gridCol w:w="88"/>
        <w:gridCol w:w="687"/>
        <w:gridCol w:w="36"/>
        <w:gridCol w:w="36"/>
        <w:gridCol w:w="36"/>
        <w:gridCol w:w="36"/>
        <w:gridCol w:w="111"/>
        <w:gridCol w:w="527"/>
        <w:gridCol w:w="36"/>
        <w:gridCol w:w="36"/>
        <w:gridCol w:w="36"/>
        <w:gridCol w:w="36"/>
        <w:gridCol w:w="86"/>
        <w:gridCol w:w="689"/>
        <w:gridCol w:w="36"/>
        <w:gridCol w:w="36"/>
        <w:gridCol w:w="36"/>
        <w:gridCol w:w="36"/>
        <w:gridCol w:w="111"/>
        <w:gridCol w:w="532"/>
        <w:gridCol w:w="36"/>
      </w:tblGrid>
      <w:tr w:rsidR="00000000">
        <w:trPr>
          <w:divId w:val="1090736457"/>
        </w:trPr>
        <w:tc>
          <w:tcPr>
            <w:tcW w:w="50" w:type="pct"/>
            <w:vAlign w:val="center"/>
            <w:hideMark/>
          </w:tcPr>
          <w:p w:rsidR="00000000" w:rsidRDefault="0094004B">
            <w:pPr>
              <w:rPr>
                <w:rFonts w:eastAsia="Times New Roman"/>
              </w:rPr>
            </w:pPr>
          </w:p>
        </w:tc>
        <w:tc>
          <w:tcPr>
            <w:tcW w:w="204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1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90"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90"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90"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90"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0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91"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090736457"/>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1"/>
            <w:tcBorders>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1090736457"/>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2022</w:t>
            </w:r>
          </w:p>
        </w:tc>
        <w:tc>
          <w:tcPr>
            <w:tcW w:w="0" w:type="auto"/>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2020</w:t>
            </w: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1090736457"/>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Number of Contracts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Number of Contracts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Number of Contracts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2"/>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Amount</w:t>
            </w:r>
          </w:p>
        </w:tc>
        <w:tc>
          <w:tcPr>
            <w:tcW w:w="0" w:type="auto"/>
            <w:vAlign w:val="center"/>
            <w:hideMark/>
          </w:tcPr>
          <w:p w:rsidR="00000000" w:rsidRDefault="0094004B">
            <w:pPr>
              <w:spacing w:after="100"/>
              <w:rPr>
                <w:rFonts w:eastAsia="Times New Roman"/>
                <w:sz w:val="20"/>
                <w:szCs w:val="20"/>
              </w:rPr>
            </w:pPr>
          </w:p>
        </w:tc>
      </w:tr>
      <w:tr w:rsidR="00000000">
        <w:trPr>
          <w:divId w:val="109073645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1090736457"/>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37,029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75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18,694 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35 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32,639 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69 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090736457"/>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74,432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79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58,914 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87 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58,363 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87 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090736457"/>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111,461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154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77,608 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122 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91,002 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156 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090736457"/>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1090736457"/>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16,100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285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8,847 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136 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5,877 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77 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090736457"/>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Retail banking</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9 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090736457"/>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16,101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286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8,856 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136 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5,887 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78 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090736457"/>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1090736457"/>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50 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50 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090736457"/>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56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7 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120 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15 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130 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090736457"/>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 commercial banking</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83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170 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180 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090736457"/>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127,569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523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86,472 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428 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96,905 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414 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bl>
    <w:p w:rsidR="00000000" w:rsidRDefault="0094004B">
      <w:pPr>
        <w:jc w:val="both"/>
        <w:divId w:val="78258126"/>
        <w:rPr>
          <w:rFonts w:eastAsia="Times New Roman"/>
        </w:rPr>
      </w:pPr>
      <w:r>
        <w:rPr>
          <w:rFonts w:eastAsia="Times New Roman"/>
          <w:b/>
          <w:bCs/>
          <w:color w:val="000000"/>
          <w:sz w:val="20"/>
          <w:szCs w:val="20"/>
        </w:rPr>
        <w:t>Loans Pledged</w:t>
      </w:r>
    </w:p>
    <w:p w:rsidR="00000000" w:rsidRDefault="0094004B">
      <w:pPr>
        <w:jc w:val="both"/>
        <w:divId w:val="955058592"/>
        <w:rPr>
          <w:rFonts w:eastAsia="Times New Roman"/>
        </w:rPr>
      </w:pPr>
      <w:r>
        <w:rPr>
          <w:rFonts w:eastAsia="Times New Roman"/>
          <w:color w:val="000000"/>
          <w:sz w:val="20"/>
          <w:szCs w:val="20"/>
        </w:rPr>
        <w:t>We</w:t>
      </w:r>
      <w:r>
        <w:rPr>
          <w:rFonts w:eastAsia="Times New Roman"/>
          <w:color w:val="000000"/>
          <w:sz w:val="20"/>
          <w:szCs w:val="20"/>
        </w:rPr>
        <w:t xml:space="preserve"> </w:t>
      </w:r>
      <w:r>
        <w:rPr>
          <w:rFonts w:eastAsia="Times New Roman"/>
          <w:color w:val="000000"/>
          <w:sz w:val="20"/>
          <w:szCs w:val="20"/>
        </w:rPr>
        <w:t>pledge</w:t>
      </w:r>
      <w:r>
        <w:rPr>
          <w:rFonts w:eastAsia="Times New Roman"/>
          <w:color w:val="000000"/>
          <w:sz w:val="20"/>
          <w:szCs w:val="20"/>
        </w:rPr>
        <w:t>d</w:t>
      </w:r>
      <w:r>
        <w:rPr>
          <w:rFonts w:eastAsia="Times New Roman"/>
          <w:color w:val="000000"/>
          <w:sz w:val="20"/>
          <w:szCs w:val="20"/>
        </w:rPr>
        <w:t xml:space="preserve"> loan collateral of $9.8 billion and $10.3 b</w:t>
      </w:r>
      <w:r>
        <w:rPr>
          <w:rFonts w:eastAsia="Times New Roman"/>
          <w:color w:val="000000"/>
          <w:sz w:val="20"/>
          <w:szCs w:val="20"/>
        </w:rPr>
        <w:t>illion to secure a portion of our FHLB borrowing capacity of $19.9 billion and $19.7 billion as of December 31, 2022 and 2021, respectively. We also pledged loan collateral of $34.1 billion and $26.5 billion to secure our Federal Reserve Discount Window bo</w:t>
      </w:r>
      <w:r>
        <w:rPr>
          <w:rFonts w:eastAsia="Times New Roman"/>
          <w:color w:val="000000"/>
          <w:sz w:val="20"/>
          <w:szCs w:val="20"/>
        </w:rPr>
        <w:t>rrowing capacity of $19.7 billion and $19.6 billion as of December 31, 2022 and 2021, respectively. In addition to loans pledged, we have securitized a portion of our credit card and auto loan portfolios. See “Note 5—Variable Interest Entities and Securiti</w:t>
      </w:r>
      <w:r>
        <w:rPr>
          <w:rFonts w:eastAsia="Times New Roman"/>
          <w:color w:val="000000"/>
          <w:sz w:val="20"/>
          <w:szCs w:val="20"/>
        </w:rPr>
        <w:t>zations” for additional information.</w:t>
      </w:r>
    </w:p>
    <w:p w:rsidR="00000000" w:rsidRDefault="0094004B">
      <w:pPr>
        <w:divId w:val="1313876504"/>
        <w:rPr>
          <w:rFonts w:eastAsia="Times New Roman"/>
        </w:rPr>
      </w:pPr>
      <w:r>
        <w:rPr>
          <w:rFonts w:eastAsia="Times New Roman"/>
          <w:b/>
          <w:bCs/>
          <w:color w:val="000000"/>
          <w:sz w:val="20"/>
          <w:szCs w:val="20"/>
        </w:rPr>
        <w:t xml:space="preserve">Loans Held for Sale </w:t>
      </w:r>
    </w:p>
    <w:p w:rsidR="00000000" w:rsidRDefault="0094004B">
      <w:pPr>
        <w:jc w:val="both"/>
        <w:divId w:val="2144423530"/>
        <w:rPr>
          <w:rFonts w:eastAsia="Times New Roman"/>
        </w:rPr>
      </w:pPr>
      <w:r>
        <w:rPr>
          <w:rFonts w:eastAsia="Times New Roman"/>
          <w:color w:val="000000"/>
          <w:sz w:val="20"/>
          <w:szCs w:val="20"/>
        </w:rPr>
        <w:t>Our total loans held for sale was $203 million and $5.9 billion as of December 31, 2022 and 2021, respectively. We originated for sale $8.6 billion, $9.1 billion and $10.0 billion of commercial mult</w:t>
      </w:r>
      <w:r>
        <w:rPr>
          <w:rFonts w:eastAsia="Times New Roman"/>
          <w:color w:val="000000"/>
          <w:sz w:val="20"/>
          <w:szCs w:val="20"/>
        </w:rPr>
        <w:t>ifamily real estate loans in 2022, 2021 and 2020, respectively, and typically retain servicing rights upon the sale of these loans.</w:t>
      </w:r>
    </w:p>
    <w:p w:rsidR="00000000" w:rsidRDefault="0094004B">
      <w:pPr>
        <w:divId w:val="1269124829"/>
        <w:rPr>
          <w:rFonts w:eastAsia="Times New Roman"/>
        </w:rPr>
      </w:pPr>
      <w:r>
        <w:rPr>
          <w:rFonts w:eastAsia="Times New Roman"/>
          <w:b/>
          <w:bCs/>
          <w:color w:val="000000"/>
          <w:sz w:val="20"/>
          <w:szCs w:val="20"/>
        </w:rPr>
        <w:t>Revolving Loans Converted to Term Loans</w:t>
      </w:r>
    </w:p>
    <w:p w:rsidR="00000000" w:rsidRDefault="0094004B">
      <w:pPr>
        <w:jc w:val="both"/>
        <w:divId w:val="148333469"/>
        <w:rPr>
          <w:rFonts w:eastAsia="Times New Roman"/>
        </w:rPr>
      </w:pPr>
      <w:r>
        <w:rPr>
          <w:rFonts w:eastAsia="Times New Roman"/>
          <w:color w:val="000000"/>
          <w:sz w:val="20"/>
          <w:szCs w:val="20"/>
        </w:rPr>
        <w:t>For the years ended December 31, 2022 and 2021, we converted $441 million and $223 m</w:t>
      </w:r>
      <w:r>
        <w:rPr>
          <w:rFonts w:eastAsia="Times New Roman"/>
          <w:color w:val="000000"/>
          <w:sz w:val="20"/>
          <w:szCs w:val="20"/>
        </w:rPr>
        <w:t>illion of revolving loans to term loans, respectively, primarily in our domestic credit card and commercial banking loan portfolios.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852985632"/>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852985632"/>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852985632"/>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150</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76" style="width:0;height:1.5pt" o:hralign="center" o:hrstd="t" o:hr="t" fillcolor="#a0a0a0" stroked="f"/>
        </w:pict>
      </w:r>
    </w:p>
    <w:p w:rsidR="00000000" w:rsidRDefault="0094004B">
      <w:pPr>
        <w:jc w:val="both"/>
        <w:divId w:val="1554996597"/>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1554996597"/>
        <w:rPr>
          <w:rFonts w:eastAsia="Times New Roman"/>
        </w:rPr>
      </w:pPr>
    </w:p>
    <w:p w:rsidR="00000000" w:rsidRDefault="0094004B">
      <w:pPr>
        <w:jc w:val="center"/>
        <w:divId w:val="1554996597"/>
        <w:rPr>
          <w:rFonts w:eastAsia="Times New Roman"/>
        </w:rPr>
      </w:pPr>
      <w:r>
        <w:rPr>
          <w:rFonts w:eastAsia="Times New Roman"/>
          <w:b/>
          <w:bCs/>
          <w:color w:val="000000"/>
          <w:sz w:val="20"/>
          <w:szCs w:val="20"/>
        </w:rPr>
        <w:t>CAPITAL ONE FINANCIAL CORPORATION</w:t>
      </w:r>
    </w:p>
    <w:p w:rsidR="00000000" w:rsidRDefault="0094004B">
      <w:pPr>
        <w:jc w:val="center"/>
        <w:divId w:val="1554996597"/>
        <w:rPr>
          <w:rFonts w:eastAsia="Times New Roman"/>
        </w:rPr>
      </w:pPr>
      <w:r>
        <w:rPr>
          <w:rFonts w:eastAsia="Times New Roman"/>
          <w:b/>
          <w:bCs/>
          <w:color w:val="000000"/>
          <w:sz w:val="20"/>
          <w:szCs w:val="20"/>
        </w:rPr>
        <w:t>NOTES TO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924292766"/>
        </w:trPr>
        <w:tc>
          <w:tcPr>
            <w:tcW w:w="50" w:type="pct"/>
            <w:vAlign w:val="center"/>
            <w:hideMark/>
          </w:tcPr>
          <w:p w:rsidR="00000000" w:rsidRDefault="0094004B">
            <w:pPr>
              <w:jc w:val="center"/>
              <w:rPr>
                <w:rFonts w:eastAsia="Times New Roman"/>
              </w:rPr>
            </w:pPr>
          </w:p>
        </w:tc>
        <w:tc>
          <w:tcPr>
            <w:tcW w:w="494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924292766"/>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20"/>
                <w:szCs w:val="20"/>
              </w:rPr>
              <w:t>NOTE 4—</w:t>
            </w:r>
            <w:r>
              <w:rPr>
                <w:rFonts w:eastAsia="Times New Roman"/>
                <w:b/>
                <w:bCs/>
                <w:color w:val="000000"/>
                <w:sz w:val="20"/>
                <w:szCs w:val="20"/>
              </w:rPr>
              <w:t>ALLOWANCE FOR CREDIT LOSSES AND RESERVE FOR UNFUNDED LENDING COMMITMENTS</w:t>
            </w:r>
          </w:p>
        </w:tc>
      </w:tr>
    </w:tbl>
    <w:p w:rsidR="00000000" w:rsidRDefault="0094004B">
      <w:pPr>
        <w:jc w:val="both"/>
        <w:divId w:val="1037122653"/>
        <w:rPr>
          <w:rFonts w:eastAsia="Times New Roman"/>
        </w:rPr>
      </w:pPr>
      <w:r>
        <w:rPr>
          <w:rFonts w:eastAsia="Times New Roman"/>
          <w:color w:val="000000"/>
          <w:sz w:val="20"/>
          <w:szCs w:val="20"/>
        </w:rPr>
        <w:t>Our allowance for credit losses represents management’s current estimate of expected credit losses over the contractual terms of our loans held for investment as of each balance s</w:t>
      </w:r>
      <w:r>
        <w:rPr>
          <w:rFonts w:eastAsia="Times New Roman"/>
          <w:color w:val="000000"/>
          <w:sz w:val="20"/>
          <w:szCs w:val="20"/>
        </w:rPr>
        <w:t xml:space="preserve">heet date. Expected recoveries of amounts previously charged off or expected to be charged off are recognized within the allowance. Significant judgment is applied in our estimation of lifetime credit losses. When developing an estimate of expected credit </w:t>
      </w:r>
      <w:r>
        <w:rPr>
          <w:rFonts w:eastAsia="Times New Roman"/>
          <w:color w:val="000000"/>
          <w:sz w:val="20"/>
          <w:szCs w:val="20"/>
        </w:rPr>
        <w:t>losses, we use both quantitative and qualitative methods in considering all available information relevant to assessing collectability. This may include internal information, external information or a combination of both relating to past events, current co</w:t>
      </w:r>
      <w:r>
        <w:rPr>
          <w:rFonts w:eastAsia="Times New Roman"/>
          <w:color w:val="000000"/>
          <w:sz w:val="20"/>
          <w:szCs w:val="20"/>
        </w:rPr>
        <w:t xml:space="preserve">nditions and reasonable and supportable forecasts. Our estimate of expected credit losses includes a reasonable and supportable forecast period of one year and then reverts over a one-year period to historical losses at each relevant loss component of the </w:t>
      </w:r>
      <w:r>
        <w:rPr>
          <w:rFonts w:eastAsia="Times New Roman"/>
          <w:color w:val="000000"/>
          <w:sz w:val="20"/>
          <w:szCs w:val="20"/>
        </w:rPr>
        <w:t xml:space="preserve">estimate. Management will consider and may qualitatively adjust for conditions, changes and trends in loan portfolios that may not be captured in modeled results. These adjustments are referred to as qualitative factors and represent management’s judgment </w:t>
      </w:r>
      <w:r>
        <w:rPr>
          <w:rFonts w:eastAsia="Times New Roman"/>
          <w:color w:val="000000"/>
          <w:sz w:val="20"/>
          <w:szCs w:val="20"/>
        </w:rPr>
        <w:t xml:space="preserve">of the imprecision and risks inherent in the processes and assumptions used in establishing the allowance for credit losses. </w:t>
      </w:r>
    </w:p>
    <w:p w:rsidR="00000000" w:rsidRDefault="0094004B">
      <w:pPr>
        <w:jc w:val="both"/>
        <w:divId w:val="1580017597"/>
        <w:rPr>
          <w:rFonts w:eastAsia="Times New Roman"/>
        </w:rPr>
      </w:pPr>
      <w:r>
        <w:rPr>
          <w:rFonts w:eastAsia="Times New Roman"/>
          <w:color w:val="000000"/>
          <w:sz w:val="20"/>
          <w:szCs w:val="20"/>
        </w:rPr>
        <w:t>For credit card loans, accrued interest is charged off simultaneously with the charge off of other components of amortized cost as</w:t>
      </w:r>
      <w:r>
        <w:rPr>
          <w:rFonts w:eastAsia="Times New Roman"/>
          <w:color w:val="000000"/>
          <w:sz w:val="20"/>
          <w:szCs w:val="20"/>
        </w:rPr>
        <w:t xml:space="preserve"> a reduction of revenue. Total net revenue was reduced by $946 million, $629 million and $1.1 billion in 2022, 2021 and 2020, respectively, for finance charge and fees charged-off as uncollectible.</w:t>
      </w:r>
    </w:p>
    <w:p w:rsidR="00000000" w:rsidRDefault="0094004B">
      <w:pPr>
        <w:jc w:val="both"/>
        <w:divId w:val="351995859"/>
        <w:rPr>
          <w:rFonts w:eastAsia="Times New Roman"/>
        </w:rPr>
      </w:pPr>
      <w:r>
        <w:rPr>
          <w:rFonts w:eastAsia="Times New Roman"/>
          <w:color w:val="000000"/>
          <w:sz w:val="20"/>
          <w:szCs w:val="20"/>
        </w:rPr>
        <w:t>We have unfunded lending commitments in our Commercial Banking business that are not unconditionally cancellable by us and for which we estimate expected credit losses in establishing a reserve. This reserve is measured using the same measurement objective</w:t>
      </w:r>
      <w:r>
        <w:rPr>
          <w:rFonts w:eastAsia="Times New Roman"/>
          <w:color w:val="000000"/>
          <w:sz w:val="20"/>
          <w:szCs w:val="20"/>
        </w:rPr>
        <w:t>s as the allowance for loans held for investment. We build or release the reserve for unfunded lending commitments through the provision for credit losses in our consolidated statements of income, and the related reserve for unfunded lending commitments is</w:t>
      </w:r>
      <w:r>
        <w:rPr>
          <w:rFonts w:eastAsia="Times New Roman"/>
          <w:color w:val="000000"/>
          <w:sz w:val="20"/>
          <w:szCs w:val="20"/>
        </w:rPr>
        <w:t xml:space="preserve"> included in other liabilities on our consolidated balance sheets. </w:t>
      </w:r>
    </w:p>
    <w:p w:rsidR="00000000" w:rsidRDefault="0094004B">
      <w:pPr>
        <w:jc w:val="both"/>
        <w:divId w:val="777413360"/>
        <w:rPr>
          <w:rFonts w:eastAsia="Times New Roman"/>
        </w:rPr>
      </w:pPr>
      <w:r>
        <w:rPr>
          <w:rFonts w:eastAsia="Times New Roman"/>
          <w:color w:val="000000"/>
          <w:sz w:val="20"/>
          <w:szCs w:val="20"/>
        </w:rPr>
        <w:t xml:space="preserve">See “Note 1—Summary of Significant Accounting Policies” for further discussion of the methodology and policy for determining our allowance for credit losses for each of our loan portfolio </w:t>
      </w:r>
      <w:r>
        <w:rPr>
          <w:rFonts w:eastAsia="Times New Roman"/>
          <w:color w:val="000000"/>
          <w:sz w:val="20"/>
          <w:szCs w:val="20"/>
        </w:rPr>
        <w:t>segments, as well as information on our reserve for unfunded lending commitments.</w:t>
      </w:r>
    </w:p>
    <w:p w:rsidR="00000000" w:rsidRDefault="0094004B">
      <w:pPr>
        <w:divId w:val="943852112"/>
        <w:rPr>
          <w:rFonts w:eastAsia="Times New Roman"/>
        </w:rPr>
      </w:pPr>
      <w:r>
        <w:rPr>
          <w:rFonts w:eastAsia="Times New Roman"/>
          <w:b/>
          <w:bCs/>
          <w:color w:val="000000"/>
          <w:sz w:val="20"/>
          <w:szCs w:val="20"/>
        </w:rPr>
        <w:t>Allowance for Credit Losses and Reserve for Unfunded Lending Commitments Activity</w:t>
      </w:r>
    </w:p>
    <w:p w:rsidR="00000000" w:rsidRDefault="0094004B">
      <w:pPr>
        <w:jc w:val="both"/>
        <w:divId w:val="922109898"/>
        <w:rPr>
          <w:rFonts w:eastAsia="Times New Roman"/>
        </w:rPr>
      </w:pPr>
      <w:r>
        <w:rPr>
          <w:rFonts w:eastAsia="Times New Roman"/>
          <w:color w:val="000000"/>
          <w:sz w:val="20"/>
          <w:szCs w:val="20"/>
        </w:rPr>
        <w:t>The table below summarizes changes in the allowance for credit losses and reserve for unfund</w:t>
      </w:r>
      <w:r>
        <w:rPr>
          <w:rFonts w:eastAsia="Times New Roman"/>
          <w:color w:val="000000"/>
          <w:sz w:val="20"/>
          <w:szCs w:val="20"/>
        </w:rPr>
        <w:t>ed lending commitments by portfolio segment for the years ended December 31, 2022, 2021 and 2020. Our allowance for credit losses increased by $1.8 billion to $13.2 billion as of December 31, 2022 from 2021.</w:t>
      </w:r>
    </w:p>
    <w:p w:rsidR="00000000" w:rsidRDefault="0094004B">
      <w:pPr>
        <w:divId w:val="1067874543"/>
        <w:rPr>
          <w:rFonts w:eastAsia="Times New Roman"/>
        </w:rPr>
      </w:pPr>
      <w:r>
        <w:rPr>
          <w:rFonts w:eastAsia="Times New Roman"/>
          <w:b/>
          <w:bCs/>
          <w:color w:val="000000"/>
          <w:sz w:val="18"/>
          <w:szCs w:val="18"/>
        </w:rPr>
        <w:t>Table 4.1: Allowance for Credit Losses and Reser</w:t>
      </w:r>
      <w:r>
        <w:rPr>
          <w:rFonts w:eastAsia="Times New Roman"/>
          <w:b/>
          <w:bCs/>
          <w:color w:val="000000"/>
          <w:sz w:val="18"/>
          <w:szCs w:val="18"/>
        </w:rPr>
        <w:t>ve for Unfunded Lending Commitments Activity</w:t>
      </w:r>
    </w:p>
    <w:tbl>
      <w:tblPr>
        <w:tblW w:w="5000" w:type="pct"/>
        <w:tblCellMar>
          <w:top w:w="15" w:type="dxa"/>
          <w:left w:w="15" w:type="dxa"/>
          <w:bottom w:w="15" w:type="dxa"/>
          <w:right w:w="15" w:type="dxa"/>
        </w:tblCellMar>
        <w:tblLook w:val="04A0" w:firstRow="1" w:lastRow="0" w:firstColumn="1" w:lastColumn="0" w:noHBand="0" w:noVBand="1"/>
      </w:tblPr>
      <w:tblGrid>
        <w:gridCol w:w="55"/>
        <w:gridCol w:w="4572"/>
        <w:gridCol w:w="36"/>
        <w:gridCol w:w="36"/>
        <w:gridCol w:w="36"/>
        <w:gridCol w:w="36"/>
        <w:gridCol w:w="36"/>
        <w:gridCol w:w="676"/>
        <w:gridCol w:w="36"/>
        <w:gridCol w:w="36"/>
        <w:gridCol w:w="36"/>
        <w:gridCol w:w="36"/>
        <w:gridCol w:w="36"/>
        <w:gridCol w:w="676"/>
        <w:gridCol w:w="36"/>
        <w:gridCol w:w="36"/>
        <w:gridCol w:w="36"/>
        <w:gridCol w:w="36"/>
        <w:gridCol w:w="36"/>
        <w:gridCol w:w="676"/>
        <w:gridCol w:w="36"/>
        <w:gridCol w:w="36"/>
        <w:gridCol w:w="36"/>
        <w:gridCol w:w="36"/>
        <w:gridCol w:w="36"/>
        <w:gridCol w:w="36"/>
        <w:gridCol w:w="36"/>
        <w:gridCol w:w="36"/>
        <w:gridCol w:w="36"/>
        <w:gridCol w:w="36"/>
        <w:gridCol w:w="36"/>
        <w:gridCol w:w="679"/>
        <w:gridCol w:w="36"/>
      </w:tblGrid>
      <w:tr w:rsidR="00000000">
        <w:trPr>
          <w:divId w:val="1067874543"/>
        </w:trPr>
        <w:tc>
          <w:tcPr>
            <w:tcW w:w="50" w:type="pct"/>
            <w:vAlign w:val="center"/>
            <w:hideMark/>
          </w:tcPr>
          <w:p w:rsidR="00000000" w:rsidRDefault="0094004B">
            <w:pPr>
              <w:rPr>
                <w:rFonts w:eastAsia="Times New Roman"/>
              </w:rPr>
            </w:pPr>
          </w:p>
        </w:tc>
        <w:tc>
          <w:tcPr>
            <w:tcW w:w="283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3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3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3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3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067874543"/>
          <w:trHeight w:val="60"/>
        </w:trPr>
        <w:tc>
          <w:tcPr>
            <w:tcW w:w="0" w:type="auto"/>
            <w:gridSpan w:val="27"/>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1067874543"/>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1067874543"/>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067874543"/>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067874543"/>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067874543"/>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067874543"/>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067874543"/>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067874543"/>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067874543"/>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067874543"/>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067874543"/>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067874543"/>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067874543"/>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067874543"/>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067874543"/>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067874543"/>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4716"/>
        <w:gridCol w:w="144"/>
        <w:gridCol w:w="144"/>
        <w:gridCol w:w="144"/>
        <w:gridCol w:w="144"/>
        <w:gridCol w:w="144"/>
        <w:gridCol w:w="720"/>
        <w:gridCol w:w="144"/>
        <w:gridCol w:w="144"/>
        <w:gridCol w:w="144"/>
        <w:gridCol w:w="144"/>
        <w:gridCol w:w="144"/>
        <w:gridCol w:w="720"/>
        <w:gridCol w:w="144"/>
        <w:gridCol w:w="144"/>
        <w:gridCol w:w="144"/>
        <w:gridCol w:w="144"/>
        <w:gridCol w:w="144"/>
        <w:gridCol w:w="720"/>
        <w:gridCol w:w="144"/>
        <w:gridCol w:w="144"/>
        <w:gridCol w:w="144"/>
        <w:gridCol w:w="144"/>
        <w:gridCol w:w="160"/>
        <w:gridCol w:w="160"/>
        <w:gridCol w:w="160"/>
        <w:gridCol w:w="480"/>
        <w:gridCol w:w="480"/>
        <w:gridCol w:w="480"/>
        <w:gridCol w:w="144"/>
        <w:gridCol w:w="722"/>
        <w:gridCol w:w="144"/>
      </w:tblGrid>
      <w:tr w:rsidR="00000000">
        <w:tc>
          <w:tcPr>
            <w:tcW w:w="50" w:type="pct"/>
            <w:vAlign w:val="center"/>
            <w:hideMark/>
          </w:tcPr>
          <w:p w:rsidR="00000000" w:rsidRDefault="0094004B">
            <w:pPr>
              <w:rPr>
                <w:rFonts w:eastAsia="Times New Roman"/>
              </w:rPr>
            </w:pPr>
          </w:p>
        </w:tc>
        <w:tc>
          <w:tcPr>
            <w:tcW w:w="283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3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3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3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3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(Dollars </w:t>
            </w:r>
            <w:r>
              <w:rPr>
                <w:rFonts w:eastAsia="Times New Roman"/>
                <w:i/>
                <w:i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Credit Card</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Consumer Banking</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Commercial Banking</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Total</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Allowance for credit losses: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Balance as of December 31, 2019</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5,395 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1,038 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775 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7,208 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Cumulative effects from adoption of the CECL standard</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2,241 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502 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102 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2,845 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divId w:val="166360971"/>
              <w:rPr>
                <w:rFonts w:eastAsia="Times New Roman"/>
              </w:rPr>
            </w:pPr>
            <w:r>
              <w:rPr>
                <w:rFonts w:eastAsia="Times New Roman"/>
                <w:color w:val="000000"/>
                <w:sz w:val="18"/>
                <w:szCs w:val="18"/>
              </w:rPr>
              <w:t>Finance charge and fee reserve reclassificatio</w:t>
            </w:r>
            <w:r>
              <w:rPr>
                <w:rFonts w:eastAsia="Times New Roman"/>
                <w:color w:val="000000"/>
                <w:sz w:val="18"/>
                <w:szCs w:val="18"/>
              </w:rPr>
              <w:t>n</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462 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462 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Balance as of January 1, 2020</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8,098 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1,540 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877 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10,515 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divId w:val="751118964"/>
              <w:rPr>
                <w:rFonts w:eastAsia="Times New Roman"/>
              </w:rPr>
            </w:pPr>
            <w:r>
              <w:rPr>
                <w:rFonts w:eastAsia="Times New Roman"/>
                <w:color w:val="000000"/>
                <w:sz w:val="18"/>
                <w:szCs w:val="18"/>
              </w:rPr>
              <w:t>Charge-offs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(5,749)</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(1,534)</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(394)</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(7,677)</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divId w:val="754278302"/>
              <w:rPr>
                <w:rFonts w:eastAsia="Times New Roman"/>
              </w:rPr>
            </w:pPr>
            <w:r>
              <w:rPr>
                <w:rFonts w:eastAsia="Times New Roman"/>
                <w:color w:val="000000"/>
                <w:sz w:val="18"/>
                <w:szCs w:val="18"/>
              </w:rPr>
              <w:t>Recoverie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1,479 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956 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17 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2,452 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Net charge-offs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(4,270)</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(578)</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(377)</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(5,225)</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Provision for credit losses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7,327 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1,753 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1,158 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10,238 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divId w:val="1197501998"/>
              <w:rPr>
                <w:rFonts w:eastAsia="Times New Roman"/>
              </w:rPr>
            </w:pPr>
            <w:r>
              <w:rPr>
                <w:rFonts w:eastAsia="Times New Roman"/>
                <w:color w:val="000000"/>
                <w:sz w:val="18"/>
                <w:szCs w:val="18"/>
              </w:rPr>
              <w:t>Allowance build for credit losse</w:t>
            </w:r>
            <w:r>
              <w:rPr>
                <w:rFonts w:eastAsia="Times New Roman"/>
                <w:color w:val="000000"/>
                <w:sz w:val="18"/>
                <w:szCs w:val="18"/>
              </w:rPr>
              <w:t>s</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3,057 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1,175 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781 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5,013 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divId w:val="1991639655"/>
              <w:rPr>
                <w:rFonts w:eastAsia="Times New Roman"/>
              </w:rPr>
            </w:pPr>
            <w:r>
              <w:rPr>
                <w:rFonts w:eastAsia="Times New Roman"/>
                <w:color w:val="000000"/>
                <w:sz w:val="18"/>
                <w:szCs w:val="18"/>
              </w:rPr>
              <w:t>Other change</w:t>
            </w:r>
            <w:r>
              <w:rPr>
                <w:rFonts w:eastAsia="Times New Roman"/>
                <w:color w:val="000000"/>
                <w:sz w:val="18"/>
                <w:szCs w:val="18"/>
              </w:rPr>
              <w:t>s</w:t>
            </w:r>
            <w:r>
              <w:rPr>
                <w:rFonts w:eastAsia="Times New Roman"/>
                <w:color w:val="000000"/>
                <w:sz w:val="12"/>
                <w:szCs w:val="12"/>
              </w:rPr>
              <w:t>(4</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36 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36 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Balance as of December 31, 2020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bottom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single" w:sz="8"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11,191 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single" w:sz="8"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2,715 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single" w:sz="8"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1,658 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tcBorders>
              <w:top w:val="single" w:sz="8" w:space="0" w:color="000000"/>
              <w:bottom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single" w:sz="8"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15,564 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bl>
    <w:p w:rsidR="00000000" w:rsidRDefault="0094004B">
      <w:pPr>
        <w:jc w:val="center"/>
        <w:divId w:val="818888340"/>
        <w:rPr>
          <w:rFonts w:eastAsia="Times New Roman"/>
          <w:vanish/>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818888340"/>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818888340"/>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818888340"/>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151</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77" style="width:0;height:1.5pt" o:hralign="center" o:hrstd="t" o:hr="t" fillcolor="#a0a0a0" stroked="f"/>
        </w:pict>
      </w:r>
    </w:p>
    <w:p w:rsidR="00000000" w:rsidRDefault="0094004B">
      <w:pPr>
        <w:jc w:val="both"/>
        <w:divId w:val="971788453"/>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971788453"/>
        <w:rPr>
          <w:rFonts w:eastAsia="Times New Roman"/>
        </w:rPr>
      </w:pPr>
    </w:p>
    <w:p w:rsidR="00000000" w:rsidRDefault="0094004B">
      <w:pPr>
        <w:jc w:val="center"/>
        <w:divId w:val="971788453"/>
        <w:rPr>
          <w:rFonts w:eastAsia="Times New Roman"/>
        </w:rPr>
      </w:pPr>
      <w:r>
        <w:rPr>
          <w:rFonts w:eastAsia="Times New Roman"/>
          <w:b/>
          <w:bCs/>
          <w:color w:val="000000"/>
          <w:sz w:val="20"/>
          <w:szCs w:val="20"/>
        </w:rPr>
        <w:t>CAPITAL ONE FINANCIAL CORPORATION</w:t>
      </w:r>
    </w:p>
    <w:p w:rsidR="00000000" w:rsidRDefault="0094004B">
      <w:pPr>
        <w:jc w:val="center"/>
        <w:divId w:val="971788453"/>
        <w:rPr>
          <w:rFonts w:eastAsia="Times New Roman"/>
        </w:rPr>
      </w:pPr>
      <w:r>
        <w:rPr>
          <w:rFonts w:eastAsia="Times New Roman"/>
          <w:b/>
          <w:bCs/>
          <w:color w:val="000000"/>
          <w:sz w:val="20"/>
          <w:szCs w:val="20"/>
        </w:rPr>
        <w:t>NOTES TO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38"/>
        <w:gridCol w:w="4464"/>
        <w:gridCol w:w="37"/>
        <w:gridCol w:w="36"/>
        <w:gridCol w:w="36"/>
        <w:gridCol w:w="36"/>
        <w:gridCol w:w="110"/>
        <w:gridCol w:w="540"/>
        <w:gridCol w:w="36"/>
        <w:gridCol w:w="36"/>
        <w:gridCol w:w="36"/>
        <w:gridCol w:w="36"/>
        <w:gridCol w:w="111"/>
        <w:gridCol w:w="668"/>
        <w:gridCol w:w="36"/>
        <w:gridCol w:w="36"/>
        <w:gridCol w:w="36"/>
        <w:gridCol w:w="36"/>
        <w:gridCol w:w="111"/>
        <w:gridCol w:w="785"/>
        <w:gridCol w:w="36"/>
        <w:gridCol w:w="36"/>
        <w:gridCol w:w="36"/>
        <w:gridCol w:w="36"/>
        <w:gridCol w:w="36"/>
        <w:gridCol w:w="36"/>
        <w:gridCol w:w="36"/>
        <w:gridCol w:w="36"/>
        <w:gridCol w:w="36"/>
        <w:gridCol w:w="36"/>
        <w:gridCol w:w="110"/>
        <w:gridCol w:w="540"/>
        <w:gridCol w:w="36"/>
      </w:tblGrid>
      <w:tr w:rsidR="00000000">
        <w:trPr>
          <w:divId w:val="1889562415"/>
        </w:trPr>
        <w:tc>
          <w:tcPr>
            <w:tcW w:w="50" w:type="pct"/>
            <w:vAlign w:val="center"/>
            <w:hideMark/>
          </w:tcPr>
          <w:p w:rsidR="00000000" w:rsidRDefault="0094004B">
            <w:pPr>
              <w:jc w:val="center"/>
              <w:rPr>
                <w:rFonts w:eastAsia="Times New Roman"/>
              </w:rPr>
            </w:pPr>
          </w:p>
        </w:tc>
        <w:tc>
          <w:tcPr>
            <w:tcW w:w="283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3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3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3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3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889562415"/>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1889562415"/>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Credit Card</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Consumer Banking</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Commercial Banking</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Total</w:t>
            </w:r>
          </w:p>
        </w:tc>
      </w:tr>
      <w:tr w:rsidR="00000000">
        <w:trPr>
          <w:divId w:val="1889562415"/>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Reserve for unfunded lending commitments: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889562415"/>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Balance as of December 31, 2019</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5 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130 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135 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889562415"/>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Cumulative effects from adoption of the CECL standard</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(5)</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42 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37 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889562415"/>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Balance as of January 1, 2020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172 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172 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889562415"/>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Provision for losses on unfunded lending commitments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23 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23 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889562415"/>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Balance as of December 31, 2020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195 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195 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889562415"/>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Combined allowance and reserve as of December 31, 2020</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11,191 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2,715 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1,853 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15,759 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889562415"/>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Allowance for credit losses: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889562415"/>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Balance as of December 31, 2020</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11,191 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2,715 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1,658 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15,564 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889562415"/>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divId w:val="2067490735"/>
              <w:rPr>
                <w:rFonts w:eastAsia="Times New Roman"/>
              </w:rPr>
            </w:pPr>
            <w:r>
              <w:rPr>
                <w:rFonts w:eastAsia="Times New Roman"/>
                <w:color w:val="000000"/>
                <w:sz w:val="18"/>
                <w:szCs w:val="18"/>
              </w:rPr>
              <w:t>Charge-offs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(3,481)</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(1,211)</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(48)</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(4,740)</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889562415"/>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divId w:val="1059858956"/>
              <w:rPr>
                <w:rFonts w:eastAsia="Times New Roman"/>
              </w:rPr>
            </w:pPr>
            <w:r>
              <w:rPr>
                <w:rFonts w:eastAsia="Times New Roman"/>
                <w:color w:val="000000"/>
                <w:sz w:val="18"/>
                <w:szCs w:val="18"/>
              </w:rPr>
              <w:t>Recoverie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1,525 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935 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46 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2,506 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889562415"/>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Net charge-offs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(1,956)</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(276)</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(2,234)</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889562415"/>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Benefit for credit losses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(902)</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(521)</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(489)</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(1,912)</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889562415"/>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Allowance release for credit losses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(2,858)</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(797)</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(491)</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(4,146)</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889562415"/>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divId w:val="809249698"/>
              <w:rPr>
                <w:rFonts w:eastAsia="Times New Roman"/>
              </w:rPr>
            </w:pPr>
            <w:r>
              <w:rPr>
                <w:rFonts w:eastAsia="Times New Roman"/>
                <w:color w:val="000000"/>
                <w:sz w:val="18"/>
                <w:szCs w:val="18"/>
              </w:rPr>
              <w:t>Other change</w:t>
            </w:r>
            <w:r>
              <w:rPr>
                <w:rFonts w:eastAsia="Times New Roman"/>
                <w:color w:val="000000"/>
                <w:sz w:val="18"/>
                <w:szCs w:val="18"/>
              </w:rPr>
              <w:t>s</w:t>
            </w:r>
            <w:r>
              <w:rPr>
                <w:rFonts w:eastAsia="Times New Roman"/>
                <w:color w:val="000000"/>
                <w:sz w:val="12"/>
                <w:szCs w:val="12"/>
              </w:rPr>
              <w:t>(4</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12 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12 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889562415"/>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Balance as of December 31, 2021</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8,345 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1,918 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1,167 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11,430 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889562415"/>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Reserve for unfunded lending commitments: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889562415"/>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Balance as of December 31, 2020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195 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195 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889562415"/>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Provision (benefit) for losses on unfunded lending commitments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(30)</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(30)</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889562415"/>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Balance as of December 31, 2021</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165 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165 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889562415"/>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Combined allowance and reserve as of December 31, 2021</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8,345 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1,918 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1,332 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11,595 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889562415"/>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Allowance for credit losses: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889562415"/>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Balance as of December 31, 2021</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8,345 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1,918 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1,167 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11,430 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889562415"/>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divId w:val="1991403330"/>
              <w:rPr>
                <w:rFonts w:eastAsia="Times New Roman"/>
              </w:rPr>
            </w:pPr>
            <w:r>
              <w:rPr>
                <w:rFonts w:eastAsia="Times New Roman"/>
                <w:color w:val="000000"/>
                <w:sz w:val="18"/>
                <w:szCs w:val="18"/>
              </w:rPr>
              <w:t>Charge-offs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(4,362)</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(1,614)</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(88)</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(6,064)</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889562415"/>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divId w:val="2061785894"/>
              <w:rPr>
                <w:rFonts w:eastAsia="Times New Roman"/>
              </w:rPr>
            </w:pPr>
            <w:r>
              <w:rPr>
                <w:rFonts w:eastAsia="Times New Roman"/>
                <w:color w:val="000000"/>
                <w:sz w:val="18"/>
                <w:szCs w:val="18"/>
              </w:rPr>
              <w:t>Recoverie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1,314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760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2,091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889562415"/>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Net charge-offs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(3,048)</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(854)</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(71)</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(3,973)</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889562415"/>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Provision (benefit) for credit losses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4,265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1,173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362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5,800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889562415"/>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Allowance build for credit losses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1,217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319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291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1,827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889562415"/>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divId w:val="1518233048"/>
              <w:rPr>
                <w:rFonts w:eastAsia="Times New Roman"/>
              </w:rPr>
            </w:pPr>
            <w:r>
              <w:rPr>
                <w:rFonts w:eastAsia="Times New Roman"/>
                <w:color w:val="000000"/>
                <w:sz w:val="18"/>
                <w:szCs w:val="18"/>
              </w:rPr>
              <w:t>Other change</w:t>
            </w:r>
            <w:r>
              <w:rPr>
                <w:rFonts w:eastAsia="Times New Roman"/>
                <w:color w:val="000000"/>
                <w:sz w:val="18"/>
                <w:szCs w:val="18"/>
              </w:rPr>
              <w:t>s</w:t>
            </w:r>
            <w:r>
              <w:rPr>
                <w:rFonts w:eastAsia="Times New Roman"/>
                <w:color w:val="000000"/>
                <w:sz w:val="12"/>
                <w:szCs w:val="12"/>
              </w:rPr>
              <w:t>(4</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(17)</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(17)</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889562415"/>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Balance as of December 31, 2022</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9,545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2,237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1,458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13,240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889562415"/>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Reserve for unfunded lending commitments: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889562415"/>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Balance as of December 31, 2021</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165 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165 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889562415"/>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Provision for losses on unfunded lending commitments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53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53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889562415"/>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Balance as of December 31, 2022</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218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218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889562415"/>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Combined allowance and reserve as of December 31, 2022</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9,545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2,237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1,676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13,458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bl>
    <w:p w:rsidR="00000000" w:rsidRDefault="0094004B">
      <w:pPr>
        <w:jc w:val="both"/>
        <w:divId w:val="1889562415"/>
        <w:rPr>
          <w:rFonts w:eastAsia="Times New Roman"/>
        </w:rPr>
      </w:pPr>
      <w:r>
        <w:rPr>
          <w:rFonts w:eastAsia="Times New Roman"/>
          <w:color w:val="000000"/>
          <w:sz w:val="20"/>
          <w:szCs w:val="20"/>
        </w:rPr>
        <w:t>__________</w:t>
      </w:r>
    </w:p>
    <w:p w:rsidR="00000000" w:rsidRDefault="0094004B">
      <w:pPr>
        <w:ind w:hanging="360"/>
        <w:jc w:val="both"/>
        <w:divId w:val="1959991871"/>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Concurrent with our adoption of the current expected credit losses (“CECL”) standard in the first quarter of 2020, we reclassified our finance charge and fee reserve t</w:t>
      </w:r>
      <w:r>
        <w:rPr>
          <w:rFonts w:eastAsia="Times New Roman"/>
          <w:color w:val="000000"/>
          <w:sz w:val="16"/>
          <w:szCs w:val="16"/>
        </w:rPr>
        <w:t xml:space="preserve">o our allowance for credit losses, with a corresponding increase to credit card loans held for investment. </w:t>
      </w:r>
    </w:p>
    <w:p w:rsidR="00000000" w:rsidRDefault="0094004B">
      <w:pPr>
        <w:ind w:hanging="360"/>
        <w:jc w:val="both"/>
        <w:divId w:val="1604533292"/>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 xml:space="preserve">The amount and timing of recoveries are impacted by our collection strategies, which are based on customer behavior and risk profile and include </w:t>
      </w:r>
      <w:r>
        <w:rPr>
          <w:rFonts w:eastAsia="Times New Roman"/>
          <w:color w:val="000000"/>
          <w:sz w:val="16"/>
          <w:szCs w:val="16"/>
        </w:rPr>
        <w:t>direct customer communications, repossession of collateral, the periodic sale of charged off loans as well as additional strategies, such as litigation.</w:t>
      </w:r>
    </w:p>
    <w:p w:rsidR="00000000" w:rsidRDefault="0094004B">
      <w:pPr>
        <w:ind w:hanging="360"/>
        <w:jc w:val="both"/>
        <w:divId w:val="2104303762"/>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Includes an allowance release of $327 million for a partnership credit card loan portfolio transferr</w:t>
      </w:r>
      <w:r>
        <w:rPr>
          <w:rFonts w:eastAsia="Times New Roman"/>
          <w:color w:val="000000"/>
          <w:sz w:val="16"/>
          <w:szCs w:val="16"/>
        </w:rPr>
        <w:t>ed to held for sale in the third quarter of 2020.</w:t>
      </w:r>
    </w:p>
    <w:p w:rsidR="00000000" w:rsidRDefault="0094004B">
      <w:pPr>
        <w:ind w:hanging="360"/>
        <w:jc w:val="both"/>
        <w:divId w:val="9331910"/>
        <w:rPr>
          <w:rFonts w:eastAsia="Times New Roman"/>
        </w:rPr>
      </w:pPr>
      <w:r>
        <w:rPr>
          <w:rFonts w:eastAsia="Times New Roman"/>
          <w:color w:val="000000"/>
          <w:sz w:val="10"/>
          <w:szCs w:val="10"/>
        </w:rPr>
        <w:t>(4</w:t>
      </w:r>
      <w:r>
        <w:rPr>
          <w:rFonts w:eastAsia="Times New Roman"/>
          <w:color w:val="000000"/>
          <w:sz w:val="10"/>
          <w:szCs w:val="10"/>
        </w:rPr>
        <w:t>)</w:t>
      </w:r>
      <w:r>
        <w:rPr>
          <w:rFonts w:eastAsia="Times New Roman"/>
          <w:color w:val="000000"/>
          <w:sz w:val="16"/>
          <w:szCs w:val="16"/>
        </w:rPr>
        <w:t xml:space="preserve">Primarily represents foreign currency translation adjustments and, in periods of acquisition, initial allowance builds for purchase credit-deteriorated loans. </w:t>
      </w:r>
    </w:p>
    <w:p w:rsidR="00000000" w:rsidRDefault="0094004B">
      <w:pPr>
        <w:ind w:firstLine="360"/>
        <w:divId w:val="811557050"/>
        <w:rPr>
          <w:rFonts w:eastAsia="Times New Roman"/>
        </w:rPr>
      </w:pPr>
    </w:p>
    <w:p w:rsidR="00000000" w:rsidRDefault="0094004B">
      <w:pPr>
        <w:ind w:hanging="360"/>
        <w:jc w:val="both"/>
        <w:divId w:val="1665235543"/>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327825269"/>
          <w:jc w:val="center"/>
        </w:trPr>
        <w:tc>
          <w:tcPr>
            <w:tcW w:w="50" w:type="pct"/>
            <w:vAlign w:val="center"/>
            <w:hideMark/>
          </w:tcPr>
          <w:p w:rsidR="00000000" w:rsidRDefault="0094004B">
            <w:pPr>
              <w:ind w:hanging="360"/>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327825269"/>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327825269"/>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152</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78" style="width:0;height:1.5pt" o:hralign="center" o:hrstd="t" o:hr="t" fillcolor="#a0a0a0" stroked="f"/>
        </w:pict>
      </w:r>
    </w:p>
    <w:p w:rsidR="00000000" w:rsidRDefault="0094004B">
      <w:pPr>
        <w:jc w:val="both"/>
        <w:divId w:val="1847015359"/>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1847015359"/>
        <w:rPr>
          <w:rFonts w:eastAsia="Times New Roman"/>
        </w:rPr>
      </w:pPr>
    </w:p>
    <w:p w:rsidR="00000000" w:rsidRDefault="0094004B">
      <w:pPr>
        <w:jc w:val="center"/>
        <w:divId w:val="1847015359"/>
        <w:rPr>
          <w:rFonts w:eastAsia="Times New Roman"/>
        </w:rPr>
      </w:pPr>
      <w:r>
        <w:rPr>
          <w:rFonts w:eastAsia="Times New Roman"/>
          <w:b/>
          <w:bCs/>
          <w:color w:val="000000"/>
          <w:sz w:val="20"/>
          <w:szCs w:val="20"/>
        </w:rPr>
        <w:t>CAPITAL ONE FINANCIAL CORPORATION</w:t>
      </w:r>
    </w:p>
    <w:p w:rsidR="00000000" w:rsidRDefault="0094004B">
      <w:pPr>
        <w:jc w:val="center"/>
        <w:divId w:val="1847015359"/>
        <w:rPr>
          <w:rFonts w:eastAsia="Times New Roman"/>
        </w:rPr>
      </w:pPr>
      <w:r>
        <w:rPr>
          <w:rFonts w:eastAsia="Times New Roman"/>
          <w:b/>
          <w:bCs/>
          <w:color w:val="000000"/>
          <w:sz w:val="20"/>
          <w:szCs w:val="20"/>
        </w:rPr>
        <w:t>NOTES TO CONSOLIDATED FINANCIAL STATEMENTS</w:t>
      </w:r>
    </w:p>
    <w:p w:rsidR="00000000" w:rsidRDefault="0094004B">
      <w:pPr>
        <w:divId w:val="736510500"/>
        <w:rPr>
          <w:rFonts w:eastAsia="Times New Roman"/>
        </w:rPr>
      </w:pPr>
      <w:r>
        <w:rPr>
          <w:rFonts w:eastAsia="Times New Roman"/>
          <w:b/>
          <w:bCs/>
          <w:color w:val="000000"/>
          <w:sz w:val="20"/>
          <w:szCs w:val="20"/>
        </w:rPr>
        <w:t>Credit Card Partnership Loss Sharing Arrangements</w:t>
      </w:r>
    </w:p>
    <w:p w:rsidR="00000000" w:rsidRDefault="0094004B">
      <w:pPr>
        <w:jc w:val="both"/>
        <w:divId w:val="62065553"/>
        <w:rPr>
          <w:rFonts w:eastAsia="Times New Roman"/>
        </w:rPr>
      </w:pPr>
      <w:r>
        <w:rPr>
          <w:rFonts w:eastAsia="Times New Roman"/>
          <w:color w:val="000000"/>
          <w:sz w:val="20"/>
          <w:szCs w:val="20"/>
        </w:rPr>
        <w:t xml:space="preserve">We have certain credit card partnership agreements that are presented within our consolidated financial statements on a net basis, in which our partner agrees to share a portion of the credit losses on the </w:t>
      </w:r>
      <w:r>
        <w:rPr>
          <w:rFonts w:eastAsia="Times New Roman"/>
          <w:color w:val="000000"/>
          <w:sz w:val="20"/>
          <w:szCs w:val="20"/>
        </w:rPr>
        <w:t>underlying loan portfolio. The expected reimbursements from these partners are netted against our allowance for credit losses. Our methodology for estimating reimbursements is consistent with the methodology we use to estimate the allowance for credit loss</w:t>
      </w:r>
      <w:r>
        <w:rPr>
          <w:rFonts w:eastAsia="Times New Roman"/>
          <w:color w:val="000000"/>
          <w:sz w:val="20"/>
          <w:szCs w:val="20"/>
        </w:rPr>
        <w:t>es on our credit card loan receivables. These expected reimbursements result in reductions to net charge-offs and the provision for credit losses. See “Note 1—Summary of Significant Accounting Policies” for further discussion of our credit card partnership</w:t>
      </w:r>
      <w:r>
        <w:rPr>
          <w:rFonts w:eastAsia="Times New Roman"/>
          <w:color w:val="000000"/>
          <w:sz w:val="20"/>
          <w:szCs w:val="20"/>
        </w:rPr>
        <w:t xml:space="preserve"> agreements.</w:t>
      </w:r>
    </w:p>
    <w:p w:rsidR="00000000" w:rsidRDefault="0094004B">
      <w:pPr>
        <w:jc w:val="both"/>
        <w:divId w:val="1345783860"/>
        <w:rPr>
          <w:rFonts w:eastAsia="Times New Roman"/>
        </w:rPr>
      </w:pPr>
      <w:r>
        <w:rPr>
          <w:rFonts w:eastAsia="Times New Roman"/>
          <w:color w:val="000000"/>
          <w:sz w:val="20"/>
          <w:szCs w:val="20"/>
        </w:rPr>
        <w:t>The table below summarizes the changes in the estimated reimbursements from these partners for the years ended December 31, 2022, 2021 and 2020.</w:t>
      </w:r>
    </w:p>
    <w:p w:rsidR="00000000" w:rsidRDefault="0094004B">
      <w:pPr>
        <w:divId w:val="1364405920"/>
        <w:rPr>
          <w:rFonts w:eastAsia="Times New Roman"/>
        </w:rPr>
      </w:pPr>
      <w:r>
        <w:rPr>
          <w:rFonts w:eastAsia="Times New Roman"/>
          <w:b/>
          <w:bCs/>
          <w:color w:val="000000"/>
          <w:sz w:val="18"/>
          <w:szCs w:val="18"/>
        </w:rPr>
        <w:t>Table 4.2: Summary of Credit Card Partnership Loss Sharing Arrangements Impacts</w:t>
      </w:r>
    </w:p>
    <w:tbl>
      <w:tblPr>
        <w:tblW w:w="5000" w:type="pct"/>
        <w:tblCellMar>
          <w:top w:w="15" w:type="dxa"/>
          <w:left w:w="15" w:type="dxa"/>
          <w:bottom w:w="15" w:type="dxa"/>
          <w:right w:w="15" w:type="dxa"/>
        </w:tblCellMar>
        <w:tblLook w:val="04A0" w:firstRow="1" w:lastRow="0" w:firstColumn="1" w:lastColumn="0" w:noHBand="0" w:noVBand="1"/>
      </w:tblPr>
      <w:tblGrid>
        <w:gridCol w:w="56"/>
        <w:gridCol w:w="5872"/>
        <w:gridCol w:w="36"/>
        <w:gridCol w:w="36"/>
        <w:gridCol w:w="36"/>
        <w:gridCol w:w="36"/>
        <w:gridCol w:w="37"/>
        <w:gridCol w:w="881"/>
        <w:gridCol w:w="36"/>
        <w:gridCol w:w="36"/>
        <w:gridCol w:w="36"/>
        <w:gridCol w:w="36"/>
        <w:gridCol w:w="39"/>
        <w:gridCol w:w="881"/>
        <w:gridCol w:w="36"/>
        <w:gridCol w:w="36"/>
        <w:gridCol w:w="36"/>
        <w:gridCol w:w="36"/>
        <w:gridCol w:w="36"/>
        <w:gridCol w:w="36"/>
        <w:gridCol w:w="36"/>
      </w:tblGrid>
      <w:tr w:rsidR="00000000">
        <w:trPr>
          <w:divId w:val="1364405920"/>
        </w:trPr>
        <w:tc>
          <w:tcPr>
            <w:tcW w:w="50" w:type="pct"/>
            <w:vAlign w:val="center"/>
            <w:hideMark/>
          </w:tcPr>
          <w:p w:rsidR="00000000" w:rsidRDefault="0094004B">
            <w:pPr>
              <w:rPr>
                <w:rFonts w:eastAsia="Times New Roman"/>
              </w:rPr>
            </w:pPr>
          </w:p>
        </w:tc>
        <w:tc>
          <w:tcPr>
            <w:tcW w:w="364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55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55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364405920"/>
          <w:trHeight w:val="60"/>
        </w:trPr>
        <w:tc>
          <w:tcPr>
            <w:tcW w:w="0" w:type="auto"/>
            <w:gridSpan w:val="15"/>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1364405920"/>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1364405920"/>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364405920"/>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364405920"/>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364405920"/>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364405920"/>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bl>
    <w:p w:rsidR="00000000" w:rsidRDefault="0094004B">
      <w:pPr>
        <w:divId w:val="136440592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4977"/>
        <w:gridCol w:w="37"/>
        <w:gridCol w:w="36"/>
        <w:gridCol w:w="36"/>
        <w:gridCol w:w="36"/>
        <w:gridCol w:w="110"/>
        <w:gridCol w:w="846"/>
        <w:gridCol w:w="36"/>
        <w:gridCol w:w="36"/>
        <w:gridCol w:w="36"/>
        <w:gridCol w:w="36"/>
        <w:gridCol w:w="110"/>
        <w:gridCol w:w="847"/>
        <w:gridCol w:w="36"/>
        <w:gridCol w:w="36"/>
        <w:gridCol w:w="36"/>
        <w:gridCol w:w="36"/>
        <w:gridCol w:w="110"/>
        <w:gridCol w:w="799"/>
        <w:gridCol w:w="36"/>
      </w:tblGrid>
      <w:tr w:rsidR="00000000">
        <w:trPr>
          <w:divId w:val="1364405920"/>
        </w:trPr>
        <w:tc>
          <w:tcPr>
            <w:tcW w:w="50" w:type="pct"/>
            <w:vAlign w:val="center"/>
            <w:hideMark/>
          </w:tcPr>
          <w:p w:rsidR="00000000" w:rsidRDefault="0094004B">
            <w:pPr>
              <w:rPr>
                <w:rFonts w:eastAsia="Times New Roman"/>
              </w:rPr>
            </w:pPr>
          </w:p>
        </w:tc>
        <w:tc>
          <w:tcPr>
            <w:tcW w:w="302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55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55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530"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364405920"/>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Year Ended December 31,</w:t>
            </w:r>
          </w:p>
        </w:tc>
      </w:tr>
      <w:tr w:rsidR="00000000">
        <w:trPr>
          <w:divId w:val="1364405920"/>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2020</w:t>
            </w:r>
          </w:p>
        </w:tc>
      </w:tr>
      <w:tr w:rsidR="00000000">
        <w:trPr>
          <w:divId w:val="1364405920"/>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divId w:val="879972899"/>
              <w:rPr>
                <w:rFonts w:eastAsia="Times New Roman"/>
              </w:rPr>
            </w:pPr>
            <w:r>
              <w:rPr>
                <w:rFonts w:eastAsia="Times New Roman"/>
                <w:color w:val="000000"/>
                <w:sz w:val="18"/>
                <w:szCs w:val="18"/>
              </w:rPr>
              <w:t>Estimated reimbursements from partners, beginning of perio</w:t>
            </w:r>
            <w:r>
              <w:rPr>
                <w:rFonts w:eastAsia="Times New Roman"/>
                <w:color w:val="000000"/>
                <w:sz w:val="18"/>
                <w:szCs w:val="18"/>
              </w:rPr>
              <w:t>d</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1,450 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2,159 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2,166 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364405920"/>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Amounts due from partners which reduced net charge-offs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(515)</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(438)</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(959)</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364405920"/>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Amounts expected to become due from (to) partners which reduced (increased) provision for credit losses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623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(271)</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952 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1364405920"/>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Estimated reimbursements from partners, end of period</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1,558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1,450 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2,159 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bl>
    <w:p w:rsidR="00000000" w:rsidRDefault="0094004B">
      <w:pPr>
        <w:divId w:val="1380326177"/>
        <w:rPr>
          <w:rFonts w:eastAsia="Times New Roman"/>
        </w:rPr>
      </w:pPr>
      <w:r>
        <w:rPr>
          <w:rFonts w:eastAsia="Times New Roman"/>
          <w:color w:val="000000"/>
          <w:sz w:val="20"/>
          <w:szCs w:val="20"/>
        </w:rPr>
        <w:t>__________</w:t>
      </w:r>
    </w:p>
    <w:p w:rsidR="00000000" w:rsidRDefault="0094004B">
      <w:pPr>
        <w:ind w:hanging="360"/>
        <w:jc w:val="both"/>
        <w:divId w:val="1097363812"/>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Includes effects from adoption of the CECL standard in the first quarter of 2020.</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804198476"/>
          <w:jc w:val="center"/>
        </w:trPr>
        <w:tc>
          <w:tcPr>
            <w:tcW w:w="50" w:type="pct"/>
            <w:vAlign w:val="center"/>
            <w:hideMark/>
          </w:tcPr>
          <w:p w:rsidR="00000000" w:rsidRDefault="0094004B">
            <w:pPr>
              <w:ind w:hanging="360"/>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804198476"/>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804198476"/>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153</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79" style="width:0;height:1.5pt" o:hralign="center" o:hrstd="t" o:hr="t" fillcolor="#a0a0a0" stroked="f"/>
        </w:pict>
      </w:r>
    </w:p>
    <w:p w:rsidR="00000000" w:rsidRDefault="0094004B">
      <w:pPr>
        <w:jc w:val="both"/>
        <w:divId w:val="560792956"/>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560792956"/>
        <w:rPr>
          <w:rFonts w:eastAsia="Times New Roman"/>
        </w:rPr>
      </w:pPr>
    </w:p>
    <w:p w:rsidR="00000000" w:rsidRDefault="0094004B">
      <w:pPr>
        <w:jc w:val="center"/>
        <w:divId w:val="560792956"/>
        <w:rPr>
          <w:rFonts w:eastAsia="Times New Roman"/>
        </w:rPr>
      </w:pPr>
      <w:r>
        <w:rPr>
          <w:rFonts w:eastAsia="Times New Roman"/>
          <w:b/>
          <w:bCs/>
          <w:color w:val="000000"/>
          <w:sz w:val="20"/>
          <w:szCs w:val="20"/>
        </w:rPr>
        <w:t>CAPITAL ONE FINANCIAL CORPORATION</w:t>
      </w:r>
    </w:p>
    <w:p w:rsidR="00000000" w:rsidRDefault="0094004B">
      <w:pPr>
        <w:jc w:val="center"/>
        <w:divId w:val="560792956"/>
        <w:rPr>
          <w:rFonts w:eastAsia="Times New Roman"/>
        </w:rPr>
      </w:pPr>
      <w:r>
        <w:rPr>
          <w:rFonts w:eastAsia="Times New Roman"/>
          <w:b/>
          <w:bCs/>
          <w:color w:val="000000"/>
          <w:sz w:val="20"/>
          <w:szCs w:val="20"/>
        </w:rPr>
        <w:t>NOTES TO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54608552"/>
        </w:trPr>
        <w:tc>
          <w:tcPr>
            <w:tcW w:w="50" w:type="pct"/>
            <w:vAlign w:val="center"/>
            <w:hideMark/>
          </w:tcPr>
          <w:p w:rsidR="00000000" w:rsidRDefault="0094004B">
            <w:pPr>
              <w:jc w:val="center"/>
              <w:rPr>
                <w:rFonts w:eastAsia="Times New Roman"/>
              </w:rPr>
            </w:pPr>
          </w:p>
        </w:tc>
        <w:tc>
          <w:tcPr>
            <w:tcW w:w="494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54608552"/>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20"/>
                <w:szCs w:val="20"/>
              </w:rPr>
              <w:t>NOTE 5—</w:t>
            </w:r>
            <w:r>
              <w:rPr>
                <w:rFonts w:eastAsia="Times New Roman"/>
                <w:b/>
                <w:bCs/>
                <w:color w:val="000000"/>
                <w:sz w:val="20"/>
                <w:szCs w:val="20"/>
              </w:rPr>
              <w:t>VARIABLE INTEREST ENTITIES AND SECURITIZATIONS</w:t>
            </w:r>
          </w:p>
        </w:tc>
      </w:tr>
    </w:tbl>
    <w:p w:rsidR="00000000" w:rsidRDefault="0094004B">
      <w:pPr>
        <w:jc w:val="both"/>
        <w:divId w:val="1742096076"/>
        <w:rPr>
          <w:rFonts w:eastAsia="Times New Roman"/>
        </w:rPr>
      </w:pPr>
      <w:r>
        <w:rPr>
          <w:rFonts w:eastAsia="Times New Roman"/>
          <w:color w:val="000000"/>
          <w:sz w:val="20"/>
          <w:szCs w:val="20"/>
        </w:rPr>
        <w:t xml:space="preserve">In the normal course of business, we enter into various types of transactions with entities that are considered to be variable interest entities (“VIEs”). Our primary involvement with VIEs is related to our securitization transactions in which we transfer </w:t>
      </w:r>
      <w:r>
        <w:rPr>
          <w:rFonts w:eastAsia="Times New Roman"/>
          <w:color w:val="000000"/>
          <w:sz w:val="20"/>
          <w:szCs w:val="20"/>
        </w:rPr>
        <w:t>assets to securitization trusts. We primarily securitize credit card and auto loans, which provide a source of funding for us and enable us to transfer a certain portion of the economic risk of the loans or related debt securities to third parties.</w:t>
      </w:r>
    </w:p>
    <w:p w:rsidR="00000000" w:rsidRDefault="0094004B">
      <w:pPr>
        <w:jc w:val="both"/>
        <w:divId w:val="791092165"/>
        <w:rPr>
          <w:rFonts w:eastAsia="Times New Roman"/>
        </w:rPr>
      </w:pPr>
      <w:r>
        <w:rPr>
          <w:rFonts w:eastAsia="Times New Roman"/>
          <w:color w:val="000000"/>
          <w:sz w:val="20"/>
          <w:szCs w:val="20"/>
        </w:rPr>
        <w:t>The ent</w:t>
      </w:r>
      <w:r>
        <w:rPr>
          <w:rFonts w:eastAsia="Times New Roman"/>
          <w:color w:val="000000"/>
          <w:sz w:val="20"/>
          <w:szCs w:val="20"/>
        </w:rPr>
        <w:t>ity that has a controlling financial interest in a VIE is referred to as the primary beneficiary and is required to consolidate the VIE. The majority of the VIEs in which we are involved have been consolidated in our financial statements.</w:t>
      </w:r>
    </w:p>
    <w:p w:rsidR="00000000" w:rsidRDefault="0094004B">
      <w:pPr>
        <w:jc w:val="both"/>
        <w:divId w:val="1469931190"/>
        <w:rPr>
          <w:rFonts w:eastAsia="Times New Roman"/>
        </w:rPr>
      </w:pPr>
      <w:r>
        <w:rPr>
          <w:rFonts w:eastAsia="Times New Roman"/>
          <w:b/>
          <w:bCs/>
          <w:color w:val="000000"/>
          <w:sz w:val="20"/>
          <w:szCs w:val="20"/>
        </w:rPr>
        <w:t>Summary of Consol</w:t>
      </w:r>
      <w:r>
        <w:rPr>
          <w:rFonts w:eastAsia="Times New Roman"/>
          <w:b/>
          <w:bCs/>
          <w:color w:val="000000"/>
          <w:sz w:val="20"/>
          <w:szCs w:val="20"/>
        </w:rPr>
        <w:t>idated and Unconsolidated VIEs</w:t>
      </w:r>
    </w:p>
    <w:p w:rsidR="00000000" w:rsidRDefault="0094004B">
      <w:pPr>
        <w:jc w:val="both"/>
        <w:divId w:val="420298052"/>
        <w:rPr>
          <w:rFonts w:eastAsia="Times New Roman"/>
        </w:rPr>
      </w:pPr>
      <w:r>
        <w:rPr>
          <w:rFonts w:eastAsia="Times New Roman"/>
          <w:color w:val="000000"/>
          <w:sz w:val="20"/>
          <w:szCs w:val="20"/>
        </w:rPr>
        <w:t>The assets of our consolidated VIEs primarily consist of cash, loan receivables and the related allowance for credit losses, which we report on our consolidated balance sheets under restricted cash for securitization investor</w:t>
      </w:r>
      <w:r>
        <w:rPr>
          <w:rFonts w:eastAsia="Times New Roman"/>
          <w:color w:val="000000"/>
          <w:sz w:val="20"/>
          <w:szCs w:val="20"/>
        </w:rPr>
        <w:t>s, loans held in consolidated trusts and allowance for credit losses, respectively. The assets of a particular VIE are the primary source of funds to settle its obligations. Creditors of these VIEs typically do not have recourse to our general credit. Liab</w:t>
      </w:r>
      <w:r>
        <w:rPr>
          <w:rFonts w:eastAsia="Times New Roman"/>
          <w:color w:val="000000"/>
          <w:sz w:val="20"/>
          <w:szCs w:val="20"/>
        </w:rPr>
        <w:t>ilities primarily consist of debt securities issued by the VIEs, which we report under securitized debt obligations on our consolidated balance sheets. For unconsolidated VIEs, we present the carrying amount of assets and liabilities reflected on our conso</w:t>
      </w:r>
      <w:r>
        <w:rPr>
          <w:rFonts w:eastAsia="Times New Roman"/>
          <w:color w:val="000000"/>
          <w:sz w:val="20"/>
          <w:szCs w:val="20"/>
        </w:rPr>
        <w:t>lidated balance sheets and our maximum exposure to loss. Our maximum exposure to loss is estimated based on the unlikely event that all of the assets in the VIEs become worthless and we are required to meet the maximum amount of any remaining funding oblig</w:t>
      </w:r>
      <w:r>
        <w:rPr>
          <w:rFonts w:eastAsia="Times New Roman"/>
          <w:color w:val="000000"/>
          <w:sz w:val="20"/>
          <w:szCs w:val="20"/>
        </w:rPr>
        <w:t>ations.</w:t>
      </w:r>
    </w:p>
    <w:p w:rsidR="00000000" w:rsidRDefault="0094004B">
      <w:pPr>
        <w:jc w:val="both"/>
        <w:divId w:val="1758866526"/>
        <w:rPr>
          <w:rFonts w:eastAsia="Times New Roman"/>
        </w:rPr>
      </w:pPr>
      <w:r>
        <w:rPr>
          <w:rFonts w:eastAsia="Times New Roman"/>
          <w:color w:val="000000"/>
          <w:sz w:val="20"/>
          <w:szCs w:val="20"/>
        </w:rPr>
        <w:t>The tables below present a summary of VIEs in which we had continuing involvement or held a significant variable interest, aggregated based on VIEs with similar characteristics as of December 31, 2022 and 2021. We separately present information for</w:t>
      </w:r>
      <w:r>
        <w:rPr>
          <w:rFonts w:eastAsia="Times New Roman"/>
          <w:color w:val="000000"/>
          <w:sz w:val="20"/>
          <w:szCs w:val="20"/>
        </w:rPr>
        <w:t xml:space="preserve"> consolidated and unconsolidated VIEs.</w:t>
      </w:r>
    </w:p>
    <w:p w:rsidR="00000000" w:rsidRDefault="0094004B">
      <w:pPr>
        <w:divId w:val="479812457"/>
        <w:rPr>
          <w:rFonts w:eastAsia="Times New Roman"/>
        </w:rPr>
      </w:pPr>
      <w:r>
        <w:rPr>
          <w:rFonts w:eastAsia="Times New Roman"/>
          <w:b/>
          <w:bCs/>
          <w:color w:val="000000"/>
          <w:sz w:val="18"/>
          <w:szCs w:val="18"/>
        </w:rPr>
        <w:t>Table 5.1: Carrying Amount of Consolidated and Unconsolidated VIEs</w:t>
      </w:r>
    </w:p>
    <w:tbl>
      <w:tblPr>
        <w:tblW w:w="5000" w:type="pct"/>
        <w:tblCellMar>
          <w:top w:w="15" w:type="dxa"/>
          <w:left w:w="15" w:type="dxa"/>
          <w:bottom w:w="15" w:type="dxa"/>
          <w:right w:w="15" w:type="dxa"/>
        </w:tblCellMar>
        <w:tblLook w:val="04A0" w:firstRow="1" w:lastRow="0" w:firstColumn="1" w:lastColumn="0" w:noHBand="0" w:noVBand="1"/>
      </w:tblPr>
      <w:tblGrid>
        <w:gridCol w:w="39"/>
        <w:gridCol w:w="3800"/>
        <w:gridCol w:w="38"/>
        <w:gridCol w:w="36"/>
        <w:gridCol w:w="36"/>
        <w:gridCol w:w="36"/>
        <w:gridCol w:w="110"/>
        <w:gridCol w:w="540"/>
        <w:gridCol w:w="36"/>
        <w:gridCol w:w="36"/>
        <w:gridCol w:w="36"/>
        <w:gridCol w:w="36"/>
        <w:gridCol w:w="111"/>
        <w:gridCol w:w="681"/>
        <w:gridCol w:w="36"/>
        <w:gridCol w:w="36"/>
        <w:gridCol w:w="36"/>
        <w:gridCol w:w="36"/>
        <w:gridCol w:w="111"/>
        <w:gridCol w:w="591"/>
        <w:gridCol w:w="36"/>
        <w:gridCol w:w="36"/>
        <w:gridCol w:w="36"/>
        <w:gridCol w:w="36"/>
        <w:gridCol w:w="111"/>
        <w:gridCol w:w="681"/>
        <w:gridCol w:w="36"/>
        <w:gridCol w:w="36"/>
        <w:gridCol w:w="36"/>
        <w:gridCol w:w="36"/>
        <w:gridCol w:w="111"/>
        <w:gridCol w:w="662"/>
        <w:gridCol w:w="36"/>
      </w:tblGrid>
      <w:tr w:rsidR="00000000">
        <w:trPr>
          <w:divId w:val="479812457"/>
        </w:trPr>
        <w:tc>
          <w:tcPr>
            <w:tcW w:w="50" w:type="pct"/>
            <w:vAlign w:val="center"/>
            <w:hideMark/>
          </w:tcPr>
          <w:p w:rsidR="00000000" w:rsidRDefault="0094004B">
            <w:pPr>
              <w:rPr>
                <w:rFonts w:eastAsia="Times New Roman"/>
              </w:rPr>
            </w:pPr>
          </w:p>
        </w:tc>
        <w:tc>
          <w:tcPr>
            <w:tcW w:w="245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0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0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0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0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0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479812457"/>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7"/>
            <w:tcBorders>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December 31, 2022</w:t>
            </w:r>
          </w:p>
        </w:tc>
      </w:tr>
      <w:tr w:rsidR="00000000">
        <w:trPr>
          <w:divId w:val="479812457"/>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Consolidated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Unconsolidated</w:t>
            </w:r>
          </w:p>
        </w:tc>
      </w:tr>
      <w:tr w:rsidR="00000000">
        <w:trPr>
          <w:divId w:val="479812457"/>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Carrying Amount of Assets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Carrying Amount of Liabilities</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Carrying Amount of Assets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Carrying Amount of Liabilities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Maximum Exposure to Loss</w:t>
            </w:r>
          </w:p>
        </w:tc>
      </w:tr>
      <w:tr w:rsidR="00000000">
        <w:trPr>
          <w:divId w:val="47981245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divId w:val="596912253"/>
              <w:rPr>
                <w:rFonts w:eastAsia="Times New Roman"/>
              </w:rPr>
            </w:pPr>
            <w:r>
              <w:rPr>
                <w:rFonts w:eastAsia="Times New Roman"/>
                <w:b/>
                <w:bCs/>
                <w:color w:val="000000"/>
                <w:sz w:val="18"/>
                <w:szCs w:val="18"/>
              </w:rPr>
              <w:t>Securitization-Related VIEs</w:t>
            </w:r>
            <w:r>
              <w:rPr>
                <w:rFonts w:eastAsia="Times New Roman"/>
                <w:b/>
                <w:bCs/>
                <w:color w:val="000000"/>
                <w:sz w:val="18"/>
                <w:szCs w:val="18"/>
              </w:rPr>
              <w:t>:</w:t>
            </w:r>
            <w:r>
              <w:rPr>
                <w:rFonts w:eastAsia="Times New Roman"/>
                <w:b/>
                <w:bCs/>
                <w:color w:val="000000"/>
                <w:sz w:val="12"/>
                <w:szCs w:val="12"/>
              </w:rPr>
              <w:t>(1</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479812457"/>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divId w:val="1767772671"/>
              <w:rPr>
                <w:rFonts w:eastAsia="Times New Roman"/>
              </w:rPr>
            </w:pPr>
            <w:r>
              <w:rPr>
                <w:rFonts w:eastAsia="Times New Roman"/>
                <w:color w:val="000000"/>
                <w:sz w:val="18"/>
                <w:szCs w:val="18"/>
              </w:rPr>
              <w:t>Credit card loan securitization</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23,620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13,877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479812457"/>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Auto loan securitizations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4,863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4,002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479812457"/>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 securitization-related VIEs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28,483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17,879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479812457"/>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divId w:val="22170067"/>
              <w:rPr>
                <w:rFonts w:eastAsia="Times New Roman"/>
              </w:rPr>
            </w:pPr>
            <w:r>
              <w:rPr>
                <w:rFonts w:eastAsia="Times New Roman"/>
                <w:b/>
                <w:bCs/>
                <w:color w:val="000000"/>
                <w:sz w:val="18"/>
                <w:szCs w:val="18"/>
              </w:rPr>
              <w:t>Other VIEs</w:t>
            </w:r>
            <w:r>
              <w:rPr>
                <w:rFonts w:eastAsia="Times New Roman"/>
                <w:b/>
                <w:bCs/>
                <w:color w:val="000000"/>
                <w:sz w:val="18"/>
                <w:szCs w:val="18"/>
              </w:rPr>
              <w:t>:</w:t>
            </w:r>
            <w:r>
              <w:rPr>
                <w:rFonts w:eastAsia="Times New Roman"/>
                <w:b/>
                <w:bCs/>
                <w:color w:val="000000"/>
                <w:sz w:val="12"/>
                <w:szCs w:val="12"/>
              </w:rPr>
              <w:t>(3</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479812457"/>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Affordable housing entities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261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4,944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1,596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4,944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479812457"/>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Entities that provide capital to low-income and rural communities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2,301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479812457"/>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divId w:val="928273233"/>
              <w:rPr>
                <w:rFonts w:eastAsia="Times New Roman"/>
              </w:rPr>
            </w:pPr>
            <w:r>
              <w:rPr>
                <w:rFonts w:eastAsia="Times New Roman"/>
                <w:color w:val="000000"/>
                <w:sz w:val="18"/>
                <w:szCs w:val="18"/>
              </w:rPr>
              <w:t>Othe</w:t>
            </w:r>
            <w:r>
              <w:rPr>
                <w:rFonts w:eastAsia="Times New Roman"/>
                <w:color w:val="000000"/>
                <w:sz w:val="18"/>
                <w:szCs w:val="18"/>
              </w:rPr>
              <w:t>r</w:t>
            </w:r>
            <w:r>
              <w:rPr>
                <w:rFonts w:eastAsia="Times New Roman"/>
                <w:color w:val="000000"/>
                <w:sz w:val="12"/>
                <w:szCs w:val="12"/>
              </w:rPr>
              <w:t>(4</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337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337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479812457"/>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 other VIEs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2,562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5,281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1,596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5,281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479812457"/>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 VIEs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31,045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17,908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5,281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1,596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5,281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4084"/>
        <w:gridCol w:w="144"/>
        <w:gridCol w:w="144"/>
        <w:gridCol w:w="144"/>
        <w:gridCol w:w="144"/>
        <w:gridCol w:w="144"/>
        <w:gridCol w:w="672"/>
        <w:gridCol w:w="144"/>
        <w:gridCol w:w="144"/>
        <w:gridCol w:w="144"/>
        <w:gridCol w:w="144"/>
        <w:gridCol w:w="144"/>
        <w:gridCol w:w="672"/>
        <w:gridCol w:w="144"/>
        <w:gridCol w:w="144"/>
        <w:gridCol w:w="144"/>
        <w:gridCol w:w="144"/>
        <w:gridCol w:w="144"/>
        <w:gridCol w:w="672"/>
        <w:gridCol w:w="144"/>
        <w:gridCol w:w="144"/>
        <w:gridCol w:w="144"/>
        <w:gridCol w:w="144"/>
        <w:gridCol w:w="144"/>
        <w:gridCol w:w="672"/>
        <w:gridCol w:w="144"/>
        <w:gridCol w:w="144"/>
        <w:gridCol w:w="144"/>
        <w:gridCol w:w="144"/>
        <w:gridCol w:w="144"/>
        <w:gridCol w:w="672"/>
        <w:gridCol w:w="144"/>
      </w:tblGrid>
      <w:tr w:rsidR="00000000">
        <w:tc>
          <w:tcPr>
            <w:tcW w:w="50" w:type="pct"/>
            <w:vAlign w:val="center"/>
            <w:hideMark/>
          </w:tcPr>
          <w:p w:rsidR="00000000" w:rsidRDefault="0094004B">
            <w:pPr>
              <w:rPr>
                <w:rFonts w:eastAsia="Times New Roman"/>
              </w:rPr>
            </w:pPr>
          </w:p>
        </w:tc>
        <w:tc>
          <w:tcPr>
            <w:tcW w:w="245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0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0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0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0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0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7"/>
            <w:tcBorders>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December 31, 2021</w:t>
            </w:r>
          </w:p>
        </w:tc>
      </w:tr>
      <w:tr w:rsidR="00000000">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Consolidated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Unconsolidated</w:t>
            </w:r>
          </w:p>
        </w:tc>
      </w:tr>
      <w:tr w:rsidR="00000000">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Carrying Amount of Assets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Carrying Amount of Liabilities</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Carrying Amount of Assets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Carrying Amount of Liabilities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Maximum Exposure to Loss</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divId w:val="1959723668"/>
              <w:rPr>
                <w:rFonts w:eastAsia="Times New Roman"/>
              </w:rPr>
            </w:pPr>
            <w:r>
              <w:rPr>
                <w:rFonts w:eastAsia="Times New Roman"/>
                <w:b/>
                <w:bCs/>
                <w:color w:val="000000"/>
                <w:sz w:val="18"/>
                <w:szCs w:val="18"/>
              </w:rPr>
              <w:t>Securitization-Related VIEs</w:t>
            </w:r>
            <w:r>
              <w:rPr>
                <w:rFonts w:eastAsia="Times New Roman"/>
                <w:b/>
                <w:bCs/>
                <w:color w:val="000000"/>
                <w:sz w:val="18"/>
                <w:szCs w:val="18"/>
              </w:rPr>
              <w:t>:</w:t>
            </w:r>
            <w:r>
              <w:rPr>
                <w:rFonts w:eastAsia="Times New Roman"/>
                <w:b/>
                <w:bCs/>
                <w:color w:val="000000"/>
                <w:sz w:val="12"/>
                <w:szCs w:val="12"/>
              </w:rPr>
              <w:t>(1</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divId w:val="1943804517"/>
              <w:rPr>
                <w:rFonts w:eastAsia="Times New Roman"/>
              </w:rPr>
            </w:pPr>
            <w:r>
              <w:rPr>
                <w:rFonts w:eastAsia="Times New Roman"/>
                <w:color w:val="000000"/>
                <w:sz w:val="18"/>
                <w:szCs w:val="18"/>
              </w:rPr>
              <w:t>Credit card loan securitization</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21,569 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13,016 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Auto loan securitizations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2,552 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2,187 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 securitization-related VIEs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24,121 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15,203 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bl>
    <w:p w:rsidR="00000000" w:rsidRDefault="0094004B">
      <w:pPr>
        <w:jc w:val="center"/>
        <w:divId w:val="1758818241"/>
        <w:rPr>
          <w:rFonts w:eastAsia="Times New Roman"/>
          <w:vanish/>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758818241"/>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758818241"/>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758818241"/>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154</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80" style="width:0;height:1.5pt" o:hralign="center" o:hrstd="t" o:hr="t" fillcolor="#a0a0a0" stroked="f"/>
        </w:pict>
      </w:r>
    </w:p>
    <w:p w:rsidR="00000000" w:rsidRDefault="0094004B">
      <w:pPr>
        <w:jc w:val="both"/>
        <w:divId w:val="486702958"/>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486702958"/>
        <w:rPr>
          <w:rFonts w:eastAsia="Times New Roman"/>
        </w:rPr>
      </w:pPr>
    </w:p>
    <w:p w:rsidR="00000000" w:rsidRDefault="0094004B">
      <w:pPr>
        <w:jc w:val="center"/>
        <w:divId w:val="486702958"/>
        <w:rPr>
          <w:rFonts w:eastAsia="Times New Roman"/>
        </w:rPr>
      </w:pPr>
      <w:r>
        <w:rPr>
          <w:rFonts w:eastAsia="Times New Roman"/>
          <w:b/>
          <w:bCs/>
          <w:color w:val="000000"/>
          <w:sz w:val="20"/>
          <w:szCs w:val="20"/>
        </w:rPr>
        <w:t>CAPITAL ONE FINANCIAL CORPORATION</w:t>
      </w:r>
    </w:p>
    <w:p w:rsidR="00000000" w:rsidRDefault="0094004B">
      <w:pPr>
        <w:jc w:val="center"/>
        <w:divId w:val="486702958"/>
        <w:rPr>
          <w:rFonts w:eastAsia="Times New Roman"/>
        </w:rPr>
      </w:pPr>
      <w:r>
        <w:rPr>
          <w:rFonts w:eastAsia="Times New Roman"/>
          <w:b/>
          <w:bCs/>
          <w:color w:val="000000"/>
          <w:sz w:val="20"/>
          <w:szCs w:val="20"/>
        </w:rPr>
        <w:t>NOTES TO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39"/>
        <w:gridCol w:w="3800"/>
        <w:gridCol w:w="38"/>
        <w:gridCol w:w="36"/>
        <w:gridCol w:w="36"/>
        <w:gridCol w:w="36"/>
        <w:gridCol w:w="110"/>
        <w:gridCol w:w="540"/>
        <w:gridCol w:w="36"/>
        <w:gridCol w:w="36"/>
        <w:gridCol w:w="36"/>
        <w:gridCol w:w="36"/>
        <w:gridCol w:w="111"/>
        <w:gridCol w:w="681"/>
        <w:gridCol w:w="36"/>
        <w:gridCol w:w="36"/>
        <w:gridCol w:w="36"/>
        <w:gridCol w:w="36"/>
        <w:gridCol w:w="111"/>
        <w:gridCol w:w="591"/>
        <w:gridCol w:w="36"/>
        <w:gridCol w:w="36"/>
        <w:gridCol w:w="36"/>
        <w:gridCol w:w="36"/>
        <w:gridCol w:w="111"/>
        <w:gridCol w:w="681"/>
        <w:gridCol w:w="36"/>
        <w:gridCol w:w="36"/>
        <w:gridCol w:w="36"/>
        <w:gridCol w:w="36"/>
        <w:gridCol w:w="111"/>
        <w:gridCol w:w="662"/>
        <w:gridCol w:w="36"/>
      </w:tblGrid>
      <w:tr w:rsidR="00000000">
        <w:trPr>
          <w:divId w:val="1597128823"/>
        </w:trPr>
        <w:tc>
          <w:tcPr>
            <w:tcW w:w="50" w:type="pct"/>
            <w:vAlign w:val="center"/>
            <w:hideMark/>
          </w:tcPr>
          <w:p w:rsidR="00000000" w:rsidRDefault="0094004B">
            <w:pPr>
              <w:jc w:val="center"/>
              <w:rPr>
                <w:rFonts w:eastAsia="Times New Roman"/>
              </w:rPr>
            </w:pPr>
          </w:p>
        </w:tc>
        <w:tc>
          <w:tcPr>
            <w:tcW w:w="245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0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0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0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0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0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597128823"/>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7"/>
            <w:tcBorders>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December 31, 2021</w:t>
            </w:r>
          </w:p>
        </w:tc>
      </w:tr>
      <w:tr w:rsidR="00000000">
        <w:trPr>
          <w:divId w:val="1597128823"/>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Consolidated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Unconsolidated</w:t>
            </w:r>
          </w:p>
        </w:tc>
      </w:tr>
      <w:tr w:rsidR="00000000">
        <w:trPr>
          <w:divId w:val="1597128823"/>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Carrying Amount of Assets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Carrying Amount of Liabilities</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Carrying Amount of Assets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Carrying Amount of Liabilities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Maximum Exposure to Loss</w:t>
            </w:r>
          </w:p>
        </w:tc>
      </w:tr>
      <w:tr w:rsidR="00000000">
        <w:trPr>
          <w:divId w:val="1597128823"/>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divId w:val="1232931278"/>
              <w:rPr>
                <w:rFonts w:eastAsia="Times New Roman"/>
              </w:rPr>
            </w:pPr>
            <w:r>
              <w:rPr>
                <w:rFonts w:eastAsia="Times New Roman"/>
                <w:b/>
                <w:bCs/>
                <w:color w:val="000000"/>
                <w:sz w:val="18"/>
                <w:szCs w:val="18"/>
              </w:rPr>
              <w:t>Other VIEs</w:t>
            </w:r>
            <w:r>
              <w:rPr>
                <w:rFonts w:eastAsia="Times New Roman"/>
                <w:b/>
                <w:bCs/>
                <w:color w:val="000000"/>
                <w:sz w:val="18"/>
                <w:szCs w:val="18"/>
              </w:rPr>
              <w:t>:</w:t>
            </w:r>
            <w:r>
              <w:rPr>
                <w:rFonts w:eastAsia="Times New Roman"/>
                <w:b/>
                <w:bCs/>
                <w:color w:val="000000"/>
                <w:sz w:val="12"/>
                <w:szCs w:val="12"/>
              </w:rPr>
              <w:t>(3</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597128823"/>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Affordable housing entities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263 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27 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4,774 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1,454 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4,774 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597128823"/>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Entities that provide capital to low-income and rural communities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2,074 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26 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597128823"/>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divId w:val="578829746"/>
              <w:rPr>
                <w:rFonts w:eastAsia="Times New Roman"/>
              </w:rPr>
            </w:pPr>
            <w:r>
              <w:rPr>
                <w:rFonts w:eastAsia="Times New Roman"/>
                <w:color w:val="000000"/>
                <w:sz w:val="18"/>
                <w:szCs w:val="18"/>
              </w:rPr>
              <w:t>Othe</w:t>
            </w:r>
            <w:r>
              <w:rPr>
                <w:rFonts w:eastAsia="Times New Roman"/>
                <w:color w:val="000000"/>
                <w:sz w:val="18"/>
                <w:szCs w:val="18"/>
              </w:rPr>
              <w:t>r</w:t>
            </w:r>
            <w:r>
              <w:rPr>
                <w:rFonts w:eastAsia="Times New Roman"/>
                <w:color w:val="000000"/>
                <w:sz w:val="12"/>
                <w:szCs w:val="12"/>
              </w:rPr>
              <w:t>(4</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383 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383 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597128823"/>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 other VIEs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2,337 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53 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5,157 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1,454 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5,157 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597128823"/>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 VIEs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26,458 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15,256 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5,157 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1,454 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5,157 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bl>
    <w:p w:rsidR="00000000" w:rsidRDefault="0094004B">
      <w:pPr>
        <w:jc w:val="both"/>
        <w:divId w:val="1597128823"/>
        <w:rPr>
          <w:rFonts w:eastAsia="Times New Roman"/>
        </w:rPr>
      </w:pPr>
      <w:r>
        <w:rPr>
          <w:rFonts w:eastAsia="Times New Roman"/>
          <w:color w:val="000000"/>
          <w:sz w:val="20"/>
          <w:szCs w:val="20"/>
        </w:rPr>
        <w:t>__________</w:t>
      </w:r>
    </w:p>
    <w:p w:rsidR="00000000" w:rsidRDefault="0094004B">
      <w:pPr>
        <w:ind w:hanging="360"/>
        <w:jc w:val="both"/>
        <w:divId w:val="846407754"/>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Excludes insignificant VIEs from previously exited businesses.</w:t>
      </w:r>
    </w:p>
    <w:p w:rsidR="00000000" w:rsidRDefault="0094004B">
      <w:pPr>
        <w:ind w:hanging="360"/>
        <w:jc w:val="both"/>
        <w:divId w:val="1155410775"/>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Represents the carrying amount of assets and liabilities of the VIE, which includes the seller’</w:t>
      </w:r>
      <w:r>
        <w:rPr>
          <w:rFonts w:eastAsia="Times New Roman"/>
          <w:color w:val="000000"/>
          <w:sz w:val="16"/>
          <w:szCs w:val="16"/>
        </w:rPr>
        <w:t>s interest and repurchased notes held by other related parties.</w:t>
      </w:r>
    </w:p>
    <w:p w:rsidR="00000000" w:rsidRDefault="0094004B">
      <w:pPr>
        <w:ind w:hanging="360"/>
        <w:jc w:val="both"/>
        <w:divId w:val="886258852"/>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In certain investment structures, we consolidate a VIE which in turn holds as its primary asset an investment in an unconsolidated VIE. In these instances, we disclose the carrying amount o</w:t>
      </w:r>
      <w:r>
        <w:rPr>
          <w:rFonts w:eastAsia="Times New Roman"/>
          <w:color w:val="000000"/>
          <w:sz w:val="16"/>
          <w:szCs w:val="16"/>
        </w:rPr>
        <w:t>f assets and liabilities on our consolidated balance sheets as unconsolidated VIEs to avoid duplicating our exposure, as the unconsolidated VIEs are generally the operating entities generating the exposure. The carrying amount of assets and liabilities inc</w:t>
      </w:r>
      <w:r>
        <w:rPr>
          <w:rFonts w:eastAsia="Times New Roman"/>
          <w:color w:val="000000"/>
          <w:sz w:val="16"/>
          <w:szCs w:val="16"/>
        </w:rPr>
        <w:t>luded in the unconsolidated VIE columns above related to these investment structures were $2.3 billion of assets and $616 million of liabilities as of December 31, 2022, and $2.2 billion of assets and $568 million of liabilities as of December 31, 2021.</w:t>
      </w:r>
    </w:p>
    <w:p w:rsidR="00000000" w:rsidRDefault="0094004B">
      <w:pPr>
        <w:ind w:hanging="360"/>
        <w:jc w:val="both"/>
        <w:divId w:val="1864395143"/>
        <w:rPr>
          <w:rFonts w:eastAsia="Times New Roman"/>
        </w:rPr>
      </w:pPr>
      <w:r>
        <w:rPr>
          <w:rFonts w:eastAsia="Times New Roman"/>
          <w:color w:val="000000"/>
          <w:sz w:val="10"/>
          <w:szCs w:val="10"/>
        </w:rPr>
        <w:t>(4</w:t>
      </w:r>
      <w:r>
        <w:rPr>
          <w:rFonts w:eastAsia="Times New Roman"/>
          <w:color w:val="000000"/>
          <w:sz w:val="10"/>
          <w:szCs w:val="10"/>
        </w:rPr>
        <w:t>)</w:t>
      </w:r>
      <w:r>
        <w:rPr>
          <w:rFonts w:eastAsia="Times New Roman"/>
          <w:color w:val="000000"/>
          <w:sz w:val="16"/>
          <w:szCs w:val="16"/>
        </w:rPr>
        <w:t>Primarily consists of variable interests in companies that promote renewable energy sources and other equity method investments.</w:t>
      </w:r>
    </w:p>
    <w:p w:rsidR="00000000" w:rsidRDefault="0094004B">
      <w:pPr>
        <w:jc w:val="both"/>
        <w:divId w:val="8532031"/>
        <w:rPr>
          <w:rFonts w:eastAsia="Times New Roman"/>
        </w:rPr>
      </w:pPr>
      <w:r>
        <w:rPr>
          <w:rFonts w:eastAsia="Times New Roman"/>
          <w:b/>
          <w:bCs/>
          <w:color w:val="000000"/>
          <w:sz w:val="20"/>
          <w:szCs w:val="20"/>
        </w:rPr>
        <w:t>Securitization-Related VIEs</w:t>
      </w:r>
    </w:p>
    <w:p w:rsidR="00000000" w:rsidRDefault="0094004B">
      <w:pPr>
        <w:jc w:val="both"/>
        <w:divId w:val="1735003828"/>
        <w:rPr>
          <w:rFonts w:eastAsia="Times New Roman"/>
        </w:rPr>
      </w:pPr>
      <w:r>
        <w:rPr>
          <w:rFonts w:eastAsia="Times New Roman"/>
          <w:color w:val="000000"/>
          <w:sz w:val="20"/>
          <w:szCs w:val="20"/>
        </w:rPr>
        <w:t>In a securitization transaction, assets are transferred to a trust, which generally meets the defi</w:t>
      </w:r>
      <w:r>
        <w:rPr>
          <w:rFonts w:eastAsia="Times New Roman"/>
          <w:color w:val="000000"/>
          <w:sz w:val="20"/>
          <w:szCs w:val="20"/>
        </w:rPr>
        <w:t>nition of a VIE. We engage in securitization activities as an issuer and an investor. Our primary securitization issuance activity includes credit card and auto securitizations, conducted through securitization trusts which we consolidate. Our continuing i</w:t>
      </w:r>
      <w:r>
        <w:rPr>
          <w:rFonts w:eastAsia="Times New Roman"/>
          <w:color w:val="000000"/>
          <w:sz w:val="20"/>
          <w:szCs w:val="20"/>
        </w:rPr>
        <w:t>nvolvement in these securitization transactions mainly consists of acting as the primary servicer and holding certain retained interests.</w:t>
      </w:r>
    </w:p>
    <w:p w:rsidR="00000000" w:rsidRDefault="0094004B">
      <w:pPr>
        <w:jc w:val="both"/>
        <w:divId w:val="275137176"/>
        <w:rPr>
          <w:rFonts w:eastAsia="Times New Roman"/>
        </w:rPr>
      </w:pPr>
      <w:r>
        <w:rPr>
          <w:rFonts w:eastAsia="Times New Roman"/>
          <w:color w:val="000000"/>
          <w:sz w:val="20"/>
          <w:szCs w:val="20"/>
        </w:rPr>
        <w:t>In our multifamily agency business, we originate multifamily commercial real estate loans and transfer them to governm</w:t>
      </w:r>
      <w:r>
        <w:rPr>
          <w:rFonts w:eastAsia="Times New Roman"/>
          <w:color w:val="000000"/>
          <w:sz w:val="20"/>
          <w:szCs w:val="20"/>
        </w:rPr>
        <w:t>ent-sponsored enterprises (“GSEs”) who may, in turn, securitize them. We retain the related MSRs and service the transferred loans pursuant to the guidelines set forth by the GSEs. As an investor, we hold primarily RMBS, CMBS, and ABS in our investment sec</w:t>
      </w:r>
      <w:r>
        <w:rPr>
          <w:rFonts w:eastAsia="Times New Roman"/>
          <w:color w:val="000000"/>
          <w:sz w:val="20"/>
          <w:szCs w:val="20"/>
        </w:rPr>
        <w:t xml:space="preserve">urities portfolio, which represent variable interests in the respective securitization trusts from which those securities were issued. We do not consolidate the securitization trusts employed in these transactions as we do not have the power to direct the </w:t>
      </w:r>
      <w:r>
        <w:rPr>
          <w:rFonts w:eastAsia="Times New Roman"/>
          <w:color w:val="000000"/>
          <w:sz w:val="20"/>
          <w:szCs w:val="20"/>
        </w:rPr>
        <w:t>activities that most significantly impact the economic performance of these securitization trusts. We exclude these VIEs from the tables within this note because we do not consider our continuing involvement with these VIEs to be significant as we either s</w:t>
      </w:r>
      <w:r>
        <w:rPr>
          <w:rFonts w:eastAsia="Times New Roman"/>
          <w:color w:val="000000"/>
          <w:sz w:val="20"/>
          <w:szCs w:val="20"/>
        </w:rPr>
        <w:t>olely invest in securities issued by the VIE and were not involved in the design of the VIE or no transfers have occurred between the VIE and ourselves. Our maximum exposure to loss as a result of our involvement with these VIEs is the carrying value of th</w:t>
      </w:r>
      <w:r>
        <w:rPr>
          <w:rFonts w:eastAsia="Times New Roman"/>
          <w:color w:val="000000"/>
          <w:sz w:val="20"/>
          <w:szCs w:val="20"/>
        </w:rPr>
        <w:t>e MSRs and investment securities on our consolidated balance sheets as well as our contractual obligations under loss sharing arrangements. See “Note 18—Commitments, Contingencies, Guarantees and Others” for information about the loss sharing agreements, “</w:t>
      </w:r>
      <w:r>
        <w:rPr>
          <w:rFonts w:eastAsia="Times New Roman"/>
          <w:color w:val="000000"/>
          <w:sz w:val="20"/>
          <w:szCs w:val="20"/>
        </w:rPr>
        <w:t>Note 6—Goodwill and Other Intangible Assets” for information related to our MSRs associated with these securitizations and “Note 2—Investment Securities” for more information on the securities held in our investment securities portfolio. In addition, where</w:t>
      </w:r>
      <w:r>
        <w:rPr>
          <w:rFonts w:eastAsia="Times New Roman"/>
          <w:color w:val="000000"/>
          <w:sz w:val="20"/>
          <w:szCs w:val="20"/>
        </w:rPr>
        <w:t xml:space="preserve"> we have certain lending arrangements in the normal course of business with entities that could be VIEs, we have also excluded these VIEs from the tables presented in this note. See “Note 3—Loans” for additional information regarding our lending arrangemen</w:t>
      </w:r>
      <w:r>
        <w:rPr>
          <w:rFonts w:eastAsia="Times New Roman"/>
          <w:color w:val="000000"/>
          <w:sz w:val="20"/>
          <w:szCs w:val="20"/>
        </w:rPr>
        <w:t>ts in the normal course of business.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346374922"/>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346374922"/>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346374922"/>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155</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81" style="width:0;height:1.5pt" o:hralign="center" o:hrstd="t" o:hr="t" fillcolor="#a0a0a0" stroked="f"/>
        </w:pict>
      </w:r>
    </w:p>
    <w:p w:rsidR="00000000" w:rsidRDefault="0094004B">
      <w:pPr>
        <w:jc w:val="both"/>
        <w:divId w:val="426341964"/>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426341964"/>
        <w:rPr>
          <w:rFonts w:eastAsia="Times New Roman"/>
        </w:rPr>
      </w:pPr>
    </w:p>
    <w:p w:rsidR="00000000" w:rsidRDefault="0094004B">
      <w:pPr>
        <w:jc w:val="center"/>
        <w:divId w:val="426341964"/>
        <w:rPr>
          <w:rFonts w:eastAsia="Times New Roman"/>
        </w:rPr>
      </w:pPr>
      <w:r>
        <w:rPr>
          <w:rFonts w:eastAsia="Times New Roman"/>
          <w:b/>
          <w:bCs/>
          <w:color w:val="000000"/>
          <w:sz w:val="20"/>
          <w:szCs w:val="20"/>
        </w:rPr>
        <w:t>CAPITAL ONE FINANCIAL CORPORATION</w:t>
      </w:r>
    </w:p>
    <w:p w:rsidR="00000000" w:rsidRDefault="0094004B">
      <w:pPr>
        <w:jc w:val="center"/>
        <w:divId w:val="426341964"/>
        <w:rPr>
          <w:rFonts w:eastAsia="Times New Roman"/>
        </w:rPr>
      </w:pPr>
      <w:r>
        <w:rPr>
          <w:rFonts w:eastAsia="Times New Roman"/>
          <w:b/>
          <w:bCs/>
          <w:color w:val="000000"/>
          <w:sz w:val="20"/>
          <w:szCs w:val="20"/>
        </w:rPr>
        <w:t>NOTES TO CONSOLIDATED FINANCIAL STATEMENTS</w:t>
      </w:r>
    </w:p>
    <w:p w:rsidR="00000000" w:rsidRDefault="0094004B">
      <w:pPr>
        <w:divId w:val="1696033753"/>
        <w:rPr>
          <w:rFonts w:eastAsia="Times New Roman"/>
        </w:rPr>
      </w:pPr>
      <w:r>
        <w:rPr>
          <w:rFonts w:eastAsia="Times New Roman"/>
          <w:color w:val="000000"/>
          <w:sz w:val="20"/>
          <w:szCs w:val="20"/>
        </w:rPr>
        <w:t>The table below presents our continuing involvement in certain s</w:t>
      </w:r>
      <w:r>
        <w:rPr>
          <w:rFonts w:eastAsia="Times New Roman"/>
          <w:color w:val="000000"/>
          <w:sz w:val="20"/>
          <w:szCs w:val="20"/>
        </w:rPr>
        <w:t>ecuritization-related VIEs as of December 31, 2022 and 2021.</w:t>
      </w:r>
    </w:p>
    <w:p w:rsidR="00000000" w:rsidRDefault="0094004B">
      <w:pPr>
        <w:divId w:val="219902430"/>
        <w:rPr>
          <w:rFonts w:eastAsia="Times New Roman"/>
        </w:rPr>
      </w:pPr>
      <w:r>
        <w:rPr>
          <w:rFonts w:eastAsia="Times New Roman"/>
          <w:b/>
          <w:bCs/>
          <w:color w:val="000000"/>
          <w:sz w:val="18"/>
          <w:szCs w:val="18"/>
        </w:rPr>
        <w:t>Table 5.2: Continuing Involvement in Securitization-Related VIEs</w:t>
      </w:r>
    </w:p>
    <w:tbl>
      <w:tblPr>
        <w:tblW w:w="5000" w:type="pct"/>
        <w:tblCellMar>
          <w:top w:w="15" w:type="dxa"/>
          <w:left w:w="15" w:type="dxa"/>
          <w:bottom w:w="15" w:type="dxa"/>
          <w:right w:w="15" w:type="dxa"/>
        </w:tblCellMar>
        <w:tblLook w:val="04A0" w:firstRow="1" w:lastRow="0" w:firstColumn="1" w:lastColumn="0" w:noHBand="0" w:noVBand="1"/>
      </w:tblPr>
      <w:tblGrid>
        <w:gridCol w:w="41"/>
        <w:gridCol w:w="6281"/>
        <w:gridCol w:w="39"/>
        <w:gridCol w:w="36"/>
        <w:gridCol w:w="36"/>
        <w:gridCol w:w="36"/>
        <w:gridCol w:w="110"/>
        <w:gridCol w:w="718"/>
        <w:gridCol w:w="36"/>
        <w:gridCol w:w="36"/>
        <w:gridCol w:w="36"/>
        <w:gridCol w:w="36"/>
        <w:gridCol w:w="110"/>
        <w:gridCol w:w="719"/>
        <w:gridCol w:w="36"/>
      </w:tblGrid>
      <w:tr w:rsidR="00000000">
        <w:trPr>
          <w:divId w:val="675811463"/>
        </w:trPr>
        <w:tc>
          <w:tcPr>
            <w:tcW w:w="50" w:type="pct"/>
            <w:vAlign w:val="center"/>
            <w:hideMark/>
          </w:tcPr>
          <w:p w:rsidR="00000000" w:rsidRDefault="0094004B">
            <w:pPr>
              <w:rPr>
                <w:rFonts w:eastAsia="Times New Roman"/>
              </w:rPr>
            </w:pPr>
          </w:p>
        </w:tc>
        <w:tc>
          <w:tcPr>
            <w:tcW w:w="380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78"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78"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675811463"/>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Credit Card</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Auto</w:t>
            </w:r>
          </w:p>
        </w:tc>
      </w:tr>
      <w:tr w:rsidR="00000000">
        <w:trPr>
          <w:divId w:val="675811463"/>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December 31, 2022:</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675811463"/>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Securities held by third-party investors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12,976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3,997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675811463"/>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Receivables in the trusts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24,367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4,682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675811463"/>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Cash balance of spread or reserve accounts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675811463"/>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Retained interests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jc w:val="right"/>
              <w:rPr>
                <w:rFonts w:eastAsia="Times New Roman"/>
              </w:rPr>
            </w:pPr>
            <w:r>
              <w:rPr>
                <w:rFonts w:eastAsia="Times New Roman"/>
                <w:b/>
                <w:bCs/>
                <w:color w:val="000000"/>
                <w:sz w:val="18"/>
                <w:szCs w:val="18"/>
              </w:rPr>
              <w:t>Yes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jc w:val="right"/>
              <w:rPr>
                <w:rFonts w:eastAsia="Times New Roman"/>
              </w:rPr>
            </w:pPr>
            <w:r>
              <w:rPr>
                <w:rFonts w:eastAsia="Times New Roman"/>
                <w:b/>
                <w:bCs/>
                <w:color w:val="000000"/>
                <w:sz w:val="18"/>
                <w:szCs w:val="18"/>
              </w:rPr>
              <w:t>Yes</w:t>
            </w:r>
          </w:p>
        </w:tc>
      </w:tr>
      <w:tr w:rsidR="00000000">
        <w:trPr>
          <w:divId w:val="675811463"/>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Servicing retained</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94004B">
            <w:pPr>
              <w:spacing w:after="100"/>
              <w:jc w:val="right"/>
              <w:rPr>
                <w:rFonts w:eastAsia="Times New Roman"/>
              </w:rPr>
            </w:pPr>
            <w:r>
              <w:rPr>
                <w:rFonts w:eastAsia="Times New Roman"/>
                <w:b/>
                <w:bCs/>
                <w:color w:val="000000"/>
                <w:sz w:val="18"/>
                <w:szCs w:val="18"/>
              </w:rPr>
              <w:t>Yes</w:t>
            </w:r>
          </w:p>
        </w:tc>
        <w:tc>
          <w:tcPr>
            <w:tcW w:w="0" w:type="auto"/>
            <w:gridSpan w:val="3"/>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94004B">
            <w:pPr>
              <w:spacing w:after="100"/>
              <w:jc w:val="right"/>
              <w:rPr>
                <w:rFonts w:eastAsia="Times New Roman"/>
              </w:rPr>
            </w:pPr>
            <w:r>
              <w:rPr>
                <w:rFonts w:eastAsia="Times New Roman"/>
                <w:b/>
                <w:bCs/>
                <w:color w:val="000000"/>
                <w:sz w:val="18"/>
                <w:szCs w:val="18"/>
              </w:rPr>
              <w:t>Yes</w:t>
            </w:r>
          </w:p>
        </w:tc>
      </w:tr>
      <w:tr w:rsidR="00000000">
        <w:trPr>
          <w:divId w:val="675811463"/>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December 31, 2021:</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675811463"/>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Securities held by third-party investors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12,808 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2,186 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675811463"/>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Receivables in the trusts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22,454 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2,418 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675811463"/>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Cash balance of spread or reserve accounts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13 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675811463"/>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Retained interests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jc w:val="right"/>
              <w:rPr>
                <w:rFonts w:eastAsia="Times New Roman"/>
              </w:rPr>
            </w:pPr>
            <w:r>
              <w:rPr>
                <w:rFonts w:eastAsia="Times New Roman"/>
                <w:color w:val="000000"/>
                <w:sz w:val="18"/>
                <w:szCs w:val="18"/>
              </w:rPr>
              <w:t>Yes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jc w:val="right"/>
              <w:rPr>
                <w:rFonts w:eastAsia="Times New Roman"/>
              </w:rPr>
            </w:pPr>
            <w:r>
              <w:rPr>
                <w:rFonts w:eastAsia="Times New Roman"/>
                <w:color w:val="000000"/>
                <w:sz w:val="18"/>
                <w:szCs w:val="18"/>
              </w:rPr>
              <w:t>Yes</w:t>
            </w:r>
          </w:p>
        </w:tc>
      </w:tr>
      <w:tr w:rsidR="00000000">
        <w:trPr>
          <w:divId w:val="675811463"/>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Servicing retained</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94004B">
            <w:pPr>
              <w:spacing w:after="100"/>
              <w:jc w:val="right"/>
              <w:rPr>
                <w:rFonts w:eastAsia="Times New Roman"/>
              </w:rPr>
            </w:pPr>
            <w:r>
              <w:rPr>
                <w:rFonts w:eastAsia="Times New Roman"/>
                <w:color w:val="000000"/>
                <w:sz w:val="18"/>
                <w:szCs w:val="18"/>
              </w:rPr>
              <w:t>Yes</w:t>
            </w:r>
          </w:p>
        </w:tc>
        <w:tc>
          <w:tcPr>
            <w:tcW w:w="0" w:type="auto"/>
            <w:gridSpan w:val="3"/>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94004B">
            <w:pPr>
              <w:spacing w:after="100"/>
              <w:jc w:val="right"/>
              <w:rPr>
                <w:rFonts w:eastAsia="Times New Roman"/>
              </w:rPr>
            </w:pPr>
            <w:r>
              <w:rPr>
                <w:rFonts w:eastAsia="Times New Roman"/>
                <w:color w:val="000000"/>
                <w:sz w:val="18"/>
                <w:szCs w:val="18"/>
              </w:rPr>
              <w:t>Yes</w:t>
            </w:r>
          </w:p>
        </w:tc>
      </w:tr>
    </w:tbl>
    <w:p w:rsidR="00000000" w:rsidRDefault="0094004B">
      <w:pPr>
        <w:divId w:val="95835019"/>
        <w:rPr>
          <w:rFonts w:eastAsia="Times New Roman"/>
        </w:rPr>
      </w:pPr>
      <w:r>
        <w:rPr>
          <w:rFonts w:eastAsia="Times New Roman"/>
          <w:b/>
          <w:bCs/>
          <w:i/>
          <w:iCs/>
          <w:color w:val="000000"/>
          <w:sz w:val="20"/>
          <w:szCs w:val="20"/>
        </w:rPr>
        <w:t>Credit Card Securitizations</w:t>
      </w:r>
    </w:p>
    <w:p w:rsidR="00000000" w:rsidRDefault="0094004B">
      <w:pPr>
        <w:jc w:val="both"/>
        <w:divId w:val="691956700"/>
        <w:rPr>
          <w:rFonts w:eastAsia="Times New Roman"/>
        </w:rPr>
      </w:pPr>
      <w:r>
        <w:rPr>
          <w:rFonts w:eastAsia="Times New Roman"/>
          <w:color w:val="000000"/>
          <w:sz w:val="20"/>
          <w:szCs w:val="20"/>
        </w:rPr>
        <w:t xml:space="preserve">We securitize a portion of our credit card loans which provides a source of funding for us. Credit card securitizations involve the transfer of credit card receivables to securitization trusts. These trusts then issue debt securities collateralized by the </w:t>
      </w:r>
      <w:r>
        <w:rPr>
          <w:rFonts w:eastAsia="Times New Roman"/>
          <w:color w:val="000000"/>
          <w:sz w:val="20"/>
          <w:szCs w:val="20"/>
        </w:rPr>
        <w:t>transferred receivables to third-party investors. We hold certain retained interests in our credit card securitizations and continue to service the receivables in these trusts. We consolidate these trusts because we are deemed to be the primary beneficiary</w:t>
      </w:r>
      <w:r>
        <w:rPr>
          <w:rFonts w:eastAsia="Times New Roman"/>
          <w:color w:val="000000"/>
          <w:sz w:val="20"/>
          <w:szCs w:val="20"/>
        </w:rPr>
        <w:t xml:space="preserve"> as we have the power to direct the activities that most significantly impact the economic performance of the trusts, and the right to receive benefits or the obligation to absorb losses that could potentially be significant to the trusts. </w:t>
      </w:r>
    </w:p>
    <w:p w:rsidR="00000000" w:rsidRDefault="0094004B">
      <w:pPr>
        <w:divId w:val="1993672811"/>
        <w:rPr>
          <w:rFonts w:eastAsia="Times New Roman"/>
        </w:rPr>
      </w:pPr>
      <w:r>
        <w:rPr>
          <w:rFonts w:eastAsia="Times New Roman"/>
          <w:b/>
          <w:bCs/>
          <w:i/>
          <w:iCs/>
          <w:color w:val="000000"/>
          <w:sz w:val="20"/>
          <w:szCs w:val="20"/>
        </w:rPr>
        <w:t>Auto Securitiza</w:t>
      </w:r>
      <w:r>
        <w:rPr>
          <w:rFonts w:eastAsia="Times New Roman"/>
          <w:b/>
          <w:bCs/>
          <w:i/>
          <w:iCs/>
          <w:color w:val="000000"/>
          <w:sz w:val="20"/>
          <w:szCs w:val="20"/>
        </w:rPr>
        <w:t>tions</w:t>
      </w:r>
    </w:p>
    <w:p w:rsidR="00000000" w:rsidRDefault="0094004B">
      <w:pPr>
        <w:jc w:val="both"/>
        <w:divId w:val="1852262219"/>
        <w:rPr>
          <w:rFonts w:eastAsia="Times New Roman"/>
        </w:rPr>
      </w:pPr>
      <w:r>
        <w:rPr>
          <w:rFonts w:eastAsia="Times New Roman"/>
          <w:color w:val="000000"/>
          <w:sz w:val="20"/>
          <w:szCs w:val="20"/>
        </w:rPr>
        <w:t>Similar to our credit card securitizations, we securitize a portion of our auto loans which provides a source of funding for us. Auto securitizations involve the transfer of auto loans to securitization trusts. These trusts then issue debt securities</w:t>
      </w:r>
      <w:r>
        <w:rPr>
          <w:rFonts w:eastAsia="Times New Roman"/>
          <w:color w:val="000000"/>
          <w:sz w:val="20"/>
          <w:szCs w:val="20"/>
        </w:rPr>
        <w:t xml:space="preserve"> collateralized by the transferred loans to third-party investors. We hold certain retained interests and continue to service the loans in these trusts. We consolidate these trusts because we are deemed to be the primary beneficiary as we have the power to</w:t>
      </w:r>
      <w:r>
        <w:rPr>
          <w:rFonts w:eastAsia="Times New Roman"/>
          <w:color w:val="000000"/>
          <w:sz w:val="20"/>
          <w:szCs w:val="20"/>
        </w:rPr>
        <w:t xml:space="preserve"> direct the activities that most significantly impact the economic performance of the trusts, and the right to receive benefits or the obligation to absorb losses that could potentially be significant to the trusts.</w:t>
      </w:r>
    </w:p>
    <w:p w:rsidR="00000000" w:rsidRDefault="0094004B">
      <w:pPr>
        <w:jc w:val="both"/>
        <w:divId w:val="446121285"/>
        <w:rPr>
          <w:rFonts w:eastAsia="Times New Roman"/>
        </w:rPr>
      </w:pPr>
      <w:r>
        <w:rPr>
          <w:rFonts w:eastAsia="Times New Roman"/>
          <w:b/>
          <w:bCs/>
          <w:color w:val="000000"/>
          <w:sz w:val="20"/>
          <w:szCs w:val="20"/>
        </w:rPr>
        <w:t>Other VIEs</w:t>
      </w:r>
    </w:p>
    <w:p w:rsidR="00000000" w:rsidRDefault="0094004B">
      <w:pPr>
        <w:jc w:val="both"/>
        <w:divId w:val="248739669"/>
        <w:rPr>
          <w:rFonts w:eastAsia="Times New Roman"/>
        </w:rPr>
      </w:pPr>
      <w:r>
        <w:rPr>
          <w:rFonts w:eastAsia="Times New Roman"/>
          <w:b/>
          <w:bCs/>
          <w:i/>
          <w:iCs/>
          <w:color w:val="000000"/>
          <w:sz w:val="20"/>
          <w:szCs w:val="20"/>
        </w:rPr>
        <w:t>Affordable Housing Entities</w:t>
      </w:r>
    </w:p>
    <w:p w:rsidR="00000000" w:rsidRDefault="0094004B">
      <w:pPr>
        <w:jc w:val="both"/>
        <w:divId w:val="492571651"/>
        <w:rPr>
          <w:rFonts w:eastAsia="Times New Roman"/>
        </w:rPr>
      </w:pPr>
      <w:r>
        <w:rPr>
          <w:rFonts w:eastAsia="Times New Roman"/>
          <w:color w:val="000000"/>
          <w:sz w:val="20"/>
          <w:szCs w:val="20"/>
        </w:rPr>
        <w:t>A</w:t>
      </w:r>
      <w:r>
        <w:rPr>
          <w:rFonts w:eastAsia="Times New Roman"/>
          <w:color w:val="000000"/>
          <w:sz w:val="20"/>
          <w:szCs w:val="20"/>
        </w:rPr>
        <w:t>s part of our community reinvestment initiatives, we invest in private investment funds that make equity investments in multifamily affordable housing properties. We receive affordable housing tax credits for these investments. The activities of these enti</w:t>
      </w:r>
      <w:r>
        <w:rPr>
          <w:rFonts w:eastAsia="Times New Roman"/>
          <w:color w:val="000000"/>
          <w:sz w:val="20"/>
          <w:szCs w:val="20"/>
        </w:rPr>
        <w:t>ties are financed with a combination of invested equity capital and debt. We account for certain investments in qualified affordable housing projects using the proportional amortization method if certain criteria are met. The proportional amortization meth</w:t>
      </w:r>
      <w:r>
        <w:rPr>
          <w:rFonts w:eastAsia="Times New Roman"/>
          <w:color w:val="000000"/>
          <w:sz w:val="20"/>
          <w:szCs w:val="20"/>
        </w:rPr>
        <w:t>od amortizes the cost of the investment over the period in which the investor expects to receive tax credits and other tax benefits, and the resulting amortization is recognized as a component of income tax expense attributable to continuing operations. Fo</w:t>
      </w:r>
      <w:r>
        <w:rPr>
          <w:rFonts w:eastAsia="Times New Roman"/>
          <w:color w:val="000000"/>
          <w:sz w:val="20"/>
          <w:szCs w:val="20"/>
        </w:rPr>
        <w:t>r the years ended December 31, 2022 and 2021, we recognized amortization of $637 million and $633 million, respectively, and tax credits of $664 million and $644 million, respectively, associated with these investments within income tax provision. The carr</w:t>
      </w:r>
      <w:r>
        <w:rPr>
          <w:rFonts w:eastAsia="Times New Roman"/>
          <w:color w:val="000000"/>
          <w:sz w:val="20"/>
          <w:szCs w:val="20"/>
        </w:rPr>
        <w:t>ying value of our equity investments in these qualified affordable housing projects was $4.9 billion and $4.7 billion as of December 31, 2022 and 2021, respectively. We are periodically required to provide additional financial or other support during the p</w:t>
      </w:r>
      <w:r>
        <w:rPr>
          <w:rFonts w:eastAsia="Times New Roman"/>
          <w:color w:val="000000"/>
          <w:sz w:val="20"/>
          <w:szCs w:val="20"/>
        </w:rPr>
        <w:t>eriod of the investments. Our liability for these unfunded commitments was $1.8 billion and $1.7 billion as of December 31, 2022 and 2021 respectively, and is largely expected to be paid from 2023 to 2025.</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849170601"/>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849170601"/>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849170601"/>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156</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82" style="width:0;height:1.5pt" o:hralign="center" o:hrstd="t" o:hr="t" fillcolor="#a0a0a0" stroked="f"/>
        </w:pict>
      </w:r>
    </w:p>
    <w:p w:rsidR="00000000" w:rsidRDefault="0094004B">
      <w:pPr>
        <w:jc w:val="both"/>
        <w:divId w:val="1658027100"/>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1658027100"/>
        <w:rPr>
          <w:rFonts w:eastAsia="Times New Roman"/>
        </w:rPr>
      </w:pPr>
    </w:p>
    <w:p w:rsidR="00000000" w:rsidRDefault="0094004B">
      <w:pPr>
        <w:jc w:val="center"/>
        <w:divId w:val="1658027100"/>
        <w:rPr>
          <w:rFonts w:eastAsia="Times New Roman"/>
        </w:rPr>
      </w:pPr>
      <w:r>
        <w:rPr>
          <w:rFonts w:eastAsia="Times New Roman"/>
          <w:b/>
          <w:bCs/>
          <w:color w:val="000000"/>
          <w:sz w:val="20"/>
          <w:szCs w:val="20"/>
        </w:rPr>
        <w:t>CAPITAL ONE FINANCIAL CORPORATION</w:t>
      </w:r>
    </w:p>
    <w:p w:rsidR="00000000" w:rsidRDefault="0094004B">
      <w:pPr>
        <w:jc w:val="center"/>
        <w:divId w:val="1658027100"/>
        <w:rPr>
          <w:rFonts w:eastAsia="Times New Roman"/>
        </w:rPr>
      </w:pPr>
      <w:r>
        <w:rPr>
          <w:rFonts w:eastAsia="Times New Roman"/>
          <w:b/>
          <w:bCs/>
          <w:color w:val="000000"/>
          <w:sz w:val="20"/>
          <w:szCs w:val="20"/>
        </w:rPr>
        <w:t>NOTES TO CONSOLIDATED FINANCIAL STATEMENTS</w:t>
      </w:r>
    </w:p>
    <w:p w:rsidR="00000000" w:rsidRDefault="0094004B">
      <w:pPr>
        <w:jc w:val="both"/>
        <w:divId w:val="2031031261"/>
        <w:rPr>
          <w:rFonts w:eastAsia="Times New Roman"/>
        </w:rPr>
      </w:pPr>
      <w:r>
        <w:rPr>
          <w:rFonts w:eastAsia="Times New Roman"/>
          <w:color w:val="000000"/>
          <w:sz w:val="20"/>
          <w:szCs w:val="20"/>
        </w:rPr>
        <w:t>For those investment funds considered to be VIEs, we are not required to consolidate them if we do not have the power to direct the activities that most significantly impact the economic performance of those entities. We record our interests in these uncon</w:t>
      </w:r>
      <w:r>
        <w:rPr>
          <w:rFonts w:eastAsia="Times New Roman"/>
          <w:color w:val="000000"/>
          <w:sz w:val="20"/>
          <w:szCs w:val="20"/>
        </w:rPr>
        <w:t xml:space="preserve">solidated VIEs in loans held for investment, other assets and other liabilities on our consolidated balance sheets. Our maximum exposure to these entities is limited to our variable interests in the entities which consisted of assets of approximately $4.9 </w:t>
      </w:r>
      <w:r>
        <w:rPr>
          <w:rFonts w:eastAsia="Times New Roman"/>
          <w:color w:val="000000"/>
          <w:sz w:val="20"/>
          <w:szCs w:val="20"/>
        </w:rPr>
        <w:t>billion and $4.8 billion as of December 31, 2022 and 2021 respectively. The creditors of the VIEs have no recourse to our general credit and we do not provide additional financial or other support other than during the period that we are contractually requ</w:t>
      </w:r>
      <w:r>
        <w:rPr>
          <w:rFonts w:eastAsia="Times New Roman"/>
          <w:color w:val="000000"/>
          <w:sz w:val="20"/>
          <w:szCs w:val="20"/>
        </w:rPr>
        <w:t>ired to provide it. The total assets of the unconsolidated VIE investment funds were approximately $12.5 billion and $11.9 billion as of December 31, 2022 and 2021, respectively.</w:t>
      </w:r>
    </w:p>
    <w:p w:rsidR="00000000" w:rsidRDefault="0094004B">
      <w:pPr>
        <w:jc w:val="both"/>
        <w:divId w:val="11230581"/>
        <w:rPr>
          <w:rFonts w:eastAsia="Times New Roman"/>
        </w:rPr>
      </w:pPr>
      <w:r>
        <w:rPr>
          <w:rFonts w:eastAsia="Times New Roman"/>
          <w:b/>
          <w:bCs/>
          <w:i/>
          <w:iCs/>
          <w:color w:val="000000"/>
          <w:sz w:val="20"/>
          <w:szCs w:val="20"/>
        </w:rPr>
        <w:t xml:space="preserve">Entities that Provide Capital to Low-Income and Rural Communities </w:t>
      </w:r>
    </w:p>
    <w:p w:rsidR="00000000" w:rsidRDefault="0094004B">
      <w:pPr>
        <w:jc w:val="both"/>
        <w:divId w:val="133454569"/>
        <w:rPr>
          <w:rFonts w:eastAsia="Times New Roman"/>
        </w:rPr>
      </w:pPr>
      <w:r>
        <w:rPr>
          <w:rFonts w:eastAsia="Times New Roman"/>
          <w:color w:val="000000"/>
          <w:sz w:val="20"/>
          <w:szCs w:val="20"/>
        </w:rPr>
        <w:t>We hold va</w:t>
      </w:r>
      <w:r>
        <w:rPr>
          <w:rFonts w:eastAsia="Times New Roman"/>
          <w:color w:val="000000"/>
          <w:sz w:val="20"/>
          <w:szCs w:val="20"/>
        </w:rPr>
        <w:t>riable interests in entities (“Investor Entities”) that invest in community development entities (“CDEs”) that provide debt financing to businesses and non-profit entities in low-income and rural communities. Variable interests in the CDEs held by the cons</w:t>
      </w:r>
      <w:r>
        <w:rPr>
          <w:rFonts w:eastAsia="Times New Roman"/>
          <w:color w:val="000000"/>
          <w:sz w:val="20"/>
          <w:szCs w:val="20"/>
        </w:rPr>
        <w:t>olidated Investor Entities are also our variable interests. The activities of the Investor Entities are financed with a combination of invested equity capital and debt. The activities of the CDEs are financed solely with invested equity capital. We receive</w:t>
      </w:r>
      <w:r>
        <w:rPr>
          <w:rFonts w:eastAsia="Times New Roman"/>
          <w:color w:val="000000"/>
          <w:sz w:val="20"/>
          <w:szCs w:val="20"/>
        </w:rPr>
        <w:t xml:space="preserve"> federal and state tax credits for these investments. We consolidate the VIEs in which we have the power to direct the activities that most significantly impact the VIE’s economic performance and where we have the obligation to absorb losses or right to re</w:t>
      </w:r>
      <w:r>
        <w:rPr>
          <w:rFonts w:eastAsia="Times New Roman"/>
          <w:color w:val="000000"/>
          <w:sz w:val="20"/>
          <w:szCs w:val="20"/>
        </w:rPr>
        <w:t>ceive benefits that could be potentially significant to the VIE. We consolidate other investments and CDEs that are not considered to be VIEs, but where we hold a controlling financial interest. The assets of the VIEs that we consolidated, which totaled ap</w:t>
      </w:r>
      <w:r>
        <w:rPr>
          <w:rFonts w:eastAsia="Times New Roman"/>
          <w:color w:val="000000"/>
          <w:sz w:val="20"/>
          <w:szCs w:val="20"/>
        </w:rPr>
        <w:t>proximately $2.3 billion and $2.1 billion as of December 31, 2022 and 2021, respectively, are reflected on our consolidated balance sheets in cash, loans held for investment, and other assets. The liabilities are reflected in other liabilities. The credito</w:t>
      </w:r>
      <w:r>
        <w:rPr>
          <w:rFonts w:eastAsia="Times New Roman"/>
          <w:color w:val="000000"/>
          <w:sz w:val="20"/>
          <w:szCs w:val="20"/>
        </w:rPr>
        <w:t>rs of the VIEs have no recourse to our general credit. We have not provided additional financial or other support other than during the period that we are contractually required to provide it.</w:t>
      </w:r>
    </w:p>
    <w:p w:rsidR="00000000" w:rsidRDefault="0094004B">
      <w:pPr>
        <w:jc w:val="both"/>
        <w:divId w:val="1350719700"/>
        <w:rPr>
          <w:rFonts w:eastAsia="Times New Roman"/>
        </w:rPr>
      </w:pPr>
      <w:r>
        <w:rPr>
          <w:rFonts w:eastAsia="Times New Roman"/>
          <w:b/>
          <w:bCs/>
          <w:i/>
          <w:iCs/>
          <w:color w:val="000000"/>
          <w:sz w:val="20"/>
          <w:szCs w:val="20"/>
        </w:rPr>
        <w:t>Other</w:t>
      </w:r>
    </w:p>
    <w:p w:rsidR="00000000" w:rsidRDefault="0094004B">
      <w:pPr>
        <w:jc w:val="both"/>
        <w:divId w:val="1922327870"/>
        <w:rPr>
          <w:rFonts w:eastAsia="Times New Roman"/>
        </w:rPr>
      </w:pPr>
      <w:r>
        <w:rPr>
          <w:rFonts w:eastAsia="Times New Roman"/>
          <w:color w:val="000000"/>
          <w:sz w:val="20"/>
          <w:szCs w:val="20"/>
        </w:rPr>
        <w:t>We hold variable interests in other VIEs, including compa</w:t>
      </w:r>
      <w:r>
        <w:rPr>
          <w:rFonts w:eastAsia="Times New Roman"/>
          <w:color w:val="000000"/>
          <w:sz w:val="20"/>
          <w:szCs w:val="20"/>
        </w:rPr>
        <w:t>nies that promote renewable energy sources and other equity method investments. We are not required to consolidate these VIEs because we do not have the power to direct the activities that most significantly impact their economic performance. Our maximum e</w:t>
      </w:r>
      <w:r>
        <w:rPr>
          <w:rFonts w:eastAsia="Times New Roman"/>
          <w:color w:val="000000"/>
          <w:sz w:val="20"/>
          <w:szCs w:val="20"/>
        </w:rPr>
        <w:t>xposure to these VIEs is limited to the investments on our consolidated balance sheets of $337 million and $383 million as of December 31, 2022 and 2021, respectively. The creditors of the other VIEs have no recourse to our general credit. We have not prov</w:t>
      </w:r>
      <w:r>
        <w:rPr>
          <w:rFonts w:eastAsia="Times New Roman"/>
          <w:color w:val="000000"/>
          <w:sz w:val="20"/>
          <w:szCs w:val="20"/>
        </w:rPr>
        <w:t>ided additional financial or other support other than during the period that we are contractually required to provide it.</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282930917"/>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282930917"/>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282930917"/>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157</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83" style="width:0;height:1.5pt" o:hralign="center" o:hrstd="t" o:hr="t" fillcolor="#a0a0a0" stroked="f"/>
        </w:pict>
      </w:r>
    </w:p>
    <w:p w:rsidR="00000000" w:rsidRDefault="0094004B">
      <w:pPr>
        <w:jc w:val="both"/>
        <w:divId w:val="2051610730"/>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2051610730"/>
        <w:rPr>
          <w:rFonts w:eastAsia="Times New Roman"/>
        </w:rPr>
      </w:pPr>
    </w:p>
    <w:p w:rsidR="00000000" w:rsidRDefault="0094004B">
      <w:pPr>
        <w:jc w:val="center"/>
        <w:divId w:val="2051610730"/>
        <w:rPr>
          <w:rFonts w:eastAsia="Times New Roman"/>
        </w:rPr>
      </w:pPr>
      <w:r>
        <w:rPr>
          <w:rFonts w:eastAsia="Times New Roman"/>
          <w:b/>
          <w:bCs/>
          <w:color w:val="000000"/>
          <w:sz w:val="20"/>
          <w:szCs w:val="20"/>
        </w:rPr>
        <w:t>CAPITAL ONE FINANCIAL CORPORATION</w:t>
      </w:r>
    </w:p>
    <w:p w:rsidR="00000000" w:rsidRDefault="0094004B">
      <w:pPr>
        <w:jc w:val="center"/>
        <w:divId w:val="2051610730"/>
        <w:rPr>
          <w:rFonts w:eastAsia="Times New Roman"/>
        </w:rPr>
      </w:pPr>
      <w:r>
        <w:rPr>
          <w:rFonts w:eastAsia="Times New Roman"/>
          <w:b/>
          <w:bCs/>
          <w:color w:val="000000"/>
          <w:sz w:val="20"/>
          <w:szCs w:val="20"/>
        </w:rPr>
        <w:t>NOTES TO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43719210"/>
        </w:trPr>
        <w:tc>
          <w:tcPr>
            <w:tcW w:w="50" w:type="pct"/>
            <w:vAlign w:val="center"/>
            <w:hideMark/>
          </w:tcPr>
          <w:p w:rsidR="00000000" w:rsidRDefault="0094004B">
            <w:pPr>
              <w:jc w:val="center"/>
              <w:rPr>
                <w:rFonts w:eastAsia="Times New Roman"/>
              </w:rPr>
            </w:pPr>
          </w:p>
        </w:tc>
        <w:tc>
          <w:tcPr>
            <w:tcW w:w="494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43719210"/>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20"/>
                <w:szCs w:val="20"/>
              </w:rPr>
              <w:t>NOTE 6—GOODWILL AND OTHER INTANGIBLE ASSETS</w:t>
            </w:r>
          </w:p>
        </w:tc>
      </w:tr>
    </w:tbl>
    <w:p w:rsidR="00000000" w:rsidRDefault="0094004B">
      <w:pPr>
        <w:jc w:val="both"/>
        <w:divId w:val="1404327666"/>
        <w:rPr>
          <w:rFonts w:eastAsia="Times New Roman"/>
        </w:rPr>
      </w:pPr>
      <w:r>
        <w:rPr>
          <w:rFonts w:eastAsia="Times New Roman"/>
          <w:color w:val="000000"/>
          <w:sz w:val="20"/>
          <w:szCs w:val="20"/>
        </w:rPr>
        <w:t>The table below presents our goodwill, other intangible assets and MSRs as of December 31, 2022 and 2021. Goodwill is presented separately, while other intangible assets and MSRs are included in other assets on our consolidated balance sheets.</w:t>
      </w:r>
    </w:p>
    <w:p w:rsidR="00000000" w:rsidRDefault="0094004B">
      <w:pPr>
        <w:divId w:val="510880358"/>
        <w:rPr>
          <w:rFonts w:eastAsia="Times New Roman"/>
        </w:rPr>
      </w:pPr>
      <w:r>
        <w:rPr>
          <w:rFonts w:eastAsia="Times New Roman"/>
          <w:b/>
          <w:bCs/>
          <w:color w:val="000000"/>
          <w:sz w:val="18"/>
          <w:szCs w:val="18"/>
        </w:rPr>
        <w:t>Table 6.1: C</w:t>
      </w:r>
      <w:r>
        <w:rPr>
          <w:rFonts w:eastAsia="Times New Roman"/>
          <w:b/>
          <w:bCs/>
          <w:color w:val="000000"/>
          <w:sz w:val="18"/>
          <w:szCs w:val="18"/>
        </w:rPr>
        <w:t>omponents of Goodwill, Other Intangible Assets and MSRs</w:t>
      </w:r>
    </w:p>
    <w:tbl>
      <w:tblPr>
        <w:tblW w:w="5000" w:type="pct"/>
        <w:tblCellMar>
          <w:top w:w="15" w:type="dxa"/>
          <w:left w:w="15" w:type="dxa"/>
          <w:bottom w:w="15" w:type="dxa"/>
          <w:right w:w="15" w:type="dxa"/>
        </w:tblCellMar>
        <w:tblLook w:val="04A0" w:firstRow="1" w:lastRow="0" w:firstColumn="1" w:lastColumn="0" w:noHBand="0" w:noVBand="1"/>
      </w:tblPr>
      <w:tblGrid>
        <w:gridCol w:w="39"/>
        <w:gridCol w:w="4292"/>
        <w:gridCol w:w="38"/>
        <w:gridCol w:w="36"/>
        <w:gridCol w:w="36"/>
        <w:gridCol w:w="36"/>
        <w:gridCol w:w="111"/>
        <w:gridCol w:w="690"/>
        <w:gridCol w:w="36"/>
        <w:gridCol w:w="36"/>
        <w:gridCol w:w="36"/>
        <w:gridCol w:w="36"/>
        <w:gridCol w:w="111"/>
        <w:gridCol w:w="852"/>
        <w:gridCol w:w="36"/>
        <w:gridCol w:w="36"/>
        <w:gridCol w:w="36"/>
        <w:gridCol w:w="36"/>
        <w:gridCol w:w="110"/>
        <w:gridCol w:w="540"/>
        <w:gridCol w:w="36"/>
        <w:gridCol w:w="36"/>
        <w:gridCol w:w="36"/>
        <w:gridCol w:w="36"/>
        <w:gridCol w:w="97"/>
        <w:gridCol w:w="850"/>
        <w:gridCol w:w="36"/>
      </w:tblGrid>
      <w:tr w:rsidR="00000000">
        <w:trPr>
          <w:divId w:val="1308827739"/>
        </w:trPr>
        <w:tc>
          <w:tcPr>
            <w:tcW w:w="50" w:type="pct"/>
            <w:vAlign w:val="center"/>
            <w:hideMark/>
          </w:tcPr>
          <w:p w:rsidR="00000000" w:rsidRDefault="0094004B">
            <w:pPr>
              <w:rPr>
                <w:rFonts w:eastAsia="Times New Roman"/>
              </w:rPr>
            </w:pPr>
          </w:p>
        </w:tc>
        <w:tc>
          <w:tcPr>
            <w:tcW w:w="2788"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4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4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4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4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308827739"/>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December 31, 2022</w:t>
            </w:r>
          </w:p>
        </w:tc>
      </w:tr>
      <w:tr w:rsidR="00000000">
        <w:trPr>
          <w:divId w:val="1308827739"/>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Carrying Amount of Assets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Accumulated Amortization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Net Carrying 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Weighted Average Remaining</w:t>
            </w:r>
            <w:r>
              <w:rPr>
                <w:rFonts w:eastAsia="Times New Roman"/>
                <w:b/>
                <w:bCs/>
                <w:color w:val="000000"/>
                <w:sz w:val="16"/>
                <w:szCs w:val="16"/>
              </w:rPr>
              <w:br/>
              <w:t>Amortization</w:t>
            </w:r>
            <w:r>
              <w:rPr>
                <w:rFonts w:eastAsia="Times New Roman"/>
                <w:b/>
                <w:bCs/>
                <w:color w:val="000000"/>
                <w:sz w:val="16"/>
                <w:szCs w:val="16"/>
              </w:rPr>
              <w:br/>
              <w:t>Period</w:t>
            </w:r>
          </w:p>
        </w:tc>
      </w:tr>
      <w:tr w:rsidR="00000000">
        <w:trPr>
          <w:divId w:val="1308827739"/>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Goodwill</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14,777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jc w:val="right"/>
              <w:rPr>
                <w:rFonts w:eastAsia="Times New Roman"/>
              </w:rPr>
            </w:pPr>
            <w:r>
              <w:rPr>
                <w:rFonts w:eastAsia="Times New Roman"/>
                <w:b/>
                <w:bCs/>
                <w:color w:val="000000"/>
                <w:sz w:val="18"/>
                <w:szCs w:val="18"/>
              </w:rPr>
              <w:t>N/A</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14,777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b/>
                <w:bCs/>
                <w:color w:val="000000"/>
                <w:sz w:val="18"/>
                <w:szCs w:val="18"/>
              </w:rPr>
              <w:t>N/A</w:t>
            </w:r>
          </w:p>
        </w:tc>
      </w:tr>
      <w:tr w:rsidR="00000000">
        <w:trPr>
          <w:divId w:val="1308827739"/>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Other intangible assets: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308827739"/>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Purchased credit card relationship (“PCCR”) intangibles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147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(26)</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121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b/>
                <w:bCs/>
                <w:color w:val="000000"/>
                <w:sz w:val="18"/>
                <w:szCs w:val="18"/>
              </w:rPr>
              <w:t>7.8 years</w:t>
            </w:r>
          </w:p>
        </w:tc>
      </w:tr>
      <w:tr w:rsidR="00000000">
        <w:trPr>
          <w:divId w:val="1308827739"/>
        </w:trPr>
        <w:tc>
          <w:tcPr>
            <w:tcW w:w="0" w:type="auto"/>
            <w:gridSpan w:val="3"/>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308827739"/>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divId w:val="1831671593"/>
              <w:rPr>
                <w:rFonts w:eastAsia="Times New Roman"/>
              </w:rPr>
            </w:pPr>
            <w:r>
              <w:rPr>
                <w:rFonts w:eastAsia="Times New Roman"/>
                <w:color w:val="000000"/>
                <w:sz w:val="18"/>
                <w:szCs w:val="18"/>
              </w:rPr>
              <w:t>Othe</w:t>
            </w:r>
            <w:r>
              <w:rPr>
                <w:rFonts w:eastAsia="Times New Roman"/>
                <w:color w:val="000000"/>
                <w:sz w:val="18"/>
                <w:szCs w:val="18"/>
              </w:rPr>
              <w:t>r</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195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(157)</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b/>
                <w:bCs/>
                <w:color w:val="000000"/>
                <w:sz w:val="18"/>
                <w:szCs w:val="18"/>
              </w:rPr>
              <w:t>5.4 years</w:t>
            </w:r>
          </w:p>
        </w:tc>
      </w:tr>
      <w:tr w:rsidR="00000000">
        <w:trPr>
          <w:divId w:val="1308827739"/>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 other intangible assets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342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(183)</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159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b/>
                <w:bCs/>
                <w:color w:val="000000"/>
                <w:sz w:val="18"/>
                <w:szCs w:val="18"/>
              </w:rPr>
              <w:t>7.3 years</w:t>
            </w:r>
          </w:p>
        </w:tc>
      </w:tr>
      <w:tr w:rsidR="00000000">
        <w:trPr>
          <w:divId w:val="1308827739"/>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 goodwill and other intangible assets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15,119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(183)</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14,936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308827739"/>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divId w:val="553351622"/>
              <w:rPr>
                <w:rFonts w:eastAsia="Times New Roman"/>
              </w:rPr>
            </w:pPr>
            <w:r>
              <w:rPr>
                <w:rFonts w:eastAsia="Times New Roman"/>
                <w:color w:val="000000"/>
                <w:sz w:val="18"/>
                <w:szCs w:val="18"/>
              </w:rPr>
              <w:t>Commercial MSR</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660</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(223)</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437</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308827739"/>
          <w:trHeight w:val="240"/>
        </w:trPr>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308827739"/>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December 31, 2021</w:t>
            </w:r>
          </w:p>
        </w:tc>
      </w:tr>
      <w:tr w:rsidR="00000000">
        <w:trPr>
          <w:divId w:val="1308827739"/>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Carrying Amount of Assets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Accumulated Amortization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Net Carrying Amount</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Weighted Average Remaining</w:t>
            </w:r>
            <w:r>
              <w:rPr>
                <w:rFonts w:eastAsia="Times New Roman"/>
                <w:b/>
                <w:bCs/>
                <w:color w:val="000000"/>
                <w:sz w:val="16"/>
                <w:szCs w:val="16"/>
              </w:rPr>
              <w:br/>
              <w:t>Amortization</w:t>
            </w:r>
            <w:r>
              <w:rPr>
                <w:rFonts w:eastAsia="Times New Roman"/>
                <w:b/>
                <w:bCs/>
                <w:color w:val="000000"/>
                <w:sz w:val="16"/>
                <w:szCs w:val="16"/>
              </w:rPr>
              <w:br/>
              <w:t>Period</w:t>
            </w:r>
          </w:p>
        </w:tc>
      </w:tr>
      <w:tr w:rsidR="00000000">
        <w:trPr>
          <w:divId w:val="1308827739"/>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Goodwill</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14,782 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jc w:val="right"/>
              <w:rPr>
                <w:rFonts w:eastAsia="Times New Roman"/>
              </w:rPr>
            </w:pPr>
            <w:r>
              <w:rPr>
                <w:rFonts w:eastAsia="Times New Roman"/>
                <w:color w:val="000000"/>
                <w:sz w:val="18"/>
                <w:szCs w:val="18"/>
              </w:rPr>
              <w:t>N/A</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14,782 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8"/>
                <w:szCs w:val="18"/>
              </w:rPr>
              <w:t>N/A</w:t>
            </w:r>
          </w:p>
        </w:tc>
      </w:tr>
      <w:tr w:rsidR="00000000">
        <w:trPr>
          <w:divId w:val="1308827739"/>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Other intangible assets: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308827739"/>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Purchased credit card relationship (“PCCR”) intangibles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29 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(10)</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19 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8"/>
                <w:szCs w:val="18"/>
              </w:rPr>
              <w:t>5.9 years</w:t>
            </w:r>
          </w:p>
        </w:tc>
      </w:tr>
      <w:tr w:rsidR="00000000">
        <w:trPr>
          <w:divId w:val="1308827739"/>
        </w:trPr>
        <w:tc>
          <w:tcPr>
            <w:tcW w:w="0" w:type="auto"/>
            <w:gridSpan w:val="3"/>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308827739"/>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divId w:val="1290164241"/>
              <w:rPr>
                <w:rFonts w:eastAsia="Times New Roman"/>
              </w:rPr>
            </w:pPr>
            <w:r>
              <w:rPr>
                <w:rFonts w:eastAsia="Times New Roman"/>
                <w:color w:val="000000"/>
                <w:sz w:val="18"/>
                <w:szCs w:val="18"/>
              </w:rPr>
              <w:t>Othe</w:t>
            </w:r>
            <w:r>
              <w:rPr>
                <w:rFonts w:eastAsia="Times New Roman"/>
                <w:color w:val="000000"/>
                <w:sz w:val="18"/>
                <w:szCs w:val="18"/>
              </w:rPr>
              <w:t>r</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213 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(121)</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92 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8"/>
                <w:szCs w:val="18"/>
              </w:rPr>
              <w:t>4.1 years</w:t>
            </w:r>
          </w:p>
        </w:tc>
      </w:tr>
      <w:tr w:rsidR="00000000">
        <w:trPr>
          <w:divId w:val="1308827739"/>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 other intangible assets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242 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(131)</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111 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8"/>
                <w:szCs w:val="18"/>
              </w:rPr>
              <w:t>4.4 years</w:t>
            </w:r>
          </w:p>
        </w:tc>
      </w:tr>
      <w:tr w:rsidR="00000000">
        <w:trPr>
          <w:divId w:val="1308827739"/>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 goodwill and other intangible assets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15,024 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(131)</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14,893 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308827739"/>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divId w:val="660352383"/>
              <w:rPr>
                <w:rFonts w:eastAsia="Times New Roman"/>
              </w:rPr>
            </w:pPr>
            <w:r>
              <w:rPr>
                <w:rFonts w:eastAsia="Times New Roman"/>
                <w:color w:val="000000"/>
                <w:sz w:val="18"/>
                <w:szCs w:val="18"/>
              </w:rPr>
              <w:t>Commercial MSR</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622 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(202)</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420 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bl>
    <w:p w:rsidR="00000000" w:rsidRDefault="0094004B">
      <w:pPr>
        <w:divId w:val="1308827739"/>
        <w:rPr>
          <w:rFonts w:eastAsia="Times New Roman"/>
        </w:rPr>
      </w:pPr>
      <w:r>
        <w:rPr>
          <w:rFonts w:eastAsia="Times New Roman"/>
          <w:color w:val="000000"/>
          <w:sz w:val="20"/>
          <w:szCs w:val="20"/>
        </w:rPr>
        <w:t>__________</w:t>
      </w:r>
    </w:p>
    <w:p w:rsidR="00000000" w:rsidRDefault="0094004B">
      <w:pPr>
        <w:ind w:hanging="360"/>
        <w:jc w:val="both"/>
        <w:divId w:val="1441341636"/>
        <w:rPr>
          <w:rFonts w:eastAsia="Times New Roman"/>
        </w:rPr>
      </w:pPr>
      <w:r>
        <w:rPr>
          <w:rFonts w:eastAsia="Times New Roman"/>
          <w:color w:val="000000"/>
          <w:sz w:val="10"/>
          <w:szCs w:val="10"/>
          <w:shd w:val="clear" w:color="auto" w:fill="FFFFFF"/>
        </w:rPr>
        <w:t>(1</w:t>
      </w:r>
      <w:r>
        <w:rPr>
          <w:rFonts w:eastAsia="Times New Roman"/>
          <w:color w:val="000000"/>
          <w:sz w:val="10"/>
          <w:szCs w:val="10"/>
          <w:shd w:val="clear" w:color="auto" w:fill="FFFFFF"/>
        </w:rPr>
        <w:t>)</w:t>
      </w:r>
      <w:r>
        <w:rPr>
          <w:rFonts w:eastAsia="Times New Roman"/>
          <w:color w:val="000000"/>
          <w:sz w:val="16"/>
          <w:szCs w:val="16"/>
          <w:shd w:val="clear" w:color="auto" w:fill="FFFFFF"/>
        </w:rPr>
        <w:t>Primarily consists of intangibles for sponsorship, customer and merchant relation</w:t>
      </w:r>
      <w:r>
        <w:rPr>
          <w:rFonts w:eastAsia="Times New Roman"/>
          <w:color w:val="000000"/>
          <w:sz w:val="16"/>
          <w:szCs w:val="16"/>
          <w:shd w:val="clear" w:color="auto" w:fill="FFFFFF"/>
        </w:rPr>
        <w:t>ships, trade names and other customer contract intangibles.</w:t>
      </w:r>
    </w:p>
    <w:p w:rsidR="00000000" w:rsidRDefault="0094004B">
      <w:pPr>
        <w:ind w:hanging="360"/>
        <w:jc w:val="both"/>
        <w:divId w:val="594484425"/>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Commercial MSRs are accounted for under the amortization method under which we recorded $93 million and $79 million of amortization expense for the years ended December 31, 2022 and 2021 , resp</w:t>
      </w:r>
      <w:r>
        <w:rPr>
          <w:rFonts w:eastAsia="Times New Roman"/>
          <w:color w:val="000000"/>
          <w:sz w:val="16"/>
          <w:szCs w:val="16"/>
        </w:rPr>
        <w:t>ectively.</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582374179"/>
          <w:jc w:val="center"/>
        </w:trPr>
        <w:tc>
          <w:tcPr>
            <w:tcW w:w="50" w:type="pct"/>
            <w:vAlign w:val="center"/>
            <w:hideMark/>
          </w:tcPr>
          <w:p w:rsidR="00000000" w:rsidRDefault="0094004B">
            <w:pPr>
              <w:ind w:hanging="360"/>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582374179"/>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582374179"/>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158</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84" style="width:0;height:1.5pt" o:hralign="center" o:hrstd="t" o:hr="t" fillcolor="#a0a0a0" stroked="f"/>
        </w:pict>
      </w:r>
    </w:p>
    <w:p w:rsidR="00000000" w:rsidRDefault="0094004B">
      <w:pPr>
        <w:jc w:val="both"/>
        <w:divId w:val="367410959"/>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367410959"/>
        <w:rPr>
          <w:rFonts w:eastAsia="Times New Roman"/>
        </w:rPr>
      </w:pPr>
    </w:p>
    <w:p w:rsidR="00000000" w:rsidRDefault="0094004B">
      <w:pPr>
        <w:jc w:val="center"/>
        <w:divId w:val="367410959"/>
        <w:rPr>
          <w:rFonts w:eastAsia="Times New Roman"/>
        </w:rPr>
      </w:pPr>
      <w:r>
        <w:rPr>
          <w:rFonts w:eastAsia="Times New Roman"/>
          <w:b/>
          <w:bCs/>
          <w:color w:val="000000"/>
          <w:sz w:val="20"/>
          <w:szCs w:val="20"/>
        </w:rPr>
        <w:t>CAPITAL ONE FINANCIAL CORPORATION</w:t>
      </w:r>
    </w:p>
    <w:p w:rsidR="00000000" w:rsidRDefault="0094004B">
      <w:pPr>
        <w:jc w:val="center"/>
        <w:divId w:val="367410959"/>
        <w:rPr>
          <w:rFonts w:eastAsia="Times New Roman"/>
        </w:rPr>
      </w:pPr>
      <w:r>
        <w:rPr>
          <w:rFonts w:eastAsia="Times New Roman"/>
          <w:b/>
          <w:bCs/>
          <w:color w:val="000000"/>
          <w:sz w:val="20"/>
          <w:szCs w:val="20"/>
        </w:rPr>
        <w:t>NOTES TO CONSOLIDATED FINANCIAL STATEMENTS</w:t>
      </w:r>
    </w:p>
    <w:p w:rsidR="00000000" w:rsidRDefault="0094004B">
      <w:pPr>
        <w:divId w:val="1263757025"/>
        <w:rPr>
          <w:rFonts w:eastAsia="Times New Roman"/>
        </w:rPr>
      </w:pPr>
      <w:r>
        <w:rPr>
          <w:rFonts w:eastAsia="Times New Roman"/>
          <w:b/>
          <w:bCs/>
          <w:color w:val="000000"/>
          <w:sz w:val="20"/>
          <w:szCs w:val="20"/>
        </w:rPr>
        <w:t>Goodwill</w:t>
      </w:r>
    </w:p>
    <w:p w:rsidR="00000000" w:rsidRDefault="0094004B">
      <w:pPr>
        <w:jc w:val="both"/>
        <w:divId w:val="1961836989"/>
        <w:rPr>
          <w:rFonts w:eastAsia="Times New Roman"/>
        </w:rPr>
      </w:pPr>
      <w:r>
        <w:rPr>
          <w:rFonts w:eastAsia="Times New Roman"/>
          <w:color w:val="000000"/>
          <w:sz w:val="20"/>
          <w:szCs w:val="20"/>
        </w:rPr>
        <w:t xml:space="preserve">The following table presents changes in carrying amount of goodwill by each of our business segments as of December 31, 2022, </w:t>
      </w:r>
      <w:r>
        <w:rPr>
          <w:rFonts w:eastAsia="Times New Roman"/>
          <w:color w:val="000000"/>
          <w:sz w:val="20"/>
          <w:szCs w:val="20"/>
          <w:shd w:val="clear" w:color="auto" w:fill="FFFFFF"/>
        </w:rPr>
        <w:t>2021</w:t>
      </w:r>
      <w:r>
        <w:rPr>
          <w:rFonts w:eastAsia="Times New Roman"/>
          <w:color w:val="000000"/>
          <w:sz w:val="20"/>
          <w:szCs w:val="20"/>
        </w:rPr>
        <w:t xml:space="preserve"> and </w:t>
      </w:r>
      <w:r>
        <w:rPr>
          <w:rFonts w:eastAsia="Times New Roman"/>
          <w:color w:val="000000"/>
          <w:sz w:val="20"/>
          <w:szCs w:val="20"/>
          <w:shd w:val="clear" w:color="auto" w:fill="FFFFFF"/>
        </w:rPr>
        <w:t>2020</w:t>
      </w:r>
      <w:r>
        <w:rPr>
          <w:rFonts w:eastAsia="Times New Roman"/>
          <w:color w:val="000000"/>
          <w:sz w:val="20"/>
          <w:szCs w:val="20"/>
        </w:rPr>
        <w:t>. There were no changes in the carrying amount of goodwill by each of our business segments for the year ended Decemb</w:t>
      </w:r>
      <w:r>
        <w:rPr>
          <w:rFonts w:eastAsia="Times New Roman"/>
          <w:color w:val="000000"/>
          <w:sz w:val="20"/>
          <w:szCs w:val="20"/>
        </w:rPr>
        <w:t>er 31, 2020. We did not recognize any goodwill impairment during 2022, 2021 and 2020</w:t>
      </w:r>
      <w:r>
        <w:rPr>
          <w:rFonts w:eastAsia="Times New Roman"/>
          <w:color w:val="000000"/>
          <w:sz w:val="20"/>
          <w:szCs w:val="20"/>
          <w:shd w:val="clear" w:color="auto" w:fill="FFFFFF"/>
        </w:rPr>
        <w:t>.</w:t>
      </w:r>
    </w:p>
    <w:p w:rsidR="00000000" w:rsidRDefault="0094004B">
      <w:pPr>
        <w:divId w:val="2109351535"/>
        <w:rPr>
          <w:rFonts w:eastAsia="Times New Roman"/>
        </w:rPr>
      </w:pPr>
      <w:r>
        <w:rPr>
          <w:rFonts w:eastAsia="Times New Roman"/>
          <w:b/>
          <w:bCs/>
          <w:color w:val="000000"/>
          <w:sz w:val="18"/>
          <w:szCs w:val="18"/>
        </w:rPr>
        <w:t>Table 6.2: Goodwill by Business Segments</w:t>
      </w:r>
    </w:p>
    <w:tbl>
      <w:tblPr>
        <w:tblW w:w="4978" w:type="pct"/>
        <w:tblCellMar>
          <w:top w:w="15" w:type="dxa"/>
          <w:left w:w="15" w:type="dxa"/>
          <w:bottom w:w="15" w:type="dxa"/>
          <w:right w:w="15" w:type="dxa"/>
        </w:tblCellMar>
        <w:tblLook w:val="04A0" w:firstRow="1" w:lastRow="0" w:firstColumn="1" w:lastColumn="0" w:noHBand="0" w:noVBand="1"/>
      </w:tblPr>
      <w:tblGrid>
        <w:gridCol w:w="40"/>
        <w:gridCol w:w="4651"/>
        <w:gridCol w:w="39"/>
        <w:gridCol w:w="36"/>
        <w:gridCol w:w="36"/>
        <w:gridCol w:w="36"/>
        <w:gridCol w:w="110"/>
        <w:gridCol w:w="532"/>
        <w:gridCol w:w="36"/>
        <w:gridCol w:w="36"/>
        <w:gridCol w:w="36"/>
        <w:gridCol w:w="36"/>
        <w:gridCol w:w="111"/>
        <w:gridCol w:w="666"/>
        <w:gridCol w:w="36"/>
        <w:gridCol w:w="36"/>
        <w:gridCol w:w="36"/>
        <w:gridCol w:w="36"/>
        <w:gridCol w:w="111"/>
        <w:gridCol w:w="783"/>
        <w:gridCol w:w="36"/>
        <w:gridCol w:w="36"/>
        <w:gridCol w:w="36"/>
        <w:gridCol w:w="36"/>
        <w:gridCol w:w="110"/>
        <w:gridCol w:w="540"/>
        <w:gridCol w:w="36"/>
      </w:tblGrid>
      <w:tr w:rsidR="00000000">
        <w:trPr>
          <w:divId w:val="567107065"/>
        </w:trPr>
        <w:tc>
          <w:tcPr>
            <w:tcW w:w="50" w:type="pct"/>
            <w:vAlign w:val="center"/>
            <w:hideMark/>
          </w:tcPr>
          <w:p w:rsidR="00000000" w:rsidRDefault="0094004B">
            <w:pPr>
              <w:rPr>
                <w:rFonts w:eastAsia="Times New Roman"/>
              </w:rPr>
            </w:pPr>
          </w:p>
        </w:tc>
        <w:tc>
          <w:tcPr>
            <w:tcW w:w="288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2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2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2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2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567107065"/>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Credit Card</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Consumer Banking</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Commercial Banking</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Total</w:t>
            </w:r>
          </w:p>
        </w:tc>
      </w:tr>
      <w:tr w:rsidR="00000000">
        <w:trPr>
          <w:divId w:val="56710706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Balance as of December 31, 2019</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5,088 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4,645 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4,920 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14,653 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567107065"/>
        </w:trPr>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567107065"/>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567107065"/>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567107065"/>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Balance as of December 31, 2020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5,088 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4,645 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4,920 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14,653 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567107065"/>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Acquisitions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130 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130 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567107065"/>
        </w:trPr>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567107065"/>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divId w:val="72044904"/>
              <w:rPr>
                <w:rFonts w:eastAsia="Times New Roman"/>
              </w:rPr>
            </w:pPr>
            <w:r>
              <w:rPr>
                <w:rFonts w:eastAsia="Times New Roman"/>
                <w:color w:val="000000"/>
                <w:sz w:val="18"/>
                <w:szCs w:val="18"/>
              </w:rPr>
              <w:t>Other adjustment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567107065"/>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Balance as of December 31, 2021</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5,087 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4,645 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5,050 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14,782 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567107065"/>
        </w:trPr>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567107065"/>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567107065"/>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divId w:val="572859552"/>
              <w:rPr>
                <w:rFonts w:eastAsia="Times New Roman"/>
              </w:rPr>
            </w:pPr>
            <w:r>
              <w:rPr>
                <w:rFonts w:eastAsia="Times New Roman"/>
                <w:color w:val="000000"/>
                <w:sz w:val="18"/>
                <w:szCs w:val="18"/>
              </w:rPr>
              <w:t>Other adjustment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(9)</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(5)</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567107065"/>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Balance as of December 31, 2022</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5,078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4,645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5,054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14,777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bl>
    <w:p w:rsidR="00000000" w:rsidRDefault="0094004B">
      <w:pPr>
        <w:divId w:val="567107065"/>
        <w:rPr>
          <w:rFonts w:eastAsia="Times New Roman"/>
        </w:rPr>
      </w:pPr>
      <w:r>
        <w:rPr>
          <w:rFonts w:eastAsia="Times New Roman"/>
          <w:color w:val="000000"/>
          <w:sz w:val="20"/>
          <w:szCs w:val="20"/>
        </w:rPr>
        <w:t>__________</w:t>
      </w:r>
    </w:p>
    <w:p w:rsidR="00000000" w:rsidRDefault="0094004B">
      <w:pPr>
        <w:ind w:hanging="360"/>
        <w:jc w:val="both"/>
        <w:divId w:val="884634072"/>
        <w:rPr>
          <w:rFonts w:eastAsia="Times New Roman"/>
        </w:rPr>
      </w:pPr>
      <w:r>
        <w:rPr>
          <w:rFonts w:eastAsia="Times New Roman"/>
          <w:color w:val="000000"/>
          <w:sz w:val="10"/>
          <w:szCs w:val="10"/>
          <w:shd w:val="clear" w:color="auto" w:fill="FFFFFF"/>
        </w:rPr>
        <w:t>(1</w:t>
      </w:r>
      <w:r>
        <w:rPr>
          <w:rFonts w:eastAsia="Times New Roman"/>
          <w:color w:val="000000"/>
          <w:sz w:val="10"/>
          <w:szCs w:val="10"/>
          <w:shd w:val="clear" w:color="auto" w:fill="FFFFFF"/>
        </w:rPr>
        <w:t>)</w:t>
      </w:r>
      <w:r>
        <w:rPr>
          <w:rFonts w:eastAsia="Times New Roman"/>
          <w:color w:val="000000"/>
          <w:sz w:val="16"/>
          <w:szCs w:val="16"/>
        </w:rPr>
        <w:t>Represents foreign currency translation adjustments and measurement period adjustments on prior period acquisitions.</w:t>
      </w:r>
    </w:p>
    <w:p w:rsidR="00000000" w:rsidRDefault="0094004B">
      <w:pPr>
        <w:jc w:val="both"/>
        <w:divId w:val="249199981"/>
        <w:rPr>
          <w:rFonts w:eastAsia="Times New Roman"/>
        </w:rPr>
      </w:pPr>
      <w:r>
        <w:rPr>
          <w:rFonts w:eastAsia="Times New Roman"/>
          <w:color w:val="000000"/>
          <w:sz w:val="20"/>
          <w:szCs w:val="20"/>
        </w:rPr>
        <w:t>The goodwill impairment tes</w:t>
      </w:r>
      <w:r>
        <w:rPr>
          <w:rFonts w:eastAsia="Times New Roman"/>
          <w:color w:val="000000"/>
          <w:sz w:val="20"/>
          <w:szCs w:val="20"/>
        </w:rPr>
        <w:t>t is performed as of October 1 of each year. An impairment of a reporting unit’s goodwill is determined based on the amount by which the reporting unit’s carrying value exceeds its fair value, limited to the amount of goodwill allocated to the reporting un</w:t>
      </w:r>
      <w:r>
        <w:rPr>
          <w:rFonts w:eastAsia="Times New Roman"/>
          <w:color w:val="000000"/>
          <w:sz w:val="20"/>
          <w:szCs w:val="20"/>
        </w:rPr>
        <w:t>it.</w:t>
      </w:r>
    </w:p>
    <w:p w:rsidR="00000000" w:rsidRDefault="0094004B">
      <w:pPr>
        <w:jc w:val="both"/>
        <w:divId w:val="1791703106"/>
        <w:rPr>
          <w:rFonts w:eastAsia="Times New Roman"/>
        </w:rPr>
      </w:pPr>
      <w:r>
        <w:rPr>
          <w:rFonts w:eastAsia="Times New Roman"/>
          <w:color w:val="000000"/>
          <w:sz w:val="20"/>
          <w:szCs w:val="20"/>
        </w:rPr>
        <w:t>The fair value of reporting units is calculated using a discounted cash flow methodology, a form of the income approach. The calculation uses projected cash flows based on each reporting unit’s internal forecast and uses the perpetuity growth method to</w:t>
      </w:r>
      <w:r>
        <w:rPr>
          <w:rFonts w:eastAsia="Times New Roman"/>
          <w:color w:val="000000"/>
          <w:sz w:val="20"/>
          <w:szCs w:val="20"/>
        </w:rPr>
        <w:t xml:space="preserve"> calculate terminal values. These cash flows and terminal values are then discounted using appropriate discount rates, which are largely based on our external cost of equity with adjustments for risk inherent in each reporting unit. The carrying amount for</w:t>
      </w:r>
      <w:r>
        <w:rPr>
          <w:rFonts w:eastAsia="Times New Roman"/>
          <w:color w:val="000000"/>
          <w:sz w:val="20"/>
          <w:szCs w:val="20"/>
        </w:rPr>
        <w:t xml:space="preserve"> a reporting unit is the sum of its respective capital requirements, goodwill and other intangibles balances. Capital is allocated based on each reporting unit’s specific regulatory capital requirements, economic capital requirements, and underlying risks.</w:t>
      </w:r>
      <w:r>
        <w:rPr>
          <w:rFonts w:eastAsia="Times New Roman"/>
          <w:color w:val="000000"/>
          <w:sz w:val="20"/>
          <w:szCs w:val="20"/>
        </w:rPr>
        <w:t xml:space="preserve"> Consolidated stockholder’s equity in excess of the sum of all reporting unit’s capital requirements that is not identified for future capital needs, such as dividends, share buybacks, or other strategic initiatives, is allocated to the reporting units and</w:t>
      </w:r>
      <w:r>
        <w:rPr>
          <w:rFonts w:eastAsia="Times New Roman"/>
          <w:color w:val="000000"/>
          <w:sz w:val="20"/>
          <w:szCs w:val="20"/>
        </w:rPr>
        <w:t xml:space="preserve"> the Other category and assumed distributed to equity holders in future periods. Our discounted cash flow analysis requires management to make judgments about future loan and deposit growth, revenue growth, credit losses, and capital rates. The reasonablen</w:t>
      </w:r>
      <w:r>
        <w:rPr>
          <w:rFonts w:eastAsia="Times New Roman"/>
          <w:color w:val="000000"/>
          <w:sz w:val="20"/>
          <w:szCs w:val="20"/>
        </w:rPr>
        <w:t>ess of our fair value calculation is assessed by reference to a market-based approach using comparable market multiples and recent market transactions where available.</w:t>
      </w:r>
    </w:p>
    <w:p w:rsidR="00000000" w:rsidRDefault="0094004B">
      <w:pPr>
        <w:jc w:val="both"/>
        <w:divId w:val="1273242229"/>
        <w:rPr>
          <w:rFonts w:eastAsia="Times New Roman"/>
        </w:rPr>
      </w:pPr>
    </w:p>
    <w:p w:rsidR="00000000" w:rsidRDefault="0094004B">
      <w:pPr>
        <w:jc w:val="both"/>
        <w:divId w:val="19941793"/>
        <w:rPr>
          <w:rFonts w:eastAsia="Times New Roman"/>
        </w:rPr>
      </w:pPr>
    </w:p>
    <w:p w:rsidR="00000000" w:rsidRDefault="0094004B">
      <w:pPr>
        <w:jc w:val="both"/>
        <w:divId w:val="916209146"/>
        <w:rPr>
          <w:rFonts w:eastAsia="Times New Roman"/>
        </w:rPr>
      </w:pPr>
    </w:p>
    <w:p w:rsidR="00000000" w:rsidRDefault="0094004B">
      <w:pPr>
        <w:jc w:val="both"/>
        <w:divId w:val="991981103"/>
        <w:rPr>
          <w:rFonts w:eastAsia="Times New Roman"/>
        </w:rPr>
      </w:pPr>
    </w:p>
    <w:p w:rsidR="00000000" w:rsidRDefault="0094004B">
      <w:pPr>
        <w:jc w:val="both"/>
        <w:divId w:val="436829155"/>
        <w:rPr>
          <w:rFonts w:eastAsia="Times New Roman"/>
        </w:rPr>
      </w:pPr>
    </w:p>
    <w:p w:rsidR="00000000" w:rsidRDefault="0094004B">
      <w:pPr>
        <w:jc w:val="both"/>
        <w:divId w:val="1590771570"/>
        <w:rPr>
          <w:rFonts w:eastAsia="Times New Roman"/>
        </w:rPr>
      </w:pPr>
    </w:p>
    <w:p w:rsidR="00000000" w:rsidRDefault="0094004B">
      <w:pPr>
        <w:jc w:val="both"/>
        <w:divId w:val="429084352"/>
        <w:rPr>
          <w:rFonts w:eastAsia="Times New Roman"/>
        </w:rPr>
      </w:pPr>
    </w:p>
    <w:p w:rsidR="00000000" w:rsidRDefault="0094004B">
      <w:pPr>
        <w:jc w:val="both"/>
        <w:divId w:val="747580130"/>
        <w:rPr>
          <w:rFonts w:eastAsia="Times New Roman"/>
        </w:rPr>
      </w:pPr>
    </w:p>
    <w:p w:rsidR="00000000" w:rsidRDefault="0094004B">
      <w:pPr>
        <w:jc w:val="both"/>
        <w:divId w:val="891499747"/>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2010256773"/>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2010256773"/>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2010256773"/>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159</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85" style="width:0;height:1.5pt" o:hralign="center" o:hrstd="t" o:hr="t" fillcolor="#a0a0a0" stroked="f"/>
        </w:pict>
      </w:r>
    </w:p>
    <w:p w:rsidR="00000000" w:rsidRDefault="0094004B">
      <w:pPr>
        <w:jc w:val="both"/>
        <w:divId w:val="711270637"/>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711270637"/>
        <w:rPr>
          <w:rFonts w:eastAsia="Times New Roman"/>
        </w:rPr>
      </w:pPr>
    </w:p>
    <w:p w:rsidR="00000000" w:rsidRDefault="0094004B">
      <w:pPr>
        <w:jc w:val="center"/>
        <w:divId w:val="711270637"/>
        <w:rPr>
          <w:rFonts w:eastAsia="Times New Roman"/>
        </w:rPr>
      </w:pPr>
      <w:r>
        <w:rPr>
          <w:rFonts w:eastAsia="Times New Roman"/>
          <w:b/>
          <w:bCs/>
          <w:color w:val="000000"/>
          <w:sz w:val="20"/>
          <w:szCs w:val="20"/>
        </w:rPr>
        <w:t>CAPITAL ONE FINANCIAL CORPORATION</w:t>
      </w:r>
    </w:p>
    <w:p w:rsidR="00000000" w:rsidRDefault="0094004B">
      <w:pPr>
        <w:jc w:val="center"/>
        <w:divId w:val="711270637"/>
        <w:rPr>
          <w:rFonts w:eastAsia="Times New Roman"/>
        </w:rPr>
      </w:pPr>
      <w:r>
        <w:rPr>
          <w:rFonts w:eastAsia="Times New Roman"/>
          <w:b/>
          <w:bCs/>
          <w:color w:val="000000"/>
          <w:sz w:val="20"/>
          <w:szCs w:val="20"/>
        </w:rPr>
        <w:t>NOTES TO CONSOLIDATED FINANCIAL STATEMENTS</w:t>
      </w:r>
    </w:p>
    <w:p w:rsidR="00000000" w:rsidRDefault="0094004B">
      <w:pPr>
        <w:jc w:val="both"/>
        <w:divId w:val="856306442"/>
        <w:rPr>
          <w:rFonts w:eastAsia="Times New Roman"/>
        </w:rPr>
      </w:pPr>
      <w:r>
        <w:rPr>
          <w:rFonts w:eastAsia="Times New Roman"/>
          <w:b/>
          <w:bCs/>
          <w:color w:val="000000"/>
          <w:sz w:val="20"/>
          <w:szCs w:val="20"/>
        </w:rPr>
        <w:t>Intangible Assets</w:t>
      </w:r>
    </w:p>
    <w:p w:rsidR="00000000" w:rsidRDefault="0094004B">
      <w:pPr>
        <w:jc w:val="both"/>
        <w:divId w:val="672880926"/>
        <w:rPr>
          <w:rFonts w:eastAsia="Times New Roman"/>
        </w:rPr>
      </w:pPr>
      <w:r>
        <w:rPr>
          <w:rFonts w:eastAsia="Times New Roman"/>
          <w:color w:val="000000"/>
          <w:sz w:val="20"/>
          <w:szCs w:val="20"/>
        </w:rPr>
        <w:t>In connection with our acquisitions, we record</w:t>
      </w:r>
      <w:r>
        <w:rPr>
          <w:rFonts w:eastAsia="Times New Roman"/>
          <w:color w:val="000000"/>
          <w:sz w:val="20"/>
          <w:szCs w:val="20"/>
        </w:rPr>
        <w:t>ed intangible assets that include PCCR intangibles, sponsorship, customer and merchant relationships, partnership, trade names, and other customer contract intangibles. At acquisition, the PCCR intangibles reflect the estimated value of existing credit car</w:t>
      </w:r>
      <w:r>
        <w:rPr>
          <w:rFonts w:eastAsia="Times New Roman"/>
          <w:color w:val="000000"/>
          <w:sz w:val="20"/>
          <w:szCs w:val="20"/>
        </w:rPr>
        <w:t>d holder relationships. There was a $10 million impairment of intangible assets in 2022. There were no impairments of intangible assets in 2021 and 2020.</w:t>
      </w:r>
    </w:p>
    <w:p w:rsidR="00000000" w:rsidRDefault="0094004B">
      <w:pPr>
        <w:jc w:val="both"/>
        <w:divId w:val="148523830"/>
        <w:rPr>
          <w:rFonts w:eastAsia="Times New Roman"/>
        </w:rPr>
      </w:pPr>
      <w:r>
        <w:rPr>
          <w:rFonts w:eastAsia="Times New Roman"/>
          <w:color w:val="000000"/>
          <w:sz w:val="20"/>
          <w:szCs w:val="20"/>
        </w:rPr>
        <w:t>Intangible assets are typically amortized over their respective estimated useful lives on either an ac</w:t>
      </w:r>
      <w:r>
        <w:rPr>
          <w:rFonts w:eastAsia="Times New Roman"/>
          <w:color w:val="000000"/>
          <w:sz w:val="20"/>
          <w:szCs w:val="20"/>
        </w:rPr>
        <w:t>celerated or straight-line basis. The following table summarizes the actual amortization expense recorded for the years ended December 31, 2022, 2021 and 2020 and the estimated future amortization expense for intangible assets as of December 31, 2022:</w:t>
      </w:r>
    </w:p>
    <w:p w:rsidR="00000000" w:rsidRDefault="0094004B">
      <w:pPr>
        <w:jc w:val="both"/>
        <w:divId w:val="71510165"/>
        <w:rPr>
          <w:rFonts w:eastAsia="Times New Roman"/>
        </w:rPr>
      </w:pPr>
      <w:r>
        <w:rPr>
          <w:rFonts w:eastAsia="Times New Roman"/>
          <w:b/>
          <w:bCs/>
          <w:color w:val="000000"/>
          <w:sz w:val="20"/>
          <w:szCs w:val="20"/>
        </w:rPr>
        <w:t>Tabl</w:t>
      </w:r>
      <w:r>
        <w:rPr>
          <w:rFonts w:eastAsia="Times New Roman"/>
          <w:b/>
          <w:bCs/>
          <w:color w:val="000000"/>
          <w:sz w:val="20"/>
          <w:szCs w:val="20"/>
        </w:rPr>
        <w:t>e 6.3: Amortization Expense</w:t>
      </w:r>
    </w:p>
    <w:tbl>
      <w:tblPr>
        <w:tblW w:w="5000" w:type="pct"/>
        <w:tblCellMar>
          <w:top w:w="15" w:type="dxa"/>
          <w:left w:w="15" w:type="dxa"/>
          <w:bottom w:w="15" w:type="dxa"/>
          <w:right w:w="15" w:type="dxa"/>
        </w:tblCellMar>
        <w:tblLook w:val="04A0" w:firstRow="1" w:lastRow="0" w:firstColumn="1" w:lastColumn="0" w:noHBand="0" w:noVBand="1"/>
      </w:tblPr>
      <w:tblGrid>
        <w:gridCol w:w="38"/>
        <w:gridCol w:w="7124"/>
        <w:gridCol w:w="37"/>
        <w:gridCol w:w="36"/>
        <w:gridCol w:w="36"/>
        <w:gridCol w:w="36"/>
        <w:gridCol w:w="111"/>
        <w:gridCol w:w="852"/>
        <w:gridCol w:w="36"/>
      </w:tblGrid>
      <w:tr w:rsidR="00000000">
        <w:trPr>
          <w:divId w:val="1093428458"/>
        </w:trPr>
        <w:tc>
          <w:tcPr>
            <w:tcW w:w="50" w:type="pct"/>
            <w:vAlign w:val="center"/>
            <w:hideMark/>
          </w:tcPr>
          <w:p w:rsidR="00000000" w:rsidRDefault="0094004B">
            <w:pPr>
              <w:jc w:val="both"/>
              <w:rPr>
                <w:rFonts w:eastAsia="Times New Roman"/>
              </w:rPr>
            </w:pPr>
          </w:p>
        </w:tc>
        <w:tc>
          <w:tcPr>
            <w:tcW w:w="440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4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093428458"/>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Amortization</w:t>
            </w:r>
            <w:r>
              <w:rPr>
                <w:rFonts w:eastAsia="Times New Roman"/>
                <w:b/>
                <w:bCs/>
                <w:color w:val="000000"/>
                <w:sz w:val="16"/>
                <w:szCs w:val="16"/>
              </w:rPr>
              <w:br/>
              <w:t>Expense</w:t>
            </w:r>
          </w:p>
        </w:tc>
      </w:tr>
      <w:tr w:rsidR="00000000">
        <w:trPr>
          <w:divId w:val="1093428458"/>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Actual for the year ended December 31,</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093428458"/>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2020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60 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093428458"/>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2021</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29 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093428458"/>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2022</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60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093428458"/>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Estimated future amounts for the year ending December 31,</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093428458"/>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2023</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093428458"/>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2024</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093428458"/>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2025</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093428458"/>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2026</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093428458"/>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2027</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093428458"/>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Thereafter</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093428458"/>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 estimated future amounts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150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bl>
    <w:p w:rsidR="00000000" w:rsidRDefault="0094004B">
      <w:pPr>
        <w:jc w:val="both"/>
        <w:divId w:val="148985949"/>
        <w:rPr>
          <w:rFonts w:eastAsia="Times New Roman"/>
        </w:rPr>
      </w:pPr>
    </w:p>
    <w:p w:rsidR="00000000" w:rsidRDefault="0094004B">
      <w:pPr>
        <w:jc w:val="both"/>
        <w:divId w:val="440032462"/>
        <w:rPr>
          <w:rFonts w:eastAsia="Times New Roman"/>
        </w:rPr>
      </w:pPr>
    </w:p>
    <w:p w:rsidR="00000000" w:rsidRDefault="0094004B">
      <w:pPr>
        <w:jc w:val="both"/>
        <w:divId w:val="1932859681"/>
        <w:rPr>
          <w:rFonts w:eastAsia="Times New Roman"/>
        </w:rPr>
      </w:pPr>
    </w:p>
    <w:p w:rsidR="00000000" w:rsidRDefault="0094004B">
      <w:pPr>
        <w:ind w:firstLine="360"/>
        <w:jc w:val="both"/>
        <w:divId w:val="540438669"/>
        <w:rPr>
          <w:rFonts w:eastAsia="Times New Roman"/>
        </w:rPr>
      </w:pPr>
    </w:p>
    <w:p w:rsidR="00000000" w:rsidRDefault="0094004B">
      <w:pPr>
        <w:ind w:hanging="360"/>
        <w:jc w:val="both"/>
        <w:divId w:val="173692748"/>
        <w:rPr>
          <w:rFonts w:eastAsia="Times New Roman"/>
        </w:rPr>
      </w:pPr>
    </w:p>
    <w:p w:rsidR="00000000" w:rsidRDefault="0094004B">
      <w:pPr>
        <w:ind w:hanging="360"/>
        <w:jc w:val="both"/>
        <w:divId w:val="829321965"/>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233205027"/>
          <w:jc w:val="center"/>
        </w:trPr>
        <w:tc>
          <w:tcPr>
            <w:tcW w:w="50" w:type="pct"/>
            <w:vAlign w:val="center"/>
            <w:hideMark/>
          </w:tcPr>
          <w:p w:rsidR="00000000" w:rsidRDefault="0094004B">
            <w:pPr>
              <w:ind w:hanging="360"/>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233205027"/>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233205027"/>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160</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86" style="width:0;height:1.5pt" o:hralign="center" o:hrstd="t" o:hr="t" fillcolor="#a0a0a0" stroked="f"/>
        </w:pict>
      </w:r>
    </w:p>
    <w:p w:rsidR="00000000" w:rsidRDefault="0094004B">
      <w:pPr>
        <w:jc w:val="both"/>
        <w:divId w:val="832986066"/>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832986066"/>
        <w:rPr>
          <w:rFonts w:eastAsia="Times New Roman"/>
        </w:rPr>
      </w:pPr>
    </w:p>
    <w:p w:rsidR="00000000" w:rsidRDefault="0094004B">
      <w:pPr>
        <w:jc w:val="center"/>
        <w:divId w:val="832986066"/>
        <w:rPr>
          <w:rFonts w:eastAsia="Times New Roman"/>
        </w:rPr>
      </w:pPr>
      <w:r>
        <w:rPr>
          <w:rFonts w:eastAsia="Times New Roman"/>
          <w:b/>
          <w:bCs/>
          <w:color w:val="000000"/>
          <w:sz w:val="20"/>
          <w:szCs w:val="20"/>
        </w:rPr>
        <w:t>CAPITAL ONE FINANCIAL CORPORATION</w:t>
      </w:r>
    </w:p>
    <w:p w:rsidR="00000000" w:rsidRDefault="0094004B">
      <w:pPr>
        <w:jc w:val="center"/>
        <w:divId w:val="832986066"/>
        <w:rPr>
          <w:rFonts w:eastAsia="Times New Roman"/>
        </w:rPr>
      </w:pPr>
      <w:r>
        <w:rPr>
          <w:rFonts w:eastAsia="Times New Roman"/>
          <w:b/>
          <w:bCs/>
          <w:color w:val="000000"/>
          <w:sz w:val="20"/>
          <w:szCs w:val="20"/>
        </w:rPr>
        <w:t>NOTES TO CONSOLIDATED FINANCIAL STATEMENTS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879056454"/>
          <w:jc w:val="center"/>
        </w:trPr>
        <w:tc>
          <w:tcPr>
            <w:tcW w:w="50" w:type="pct"/>
            <w:vAlign w:val="center"/>
            <w:hideMark/>
          </w:tcPr>
          <w:p w:rsidR="00000000" w:rsidRDefault="0094004B">
            <w:pPr>
              <w:jc w:val="center"/>
              <w:rPr>
                <w:rFonts w:eastAsia="Times New Roman"/>
              </w:rPr>
            </w:pPr>
          </w:p>
        </w:tc>
        <w:tc>
          <w:tcPr>
            <w:tcW w:w="494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879056454"/>
          <w:jc w:val="center"/>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20"/>
                <w:szCs w:val="20"/>
              </w:rPr>
              <w:t>NOTE 7—</w:t>
            </w:r>
            <w:r>
              <w:rPr>
                <w:rFonts w:eastAsia="Times New Roman"/>
                <w:b/>
                <w:bCs/>
                <w:color w:val="000000"/>
                <w:sz w:val="20"/>
                <w:szCs w:val="20"/>
              </w:rPr>
              <w:t>PREMISES, EQUIPMENT AND LEASES</w:t>
            </w:r>
          </w:p>
        </w:tc>
      </w:tr>
    </w:tbl>
    <w:p w:rsidR="00000000" w:rsidRDefault="0094004B">
      <w:pPr>
        <w:jc w:val="both"/>
        <w:divId w:val="1622109431"/>
        <w:rPr>
          <w:rFonts w:eastAsia="Times New Roman"/>
        </w:rPr>
      </w:pPr>
      <w:r>
        <w:rPr>
          <w:rFonts w:eastAsia="Times New Roman"/>
          <w:b/>
          <w:bCs/>
          <w:color w:val="000000"/>
          <w:sz w:val="20"/>
          <w:szCs w:val="20"/>
        </w:rPr>
        <w:t>Premises and Equipment</w:t>
      </w:r>
    </w:p>
    <w:p w:rsidR="00000000" w:rsidRDefault="0094004B">
      <w:pPr>
        <w:divId w:val="1460801261"/>
        <w:rPr>
          <w:rFonts w:eastAsia="Times New Roman"/>
        </w:rPr>
      </w:pPr>
      <w:r>
        <w:rPr>
          <w:rFonts w:eastAsia="Times New Roman"/>
          <w:color w:val="000000"/>
          <w:sz w:val="20"/>
          <w:szCs w:val="20"/>
        </w:rPr>
        <w:t>The following table presents our premises and equipment as of December 31, 2022 and 2021.</w:t>
      </w:r>
    </w:p>
    <w:p w:rsidR="00000000" w:rsidRDefault="0094004B">
      <w:pPr>
        <w:divId w:val="543294153"/>
        <w:rPr>
          <w:rFonts w:eastAsia="Times New Roman"/>
        </w:rPr>
      </w:pPr>
      <w:r>
        <w:rPr>
          <w:rFonts w:eastAsia="Times New Roman"/>
          <w:b/>
          <w:bCs/>
          <w:color w:val="000000"/>
          <w:sz w:val="18"/>
          <w:szCs w:val="18"/>
        </w:rPr>
        <w:t xml:space="preserve">Table 7.1 Components of Premises and Equipment </w:t>
      </w:r>
    </w:p>
    <w:tbl>
      <w:tblPr>
        <w:tblW w:w="5000" w:type="pct"/>
        <w:tblCellMar>
          <w:top w:w="15" w:type="dxa"/>
          <w:left w:w="15" w:type="dxa"/>
          <w:bottom w:w="15" w:type="dxa"/>
          <w:right w:w="15" w:type="dxa"/>
        </w:tblCellMar>
        <w:tblLook w:val="04A0" w:firstRow="1" w:lastRow="0" w:firstColumn="1" w:lastColumn="0" w:noHBand="0" w:noVBand="1"/>
      </w:tblPr>
      <w:tblGrid>
        <w:gridCol w:w="41"/>
        <w:gridCol w:w="6329"/>
        <w:gridCol w:w="38"/>
        <w:gridCol w:w="36"/>
        <w:gridCol w:w="36"/>
        <w:gridCol w:w="36"/>
        <w:gridCol w:w="111"/>
        <w:gridCol w:w="694"/>
        <w:gridCol w:w="36"/>
        <w:gridCol w:w="36"/>
        <w:gridCol w:w="36"/>
        <w:gridCol w:w="36"/>
        <w:gridCol w:w="111"/>
        <w:gridCol w:w="694"/>
        <w:gridCol w:w="36"/>
      </w:tblGrid>
      <w:tr w:rsidR="00000000">
        <w:trPr>
          <w:divId w:val="627127082"/>
        </w:trPr>
        <w:tc>
          <w:tcPr>
            <w:tcW w:w="50" w:type="pct"/>
            <w:vAlign w:val="center"/>
            <w:hideMark/>
          </w:tcPr>
          <w:p w:rsidR="00000000" w:rsidRDefault="0094004B">
            <w:pPr>
              <w:rPr>
                <w:rFonts w:eastAsia="Times New Roman"/>
              </w:rPr>
            </w:pPr>
          </w:p>
        </w:tc>
        <w:tc>
          <w:tcPr>
            <w:tcW w:w="383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6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6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627127082"/>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December 31, 2022</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December 31, 2021</w:t>
            </w:r>
          </w:p>
        </w:tc>
      </w:tr>
      <w:tr w:rsidR="00000000">
        <w:trPr>
          <w:divId w:val="627127082"/>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Land</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320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336 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627127082"/>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Buildings and improvements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4,345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3,854 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627127082"/>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Furniture and equipment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1,831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1,816 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627127082"/>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Computer software</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2,213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2,006 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627127082"/>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In progress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646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732 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627127082"/>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 premises and equipment, gross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9,355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8,744 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627127082"/>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Less: Accumulated depreciation and amortization</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(5,004)</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(4,534)</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627127082"/>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 premises and equipment, net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4,351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4,210 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bl>
    <w:p w:rsidR="00000000" w:rsidRDefault="0094004B">
      <w:pPr>
        <w:jc w:val="both"/>
        <w:divId w:val="1725910330"/>
        <w:rPr>
          <w:rFonts w:eastAsia="Times New Roman"/>
        </w:rPr>
      </w:pPr>
      <w:r>
        <w:rPr>
          <w:rFonts w:eastAsia="Times New Roman"/>
          <w:color w:val="000000"/>
          <w:sz w:val="20"/>
          <w:szCs w:val="20"/>
        </w:rPr>
        <w:t>Depreciation and amortization expense was $790 million, $775 million and $809 million for the years ended December 31, 2022, 2021 and 2020, respectively.</w:t>
      </w:r>
    </w:p>
    <w:p w:rsidR="00000000" w:rsidRDefault="0094004B">
      <w:pPr>
        <w:divId w:val="1228030770"/>
        <w:rPr>
          <w:rFonts w:eastAsia="Times New Roman"/>
        </w:rPr>
      </w:pPr>
      <w:r>
        <w:rPr>
          <w:rFonts w:eastAsia="Times New Roman"/>
          <w:b/>
          <w:bCs/>
          <w:color w:val="000000"/>
          <w:sz w:val="20"/>
          <w:szCs w:val="20"/>
        </w:rPr>
        <w:t>Leases</w:t>
      </w:r>
    </w:p>
    <w:p w:rsidR="00000000" w:rsidRDefault="0094004B">
      <w:pPr>
        <w:jc w:val="both"/>
        <w:divId w:val="1954045460"/>
        <w:rPr>
          <w:rFonts w:eastAsia="Times New Roman"/>
        </w:rPr>
      </w:pPr>
      <w:r>
        <w:rPr>
          <w:rFonts w:eastAsia="Times New Roman"/>
          <w:color w:val="000000"/>
          <w:sz w:val="20"/>
          <w:szCs w:val="20"/>
        </w:rPr>
        <w:t>Our primary involvement with leases is in the capacity as a lessee where we lease premises to support our business. A majority of our leases are operating leases of office space, retail bank branches and cafés. For real estate leases, we have elected to ac</w:t>
      </w:r>
      <w:r>
        <w:rPr>
          <w:rFonts w:eastAsia="Times New Roman"/>
          <w:color w:val="000000"/>
          <w:sz w:val="20"/>
          <w:szCs w:val="20"/>
        </w:rPr>
        <w:t>count for the lease and non-lease components together as a single lease component. Our operating leases expire at various dates through 2071, and many of them require variable lease payments by us, of property taxes, insurance premiums, common area mainten</w:t>
      </w:r>
      <w:r>
        <w:rPr>
          <w:rFonts w:eastAsia="Times New Roman"/>
          <w:color w:val="000000"/>
          <w:sz w:val="20"/>
          <w:szCs w:val="20"/>
        </w:rPr>
        <w:t xml:space="preserve">ance and other costs. Certain of these leases also have extension or termination options, and we assess the likelihood of exercising such options. If it is reasonably certain that we will exercise the options, then we include the impact in the measurement </w:t>
      </w:r>
      <w:r>
        <w:rPr>
          <w:rFonts w:eastAsia="Times New Roman"/>
          <w:color w:val="000000"/>
          <w:sz w:val="20"/>
          <w:szCs w:val="20"/>
        </w:rPr>
        <w:t>of our right-of-use assets and lease liabilities.</w:t>
      </w:r>
    </w:p>
    <w:p w:rsidR="00000000" w:rsidRDefault="0094004B">
      <w:pPr>
        <w:jc w:val="both"/>
        <w:divId w:val="1423144146"/>
        <w:rPr>
          <w:rFonts w:eastAsia="Times New Roman"/>
        </w:rPr>
      </w:pPr>
      <w:r>
        <w:rPr>
          <w:rFonts w:eastAsia="Times New Roman"/>
          <w:color w:val="000000"/>
          <w:sz w:val="20"/>
          <w:szCs w:val="20"/>
        </w:rPr>
        <w:t>Our right-of-use assets and lease liabilities for operating leases are included in</w:t>
      </w:r>
      <w:r>
        <w:rPr>
          <w:rFonts w:eastAsia="Times New Roman"/>
          <w:color w:val="000000"/>
          <w:sz w:val="20"/>
          <w:szCs w:val="20"/>
        </w:rPr>
        <w:t xml:space="preserve"> </w:t>
      </w:r>
      <w:r>
        <w:rPr>
          <w:rFonts w:eastAsia="Times New Roman"/>
          <w:color w:val="000000"/>
          <w:sz w:val="20"/>
          <w:szCs w:val="20"/>
        </w:rPr>
        <w:t>other asset</w:t>
      </w:r>
      <w:r>
        <w:rPr>
          <w:rFonts w:eastAsia="Times New Roman"/>
          <w:color w:val="000000"/>
          <w:sz w:val="20"/>
          <w:szCs w:val="20"/>
        </w:rPr>
        <w:t>s</w:t>
      </w:r>
      <w:r>
        <w:rPr>
          <w:rFonts w:eastAsia="Times New Roman"/>
          <w:color w:val="000000"/>
          <w:sz w:val="20"/>
          <w:szCs w:val="20"/>
        </w:rPr>
        <w:t xml:space="preserve"> and</w:t>
      </w:r>
      <w:r>
        <w:rPr>
          <w:rFonts w:eastAsia="Times New Roman"/>
          <w:color w:val="000000"/>
          <w:sz w:val="20"/>
          <w:szCs w:val="20"/>
        </w:rPr>
        <w:t xml:space="preserve"> </w:t>
      </w:r>
      <w:r>
        <w:rPr>
          <w:rFonts w:eastAsia="Times New Roman"/>
          <w:color w:val="000000"/>
          <w:sz w:val="20"/>
          <w:szCs w:val="20"/>
        </w:rPr>
        <w:t>other liabilitie</w:t>
      </w:r>
      <w:r>
        <w:rPr>
          <w:rFonts w:eastAsia="Times New Roman"/>
          <w:color w:val="000000"/>
          <w:sz w:val="20"/>
          <w:szCs w:val="20"/>
        </w:rPr>
        <w:t>s</w:t>
      </w:r>
      <w:r>
        <w:rPr>
          <w:rFonts w:eastAsia="Times New Roman"/>
          <w:color w:val="000000"/>
          <w:sz w:val="20"/>
          <w:szCs w:val="20"/>
        </w:rPr>
        <w:t xml:space="preserve"> on our consolidated balance sheets. As most of our operating leases do not provide an im</w:t>
      </w:r>
      <w:r>
        <w:rPr>
          <w:rFonts w:eastAsia="Times New Roman"/>
          <w:color w:val="000000"/>
          <w:sz w:val="20"/>
          <w:szCs w:val="20"/>
        </w:rPr>
        <w:t>plicit rate, we use our incremental borrowing rate in determining the present value of future lease payments. Our operating lease expense is included in occupancy and equipment within non-interest expense in our consolidated statements of income. Total ope</w:t>
      </w:r>
      <w:r>
        <w:rPr>
          <w:rFonts w:eastAsia="Times New Roman"/>
          <w:color w:val="000000"/>
          <w:sz w:val="20"/>
          <w:szCs w:val="20"/>
        </w:rPr>
        <w:t>rating lease expense consists of operating lease cost, which is recognized on a straight-line basis over the lease term, and variable lease cost, which is recognized based on actual amounts incurred. We also sublease certain premises, and sublease income i</w:t>
      </w:r>
      <w:r>
        <w:rPr>
          <w:rFonts w:eastAsia="Times New Roman"/>
          <w:color w:val="000000"/>
          <w:sz w:val="20"/>
          <w:szCs w:val="20"/>
        </w:rPr>
        <w:t>s included in other non-interest income in our consolidated statements of income.</w:t>
      </w:r>
    </w:p>
    <w:p w:rsidR="00000000" w:rsidRDefault="0094004B">
      <w:pPr>
        <w:jc w:val="both"/>
        <w:divId w:val="1190728367"/>
        <w:rPr>
          <w:rFonts w:eastAsia="Times New Roman"/>
        </w:rPr>
      </w:pPr>
      <w:r>
        <w:rPr>
          <w:rFonts w:eastAsia="Times New Roman"/>
          <w:color w:val="000000"/>
          <w:sz w:val="20"/>
          <w:szCs w:val="20"/>
        </w:rPr>
        <w:t>The following tables present information about our operating lease portfolio and the related lease costs as of and for the years ended December 31, 2022 and 2021.</w:t>
      </w:r>
    </w:p>
    <w:p w:rsidR="00000000" w:rsidRDefault="0094004B">
      <w:pPr>
        <w:divId w:val="1656716313"/>
        <w:rPr>
          <w:rFonts w:eastAsia="Times New Roman"/>
        </w:rPr>
      </w:pPr>
      <w:r>
        <w:rPr>
          <w:rFonts w:eastAsia="Times New Roman"/>
          <w:b/>
          <w:bCs/>
          <w:color w:val="000000"/>
          <w:sz w:val="18"/>
          <w:szCs w:val="18"/>
        </w:rPr>
        <w:t>Table 7.2 O</w:t>
      </w:r>
      <w:r>
        <w:rPr>
          <w:rFonts w:eastAsia="Times New Roman"/>
          <w:b/>
          <w:bCs/>
          <w:color w:val="000000"/>
          <w:sz w:val="18"/>
          <w:szCs w:val="18"/>
        </w:rPr>
        <w:t>perating Lease Portfolio</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6061"/>
        <w:gridCol w:w="38"/>
        <w:gridCol w:w="36"/>
        <w:gridCol w:w="36"/>
        <w:gridCol w:w="36"/>
        <w:gridCol w:w="110"/>
        <w:gridCol w:w="573"/>
        <w:gridCol w:w="200"/>
        <w:gridCol w:w="36"/>
        <w:gridCol w:w="36"/>
        <w:gridCol w:w="36"/>
        <w:gridCol w:w="110"/>
        <w:gridCol w:w="573"/>
        <w:gridCol w:w="170"/>
        <w:gridCol w:w="36"/>
        <w:gridCol w:w="36"/>
        <w:gridCol w:w="36"/>
        <w:gridCol w:w="36"/>
        <w:gridCol w:w="36"/>
        <w:gridCol w:w="36"/>
      </w:tblGrid>
      <w:tr w:rsidR="00000000">
        <w:trPr>
          <w:divId w:val="124471504"/>
          <w:jc w:val="center"/>
        </w:trPr>
        <w:tc>
          <w:tcPr>
            <w:tcW w:w="50" w:type="pct"/>
            <w:vAlign w:val="center"/>
            <w:hideMark/>
          </w:tcPr>
          <w:p w:rsidR="00000000" w:rsidRDefault="0094004B">
            <w:pPr>
              <w:rPr>
                <w:rFonts w:eastAsia="Times New Roman"/>
              </w:rPr>
            </w:pPr>
          </w:p>
        </w:tc>
        <w:tc>
          <w:tcPr>
            <w:tcW w:w="383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6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6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124471504"/>
          <w:jc w:val="center"/>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December 31, 2022</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December 31, 2021</w:t>
            </w:r>
          </w:p>
        </w:tc>
        <w:tc>
          <w:tcPr>
            <w:tcW w:w="0" w:type="auto"/>
            <w:vAlign w:val="center"/>
            <w:hideMark/>
          </w:tcPr>
          <w:p w:rsidR="00000000" w:rsidRDefault="0094004B">
            <w:pPr>
              <w:spacing w:after="100"/>
              <w:jc w:val="center"/>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124471504"/>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Right-of-use assets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1,128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1,137 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vAlign w:val="center"/>
            <w:hideMark/>
          </w:tcPr>
          <w:p w:rsidR="00000000" w:rsidRDefault="0094004B">
            <w:pPr>
              <w:spacing w:after="100"/>
              <w:jc w:val="right"/>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124471504"/>
          <w:jc w:val="center"/>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Lease liabilities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1,458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1,485 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vAlign w:val="center"/>
            <w:hideMark/>
          </w:tcPr>
          <w:p w:rsidR="00000000" w:rsidRDefault="0094004B">
            <w:pPr>
              <w:spacing w:after="100"/>
              <w:jc w:val="right"/>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124471504"/>
          <w:jc w:val="center"/>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Weighted-average remaining lease term</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b/>
                <w:bCs/>
                <w:color w:val="000000"/>
                <w:sz w:val="18"/>
                <w:szCs w:val="18"/>
              </w:rPr>
              <w:t>8.4 years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8"/>
                <w:szCs w:val="18"/>
              </w:rPr>
              <w:t>8 years</w:t>
            </w:r>
          </w:p>
        </w:tc>
        <w:tc>
          <w:tcPr>
            <w:tcW w:w="0" w:type="auto"/>
            <w:vAlign w:val="center"/>
            <w:hideMark/>
          </w:tcPr>
          <w:p w:rsidR="00000000" w:rsidRDefault="0094004B">
            <w:pPr>
              <w:spacing w:after="100"/>
              <w:jc w:val="right"/>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124471504"/>
          <w:jc w:val="center"/>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Weighted-average discount rate</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3.1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8"/>
                <w:szCs w:val="18"/>
              </w:rPr>
              <w:t>%</w:t>
            </w:r>
          </w:p>
        </w:tc>
        <w:tc>
          <w:tcPr>
            <w:tcW w:w="0" w:type="auto"/>
            <w:vAlign w:val="center"/>
            <w:hideMark/>
          </w:tcPr>
          <w:p w:rsidR="00000000" w:rsidRDefault="0094004B">
            <w:pPr>
              <w:spacing w:after="100"/>
              <w:jc w:val="right"/>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94004B">
            <w:pPr>
              <w:jc w:val="center"/>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161</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87" style="width:0;height:1.5pt" o:hralign="center" o:hrstd="t" o:hr="t" fillcolor="#a0a0a0" stroked="f"/>
        </w:pict>
      </w:r>
    </w:p>
    <w:p w:rsidR="00000000" w:rsidRDefault="0094004B">
      <w:pPr>
        <w:jc w:val="both"/>
        <w:divId w:val="1135411601"/>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1135411601"/>
        <w:rPr>
          <w:rFonts w:eastAsia="Times New Roman"/>
        </w:rPr>
      </w:pPr>
    </w:p>
    <w:p w:rsidR="00000000" w:rsidRDefault="0094004B">
      <w:pPr>
        <w:jc w:val="center"/>
        <w:divId w:val="1135411601"/>
        <w:rPr>
          <w:rFonts w:eastAsia="Times New Roman"/>
        </w:rPr>
      </w:pPr>
      <w:r>
        <w:rPr>
          <w:rFonts w:eastAsia="Times New Roman"/>
          <w:b/>
          <w:bCs/>
          <w:color w:val="000000"/>
          <w:sz w:val="20"/>
          <w:szCs w:val="20"/>
        </w:rPr>
        <w:t>CAPITAL ONE FINANCIAL CORPORATION</w:t>
      </w:r>
    </w:p>
    <w:p w:rsidR="00000000" w:rsidRDefault="0094004B">
      <w:pPr>
        <w:jc w:val="center"/>
        <w:divId w:val="1135411601"/>
        <w:rPr>
          <w:rFonts w:eastAsia="Times New Roman"/>
        </w:rPr>
      </w:pPr>
      <w:r>
        <w:rPr>
          <w:rFonts w:eastAsia="Times New Roman"/>
          <w:b/>
          <w:bCs/>
          <w:color w:val="000000"/>
          <w:sz w:val="20"/>
          <w:szCs w:val="20"/>
        </w:rPr>
        <w:t>NOTES TO CONSOLIDATED FINANCIAL STATEMENTS</w:t>
      </w:r>
    </w:p>
    <w:p w:rsidR="00000000" w:rsidRDefault="0094004B">
      <w:pPr>
        <w:divId w:val="332145743"/>
        <w:rPr>
          <w:rFonts w:eastAsia="Times New Roman"/>
        </w:rPr>
      </w:pPr>
      <w:r>
        <w:rPr>
          <w:rFonts w:eastAsia="Times New Roman"/>
          <w:b/>
          <w:bCs/>
          <w:color w:val="000000"/>
          <w:sz w:val="18"/>
          <w:szCs w:val="18"/>
        </w:rPr>
        <w:t>Table 7.3 Total Operating Lease Expense and Other Information</w:t>
      </w:r>
    </w:p>
    <w:tbl>
      <w:tblPr>
        <w:tblW w:w="4985" w:type="pct"/>
        <w:jc w:val="center"/>
        <w:tblCellMar>
          <w:top w:w="15" w:type="dxa"/>
          <w:left w:w="15" w:type="dxa"/>
          <w:bottom w:w="15" w:type="dxa"/>
          <w:right w:w="15" w:type="dxa"/>
        </w:tblCellMar>
        <w:tblLook w:val="04A0" w:firstRow="1" w:lastRow="0" w:firstColumn="1" w:lastColumn="0" w:noHBand="0" w:noVBand="1"/>
      </w:tblPr>
      <w:tblGrid>
        <w:gridCol w:w="39"/>
        <w:gridCol w:w="5820"/>
        <w:gridCol w:w="38"/>
        <w:gridCol w:w="36"/>
        <w:gridCol w:w="36"/>
        <w:gridCol w:w="36"/>
        <w:gridCol w:w="36"/>
        <w:gridCol w:w="36"/>
        <w:gridCol w:w="110"/>
        <w:gridCol w:w="625"/>
        <w:gridCol w:w="36"/>
        <w:gridCol w:w="36"/>
        <w:gridCol w:w="36"/>
        <w:gridCol w:w="36"/>
        <w:gridCol w:w="110"/>
        <w:gridCol w:w="603"/>
        <w:gridCol w:w="36"/>
        <w:gridCol w:w="36"/>
        <w:gridCol w:w="36"/>
        <w:gridCol w:w="36"/>
        <w:gridCol w:w="36"/>
        <w:gridCol w:w="36"/>
        <w:gridCol w:w="36"/>
        <w:gridCol w:w="36"/>
        <w:gridCol w:w="36"/>
        <w:gridCol w:w="36"/>
        <w:gridCol w:w="36"/>
        <w:gridCol w:w="36"/>
        <w:gridCol w:w="36"/>
        <w:gridCol w:w="36"/>
        <w:gridCol w:w="36"/>
        <w:gridCol w:w="36"/>
        <w:gridCol w:w="36"/>
      </w:tblGrid>
      <w:tr w:rsidR="00000000">
        <w:trPr>
          <w:divId w:val="1813407567"/>
          <w:jc w:val="center"/>
        </w:trPr>
        <w:tc>
          <w:tcPr>
            <w:tcW w:w="50" w:type="pct"/>
            <w:vAlign w:val="center"/>
            <w:hideMark/>
          </w:tcPr>
          <w:p w:rsidR="00000000" w:rsidRDefault="0094004B">
            <w:pPr>
              <w:rPr>
                <w:rFonts w:eastAsia="Times New Roman"/>
              </w:rPr>
            </w:pPr>
          </w:p>
        </w:tc>
        <w:tc>
          <w:tcPr>
            <w:tcW w:w="384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6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50"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813407567"/>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94004B">
            <w:pPr>
              <w:spacing w:after="100"/>
              <w:jc w:val="center"/>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1813407567"/>
          <w:jc w:val="center"/>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2021</w:t>
            </w:r>
          </w:p>
        </w:tc>
        <w:tc>
          <w:tcPr>
            <w:tcW w:w="0" w:type="auto"/>
            <w:vAlign w:val="center"/>
            <w:hideMark/>
          </w:tcPr>
          <w:p w:rsidR="00000000" w:rsidRDefault="0094004B">
            <w:pPr>
              <w:spacing w:after="100"/>
              <w:jc w:val="center"/>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813407567"/>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Operating lease cost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280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vAlign w:val="center"/>
            <w:hideMark/>
          </w:tcPr>
          <w:p w:rsidR="00000000" w:rsidRDefault="0094004B">
            <w:pPr>
              <w:spacing w:after="100"/>
              <w:jc w:val="right"/>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813407567"/>
          <w:jc w:val="center"/>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Variable lease cost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42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42 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vAlign w:val="center"/>
            <w:hideMark/>
          </w:tcPr>
          <w:p w:rsidR="00000000" w:rsidRDefault="0094004B">
            <w:pPr>
              <w:spacing w:after="100"/>
              <w:jc w:val="right"/>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813407567"/>
          <w:jc w:val="center"/>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813407567"/>
          <w:jc w:val="center"/>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Total lease cost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322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vAlign w:val="center"/>
            <w:hideMark/>
          </w:tcPr>
          <w:p w:rsidR="00000000" w:rsidRDefault="0094004B">
            <w:pPr>
              <w:spacing w:after="100"/>
              <w:jc w:val="right"/>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813407567"/>
          <w:jc w:val="center"/>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Sublease income</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(16)</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(23)</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vAlign w:val="center"/>
            <w:hideMark/>
          </w:tcPr>
          <w:p w:rsidR="00000000" w:rsidRDefault="0094004B">
            <w:pPr>
              <w:spacing w:after="100"/>
              <w:jc w:val="right"/>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813407567"/>
          <w:jc w:val="center"/>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Net lease cost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306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vAlign w:val="center"/>
            <w:hideMark/>
          </w:tcPr>
          <w:p w:rsidR="00000000" w:rsidRDefault="0094004B">
            <w:pPr>
              <w:spacing w:after="100"/>
              <w:jc w:val="right"/>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813407567"/>
          <w:jc w:val="center"/>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Cash paid for amounts included in the measurement of lease liabilities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320</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353 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vAlign w:val="center"/>
            <w:hideMark/>
          </w:tcPr>
          <w:p w:rsidR="00000000" w:rsidRDefault="0094004B">
            <w:pPr>
              <w:spacing w:after="100"/>
              <w:jc w:val="right"/>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813407567"/>
          <w:jc w:val="center"/>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Right-of-use assets obtained in exchange for lease liabilities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221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81 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vAlign w:val="center"/>
            <w:hideMark/>
          </w:tcPr>
          <w:p w:rsidR="00000000" w:rsidRDefault="0094004B">
            <w:pPr>
              <w:spacing w:after="100"/>
              <w:jc w:val="right"/>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813407567"/>
          <w:jc w:val="center"/>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813407567"/>
          <w:jc w:val="center"/>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bl>
    <w:p w:rsidR="00000000" w:rsidRDefault="0094004B">
      <w:pPr>
        <w:jc w:val="both"/>
        <w:divId w:val="1888491531"/>
        <w:rPr>
          <w:rFonts w:eastAsia="Times New Roman"/>
        </w:rPr>
      </w:pPr>
      <w:r>
        <w:rPr>
          <w:rFonts w:eastAsia="Times New Roman"/>
          <w:color w:val="000000"/>
          <w:sz w:val="20"/>
          <w:szCs w:val="20"/>
        </w:rPr>
        <w:t>The following table presents a maturity analysis of our operating leases and a reconciliation of the undiscounted cash flows to our lease liabilities as of December 31, 2022.</w:t>
      </w:r>
    </w:p>
    <w:p w:rsidR="00000000" w:rsidRDefault="0094004B">
      <w:pPr>
        <w:divId w:val="1750542340"/>
        <w:rPr>
          <w:rFonts w:eastAsia="Times New Roman"/>
        </w:rPr>
      </w:pPr>
      <w:r>
        <w:rPr>
          <w:rFonts w:eastAsia="Times New Roman"/>
          <w:b/>
          <w:bCs/>
          <w:color w:val="000000"/>
          <w:sz w:val="18"/>
          <w:szCs w:val="18"/>
        </w:rPr>
        <w:t>Table 7.4 Maturities of Operating Leases and Reconciliation to Lease Liabilities</w:t>
      </w:r>
    </w:p>
    <w:tbl>
      <w:tblPr>
        <w:tblW w:w="5000" w:type="pct"/>
        <w:jc w:val="center"/>
        <w:tblCellMar>
          <w:top w:w="15" w:type="dxa"/>
          <w:left w:w="15" w:type="dxa"/>
          <w:bottom w:w="15" w:type="dxa"/>
          <w:right w:w="15" w:type="dxa"/>
        </w:tblCellMar>
        <w:tblLook w:val="04A0" w:firstRow="1" w:lastRow="0" w:firstColumn="1" w:lastColumn="0" w:noHBand="0" w:noVBand="1"/>
      </w:tblPr>
      <w:tblGrid>
        <w:gridCol w:w="47"/>
        <w:gridCol w:w="6336"/>
        <w:gridCol w:w="38"/>
        <w:gridCol w:w="36"/>
        <w:gridCol w:w="36"/>
        <w:gridCol w:w="36"/>
        <w:gridCol w:w="111"/>
        <w:gridCol w:w="1630"/>
        <w:gridCol w:w="36"/>
      </w:tblGrid>
      <w:tr w:rsidR="00000000">
        <w:trPr>
          <w:divId w:val="1754811557"/>
          <w:jc w:val="center"/>
        </w:trPr>
        <w:tc>
          <w:tcPr>
            <w:tcW w:w="50" w:type="pct"/>
            <w:vAlign w:val="center"/>
            <w:hideMark/>
          </w:tcPr>
          <w:p w:rsidR="00000000" w:rsidRDefault="0094004B">
            <w:pPr>
              <w:rPr>
                <w:rFonts w:eastAsia="Times New Roman"/>
              </w:rPr>
            </w:pPr>
          </w:p>
        </w:tc>
        <w:tc>
          <w:tcPr>
            <w:tcW w:w="383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01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754811557"/>
          <w:jc w:val="center"/>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December 31, 2022</w:t>
            </w:r>
          </w:p>
        </w:tc>
      </w:tr>
      <w:tr w:rsidR="00000000">
        <w:trPr>
          <w:divId w:val="1754811557"/>
          <w:jc w:val="center"/>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94004B">
            <w:pPr>
              <w:spacing w:after="100"/>
              <w:rPr>
                <w:rFonts w:eastAsia="Times New Roman"/>
              </w:rPr>
            </w:pPr>
            <w:r>
              <w:rPr>
                <w:rFonts w:eastAsia="Times New Roman"/>
                <w:color w:val="000000"/>
                <w:sz w:val="18"/>
                <w:szCs w:val="18"/>
              </w:rPr>
              <w:t>2023</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259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1754811557"/>
          <w:jc w:val="center"/>
        </w:trPr>
        <w:tc>
          <w:tcPr>
            <w:tcW w:w="0" w:type="auto"/>
            <w:gridSpan w:val="3"/>
            <w:shd w:val="clear" w:color="auto" w:fill="FFFFFF"/>
            <w:tcMar>
              <w:top w:w="30" w:type="dxa"/>
              <w:left w:w="20" w:type="dxa"/>
              <w:bottom w:w="30" w:type="dxa"/>
              <w:right w:w="20" w:type="dxa"/>
            </w:tcMar>
            <w:hideMark/>
          </w:tcPr>
          <w:p w:rsidR="00000000" w:rsidRDefault="0094004B">
            <w:pPr>
              <w:spacing w:after="100"/>
              <w:rPr>
                <w:rFonts w:eastAsia="Times New Roman"/>
              </w:rPr>
            </w:pPr>
            <w:r>
              <w:rPr>
                <w:rFonts w:eastAsia="Times New Roman"/>
                <w:color w:val="000000"/>
                <w:sz w:val="18"/>
                <w:szCs w:val="18"/>
              </w:rPr>
              <w:t>2024</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241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1754811557"/>
          <w:jc w:val="center"/>
        </w:trPr>
        <w:tc>
          <w:tcPr>
            <w:tcW w:w="0" w:type="auto"/>
            <w:gridSpan w:val="3"/>
            <w:shd w:val="clear" w:color="auto" w:fill="CCEEFF"/>
            <w:tcMar>
              <w:top w:w="30" w:type="dxa"/>
              <w:left w:w="20" w:type="dxa"/>
              <w:bottom w:w="30" w:type="dxa"/>
              <w:right w:w="20" w:type="dxa"/>
            </w:tcMar>
            <w:hideMark/>
          </w:tcPr>
          <w:p w:rsidR="00000000" w:rsidRDefault="0094004B">
            <w:pPr>
              <w:spacing w:after="100"/>
              <w:rPr>
                <w:rFonts w:eastAsia="Times New Roman"/>
              </w:rPr>
            </w:pPr>
            <w:r>
              <w:rPr>
                <w:rFonts w:eastAsia="Times New Roman"/>
                <w:color w:val="000000"/>
                <w:sz w:val="18"/>
                <w:szCs w:val="18"/>
              </w:rPr>
              <w:t>2025</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210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1754811557"/>
          <w:jc w:val="center"/>
        </w:trPr>
        <w:tc>
          <w:tcPr>
            <w:tcW w:w="0" w:type="auto"/>
            <w:gridSpan w:val="3"/>
            <w:shd w:val="clear" w:color="auto" w:fill="FFFFFF"/>
            <w:tcMar>
              <w:top w:w="30" w:type="dxa"/>
              <w:left w:w="20" w:type="dxa"/>
              <w:bottom w:w="30" w:type="dxa"/>
              <w:right w:w="20" w:type="dxa"/>
            </w:tcMar>
            <w:hideMark/>
          </w:tcPr>
          <w:p w:rsidR="00000000" w:rsidRDefault="0094004B">
            <w:pPr>
              <w:spacing w:after="100"/>
              <w:rPr>
                <w:rFonts w:eastAsia="Times New Roman"/>
              </w:rPr>
            </w:pPr>
            <w:r>
              <w:rPr>
                <w:rFonts w:eastAsia="Times New Roman"/>
                <w:color w:val="000000"/>
                <w:sz w:val="18"/>
                <w:szCs w:val="18"/>
              </w:rPr>
              <w:t>2026</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192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1754811557"/>
          <w:jc w:val="center"/>
        </w:trPr>
        <w:tc>
          <w:tcPr>
            <w:tcW w:w="0" w:type="auto"/>
            <w:gridSpan w:val="3"/>
            <w:shd w:val="clear" w:color="auto" w:fill="CCEEFF"/>
            <w:tcMar>
              <w:top w:w="30" w:type="dxa"/>
              <w:left w:w="20" w:type="dxa"/>
              <w:bottom w:w="30" w:type="dxa"/>
              <w:right w:w="20" w:type="dxa"/>
            </w:tcMar>
            <w:hideMark/>
          </w:tcPr>
          <w:p w:rsidR="00000000" w:rsidRDefault="0094004B">
            <w:pPr>
              <w:spacing w:after="100"/>
              <w:rPr>
                <w:rFonts w:eastAsia="Times New Roman"/>
              </w:rPr>
            </w:pPr>
            <w:r>
              <w:rPr>
                <w:rFonts w:eastAsia="Times New Roman"/>
                <w:color w:val="000000"/>
                <w:sz w:val="18"/>
                <w:szCs w:val="18"/>
              </w:rPr>
              <w:t>2027</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167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1754811557"/>
          <w:jc w:val="center"/>
        </w:trPr>
        <w:tc>
          <w:tcPr>
            <w:tcW w:w="0" w:type="auto"/>
            <w:gridSpan w:val="3"/>
            <w:shd w:val="clear" w:color="auto" w:fill="FFFFFF"/>
            <w:tcMar>
              <w:top w:w="30" w:type="dxa"/>
              <w:left w:w="20" w:type="dxa"/>
              <w:bottom w:w="30" w:type="dxa"/>
              <w:right w:w="20" w:type="dxa"/>
            </w:tcMar>
            <w:hideMark/>
          </w:tcPr>
          <w:p w:rsidR="00000000" w:rsidRDefault="0094004B">
            <w:pPr>
              <w:spacing w:after="100"/>
              <w:rPr>
                <w:rFonts w:eastAsia="Times New Roman"/>
              </w:rPr>
            </w:pPr>
            <w:r>
              <w:rPr>
                <w:rFonts w:eastAsia="Times New Roman"/>
                <w:color w:val="000000"/>
                <w:sz w:val="18"/>
                <w:szCs w:val="18"/>
              </w:rPr>
              <w:t>Thereafter</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623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1754811557"/>
          <w:jc w:val="center"/>
        </w:trPr>
        <w:tc>
          <w:tcPr>
            <w:tcW w:w="0" w:type="auto"/>
            <w:gridSpan w:val="3"/>
            <w:shd w:val="clear" w:color="auto" w:fill="CCEEFF"/>
            <w:tcMar>
              <w:top w:w="30" w:type="dxa"/>
              <w:left w:w="20" w:type="dxa"/>
              <w:bottom w:w="30" w:type="dxa"/>
              <w:right w:w="20" w:type="dxa"/>
            </w:tcMar>
            <w:hideMark/>
          </w:tcPr>
          <w:p w:rsidR="00000000" w:rsidRDefault="0094004B">
            <w:pPr>
              <w:spacing w:after="100"/>
              <w:rPr>
                <w:rFonts w:eastAsia="Times New Roman"/>
              </w:rPr>
            </w:pPr>
            <w:r>
              <w:rPr>
                <w:rFonts w:eastAsia="Times New Roman"/>
                <w:color w:val="000000"/>
                <w:sz w:val="18"/>
                <w:szCs w:val="18"/>
              </w:rPr>
              <w:t>Total undiscounted lease payments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1,692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1754811557"/>
          <w:jc w:val="center"/>
        </w:trPr>
        <w:tc>
          <w:tcPr>
            <w:tcW w:w="0" w:type="auto"/>
            <w:gridSpan w:val="3"/>
            <w:shd w:val="clear" w:color="auto" w:fill="FFFFFF"/>
            <w:tcMar>
              <w:top w:w="30" w:type="dxa"/>
              <w:left w:w="245" w:type="dxa"/>
              <w:bottom w:w="30" w:type="dxa"/>
              <w:right w:w="20" w:type="dxa"/>
            </w:tcMar>
            <w:hideMark/>
          </w:tcPr>
          <w:p w:rsidR="00000000" w:rsidRDefault="0094004B">
            <w:pPr>
              <w:spacing w:after="100"/>
              <w:rPr>
                <w:rFonts w:eastAsia="Times New Roman"/>
              </w:rPr>
            </w:pPr>
            <w:r>
              <w:rPr>
                <w:rFonts w:eastAsia="Times New Roman"/>
                <w:color w:val="000000"/>
                <w:sz w:val="18"/>
                <w:szCs w:val="18"/>
              </w:rPr>
              <w:t>Less: Imputed interest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(234)</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1754811557"/>
          <w:jc w:val="center"/>
        </w:trPr>
        <w:tc>
          <w:tcPr>
            <w:tcW w:w="0" w:type="auto"/>
            <w:gridSpan w:val="3"/>
            <w:shd w:val="clear" w:color="auto" w:fill="CCEEFF"/>
            <w:tcMar>
              <w:top w:w="30" w:type="dxa"/>
              <w:left w:w="20" w:type="dxa"/>
              <w:bottom w:w="30" w:type="dxa"/>
              <w:right w:w="20" w:type="dxa"/>
            </w:tcMar>
            <w:hideMark/>
          </w:tcPr>
          <w:p w:rsidR="00000000" w:rsidRDefault="0094004B">
            <w:pPr>
              <w:spacing w:after="100"/>
              <w:rPr>
                <w:rFonts w:eastAsia="Times New Roman"/>
              </w:rPr>
            </w:pPr>
            <w:r>
              <w:rPr>
                <w:rFonts w:eastAsia="Times New Roman"/>
                <w:color w:val="000000"/>
                <w:sz w:val="18"/>
                <w:szCs w:val="18"/>
              </w:rPr>
              <w:t>Total lease liabilities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1,458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bl>
    <w:p w:rsidR="00000000" w:rsidRDefault="0094004B">
      <w:pPr>
        <w:jc w:val="both"/>
        <w:divId w:val="1819612807"/>
        <w:rPr>
          <w:rFonts w:eastAsia="Times New Roman"/>
        </w:rPr>
      </w:pPr>
      <w:r>
        <w:rPr>
          <w:rFonts w:eastAsia="Times New Roman"/>
          <w:color w:val="000000"/>
          <w:sz w:val="20"/>
          <w:szCs w:val="20"/>
        </w:rPr>
        <w:t xml:space="preserve">As of December 31, 2022, we had approximately $22 million and $33 </w:t>
      </w:r>
      <w:r>
        <w:rPr>
          <w:rFonts w:eastAsia="Times New Roman"/>
          <w:color w:val="000000"/>
          <w:sz w:val="20"/>
          <w:szCs w:val="20"/>
        </w:rPr>
        <w:t>million of right-of-use assets and lease liabilities, respectively, for finance leases with a weighted-average remaining lease term of 3.3 years. As of December 31, 2021, we had approximately $33 million and $53 million of right-of-use assets and lease lia</w:t>
      </w:r>
      <w:r>
        <w:rPr>
          <w:rFonts w:eastAsia="Times New Roman"/>
          <w:color w:val="000000"/>
          <w:sz w:val="20"/>
          <w:szCs w:val="20"/>
        </w:rPr>
        <w:t>bilities, respectively, for finance leases with a weighted-average remaining lease term of 3.4 years. These right-of-use assets and lease liabilities are included in</w:t>
      </w:r>
      <w:r>
        <w:rPr>
          <w:rFonts w:eastAsia="Times New Roman"/>
          <w:color w:val="000000"/>
          <w:sz w:val="20"/>
          <w:szCs w:val="20"/>
        </w:rPr>
        <w:t xml:space="preserve"> </w:t>
      </w:r>
      <w:r>
        <w:rPr>
          <w:rFonts w:eastAsia="Times New Roman"/>
          <w:color w:val="000000"/>
          <w:sz w:val="20"/>
          <w:szCs w:val="20"/>
        </w:rPr>
        <w:t>premises and equipment, ne</w:t>
      </w:r>
      <w:r>
        <w:rPr>
          <w:rFonts w:eastAsia="Times New Roman"/>
          <w:color w:val="000000"/>
          <w:sz w:val="20"/>
          <w:szCs w:val="20"/>
        </w:rPr>
        <w:t>t</w:t>
      </w:r>
      <w:r>
        <w:rPr>
          <w:rFonts w:eastAsia="Times New Roman"/>
          <w:color w:val="000000"/>
          <w:sz w:val="20"/>
          <w:szCs w:val="20"/>
        </w:rPr>
        <w:t xml:space="preserve"> and</w:t>
      </w:r>
      <w:r>
        <w:rPr>
          <w:rFonts w:eastAsia="Times New Roman"/>
          <w:color w:val="000000"/>
          <w:sz w:val="20"/>
          <w:szCs w:val="20"/>
        </w:rPr>
        <w:t xml:space="preserve"> </w:t>
      </w:r>
      <w:r>
        <w:rPr>
          <w:rFonts w:eastAsia="Times New Roman"/>
          <w:color w:val="000000"/>
          <w:sz w:val="20"/>
          <w:szCs w:val="20"/>
        </w:rPr>
        <w:t>other borrowing</w:t>
      </w:r>
      <w:r>
        <w:rPr>
          <w:rFonts w:eastAsia="Times New Roman"/>
          <w:color w:val="000000"/>
          <w:sz w:val="20"/>
          <w:szCs w:val="20"/>
        </w:rPr>
        <w:t>s</w:t>
      </w:r>
      <w:r>
        <w:rPr>
          <w:rFonts w:eastAsia="Times New Roman"/>
          <w:color w:val="000000"/>
          <w:sz w:val="20"/>
          <w:szCs w:val="20"/>
        </w:rPr>
        <w:t>, respectively, on our consolidated balanc</w:t>
      </w:r>
      <w:r>
        <w:rPr>
          <w:rFonts w:eastAsia="Times New Roman"/>
          <w:color w:val="000000"/>
          <w:sz w:val="20"/>
          <w:szCs w:val="20"/>
        </w:rPr>
        <w:t>e sheets. We recognized $14 million and $22 million of total finance lease expense for the years ended December 31, 2022 and 2021, respectively.</w:t>
      </w:r>
    </w:p>
    <w:p w:rsidR="00000000" w:rsidRDefault="0094004B">
      <w:pPr>
        <w:jc w:val="both"/>
        <w:divId w:val="1102065748"/>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498158888"/>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498158888"/>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498158888"/>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162</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88" style="width:0;height:1.5pt" o:hralign="center" o:hrstd="t" o:hr="t" fillcolor="#a0a0a0" stroked="f"/>
        </w:pict>
      </w:r>
    </w:p>
    <w:p w:rsidR="00000000" w:rsidRDefault="0094004B">
      <w:pPr>
        <w:jc w:val="both"/>
        <w:divId w:val="351566494"/>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351566494"/>
        <w:rPr>
          <w:rFonts w:eastAsia="Times New Roman"/>
        </w:rPr>
      </w:pPr>
    </w:p>
    <w:p w:rsidR="00000000" w:rsidRDefault="0094004B">
      <w:pPr>
        <w:jc w:val="center"/>
        <w:divId w:val="351566494"/>
        <w:rPr>
          <w:rFonts w:eastAsia="Times New Roman"/>
        </w:rPr>
      </w:pPr>
      <w:r>
        <w:rPr>
          <w:rFonts w:eastAsia="Times New Roman"/>
          <w:b/>
          <w:bCs/>
          <w:color w:val="000000"/>
          <w:sz w:val="20"/>
          <w:szCs w:val="20"/>
        </w:rPr>
        <w:t>CAPITAL ONE FINANCIAL CORPORATION</w:t>
      </w:r>
    </w:p>
    <w:p w:rsidR="00000000" w:rsidRDefault="0094004B">
      <w:pPr>
        <w:jc w:val="center"/>
        <w:divId w:val="351566494"/>
        <w:rPr>
          <w:rFonts w:eastAsia="Times New Roman"/>
        </w:rPr>
      </w:pPr>
      <w:r>
        <w:rPr>
          <w:rFonts w:eastAsia="Times New Roman"/>
          <w:b/>
          <w:bCs/>
          <w:color w:val="000000"/>
          <w:sz w:val="20"/>
          <w:szCs w:val="20"/>
        </w:rPr>
        <w:t>NOTES TO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443503994"/>
        </w:trPr>
        <w:tc>
          <w:tcPr>
            <w:tcW w:w="50" w:type="pct"/>
            <w:vAlign w:val="center"/>
            <w:hideMark/>
          </w:tcPr>
          <w:p w:rsidR="00000000" w:rsidRDefault="0094004B">
            <w:pPr>
              <w:jc w:val="center"/>
              <w:rPr>
                <w:rFonts w:eastAsia="Times New Roman"/>
              </w:rPr>
            </w:pPr>
          </w:p>
        </w:tc>
        <w:tc>
          <w:tcPr>
            <w:tcW w:w="494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443503994"/>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20"/>
                <w:szCs w:val="20"/>
              </w:rPr>
              <w:t>NOTE 8—DEPOSITS AND BORROWINGS</w:t>
            </w:r>
          </w:p>
        </w:tc>
      </w:tr>
    </w:tbl>
    <w:p w:rsidR="00000000" w:rsidRDefault="0094004B">
      <w:pPr>
        <w:jc w:val="both"/>
        <w:divId w:val="1022317381"/>
        <w:rPr>
          <w:rFonts w:eastAsia="Times New Roman"/>
        </w:rPr>
      </w:pPr>
      <w:r>
        <w:rPr>
          <w:rFonts w:eastAsia="Times New Roman"/>
          <w:color w:val="000000"/>
          <w:sz w:val="20"/>
          <w:szCs w:val="20"/>
        </w:rPr>
        <w:t>Our deposits, which include checking accounts, money market deposits, negotiable order of withdrawals, savings deposits and time deposits, represent our largest source of funding for our assets and operations. We also use a variety of other funding sources</w:t>
      </w:r>
      <w:r>
        <w:rPr>
          <w:rFonts w:eastAsia="Times New Roman"/>
          <w:color w:val="000000"/>
          <w:sz w:val="20"/>
          <w:szCs w:val="20"/>
        </w:rPr>
        <w:t xml:space="preserve"> including short-term borrowings, senior and subordinated notes, securitized debt obligations and other borrowings. Securitized debt obligations are presented separately on our consolidated balance sheets, as they represent obligations of consolidated secu</w:t>
      </w:r>
      <w:r>
        <w:rPr>
          <w:rFonts w:eastAsia="Times New Roman"/>
          <w:color w:val="000000"/>
          <w:sz w:val="20"/>
          <w:szCs w:val="20"/>
        </w:rPr>
        <w:t>ritization trusts, while federal funds purchased and securities loaned or sold under agreements to repurchase, senior and subordinated notes and other borrowings, including FHLB advances, are included in other debt on our consolidated balance sheets.</w:t>
      </w:r>
    </w:p>
    <w:p w:rsidR="00000000" w:rsidRDefault="0094004B">
      <w:pPr>
        <w:jc w:val="both"/>
        <w:divId w:val="373425443"/>
        <w:rPr>
          <w:rFonts w:eastAsia="Times New Roman"/>
        </w:rPr>
      </w:pPr>
      <w:r>
        <w:rPr>
          <w:rFonts w:eastAsia="Times New Roman"/>
          <w:color w:val="000000"/>
          <w:sz w:val="20"/>
          <w:szCs w:val="20"/>
        </w:rPr>
        <w:t>Our total short-term borrowings generally consist of federal funds purchased, securities loaned or sold under agreements to repurchase and FHLB advances. Our long-term debt consists of borrowings with an original contractual maturity of greater than one ye</w:t>
      </w:r>
      <w:r>
        <w:rPr>
          <w:rFonts w:eastAsia="Times New Roman"/>
          <w:color w:val="000000"/>
          <w:sz w:val="20"/>
          <w:szCs w:val="20"/>
        </w:rPr>
        <w:t>ar. The following tables summarize the components of our deposits, short-term borrowings and long-term debt as of December 31, 2022 and 2021. The carrying value presented below for these borrowings includes unamortized debt premiums and discounts, net of d</w:t>
      </w:r>
      <w:r>
        <w:rPr>
          <w:rFonts w:eastAsia="Times New Roman"/>
          <w:color w:val="000000"/>
          <w:sz w:val="20"/>
          <w:szCs w:val="20"/>
        </w:rPr>
        <w:t>ebt issuance costs and fair value hedge accounting adjustments.</w:t>
      </w:r>
    </w:p>
    <w:p w:rsidR="00000000" w:rsidRDefault="0094004B">
      <w:pPr>
        <w:divId w:val="509371041"/>
        <w:rPr>
          <w:rFonts w:eastAsia="Times New Roman"/>
        </w:rPr>
      </w:pPr>
      <w:r>
        <w:rPr>
          <w:rFonts w:eastAsia="Times New Roman"/>
          <w:b/>
          <w:bCs/>
          <w:color w:val="000000"/>
          <w:sz w:val="18"/>
          <w:szCs w:val="18"/>
        </w:rPr>
        <w:t>Table 8.1: Components of Deposits, Short-Term Borrowings and Long-Term Debt</w:t>
      </w:r>
    </w:p>
    <w:tbl>
      <w:tblPr>
        <w:tblW w:w="5000" w:type="pct"/>
        <w:tblCellMar>
          <w:top w:w="15" w:type="dxa"/>
          <w:left w:w="15" w:type="dxa"/>
          <w:bottom w:w="15" w:type="dxa"/>
          <w:right w:w="15" w:type="dxa"/>
        </w:tblCellMar>
        <w:tblLook w:val="04A0" w:firstRow="1" w:lastRow="0" w:firstColumn="1" w:lastColumn="0" w:noHBand="0" w:noVBand="1"/>
      </w:tblPr>
      <w:tblGrid>
        <w:gridCol w:w="41"/>
        <w:gridCol w:w="6232"/>
        <w:gridCol w:w="40"/>
        <w:gridCol w:w="36"/>
        <w:gridCol w:w="36"/>
        <w:gridCol w:w="36"/>
        <w:gridCol w:w="110"/>
        <w:gridCol w:w="742"/>
        <w:gridCol w:w="36"/>
        <w:gridCol w:w="36"/>
        <w:gridCol w:w="36"/>
        <w:gridCol w:w="36"/>
        <w:gridCol w:w="110"/>
        <w:gridCol w:w="743"/>
        <w:gridCol w:w="36"/>
      </w:tblGrid>
      <w:tr w:rsidR="00000000">
        <w:trPr>
          <w:divId w:val="1882088807"/>
        </w:trPr>
        <w:tc>
          <w:tcPr>
            <w:tcW w:w="50" w:type="pct"/>
            <w:vAlign w:val="center"/>
            <w:hideMark/>
          </w:tcPr>
          <w:p w:rsidR="00000000" w:rsidRDefault="0094004B">
            <w:pPr>
              <w:rPr>
                <w:rFonts w:eastAsia="Times New Roman"/>
              </w:rPr>
            </w:pPr>
          </w:p>
        </w:tc>
        <w:tc>
          <w:tcPr>
            <w:tcW w:w="377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9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9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882088807"/>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December 31, 2022</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December 31, 2021</w:t>
            </w:r>
          </w:p>
        </w:tc>
      </w:tr>
      <w:tr w:rsidR="00000000">
        <w:trPr>
          <w:divId w:val="188208880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Deposits: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882088807"/>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Non-interest-bearing deposits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32,203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38,043 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882088807"/>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divId w:val="1458989804"/>
              <w:rPr>
                <w:rFonts w:eastAsia="Times New Roman"/>
              </w:rPr>
            </w:pPr>
            <w:r>
              <w:rPr>
                <w:rFonts w:eastAsia="Times New Roman"/>
                <w:color w:val="000000"/>
                <w:sz w:val="18"/>
                <w:szCs w:val="18"/>
              </w:rPr>
              <w:t>Interest-bearing deposit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300,789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272,937 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882088807"/>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 deposits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332,992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310,980 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882088807"/>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Short-term borrowings: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882088807"/>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Federal funds purchased and securities loaned or sold under agreements to repurchase</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883</w:t>
            </w:r>
            <w:r>
              <w:rPr>
                <w:rFonts w:eastAsia="Times New Roman"/>
                <w:color w:val="000000"/>
                <w:sz w:val="18"/>
                <w:szCs w:val="18"/>
              </w:rPr>
              <w:t> </w:t>
            </w:r>
          </w:p>
        </w:tc>
        <w:tc>
          <w:tcPr>
            <w:tcW w:w="0" w:type="auto"/>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820 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882088807"/>
        </w:trPr>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882088807"/>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 short-term borrowings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883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820 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bl>
    <w:tbl>
      <w:tblPr>
        <w:tblW w:w="4992" w:type="pct"/>
        <w:tblCellMar>
          <w:top w:w="15" w:type="dxa"/>
          <w:left w:w="15" w:type="dxa"/>
          <w:bottom w:w="15" w:type="dxa"/>
          <w:right w:w="15" w:type="dxa"/>
        </w:tblCellMar>
        <w:tblLook w:val="04A0" w:firstRow="1" w:lastRow="0" w:firstColumn="1" w:lastColumn="0" w:noHBand="0" w:noVBand="1"/>
      </w:tblPr>
      <w:tblGrid>
        <w:gridCol w:w="144"/>
        <w:gridCol w:w="3003"/>
        <w:gridCol w:w="144"/>
        <w:gridCol w:w="144"/>
        <w:gridCol w:w="144"/>
        <w:gridCol w:w="144"/>
        <w:gridCol w:w="144"/>
        <w:gridCol w:w="782"/>
        <w:gridCol w:w="144"/>
        <w:gridCol w:w="144"/>
        <w:gridCol w:w="144"/>
        <w:gridCol w:w="144"/>
        <w:gridCol w:w="144"/>
        <w:gridCol w:w="1255"/>
        <w:gridCol w:w="144"/>
        <w:gridCol w:w="144"/>
        <w:gridCol w:w="144"/>
        <w:gridCol w:w="144"/>
        <w:gridCol w:w="144"/>
        <w:gridCol w:w="819"/>
        <w:gridCol w:w="144"/>
        <w:gridCol w:w="144"/>
        <w:gridCol w:w="144"/>
        <w:gridCol w:w="144"/>
        <w:gridCol w:w="144"/>
        <w:gridCol w:w="769"/>
        <w:gridCol w:w="144"/>
        <w:gridCol w:w="144"/>
        <w:gridCol w:w="144"/>
        <w:gridCol w:w="144"/>
        <w:gridCol w:w="144"/>
        <w:gridCol w:w="819"/>
        <w:gridCol w:w="144"/>
      </w:tblGrid>
      <w:tr w:rsidR="00000000">
        <w:tc>
          <w:tcPr>
            <w:tcW w:w="50" w:type="pct"/>
            <w:vAlign w:val="center"/>
            <w:hideMark/>
          </w:tcPr>
          <w:p w:rsidR="00000000" w:rsidRDefault="0094004B">
            <w:pPr>
              <w:rPr>
                <w:rFonts w:eastAsia="Times New Roman"/>
              </w:rPr>
            </w:pPr>
          </w:p>
        </w:tc>
        <w:tc>
          <w:tcPr>
            <w:tcW w:w="1811"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7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1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75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9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6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9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c>
          <w:tcPr>
            <w:tcW w:w="0" w:type="auto"/>
            <w:gridSpan w:val="3"/>
            <w:tcMar>
              <w:top w:w="30" w:type="dxa"/>
              <w:left w:w="515" w:type="dxa"/>
              <w:bottom w:w="30" w:type="dxa"/>
              <w:right w:w="20" w:type="dxa"/>
            </w:tcMar>
            <w:vAlign w:val="bottom"/>
            <w:hideMark/>
          </w:tcPr>
          <w:p w:rsidR="00000000" w:rsidRDefault="0094004B">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1"/>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December 31, 2022</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December 31, 2021</w:t>
            </w:r>
          </w:p>
        </w:tc>
      </w:tr>
      <w:tr w:rsidR="00000000">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Maturity Dates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Stated Interest Rates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Weighted-Average Interest Rate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Carrying Value</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Carrying Value</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Long-term debt: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Securitized debt obligations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jc w:val="right"/>
              <w:rPr>
                <w:rFonts w:eastAsia="Times New Roman"/>
              </w:rPr>
            </w:pPr>
            <w:r>
              <w:rPr>
                <w:rFonts w:eastAsia="Times New Roman"/>
                <w:b/>
                <w:bCs/>
                <w:color w:val="000000"/>
                <w:sz w:val="18"/>
                <w:szCs w:val="18"/>
              </w:rPr>
              <w:t>2023-2028</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jc w:val="right"/>
              <w:rPr>
                <w:rFonts w:eastAsia="Times New Roman"/>
              </w:rPr>
            </w:pPr>
            <w:r>
              <w:rPr>
                <w:rFonts w:eastAsia="Times New Roman"/>
                <w:b/>
                <w:bCs/>
                <w:color w:val="000000"/>
                <w:sz w:val="18"/>
                <w:szCs w:val="18"/>
              </w:rPr>
              <w:t>0.32% - 4.95%</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center"/>
            <w:hideMark/>
          </w:tcPr>
          <w:p w:rsidR="00000000" w:rsidRDefault="0094004B">
            <w:pPr>
              <w:spacing w:after="100"/>
              <w:jc w:val="right"/>
              <w:rPr>
                <w:rFonts w:eastAsia="Times New Roman"/>
              </w:rPr>
            </w:pPr>
            <w:r>
              <w:rPr>
                <w:rFonts w:eastAsia="Times New Roman"/>
                <w:b/>
                <w:bCs/>
                <w:color w:val="000000"/>
                <w:sz w:val="18"/>
                <w:szCs w:val="18"/>
              </w:rPr>
              <w:t>2.61%</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16,973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14,994 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Senior and subordinated notes: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divId w:val="1018316333"/>
              <w:rPr>
                <w:rFonts w:eastAsia="Times New Roman"/>
              </w:rPr>
            </w:pPr>
            <w:r>
              <w:rPr>
                <w:rFonts w:eastAsia="Times New Roman"/>
                <w:color w:val="000000"/>
                <w:sz w:val="18"/>
                <w:szCs w:val="18"/>
              </w:rPr>
              <w:t>Fixed unsecured senior deb</w:t>
            </w:r>
            <w:r>
              <w:rPr>
                <w:rFonts w:eastAsia="Times New Roman"/>
                <w:color w:val="000000"/>
                <w:sz w:val="18"/>
                <w:szCs w:val="18"/>
              </w:rPr>
              <w:t>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jc w:val="right"/>
              <w:rPr>
                <w:rFonts w:eastAsia="Times New Roman"/>
              </w:rPr>
            </w:pPr>
            <w:r>
              <w:rPr>
                <w:rFonts w:eastAsia="Times New Roman"/>
                <w:b/>
                <w:bCs/>
                <w:color w:val="000000"/>
                <w:sz w:val="18"/>
                <w:szCs w:val="18"/>
              </w:rPr>
              <w:t>2023-2033</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jc w:val="right"/>
              <w:rPr>
                <w:rFonts w:eastAsia="Times New Roman"/>
              </w:rPr>
            </w:pPr>
            <w:r>
              <w:rPr>
                <w:rFonts w:eastAsia="Times New Roman"/>
                <w:b/>
                <w:bCs/>
                <w:color w:val="000000"/>
                <w:sz w:val="18"/>
                <w:szCs w:val="18"/>
              </w:rPr>
              <w:t>0.80 - 5.27</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18"/>
                <w:szCs w:val="18"/>
              </w:rPr>
              <w:t>3.43</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24,134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19,975 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c>
          <w:tcPr>
            <w:tcW w:w="0" w:type="auto"/>
            <w:gridSpan w:val="3"/>
            <w:shd w:val="clear" w:color="auto" w:fill="CCEEFF"/>
            <w:tcMar>
              <w:top w:w="30" w:type="dxa"/>
              <w:left w:w="51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Floating unsecured senior debt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jc w:val="right"/>
              <w:rPr>
                <w:rFonts w:eastAsia="Times New Roman"/>
              </w:rPr>
            </w:pPr>
            <w:r>
              <w:rPr>
                <w:rFonts w:eastAsia="Times New Roman"/>
                <w:b/>
                <w:bCs/>
                <w:color w:val="000000"/>
                <w:sz w:val="18"/>
                <w:szCs w:val="18"/>
              </w:rPr>
              <w:t>2023-2025</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jc w:val="right"/>
              <w:rPr>
                <w:rFonts w:eastAsia="Times New Roman"/>
              </w:rPr>
            </w:pPr>
            <w:r>
              <w:rPr>
                <w:rFonts w:eastAsia="Times New Roman"/>
                <w:b/>
                <w:bCs/>
                <w:color w:val="000000"/>
                <w:sz w:val="18"/>
                <w:szCs w:val="18"/>
              </w:rPr>
              <w:t>4.99 - 5.65</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18"/>
                <w:szCs w:val="18"/>
              </w:rPr>
              <w:t>5.17</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1,597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1,709 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c>
          <w:tcPr>
            <w:tcW w:w="0" w:type="auto"/>
            <w:gridSpan w:val="15"/>
            <w:shd w:val="clear" w:color="auto" w:fill="FFFFFF"/>
            <w:tcMar>
              <w:top w:w="30" w:type="dxa"/>
              <w:left w:w="60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 unsecured senior debt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18"/>
                <w:szCs w:val="18"/>
              </w:rPr>
              <w:t>3.53</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25,731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21,684 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c>
          <w:tcPr>
            <w:tcW w:w="0" w:type="auto"/>
            <w:gridSpan w:val="3"/>
            <w:shd w:val="clear" w:color="auto" w:fill="CCEEFF"/>
            <w:tcMar>
              <w:top w:w="30" w:type="dxa"/>
              <w:left w:w="51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Fixed unsecured subordinated debt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jc w:val="right"/>
              <w:rPr>
                <w:rFonts w:eastAsia="Times New Roman"/>
              </w:rPr>
            </w:pPr>
            <w:r>
              <w:rPr>
                <w:rFonts w:eastAsia="Times New Roman"/>
                <w:b/>
                <w:bCs/>
                <w:color w:val="000000"/>
                <w:sz w:val="18"/>
                <w:szCs w:val="18"/>
              </w:rPr>
              <w:t>2023-2032</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jc w:val="right"/>
              <w:rPr>
                <w:rFonts w:eastAsia="Times New Roman"/>
              </w:rPr>
            </w:pPr>
            <w:r>
              <w:rPr>
                <w:rFonts w:eastAsia="Times New Roman"/>
                <w:b/>
                <w:bCs/>
                <w:color w:val="000000"/>
                <w:sz w:val="18"/>
                <w:szCs w:val="18"/>
              </w:rPr>
              <w:t>2.36 - 4.20</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18"/>
                <w:szCs w:val="18"/>
              </w:rPr>
              <w:t>3.52</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5,095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5,535 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c>
          <w:tcPr>
            <w:tcW w:w="0" w:type="auto"/>
            <w:gridSpan w:val="21"/>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 senior and subordinated notes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30,826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27,219 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Other long-term borrowings: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c>
          <w:tcPr>
            <w:tcW w:w="0" w:type="auto"/>
            <w:gridSpan w:val="3"/>
            <w:shd w:val="clear" w:color="auto" w:fill="FFFFFF"/>
            <w:tcMar>
              <w:top w:w="30" w:type="dxa"/>
              <w:left w:w="51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Finance lease liabilities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jc w:val="right"/>
              <w:rPr>
                <w:rFonts w:eastAsia="Times New Roman"/>
              </w:rPr>
            </w:pPr>
            <w:r>
              <w:rPr>
                <w:rFonts w:eastAsia="Times New Roman"/>
                <w:b/>
                <w:bCs/>
                <w:color w:val="000000"/>
                <w:sz w:val="18"/>
                <w:szCs w:val="18"/>
              </w:rPr>
              <w:t>2023 - 2031</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jc w:val="right"/>
              <w:rPr>
                <w:rFonts w:eastAsia="Times New Roman"/>
              </w:rPr>
            </w:pPr>
            <w:r>
              <w:rPr>
                <w:rFonts w:eastAsia="Times New Roman"/>
                <w:b/>
                <w:bCs/>
                <w:color w:val="000000"/>
                <w:sz w:val="18"/>
                <w:szCs w:val="18"/>
              </w:rPr>
              <w:t>0.30 - 9.91</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center"/>
            <w:hideMark/>
          </w:tcPr>
          <w:p w:rsidR="00000000" w:rsidRDefault="0094004B">
            <w:pPr>
              <w:spacing w:after="100"/>
              <w:jc w:val="right"/>
              <w:rPr>
                <w:rFonts w:eastAsia="Times New Roman"/>
              </w:rPr>
            </w:pPr>
            <w:r>
              <w:rPr>
                <w:rFonts w:eastAsia="Times New Roman"/>
                <w:b/>
                <w:bCs/>
                <w:color w:val="000000"/>
                <w:sz w:val="18"/>
                <w:szCs w:val="18"/>
              </w:rPr>
              <w:t>4.27</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53 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c>
          <w:tcPr>
            <w:tcW w:w="0" w:type="auto"/>
            <w:gridSpan w:val="21"/>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 other long-term borrowings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53 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c>
          <w:tcPr>
            <w:tcW w:w="0" w:type="auto"/>
            <w:gridSpan w:val="21"/>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 long-term debt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47,832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42,266 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c>
          <w:tcPr>
            <w:tcW w:w="0" w:type="auto"/>
            <w:gridSpan w:val="21"/>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 short-term borrowings and long-term debt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48,715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43,086 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bl>
    <w:p w:rsidR="00000000" w:rsidRDefault="0094004B">
      <w:pPr>
        <w:divId w:val="2138377288"/>
        <w:rPr>
          <w:rFonts w:eastAsia="Times New Roman"/>
        </w:rPr>
      </w:pPr>
      <w:r>
        <w:rPr>
          <w:rFonts w:eastAsia="Times New Roman"/>
          <w:color w:val="000000"/>
          <w:sz w:val="20"/>
          <w:szCs w:val="20"/>
        </w:rPr>
        <w:t>__________</w:t>
      </w:r>
    </w:p>
    <w:p w:rsidR="00000000" w:rsidRDefault="0094004B">
      <w:pPr>
        <w:ind w:hanging="360"/>
        <w:jc w:val="both"/>
        <w:divId w:val="1138301709"/>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Includes $6.1 billion and $1.8 </w:t>
      </w:r>
      <w:r>
        <w:rPr>
          <w:rFonts w:eastAsia="Times New Roman"/>
          <w:color w:val="000000"/>
          <w:sz w:val="16"/>
          <w:szCs w:val="16"/>
        </w:rPr>
        <w:t>billion of time deposits in denominations in excess of the $250,000 federal insurance limit as of December 31, 2022 and 2021, respectively.</w:t>
      </w:r>
    </w:p>
    <w:p w:rsidR="00000000" w:rsidRDefault="0094004B">
      <w:pPr>
        <w:ind w:hanging="360"/>
        <w:jc w:val="both"/>
        <w:divId w:val="1049912845"/>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Includes $1.2 billion and $1.4 billion of Euro (“EUR”) denominated unsecured notes as of December 31, 2022 and 20</w:t>
      </w:r>
      <w:r>
        <w:rPr>
          <w:rFonts w:eastAsia="Times New Roman"/>
          <w:color w:val="000000"/>
          <w:sz w:val="16"/>
          <w:szCs w:val="16"/>
        </w:rPr>
        <w:t>21, respectively.</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155337131"/>
          <w:jc w:val="center"/>
        </w:trPr>
        <w:tc>
          <w:tcPr>
            <w:tcW w:w="50" w:type="pct"/>
            <w:vAlign w:val="center"/>
            <w:hideMark/>
          </w:tcPr>
          <w:p w:rsidR="00000000" w:rsidRDefault="0094004B">
            <w:pPr>
              <w:ind w:hanging="360"/>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155337131"/>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155337131"/>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163</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89" style="width:0;height:1.5pt" o:hralign="center" o:hrstd="t" o:hr="t" fillcolor="#a0a0a0" stroked="f"/>
        </w:pict>
      </w:r>
    </w:p>
    <w:p w:rsidR="00000000" w:rsidRDefault="0094004B">
      <w:pPr>
        <w:jc w:val="both"/>
        <w:divId w:val="384068620"/>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384068620"/>
        <w:rPr>
          <w:rFonts w:eastAsia="Times New Roman"/>
        </w:rPr>
      </w:pPr>
    </w:p>
    <w:p w:rsidR="00000000" w:rsidRDefault="0094004B">
      <w:pPr>
        <w:jc w:val="center"/>
        <w:divId w:val="384068620"/>
        <w:rPr>
          <w:rFonts w:eastAsia="Times New Roman"/>
        </w:rPr>
      </w:pPr>
      <w:r>
        <w:rPr>
          <w:rFonts w:eastAsia="Times New Roman"/>
          <w:b/>
          <w:bCs/>
          <w:color w:val="000000"/>
          <w:sz w:val="20"/>
          <w:szCs w:val="20"/>
        </w:rPr>
        <w:t>CAPITAL ONE FINANCIAL CORPORATION</w:t>
      </w:r>
    </w:p>
    <w:p w:rsidR="00000000" w:rsidRDefault="0094004B">
      <w:pPr>
        <w:jc w:val="center"/>
        <w:divId w:val="384068620"/>
        <w:rPr>
          <w:rFonts w:eastAsia="Times New Roman"/>
        </w:rPr>
      </w:pPr>
      <w:r>
        <w:rPr>
          <w:rFonts w:eastAsia="Times New Roman"/>
          <w:b/>
          <w:bCs/>
          <w:color w:val="000000"/>
          <w:sz w:val="20"/>
          <w:szCs w:val="20"/>
        </w:rPr>
        <w:t>NOTES TO CONSOLIDATED FINANCIAL STATEMENTS</w:t>
      </w:r>
    </w:p>
    <w:p w:rsidR="00000000" w:rsidRDefault="0094004B">
      <w:pPr>
        <w:jc w:val="both"/>
        <w:divId w:val="941649774"/>
        <w:rPr>
          <w:rFonts w:eastAsia="Times New Roman"/>
        </w:rPr>
      </w:pPr>
      <w:r>
        <w:rPr>
          <w:rFonts w:eastAsia="Times New Roman"/>
          <w:color w:val="000000"/>
          <w:sz w:val="20"/>
          <w:szCs w:val="20"/>
        </w:rPr>
        <w:t>The following table presents the carrying value of our interest-bearing time deposits with contractual maturities, securitized debt obligations and other debt by remaining contractual maturity as of December 31, 2022.</w:t>
      </w:r>
    </w:p>
    <w:p w:rsidR="00000000" w:rsidRDefault="0094004B">
      <w:pPr>
        <w:jc w:val="both"/>
        <w:divId w:val="1837577321"/>
        <w:rPr>
          <w:rFonts w:eastAsia="Times New Roman"/>
        </w:rPr>
      </w:pPr>
      <w:r>
        <w:rPr>
          <w:rFonts w:eastAsia="Times New Roman"/>
          <w:b/>
          <w:bCs/>
          <w:color w:val="000000"/>
          <w:sz w:val="18"/>
          <w:szCs w:val="18"/>
        </w:rPr>
        <w:t>Table 8.2: Maturity Profile of Borrowi</w:t>
      </w:r>
      <w:r>
        <w:rPr>
          <w:rFonts w:eastAsia="Times New Roman"/>
          <w:b/>
          <w:bCs/>
          <w:color w:val="000000"/>
          <w:sz w:val="18"/>
          <w:szCs w:val="18"/>
        </w:rPr>
        <w:t>ngs</w:t>
      </w:r>
    </w:p>
    <w:tbl>
      <w:tblPr>
        <w:tblW w:w="4963" w:type="pct"/>
        <w:tblCellMar>
          <w:top w:w="15" w:type="dxa"/>
          <w:left w:w="15" w:type="dxa"/>
          <w:bottom w:w="15" w:type="dxa"/>
          <w:right w:w="15" w:type="dxa"/>
        </w:tblCellMar>
        <w:tblLook w:val="04A0" w:firstRow="1" w:lastRow="0" w:firstColumn="1" w:lastColumn="0" w:noHBand="0" w:noVBand="1"/>
      </w:tblPr>
      <w:tblGrid>
        <w:gridCol w:w="39"/>
        <w:gridCol w:w="2563"/>
        <w:gridCol w:w="38"/>
        <w:gridCol w:w="36"/>
        <w:gridCol w:w="36"/>
        <w:gridCol w:w="36"/>
        <w:gridCol w:w="110"/>
        <w:gridCol w:w="540"/>
        <w:gridCol w:w="36"/>
        <w:gridCol w:w="36"/>
        <w:gridCol w:w="36"/>
        <w:gridCol w:w="36"/>
        <w:gridCol w:w="110"/>
        <w:gridCol w:w="540"/>
        <w:gridCol w:w="36"/>
        <w:gridCol w:w="36"/>
        <w:gridCol w:w="36"/>
        <w:gridCol w:w="36"/>
        <w:gridCol w:w="110"/>
        <w:gridCol w:w="540"/>
        <w:gridCol w:w="36"/>
        <w:gridCol w:w="36"/>
        <w:gridCol w:w="36"/>
        <w:gridCol w:w="36"/>
        <w:gridCol w:w="110"/>
        <w:gridCol w:w="450"/>
        <w:gridCol w:w="36"/>
        <w:gridCol w:w="36"/>
        <w:gridCol w:w="36"/>
        <w:gridCol w:w="36"/>
        <w:gridCol w:w="110"/>
        <w:gridCol w:w="540"/>
        <w:gridCol w:w="36"/>
        <w:gridCol w:w="36"/>
        <w:gridCol w:w="36"/>
        <w:gridCol w:w="36"/>
        <w:gridCol w:w="111"/>
        <w:gridCol w:w="676"/>
        <w:gridCol w:w="36"/>
        <w:gridCol w:w="36"/>
        <w:gridCol w:w="36"/>
        <w:gridCol w:w="36"/>
        <w:gridCol w:w="110"/>
        <w:gridCol w:w="540"/>
        <w:gridCol w:w="36"/>
      </w:tblGrid>
      <w:tr w:rsidR="00000000">
        <w:trPr>
          <w:divId w:val="613947081"/>
        </w:trPr>
        <w:tc>
          <w:tcPr>
            <w:tcW w:w="50" w:type="pct"/>
            <w:vAlign w:val="center"/>
            <w:hideMark/>
          </w:tcPr>
          <w:p w:rsidR="00000000" w:rsidRDefault="0094004B">
            <w:pPr>
              <w:jc w:val="both"/>
              <w:rPr>
                <w:rFonts w:eastAsia="Times New Roman"/>
              </w:rPr>
            </w:pPr>
          </w:p>
        </w:tc>
        <w:tc>
          <w:tcPr>
            <w:tcW w:w="174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6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6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6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6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6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6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6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613947081"/>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2023</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2024</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2025</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2026</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2027</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Thereafter</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Total</w:t>
            </w:r>
          </w:p>
        </w:tc>
      </w:tr>
      <w:tr w:rsidR="0094004B">
        <w:trPr>
          <w:divId w:val="613947081"/>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 xml:space="preserve">Interest-bearing time deposits </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20,090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13,321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4,349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2,077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5,719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302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45,858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613947081"/>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Securitized debt obligations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466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4,166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7,780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1,749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1,620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1,192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16,973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613947081"/>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Federal funds purchased and securities </w:t>
            </w:r>
            <w:r>
              <w:rPr>
                <w:rFonts w:eastAsia="Times New Roman"/>
                <w:color w:val="000000"/>
                <w:sz w:val="18"/>
                <w:szCs w:val="18"/>
              </w:rPr>
              <w:t>loaned or sold under agreements to repurchase</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883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883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613947081"/>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Senior and subordinated notes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4,859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6,387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4,397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4,325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3,381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7,477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30,826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613947081"/>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Other borrowings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33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94004B">
        <w:trPr>
          <w:divId w:val="613947081"/>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26,317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23,877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16,528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8,153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10,723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8,975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94,573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bl>
    <w:p w:rsidR="00000000" w:rsidRDefault="0094004B">
      <w:pPr>
        <w:divId w:val="613947081"/>
        <w:rPr>
          <w:rFonts w:eastAsia="Times New Roman"/>
        </w:rPr>
      </w:pPr>
      <w:r>
        <w:rPr>
          <w:rFonts w:eastAsia="Times New Roman"/>
          <w:color w:val="000000"/>
          <w:sz w:val="20"/>
          <w:szCs w:val="20"/>
        </w:rPr>
        <w:t>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700348664"/>
          <w:jc w:val="center"/>
        </w:trPr>
        <w:tc>
          <w:tcPr>
            <w:tcW w:w="50" w:type="pct"/>
            <w:vAlign w:val="center"/>
            <w:hideMark/>
          </w:tcPr>
          <w:p w:rsidR="00000000" w:rsidRDefault="0094004B">
            <w:pPr>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700348664"/>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700348664"/>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164</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90" style="width:0;height:1.5pt" o:hralign="center" o:hrstd="t" o:hr="t" fillcolor="#a0a0a0" stroked="f"/>
        </w:pict>
      </w:r>
    </w:p>
    <w:p w:rsidR="00000000" w:rsidRDefault="0094004B">
      <w:pPr>
        <w:jc w:val="both"/>
        <w:divId w:val="1570573705"/>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1570573705"/>
        <w:rPr>
          <w:rFonts w:eastAsia="Times New Roman"/>
        </w:rPr>
      </w:pPr>
    </w:p>
    <w:p w:rsidR="00000000" w:rsidRDefault="0094004B">
      <w:pPr>
        <w:jc w:val="center"/>
        <w:divId w:val="1570573705"/>
        <w:rPr>
          <w:rFonts w:eastAsia="Times New Roman"/>
        </w:rPr>
      </w:pPr>
      <w:r>
        <w:rPr>
          <w:rFonts w:eastAsia="Times New Roman"/>
          <w:b/>
          <w:bCs/>
          <w:color w:val="000000"/>
          <w:sz w:val="20"/>
          <w:szCs w:val="20"/>
        </w:rPr>
        <w:t>CAPITAL ONE FINANCIAL CORPORATION</w:t>
      </w:r>
    </w:p>
    <w:p w:rsidR="00000000" w:rsidRDefault="0094004B">
      <w:pPr>
        <w:jc w:val="center"/>
        <w:divId w:val="1570573705"/>
        <w:rPr>
          <w:rFonts w:eastAsia="Times New Roman"/>
        </w:rPr>
      </w:pPr>
      <w:r>
        <w:rPr>
          <w:rFonts w:eastAsia="Times New Roman"/>
          <w:b/>
          <w:bCs/>
          <w:color w:val="000000"/>
          <w:sz w:val="20"/>
          <w:szCs w:val="20"/>
        </w:rPr>
        <w:t>NOTES TO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765224504"/>
        </w:trPr>
        <w:tc>
          <w:tcPr>
            <w:tcW w:w="50" w:type="pct"/>
            <w:vAlign w:val="center"/>
            <w:hideMark/>
          </w:tcPr>
          <w:p w:rsidR="00000000" w:rsidRDefault="0094004B">
            <w:pPr>
              <w:jc w:val="center"/>
              <w:rPr>
                <w:rFonts w:eastAsia="Times New Roman"/>
              </w:rPr>
            </w:pPr>
          </w:p>
        </w:tc>
        <w:tc>
          <w:tcPr>
            <w:tcW w:w="494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765224504"/>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20"/>
                <w:szCs w:val="20"/>
              </w:rPr>
              <w:t>NOTE 9—</w:t>
            </w:r>
            <w:r>
              <w:rPr>
                <w:rFonts w:eastAsia="Times New Roman"/>
                <w:b/>
                <w:bCs/>
                <w:color w:val="000000"/>
                <w:sz w:val="20"/>
                <w:szCs w:val="20"/>
              </w:rPr>
              <w:t>DERIVATIVE INSTRUMENTS AND HEDGING ACTIVITIES</w:t>
            </w:r>
          </w:p>
        </w:tc>
      </w:tr>
    </w:tbl>
    <w:p w:rsidR="00000000" w:rsidRDefault="0094004B">
      <w:pPr>
        <w:divId w:val="2007517003"/>
        <w:rPr>
          <w:rFonts w:eastAsia="Times New Roman"/>
        </w:rPr>
      </w:pPr>
      <w:r>
        <w:rPr>
          <w:rFonts w:eastAsia="Times New Roman"/>
          <w:b/>
          <w:bCs/>
          <w:color w:val="000000"/>
          <w:sz w:val="20"/>
          <w:szCs w:val="20"/>
        </w:rPr>
        <w:t>Use of Derivatives and Accounting for Derivatives</w:t>
      </w:r>
    </w:p>
    <w:p w:rsidR="00000000" w:rsidRDefault="0094004B">
      <w:pPr>
        <w:jc w:val="both"/>
        <w:divId w:val="794175724"/>
        <w:rPr>
          <w:rFonts w:eastAsia="Times New Roman"/>
        </w:rPr>
      </w:pPr>
      <w:r>
        <w:rPr>
          <w:rFonts w:eastAsia="Times New Roman"/>
          <w:color w:val="000000"/>
          <w:sz w:val="20"/>
          <w:szCs w:val="20"/>
        </w:rPr>
        <w:t>We regularly enter into derivative transactions to support our overall risk management activities. Our primary market risks stem from the impact on our earn</w:t>
      </w:r>
      <w:r>
        <w:rPr>
          <w:rFonts w:eastAsia="Times New Roman"/>
          <w:color w:val="000000"/>
          <w:sz w:val="20"/>
          <w:szCs w:val="20"/>
        </w:rPr>
        <w:t>ings and economic value of equity due to changes in interest rates and, to a lesser extent, changes in foreign exchange rates. We manage our interest rate sensitivity by employing several techniques, which include changing the duration and re-pricing chara</w:t>
      </w:r>
      <w:r>
        <w:rPr>
          <w:rFonts w:eastAsia="Times New Roman"/>
          <w:color w:val="000000"/>
          <w:sz w:val="20"/>
          <w:szCs w:val="20"/>
        </w:rPr>
        <w:t>cteristics of various assets and liabilities by using interest rate derivatives. We also use foreign currency derivatives to limit our earnings and capital exposures to foreign exchange risk by hedging exposures denominated in foreign currencies. We primar</w:t>
      </w:r>
      <w:r>
        <w:rPr>
          <w:rFonts w:eastAsia="Times New Roman"/>
          <w:color w:val="000000"/>
          <w:sz w:val="20"/>
          <w:szCs w:val="20"/>
        </w:rPr>
        <w:t>ily use interest rate and foreign currency swaps to hedge, but we may also use a variety of other derivative instruments, including caps, floors, options, futures and forward contracts, to manage our interest rate and foreign exchange risks. We designate t</w:t>
      </w:r>
      <w:r>
        <w:rPr>
          <w:rFonts w:eastAsia="Times New Roman"/>
          <w:color w:val="000000"/>
          <w:sz w:val="20"/>
          <w:szCs w:val="20"/>
        </w:rPr>
        <w:t>hese risk management derivatives as either qualifying accounting hedges or free-standing derivatives. Qualifying accounting hedges are further designated as fair value hedges, cash flow hedges or net investment hedges. Free-standing derivatives are economi</w:t>
      </w:r>
      <w:r>
        <w:rPr>
          <w:rFonts w:eastAsia="Times New Roman"/>
          <w:color w:val="000000"/>
          <w:sz w:val="20"/>
          <w:szCs w:val="20"/>
        </w:rPr>
        <w:t xml:space="preserve">c hedges that do not qualify for hedge accounting. </w:t>
      </w:r>
    </w:p>
    <w:p w:rsidR="00000000" w:rsidRDefault="0094004B">
      <w:pPr>
        <w:jc w:val="both"/>
        <w:divId w:val="33893706"/>
        <w:rPr>
          <w:rFonts w:eastAsia="Times New Roman"/>
        </w:rPr>
      </w:pPr>
      <w:r>
        <w:rPr>
          <w:rFonts w:eastAsia="Times New Roman"/>
          <w:color w:val="000000"/>
          <w:sz w:val="20"/>
          <w:szCs w:val="20"/>
        </w:rPr>
        <w:t>We also offer interest rate, commodity, foreign currency derivatives and other contracts as an accommodation to our customers within our Commercial Banking business. We enter into these derivatives with o</w:t>
      </w:r>
      <w:r>
        <w:rPr>
          <w:rFonts w:eastAsia="Times New Roman"/>
          <w:color w:val="000000"/>
          <w:sz w:val="20"/>
          <w:szCs w:val="20"/>
        </w:rPr>
        <w:t>ur customers primarily to help them manage their interest rate risks, hedge their energy and other commodities exposures, and manage foreign currency fluctuations. We offset the majority of the market risk exposure of our customer accommodation derivatives</w:t>
      </w:r>
      <w:r>
        <w:rPr>
          <w:rFonts w:eastAsia="Times New Roman"/>
          <w:color w:val="000000"/>
          <w:sz w:val="20"/>
          <w:szCs w:val="20"/>
        </w:rPr>
        <w:t xml:space="preserve"> through derivative transactions with other counterparties.</w:t>
      </w:r>
    </w:p>
    <w:p w:rsidR="00000000" w:rsidRDefault="0094004B">
      <w:pPr>
        <w:jc w:val="both"/>
        <w:divId w:val="86655940"/>
        <w:rPr>
          <w:rFonts w:eastAsia="Times New Roman"/>
        </w:rPr>
      </w:pPr>
      <w:r>
        <w:rPr>
          <w:rFonts w:eastAsia="Times New Roman"/>
          <w:color w:val="000000"/>
          <w:sz w:val="20"/>
          <w:szCs w:val="20"/>
        </w:rPr>
        <w:t>See below for additional information on our use of derivatives and how we account for them:</w:t>
      </w:r>
    </w:p>
    <w:p w:rsidR="00000000" w:rsidRDefault="0094004B">
      <w:pPr>
        <w:ind w:hanging="360"/>
        <w:jc w:val="both"/>
        <w:divId w:val="1322854061"/>
        <w:rPr>
          <w:rFonts w:eastAsia="Times New Roman"/>
        </w:rPr>
      </w:pPr>
      <w:r>
        <w:rPr>
          <w:rFonts w:eastAsia="Times New Roman"/>
          <w:i/>
          <w:iCs/>
          <w:color w:val="000000"/>
          <w:sz w:val="20"/>
          <w:szCs w:val="20"/>
        </w:rPr>
        <w:t>•Fair Value Hedges:</w:t>
      </w:r>
      <w:r>
        <w:rPr>
          <w:rFonts w:eastAsia="Times New Roman"/>
          <w:color w:val="000000"/>
          <w:sz w:val="20"/>
          <w:szCs w:val="20"/>
        </w:rPr>
        <w:t xml:space="preserve"> We designate derivatives as fair value hedges when they are used to manage our expos</w:t>
      </w:r>
      <w:r>
        <w:rPr>
          <w:rFonts w:eastAsia="Times New Roman"/>
          <w:color w:val="000000"/>
          <w:sz w:val="20"/>
          <w:szCs w:val="20"/>
        </w:rPr>
        <w:t xml:space="preserve">ure to changes in the fair value of certain financial assets and liabilities, which fluctuate in value as a result of movements in interest rates. Changes in the fair value of derivatives designated as fair value hedges are presented in the same line item </w:t>
      </w:r>
      <w:r>
        <w:rPr>
          <w:rFonts w:eastAsia="Times New Roman"/>
          <w:color w:val="000000"/>
          <w:sz w:val="20"/>
          <w:szCs w:val="20"/>
        </w:rPr>
        <w:t>in our consolidated statements of income as the earnings effect of the hedged items. Our fair value hedges primarily consist of interest rate swaps that are intended to modify our exposure to interest rate risk on various fixed-rate financial assets and li</w:t>
      </w:r>
      <w:r>
        <w:rPr>
          <w:rFonts w:eastAsia="Times New Roman"/>
          <w:color w:val="000000"/>
          <w:sz w:val="20"/>
          <w:szCs w:val="20"/>
        </w:rPr>
        <w:t>abilities.</w:t>
      </w:r>
    </w:p>
    <w:p w:rsidR="00000000" w:rsidRDefault="0094004B">
      <w:pPr>
        <w:ind w:hanging="360"/>
        <w:jc w:val="both"/>
        <w:rPr>
          <w:rFonts w:eastAsia="Times New Roman"/>
        </w:rPr>
      </w:pPr>
      <w:r>
        <w:rPr>
          <w:rFonts w:eastAsia="Times New Roman"/>
          <w:color w:val="000000"/>
          <w:sz w:val="20"/>
          <w:szCs w:val="20"/>
        </w:rPr>
        <w:t>•</w:t>
      </w:r>
      <w:r>
        <w:rPr>
          <w:rFonts w:eastAsia="Times New Roman"/>
          <w:i/>
          <w:iCs/>
          <w:color w:val="000000"/>
          <w:sz w:val="20"/>
          <w:szCs w:val="20"/>
        </w:rPr>
        <w:t>Cash Flow Hedges:</w:t>
      </w:r>
      <w:r>
        <w:rPr>
          <w:rFonts w:eastAsia="Times New Roman"/>
          <w:color w:val="000000"/>
          <w:sz w:val="20"/>
          <w:szCs w:val="20"/>
        </w:rPr>
        <w:t xml:space="preserve"> We designate derivatives as cash flow hedges when they are used to manage our exposure to variability in cash flows related to forecasted transactions. Changes in the fair value of derivatives designated as cash flow hedges ar</w:t>
      </w:r>
      <w:r>
        <w:rPr>
          <w:rFonts w:eastAsia="Times New Roman"/>
          <w:color w:val="000000"/>
          <w:sz w:val="20"/>
          <w:szCs w:val="20"/>
        </w:rPr>
        <w:t xml:space="preserve">e recorded as a component of AOCI. Those amounts are reclassified into earnings in the same period during which the hedged forecasted transactions impact earnings and presented in the same line item in our consolidated statements of income as the earnings </w:t>
      </w:r>
      <w:r>
        <w:rPr>
          <w:rFonts w:eastAsia="Times New Roman"/>
          <w:color w:val="000000"/>
          <w:sz w:val="20"/>
          <w:szCs w:val="20"/>
        </w:rPr>
        <w:t>effect of the hedged items. Our cash flow hedges use interest rate swaps and floors that are intended to hedge the variability in interest receipts or interest payments on some of our variable-rate financial assets or liabilities. We also enter into foreig</w:t>
      </w:r>
      <w:r>
        <w:rPr>
          <w:rFonts w:eastAsia="Times New Roman"/>
          <w:color w:val="000000"/>
          <w:sz w:val="20"/>
          <w:szCs w:val="20"/>
        </w:rPr>
        <w:t>n currency forward contracts to hedge our exposure to variability in cash flows related to intercompany borrowings denominated in foreign currencies.</w:t>
      </w:r>
    </w:p>
    <w:p w:rsidR="00000000" w:rsidRDefault="0094004B">
      <w:pPr>
        <w:ind w:hanging="360"/>
        <w:jc w:val="both"/>
        <w:divId w:val="1444836000"/>
        <w:rPr>
          <w:rFonts w:eastAsia="Times New Roman"/>
        </w:rPr>
      </w:pPr>
      <w:r>
        <w:rPr>
          <w:rFonts w:eastAsia="Times New Roman"/>
          <w:color w:val="000000"/>
          <w:sz w:val="20"/>
          <w:szCs w:val="20"/>
        </w:rPr>
        <w:t>•</w:t>
      </w:r>
      <w:r>
        <w:rPr>
          <w:rFonts w:eastAsia="Times New Roman"/>
          <w:i/>
          <w:iCs/>
          <w:color w:val="000000"/>
          <w:sz w:val="20"/>
          <w:szCs w:val="20"/>
        </w:rPr>
        <w:t xml:space="preserve">Net Investment Hedges: </w:t>
      </w:r>
      <w:r>
        <w:rPr>
          <w:rFonts w:eastAsia="Times New Roman"/>
          <w:color w:val="000000"/>
          <w:sz w:val="20"/>
          <w:szCs w:val="20"/>
        </w:rPr>
        <w:t>We use net investment hedges to manage the foreign currency exposure related to our net investments in foreign operations that have functional currencies other than the U.S. dollar. Changes in the fair value of net investment hedges are recorded in the tra</w:t>
      </w:r>
      <w:r>
        <w:rPr>
          <w:rFonts w:eastAsia="Times New Roman"/>
          <w:color w:val="000000"/>
          <w:sz w:val="20"/>
          <w:szCs w:val="20"/>
        </w:rPr>
        <w:t>nslation adjustment component of AOCI, offsetting the translation gain or loss from those foreign operations. We execute net investment hedges using foreign currency forward contracts to hedge the translation exposure of the net investment in our foreign o</w:t>
      </w:r>
      <w:r>
        <w:rPr>
          <w:rFonts w:eastAsia="Times New Roman"/>
          <w:color w:val="000000"/>
          <w:sz w:val="20"/>
          <w:szCs w:val="20"/>
        </w:rPr>
        <w:t>perations under the forward method.</w:t>
      </w:r>
    </w:p>
    <w:p w:rsidR="00000000" w:rsidRDefault="0094004B">
      <w:pPr>
        <w:ind w:hanging="360"/>
        <w:jc w:val="both"/>
        <w:divId w:val="553734737"/>
        <w:rPr>
          <w:rFonts w:eastAsia="Times New Roman"/>
        </w:rPr>
      </w:pPr>
      <w:r>
        <w:rPr>
          <w:rFonts w:eastAsia="Times New Roman"/>
          <w:i/>
          <w:iCs/>
          <w:color w:val="000000"/>
          <w:sz w:val="20"/>
          <w:szCs w:val="20"/>
        </w:rPr>
        <w:t>•Free-Standing Derivatives:</w:t>
      </w:r>
      <w:r>
        <w:rPr>
          <w:rFonts w:eastAsia="Times New Roman"/>
          <w:color w:val="000000"/>
          <w:sz w:val="20"/>
          <w:szCs w:val="20"/>
        </w:rPr>
        <w:t xml:space="preserve"> </w:t>
      </w:r>
      <w:r>
        <w:rPr>
          <w:rFonts w:eastAsia="Times New Roman"/>
          <w:color w:val="000000"/>
          <w:sz w:val="20"/>
          <w:szCs w:val="20"/>
        </w:rPr>
        <w:t>Our free-standing derivatives primarily consist of our customer accommodation derivatives and other economic hedges. The customer accommodation derivatives and the related offsetting contracts are mainly interest rate, commodity and foreign currency contra</w:t>
      </w:r>
      <w:r>
        <w:rPr>
          <w:rFonts w:eastAsia="Times New Roman"/>
          <w:color w:val="000000"/>
          <w:sz w:val="20"/>
          <w:szCs w:val="20"/>
        </w:rPr>
        <w:t>cts. The other free-standing derivatives are primarily used to economically hedge the risk of changes in the fair value of our commercial mortgage loan origination and purchase commitments as well as other interests held. Changes in the fair value of free-</w:t>
      </w:r>
      <w:r>
        <w:rPr>
          <w:rFonts w:eastAsia="Times New Roman"/>
          <w:color w:val="000000"/>
          <w:sz w:val="20"/>
          <w:szCs w:val="20"/>
        </w:rPr>
        <w:t>standing derivatives are recorded in earnings as a component of other non-interest income.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761634914"/>
          <w:jc w:val="center"/>
        </w:trPr>
        <w:tc>
          <w:tcPr>
            <w:tcW w:w="50" w:type="pct"/>
            <w:vAlign w:val="center"/>
            <w:hideMark/>
          </w:tcPr>
          <w:p w:rsidR="00000000" w:rsidRDefault="0094004B">
            <w:pPr>
              <w:ind w:hanging="360"/>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761634914"/>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761634914"/>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165</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91" style="width:0;height:1.5pt" o:hralign="center" o:hrstd="t" o:hr="t" fillcolor="#a0a0a0" stroked="f"/>
        </w:pict>
      </w:r>
    </w:p>
    <w:p w:rsidR="00000000" w:rsidRDefault="0094004B">
      <w:pPr>
        <w:jc w:val="both"/>
        <w:divId w:val="2143577791"/>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2143577791"/>
        <w:rPr>
          <w:rFonts w:eastAsia="Times New Roman"/>
        </w:rPr>
      </w:pPr>
    </w:p>
    <w:p w:rsidR="00000000" w:rsidRDefault="0094004B">
      <w:pPr>
        <w:jc w:val="center"/>
        <w:divId w:val="2143577791"/>
        <w:rPr>
          <w:rFonts w:eastAsia="Times New Roman"/>
        </w:rPr>
      </w:pPr>
      <w:r>
        <w:rPr>
          <w:rFonts w:eastAsia="Times New Roman"/>
          <w:b/>
          <w:bCs/>
          <w:color w:val="000000"/>
          <w:sz w:val="20"/>
          <w:szCs w:val="20"/>
        </w:rPr>
        <w:t>CAPITAL ONE FINANCIAL CORPORATION</w:t>
      </w:r>
    </w:p>
    <w:p w:rsidR="00000000" w:rsidRDefault="0094004B">
      <w:pPr>
        <w:jc w:val="center"/>
        <w:divId w:val="2143577791"/>
        <w:rPr>
          <w:rFonts w:eastAsia="Times New Roman"/>
        </w:rPr>
      </w:pPr>
      <w:r>
        <w:rPr>
          <w:rFonts w:eastAsia="Times New Roman"/>
          <w:b/>
          <w:bCs/>
          <w:color w:val="000000"/>
          <w:sz w:val="20"/>
          <w:szCs w:val="20"/>
        </w:rPr>
        <w:t>NOTES TO CONSOLIDATED FINANCIAL STATEMENTS</w:t>
      </w:r>
    </w:p>
    <w:p w:rsidR="00000000" w:rsidRDefault="0094004B">
      <w:pPr>
        <w:divId w:val="1434474149"/>
        <w:rPr>
          <w:rFonts w:eastAsia="Times New Roman"/>
        </w:rPr>
      </w:pPr>
      <w:r>
        <w:rPr>
          <w:rFonts w:eastAsia="Times New Roman"/>
          <w:b/>
          <w:bCs/>
          <w:color w:val="000000"/>
          <w:sz w:val="20"/>
          <w:szCs w:val="20"/>
        </w:rPr>
        <w:t>Derivatives Counterparty Credit Risk</w:t>
      </w:r>
    </w:p>
    <w:p w:rsidR="00000000" w:rsidRDefault="0094004B">
      <w:pPr>
        <w:divId w:val="576480580"/>
        <w:rPr>
          <w:rFonts w:eastAsia="Times New Roman"/>
        </w:rPr>
      </w:pPr>
      <w:r>
        <w:rPr>
          <w:rFonts w:eastAsia="Times New Roman"/>
          <w:b/>
          <w:bCs/>
          <w:i/>
          <w:iCs/>
          <w:color w:val="000000"/>
          <w:sz w:val="20"/>
          <w:szCs w:val="20"/>
        </w:rPr>
        <w:t>Counterparty Types</w:t>
      </w:r>
    </w:p>
    <w:p w:rsidR="00000000" w:rsidRDefault="0094004B">
      <w:pPr>
        <w:jc w:val="both"/>
        <w:divId w:val="2126386459"/>
        <w:rPr>
          <w:rFonts w:eastAsia="Times New Roman"/>
        </w:rPr>
      </w:pPr>
      <w:r>
        <w:rPr>
          <w:rFonts w:eastAsia="Times New Roman"/>
          <w:color w:val="000000"/>
          <w:sz w:val="20"/>
          <w:szCs w:val="20"/>
        </w:rPr>
        <w:t>Derivati</w:t>
      </w:r>
      <w:r>
        <w:rPr>
          <w:rFonts w:eastAsia="Times New Roman"/>
          <w:color w:val="000000"/>
          <w:sz w:val="20"/>
          <w:szCs w:val="20"/>
        </w:rPr>
        <w:t>ve instruments contain an element of credit risk that stems from the potential failure of a counterparty to perform according to the terms of the contract, including making payments due upon maturity of certain derivative instruments. We execute our deriva</w:t>
      </w:r>
      <w:r>
        <w:rPr>
          <w:rFonts w:eastAsia="Times New Roman"/>
          <w:color w:val="000000"/>
          <w:sz w:val="20"/>
          <w:szCs w:val="20"/>
        </w:rPr>
        <w:t>tive contracts primarily in OTC markets. We also execute interest rate and commodity futures in the exchange-traded derivative markets. Our OTC derivatives consist of both trades cleared through central counterparty clearinghouses (“CCPs”) and uncleared bi</w:t>
      </w:r>
      <w:r>
        <w:rPr>
          <w:rFonts w:eastAsia="Times New Roman"/>
          <w:color w:val="000000"/>
          <w:sz w:val="20"/>
          <w:szCs w:val="20"/>
        </w:rPr>
        <w:t>lateral contracts. The Chicago Mercantile Exchange (“CME”), the Intercontinental Exchange (“ICE”) and the LCH Group (“LCH”) are our CCPs for our centrally cleared contracts. In our uncleared bilateral contracts, we enter into agreements directly with our d</w:t>
      </w:r>
      <w:r>
        <w:rPr>
          <w:rFonts w:eastAsia="Times New Roman"/>
          <w:color w:val="000000"/>
          <w:sz w:val="20"/>
          <w:szCs w:val="20"/>
        </w:rPr>
        <w:t xml:space="preserve">erivative counterparties. </w:t>
      </w:r>
    </w:p>
    <w:p w:rsidR="00000000" w:rsidRDefault="0094004B">
      <w:pPr>
        <w:divId w:val="835805161"/>
        <w:rPr>
          <w:rFonts w:eastAsia="Times New Roman"/>
        </w:rPr>
      </w:pPr>
      <w:r>
        <w:rPr>
          <w:rFonts w:eastAsia="Times New Roman"/>
          <w:b/>
          <w:bCs/>
          <w:i/>
          <w:iCs/>
          <w:color w:val="000000"/>
          <w:sz w:val="20"/>
          <w:szCs w:val="20"/>
        </w:rPr>
        <w:t>Counterparty Credit Risk Management</w:t>
      </w:r>
    </w:p>
    <w:p w:rsidR="00000000" w:rsidRDefault="0094004B">
      <w:pPr>
        <w:jc w:val="both"/>
        <w:divId w:val="273170184"/>
        <w:rPr>
          <w:rFonts w:eastAsia="Times New Roman"/>
        </w:rPr>
      </w:pPr>
      <w:r>
        <w:rPr>
          <w:rFonts w:eastAsia="Times New Roman"/>
          <w:color w:val="000000"/>
          <w:sz w:val="20"/>
          <w:szCs w:val="20"/>
        </w:rPr>
        <w:t>We manage the counterparty credit risk associated with derivative instruments by entering into legally enforceable master netting agreements, where applicable, and exchanging collateral with ou</w:t>
      </w:r>
      <w:r>
        <w:rPr>
          <w:rFonts w:eastAsia="Times New Roman"/>
          <w:color w:val="000000"/>
          <w:sz w:val="20"/>
          <w:szCs w:val="20"/>
        </w:rPr>
        <w:t>r counterparties, typically in the form of cash or high-quality liquid securities. We exchange collateral in two primary forms: variation margin, which mitigates the risk of changes in value due to daily market movements and is exchanged daily, and initial</w:t>
      </w:r>
      <w:r>
        <w:rPr>
          <w:rFonts w:eastAsia="Times New Roman"/>
          <w:color w:val="000000"/>
          <w:sz w:val="20"/>
          <w:szCs w:val="20"/>
        </w:rPr>
        <w:t xml:space="preserve"> margin, which mitigates the risk of potential future exposure of a derivative and is exchanged at the outset of a transaction and adjusted daily. We exchange variation margin and initial margin on our cleared derivatives. For uncleared bilateral derivativ</w:t>
      </w:r>
      <w:r>
        <w:rPr>
          <w:rFonts w:eastAsia="Times New Roman"/>
          <w:color w:val="000000"/>
          <w:sz w:val="20"/>
          <w:szCs w:val="20"/>
        </w:rPr>
        <w:t xml:space="preserve">es, we exchange variation margin and initial margin on any new trades executed after September 1, 2021, where such trades are in scope for initial margin. </w:t>
      </w:r>
    </w:p>
    <w:p w:rsidR="00000000" w:rsidRDefault="0094004B">
      <w:pPr>
        <w:jc w:val="both"/>
        <w:divId w:val="524053365"/>
        <w:rPr>
          <w:rFonts w:eastAsia="Times New Roman"/>
        </w:rPr>
      </w:pPr>
      <w:r>
        <w:rPr>
          <w:rFonts w:eastAsia="Times New Roman"/>
          <w:color w:val="000000"/>
          <w:sz w:val="20"/>
          <w:szCs w:val="20"/>
        </w:rPr>
        <w:t>The amount of collateral exchanged for variation margin is dependent upon the fair value of the deri</w:t>
      </w:r>
      <w:r>
        <w:rPr>
          <w:rFonts w:eastAsia="Times New Roman"/>
          <w:color w:val="000000"/>
          <w:sz w:val="20"/>
          <w:szCs w:val="20"/>
        </w:rPr>
        <w:t>vative instruments as well as the fair value of the pledged collateral and will vary over time as market variables change. The amount of the initial margin exchanged is dependent upon 1) the calculation of initial margin exposure, as prescribed by 1(a) the</w:t>
      </w:r>
      <w:r>
        <w:rPr>
          <w:rFonts w:eastAsia="Times New Roman"/>
          <w:color w:val="000000"/>
          <w:sz w:val="20"/>
          <w:szCs w:val="20"/>
        </w:rPr>
        <w:t xml:space="preserve"> U.S. prudential regulators’ margin rules for uncleared derivatives (“PR Rules”) or 1(b) the CCPs for cleared derivatives and 2) the fair value of the pledged collateral; it will vary over time as market variables change. When valuing collateral, an estima</w:t>
      </w:r>
      <w:r>
        <w:rPr>
          <w:rFonts w:eastAsia="Times New Roman"/>
          <w:color w:val="000000"/>
          <w:sz w:val="20"/>
          <w:szCs w:val="20"/>
        </w:rPr>
        <w:t>te of the variation in price and liquidity over time is subtracted in the form of a “haircut” to discount the value of the collateral pledged. Our exposure to derivative counterparty credit risk, at any point in time, is equal to the amount reported as a d</w:t>
      </w:r>
      <w:r>
        <w:rPr>
          <w:rFonts w:eastAsia="Times New Roman"/>
          <w:color w:val="000000"/>
          <w:sz w:val="20"/>
          <w:szCs w:val="20"/>
        </w:rPr>
        <w:t>erivative asset on our balance sheet. The fair value of our derivatives is adjusted on an aggregate basis to take into consideration the effects of legally enforceable master netting agreements and any associated collateral received or pledged. See Table 9</w:t>
      </w:r>
      <w:r>
        <w:rPr>
          <w:rFonts w:eastAsia="Times New Roman"/>
          <w:color w:val="000000"/>
          <w:sz w:val="20"/>
          <w:szCs w:val="20"/>
        </w:rPr>
        <w:t>.3 for our net exposure associated with derivatives.</w:t>
      </w:r>
    </w:p>
    <w:p w:rsidR="00000000" w:rsidRDefault="0094004B">
      <w:pPr>
        <w:jc w:val="both"/>
        <w:divId w:val="526334901"/>
        <w:rPr>
          <w:rFonts w:eastAsia="Times New Roman"/>
        </w:rPr>
      </w:pPr>
      <w:r>
        <w:rPr>
          <w:rFonts w:eastAsia="Times New Roman"/>
          <w:color w:val="000000"/>
          <w:sz w:val="20"/>
          <w:szCs w:val="20"/>
        </w:rPr>
        <w:t>The terms under which we collateralize our exposures differ between cleared exposures and uncleared bilateral exposures.</w:t>
      </w:r>
    </w:p>
    <w:p w:rsidR="00000000" w:rsidRDefault="0094004B">
      <w:pPr>
        <w:ind w:hanging="360"/>
        <w:jc w:val="both"/>
        <w:divId w:val="832985401"/>
        <w:rPr>
          <w:rFonts w:eastAsia="Times New Roman"/>
        </w:rPr>
      </w:pPr>
      <w:r>
        <w:rPr>
          <w:rFonts w:eastAsia="Times New Roman"/>
          <w:color w:val="000000"/>
          <w:sz w:val="20"/>
          <w:szCs w:val="20"/>
        </w:rPr>
        <w:t>•</w:t>
      </w:r>
      <w:r>
        <w:rPr>
          <w:rFonts w:eastAsia="Times New Roman"/>
          <w:i/>
          <w:iCs/>
          <w:color w:val="000000"/>
          <w:sz w:val="20"/>
          <w:szCs w:val="20"/>
        </w:rPr>
        <w:t>CCPs</w:t>
      </w:r>
      <w:r>
        <w:rPr>
          <w:rFonts w:eastAsia="Times New Roman"/>
          <w:color w:val="000000"/>
          <w:sz w:val="20"/>
          <w:szCs w:val="20"/>
        </w:rPr>
        <w:t>: We clear eligible OTC derivatives with CCPs as part of our regulatory requi</w:t>
      </w:r>
      <w:r>
        <w:rPr>
          <w:rFonts w:eastAsia="Times New Roman"/>
          <w:color w:val="000000"/>
          <w:sz w:val="20"/>
          <w:szCs w:val="20"/>
        </w:rPr>
        <w:t>rements. We also clear exchange-traded instruments, like futures, with CCPs. Futures commission merchants (“FCMs”) serve as the intermediary between CCPs and us. CCPs require that we post initial and variation margin through our FCMs to mitigate the risk o</w:t>
      </w:r>
      <w:r>
        <w:rPr>
          <w:rFonts w:eastAsia="Times New Roman"/>
          <w:color w:val="000000"/>
          <w:sz w:val="20"/>
          <w:szCs w:val="20"/>
        </w:rPr>
        <w:t>f non-payment or default. Initial margin is required by CCPs as collateral against potential losses on our exchange-traded and cleared derivative contracts and variation margin is exchanged on a daily basis to account for mark-to-market changes in those de</w:t>
      </w:r>
      <w:r>
        <w:rPr>
          <w:rFonts w:eastAsia="Times New Roman"/>
          <w:color w:val="000000"/>
          <w:sz w:val="20"/>
          <w:szCs w:val="20"/>
        </w:rPr>
        <w:t>rivative contracts. For CME, ICE and LCH-cleared OTC derivatives, variation margin cash payments are required to be characterized as settlements. Our FCM agreements governing these derivative transactions include provisions that may require us to post addi</w:t>
      </w:r>
      <w:r>
        <w:rPr>
          <w:rFonts w:eastAsia="Times New Roman"/>
          <w:color w:val="000000"/>
          <w:sz w:val="20"/>
          <w:szCs w:val="20"/>
        </w:rPr>
        <w:t xml:space="preserve">tional collateral under certain circumstances. </w:t>
      </w:r>
    </w:p>
    <w:p w:rsidR="00000000" w:rsidRDefault="0094004B">
      <w:pPr>
        <w:ind w:hanging="360"/>
        <w:jc w:val="both"/>
        <w:divId w:val="2014650625"/>
        <w:rPr>
          <w:rFonts w:eastAsia="Times New Roman"/>
        </w:rPr>
      </w:pPr>
      <w:r>
        <w:rPr>
          <w:rFonts w:eastAsia="Times New Roman"/>
          <w:color w:val="000000"/>
          <w:sz w:val="20"/>
          <w:szCs w:val="20"/>
        </w:rPr>
        <w:t>•</w:t>
      </w:r>
      <w:r>
        <w:rPr>
          <w:rFonts w:eastAsia="Times New Roman"/>
          <w:i/>
          <w:iCs/>
          <w:color w:val="000000"/>
          <w:sz w:val="20"/>
          <w:szCs w:val="20"/>
        </w:rPr>
        <w:t>Bilateral Counterparties</w:t>
      </w:r>
      <w:r>
        <w:rPr>
          <w:rFonts w:eastAsia="Times New Roman"/>
          <w:color w:val="000000"/>
          <w:sz w:val="20"/>
          <w:szCs w:val="20"/>
        </w:rPr>
        <w:t>: We enter into master netting agreements and collateral agreements with bilateral derivative counterparties, where applicable, to mitigate the risk of default. These bilateral agreem</w:t>
      </w:r>
      <w:r>
        <w:rPr>
          <w:rFonts w:eastAsia="Times New Roman"/>
          <w:color w:val="000000"/>
          <w:sz w:val="20"/>
          <w:szCs w:val="20"/>
        </w:rPr>
        <w:t>ents typically provide the right to offset exposure with the same counterparty and require the party in a net liability position to post collateral. Agreements with certain bilateral counterparties require both parties to maintain collateral in the event t</w:t>
      </w:r>
      <w:r>
        <w:rPr>
          <w:rFonts w:eastAsia="Times New Roman"/>
          <w:color w:val="000000"/>
          <w:sz w:val="20"/>
          <w:szCs w:val="20"/>
        </w:rPr>
        <w:t>he fair values of uncleared derivatives exceed established exposure thresholds. Certain of these bilateral agreements include provisions requiring that our debt maintain a credit rating of investment grade or above by each of the major credit rating agenci</w:t>
      </w:r>
      <w:r>
        <w:rPr>
          <w:rFonts w:eastAsia="Times New Roman"/>
          <w:color w:val="000000"/>
          <w:sz w:val="20"/>
          <w:szCs w:val="20"/>
        </w:rPr>
        <w:t xml:space="preserve">es. In the event of a downgrade of our debt credit rating below investment grade, some of our counterparties would have the right to terminate their derivative contract and close out existing positions.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360860780"/>
          <w:jc w:val="center"/>
        </w:trPr>
        <w:tc>
          <w:tcPr>
            <w:tcW w:w="50" w:type="pct"/>
            <w:vAlign w:val="center"/>
            <w:hideMark/>
          </w:tcPr>
          <w:p w:rsidR="00000000" w:rsidRDefault="0094004B">
            <w:pPr>
              <w:ind w:hanging="360"/>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360860780"/>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360860780"/>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166</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92" style="width:0;height:1.5pt" o:hralign="center" o:hrstd="t" o:hr="t" fillcolor="#a0a0a0" stroked="f"/>
        </w:pict>
      </w:r>
    </w:p>
    <w:p w:rsidR="00000000" w:rsidRDefault="0094004B">
      <w:pPr>
        <w:jc w:val="both"/>
        <w:divId w:val="1805807312"/>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1805807312"/>
        <w:rPr>
          <w:rFonts w:eastAsia="Times New Roman"/>
        </w:rPr>
      </w:pPr>
    </w:p>
    <w:p w:rsidR="00000000" w:rsidRDefault="0094004B">
      <w:pPr>
        <w:jc w:val="center"/>
        <w:divId w:val="1805807312"/>
        <w:rPr>
          <w:rFonts w:eastAsia="Times New Roman"/>
        </w:rPr>
      </w:pPr>
      <w:r>
        <w:rPr>
          <w:rFonts w:eastAsia="Times New Roman"/>
          <w:b/>
          <w:bCs/>
          <w:color w:val="000000"/>
          <w:sz w:val="20"/>
          <w:szCs w:val="20"/>
        </w:rPr>
        <w:t>CAPITAL ONE FINANCIAL CORPORATION</w:t>
      </w:r>
    </w:p>
    <w:p w:rsidR="00000000" w:rsidRDefault="0094004B">
      <w:pPr>
        <w:jc w:val="center"/>
        <w:divId w:val="1805807312"/>
        <w:rPr>
          <w:rFonts w:eastAsia="Times New Roman"/>
        </w:rPr>
      </w:pPr>
      <w:r>
        <w:rPr>
          <w:rFonts w:eastAsia="Times New Roman"/>
          <w:b/>
          <w:bCs/>
          <w:color w:val="000000"/>
          <w:sz w:val="20"/>
          <w:szCs w:val="20"/>
        </w:rPr>
        <w:t>NOTES TO CONSOLIDATED FINANCIAL STATEMENTS</w:t>
      </w:r>
    </w:p>
    <w:p w:rsidR="00000000" w:rsidRDefault="0094004B">
      <w:pPr>
        <w:divId w:val="1037388216"/>
        <w:rPr>
          <w:rFonts w:eastAsia="Times New Roman"/>
        </w:rPr>
      </w:pPr>
      <w:r>
        <w:rPr>
          <w:rFonts w:eastAsia="Times New Roman"/>
          <w:b/>
          <w:bCs/>
          <w:color w:val="000000"/>
          <w:sz w:val="20"/>
          <w:szCs w:val="20"/>
        </w:rPr>
        <w:t>Credit Risk Valuation Adjustments</w:t>
      </w:r>
    </w:p>
    <w:p w:rsidR="00000000" w:rsidRDefault="0094004B">
      <w:pPr>
        <w:jc w:val="both"/>
        <w:divId w:val="963121369"/>
        <w:rPr>
          <w:rFonts w:eastAsia="Times New Roman"/>
        </w:rPr>
      </w:pPr>
      <w:r>
        <w:rPr>
          <w:rFonts w:eastAsia="Times New Roman"/>
          <w:color w:val="000000"/>
          <w:sz w:val="20"/>
          <w:szCs w:val="20"/>
        </w:rPr>
        <w:t>We record counterparty credit valuation adjustments (“CVAs”) on our derivative assets to reflect the credit quality of our counterparties. We consider collateral and legally enforceable master netting agreements that mitig</w:t>
      </w:r>
      <w:r>
        <w:rPr>
          <w:rFonts w:eastAsia="Times New Roman"/>
          <w:color w:val="000000"/>
          <w:sz w:val="20"/>
          <w:szCs w:val="20"/>
        </w:rPr>
        <w:t>ate our credit exposure to each counterparty in determining CVAs, which may be adjusted due to changes in the fair values of the derivative contracts, collateral, and creditworthiness of the counterparty. We also record debit valuation adjustments (“DVAs”)</w:t>
      </w:r>
      <w:r>
        <w:rPr>
          <w:rFonts w:eastAsia="Times New Roman"/>
          <w:color w:val="000000"/>
          <w:sz w:val="20"/>
          <w:szCs w:val="20"/>
        </w:rPr>
        <w:t xml:space="preserve"> to adjust the fair values of our derivative liabilities to reflect the impact of our own credit quality. </w:t>
      </w:r>
    </w:p>
    <w:p w:rsidR="00000000" w:rsidRDefault="0094004B">
      <w:pPr>
        <w:divId w:val="1760104817"/>
        <w:rPr>
          <w:rFonts w:eastAsia="Times New Roman"/>
        </w:rPr>
      </w:pPr>
      <w:r>
        <w:rPr>
          <w:rFonts w:eastAsia="Times New Roman"/>
          <w:b/>
          <w:bCs/>
          <w:color w:val="000000"/>
          <w:sz w:val="20"/>
          <w:szCs w:val="20"/>
        </w:rPr>
        <w:t>Balance Sheet Presentation</w:t>
      </w:r>
    </w:p>
    <w:p w:rsidR="00000000" w:rsidRDefault="0094004B">
      <w:pPr>
        <w:jc w:val="both"/>
        <w:divId w:val="661586069"/>
        <w:rPr>
          <w:rFonts w:eastAsia="Times New Roman"/>
        </w:rPr>
      </w:pPr>
      <w:r>
        <w:rPr>
          <w:rFonts w:eastAsia="Times New Roman"/>
          <w:color w:val="000000"/>
          <w:sz w:val="20"/>
          <w:szCs w:val="20"/>
        </w:rPr>
        <w:t xml:space="preserve">The following table summarizes the notional amounts and fair values of our derivative instruments as of December 31, 2022 </w:t>
      </w:r>
      <w:r>
        <w:rPr>
          <w:rFonts w:eastAsia="Times New Roman"/>
          <w:color w:val="000000"/>
          <w:sz w:val="20"/>
          <w:szCs w:val="20"/>
        </w:rPr>
        <w:t>and 2021, which are segregated by derivatives that are designated as accounting hedges and those that are not, and are further segregated by type of contract within those two categories. The total derivative assets and liabilities are adjusted on an aggreg</w:t>
      </w:r>
      <w:r>
        <w:rPr>
          <w:rFonts w:eastAsia="Times New Roman"/>
          <w:color w:val="000000"/>
          <w:sz w:val="20"/>
          <w:szCs w:val="20"/>
        </w:rPr>
        <w:t>ate basis to take into consideration the effects of legally enforceable master netting agreements and any associated cash collateral received or pledged. Derivative assets and liabilities are included in other assets and other liabilities, respectively, on</w:t>
      </w:r>
      <w:r>
        <w:rPr>
          <w:rFonts w:eastAsia="Times New Roman"/>
          <w:color w:val="000000"/>
          <w:sz w:val="20"/>
          <w:szCs w:val="20"/>
        </w:rPr>
        <w:t xml:space="preserve"> our consolidated balance sheets, and their related gains or losses are included in operating activities as changes in other assets and other liabilities in the consolidated statements of cash flows. </w:t>
      </w:r>
    </w:p>
    <w:p w:rsidR="00000000" w:rsidRDefault="0094004B">
      <w:pPr>
        <w:divId w:val="1457286237"/>
        <w:rPr>
          <w:rFonts w:eastAsia="Times New Roman"/>
        </w:rPr>
      </w:pPr>
      <w:r>
        <w:rPr>
          <w:rFonts w:eastAsia="Times New Roman"/>
          <w:b/>
          <w:bCs/>
          <w:color w:val="000000"/>
          <w:sz w:val="18"/>
          <w:szCs w:val="18"/>
        </w:rPr>
        <w:t>Table 9.1: Derivative Assets and Liabilities at Fair Va</w:t>
      </w:r>
      <w:r>
        <w:rPr>
          <w:rFonts w:eastAsia="Times New Roman"/>
          <w:b/>
          <w:bCs/>
          <w:color w:val="000000"/>
          <w:sz w:val="18"/>
          <w:szCs w:val="18"/>
        </w:rPr>
        <w:t>lue</w:t>
      </w:r>
    </w:p>
    <w:tbl>
      <w:tblPr>
        <w:tblW w:w="4985" w:type="pct"/>
        <w:tblCellMar>
          <w:top w:w="15" w:type="dxa"/>
          <w:left w:w="15" w:type="dxa"/>
          <w:bottom w:w="15" w:type="dxa"/>
          <w:right w:w="15" w:type="dxa"/>
        </w:tblCellMar>
        <w:tblLook w:val="04A0" w:firstRow="1" w:lastRow="0" w:firstColumn="1" w:lastColumn="0" w:noHBand="0" w:noVBand="1"/>
      </w:tblPr>
      <w:tblGrid>
        <w:gridCol w:w="40"/>
        <w:gridCol w:w="2964"/>
        <w:gridCol w:w="39"/>
        <w:gridCol w:w="36"/>
        <w:gridCol w:w="36"/>
        <w:gridCol w:w="36"/>
        <w:gridCol w:w="111"/>
        <w:gridCol w:w="765"/>
        <w:gridCol w:w="36"/>
        <w:gridCol w:w="36"/>
        <w:gridCol w:w="36"/>
        <w:gridCol w:w="36"/>
        <w:gridCol w:w="110"/>
        <w:gridCol w:w="450"/>
        <w:gridCol w:w="36"/>
        <w:gridCol w:w="36"/>
        <w:gridCol w:w="36"/>
        <w:gridCol w:w="36"/>
        <w:gridCol w:w="111"/>
        <w:gridCol w:w="640"/>
        <w:gridCol w:w="36"/>
        <w:gridCol w:w="36"/>
        <w:gridCol w:w="36"/>
        <w:gridCol w:w="36"/>
        <w:gridCol w:w="111"/>
        <w:gridCol w:w="765"/>
        <w:gridCol w:w="36"/>
        <w:gridCol w:w="36"/>
        <w:gridCol w:w="36"/>
        <w:gridCol w:w="36"/>
        <w:gridCol w:w="110"/>
        <w:gridCol w:w="450"/>
        <w:gridCol w:w="36"/>
        <w:gridCol w:w="36"/>
        <w:gridCol w:w="36"/>
        <w:gridCol w:w="36"/>
        <w:gridCol w:w="111"/>
        <w:gridCol w:w="640"/>
        <w:gridCol w:w="36"/>
      </w:tblGrid>
      <w:tr w:rsidR="00000000">
        <w:trPr>
          <w:divId w:val="1153373333"/>
        </w:trPr>
        <w:tc>
          <w:tcPr>
            <w:tcW w:w="50" w:type="pct"/>
            <w:vAlign w:val="center"/>
            <w:hideMark/>
          </w:tcPr>
          <w:p w:rsidR="00000000" w:rsidRDefault="0094004B">
            <w:pPr>
              <w:rPr>
                <w:rFonts w:eastAsia="Times New Roman"/>
              </w:rPr>
            </w:pPr>
          </w:p>
        </w:tc>
        <w:tc>
          <w:tcPr>
            <w:tcW w:w="190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153373333"/>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December 31, 2022</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December 31, 2021</w:t>
            </w:r>
          </w:p>
        </w:tc>
      </w:tr>
      <w:tr w:rsidR="00000000">
        <w:trPr>
          <w:divId w:val="1153373333"/>
          <w:trHeight w:val="280"/>
        </w:trPr>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Notional or Contractual Amount</w:t>
            </w:r>
          </w:p>
        </w:tc>
        <w:tc>
          <w:tcPr>
            <w:tcW w:w="0" w:type="auto"/>
            <w:gridSpan w:val="3"/>
            <w:vMerge w:val="restart"/>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Derivativ</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Notional or Contractual Amount</w:t>
            </w:r>
          </w:p>
        </w:tc>
        <w:tc>
          <w:tcPr>
            <w:tcW w:w="0" w:type="auto"/>
            <w:gridSpan w:val="3"/>
            <w:vMerge w:val="restart"/>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Derivativ</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r>
      <w:tr w:rsidR="00000000">
        <w:trPr>
          <w:divId w:val="1153373333"/>
          <w:trHeight w:val="240"/>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vMerge/>
            <w:tcBorders>
              <w:top w:val="single" w:sz="8" w:space="0" w:color="000000"/>
            </w:tcBorders>
            <w:vAlign w:val="center"/>
            <w:hideMark/>
          </w:tcPr>
          <w:p w:rsidR="00000000" w:rsidRDefault="0094004B">
            <w:pPr>
              <w:spacing w:after="100"/>
              <w:rPr>
                <w:rFonts w:eastAsia="Times New Roman"/>
              </w:rPr>
            </w:pPr>
          </w:p>
        </w:tc>
        <w:tc>
          <w:tcPr>
            <w:tcW w:w="0" w:type="auto"/>
            <w:gridSpan w:val="3"/>
            <w:vMerge/>
            <w:tcBorders>
              <w:top w:val="single" w:sz="8" w:space="0" w:color="000000"/>
            </w:tcBorders>
            <w:vAlign w:val="center"/>
            <w:hideMark/>
          </w:tcPr>
          <w:p w:rsidR="00000000" w:rsidRDefault="0094004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Assets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Liabilities</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vMerge/>
            <w:tcBorders>
              <w:top w:val="single" w:sz="8" w:space="0" w:color="000000"/>
            </w:tcBorders>
            <w:vAlign w:val="center"/>
            <w:hideMark/>
          </w:tcPr>
          <w:p w:rsidR="00000000" w:rsidRDefault="0094004B">
            <w:pPr>
              <w:spacing w:after="100"/>
              <w:rPr>
                <w:rFonts w:eastAsia="Times New Roman"/>
              </w:rPr>
            </w:pPr>
          </w:p>
        </w:tc>
        <w:tc>
          <w:tcPr>
            <w:tcW w:w="0" w:type="auto"/>
            <w:gridSpan w:val="3"/>
            <w:vMerge/>
            <w:tcBorders>
              <w:top w:val="single" w:sz="8" w:space="0" w:color="000000"/>
            </w:tcBorders>
            <w:vAlign w:val="center"/>
            <w:hideMark/>
          </w:tcPr>
          <w:p w:rsidR="00000000" w:rsidRDefault="0094004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Assets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Liabilities</w:t>
            </w:r>
          </w:p>
        </w:tc>
      </w:tr>
      <w:tr w:rsidR="00000000">
        <w:trPr>
          <w:divId w:val="1153373333"/>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Derivatives designated as accounting hedges: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153373333"/>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Interest rate contracts: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153373333"/>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Fair value hedges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60,956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53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49,659 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153373333"/>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Cash flow hedges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30,350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451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52,400 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244 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16 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153373333"/>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 interest rate contracts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91,306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504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102,059 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246 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153373333"/>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Foreign exchange contracts: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153373333"/>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Fair value hedges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1,338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211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1,421 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13 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153373333"/>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Cash flow hedges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2,175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4,679 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24 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153373333"/>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Net investment hedges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4,147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78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91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3,459 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43 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153373333"/>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 foreign exchange contracts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7,660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82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316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9,559 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80 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153373333"/>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 derivatives designated as accounting hedges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98,966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85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820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111,618 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326 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153373333"/>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Derivatives not designated as accounting hedges: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153373333"/>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Customer accommodation:</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153373333"/>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Interest rate contracts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91,601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1,140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1,873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71,724 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620 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194 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153373333"/>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Commodity contracts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28,935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1,756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1,738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22,021 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1,669 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1,561 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153373333"/>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Foreign exchange and other contracts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4,926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74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78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3,779 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42 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153373333"/>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 customer accommodation</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125,462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2,970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3,689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97,524 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2,329 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1,797 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153373333"/>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divId w:val="1222130176"/>
              <w:rPr>
                <w:rFonts w:eastAsia="Times New Roman"/>
              </w:rPr>
            </w:pPr>
            <w:r>
              <w:rPr>
                <w:rFonts w:eastAsia="Times New Roman"/>
                <w:color w:val="000000"/>
                <w:sz w:val="18"/>
                <w:szCs w:val="18"/>
              </w:rPr>
              <w:t>Other interest rate exposure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1,135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1,899 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33 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25 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153373333"/>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Other contracts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2,238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2,028 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7 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153373333"/>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 derivatives not designated as accounting hedges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128,835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3,013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3,730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101,451 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2,364 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1,829 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153373333"/>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 derivatives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bottom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227,801</w:t>
            </w:r>
            <w:r>
              <w:rPr>
                <w:rFonts w:eastAsia="Times New Roman"/>
                <w:color w:val="000000"/>
                <w:sz w:val="18"/>
                <w:szCs w:val="18"/>
              </w:rPr>
              <w:t>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3,098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4,550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213,069 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2,690 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1,868 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153373333"/>
        </w:trPr>
        <w:tc>
          <w:tcPr>
            <w:tcW w:w="0" w:type="auto"/>
            <w:gridSpan w:val="9"/>
            <w:shd w:val="clear" w:color="auto" w:fill="FFFFFF"/>
            <w:tcMar>
              <w:top w:w="30" w:type="dxa"/>
              <w:left w:w="20" w:type="dxa"/>
              <w:bottom w:w="30" w:type="dxa"/>
              <w:right w:w="20" w:type="dxa"/>
            </w:tcMar>
            <w:vAlign w:val="center"/>
            <w:hideMark/>
          </w:tcPr>
          <w:p w:rsidR="00000000" w:rsidRDefault="0094004B">
            <w:pPr>
              <w:spacing w:after="100"/>
              <w:divId w:val="498538943"/>
              <w:rPr>
                <w:rFonts w:eastAsia="Times New Roman"/>
              </w:rPr>
            </w:pPr>
            <w:r>
              <w:rPr>
                <w:rFonts w:eastAsia="Times New Roman"/>
                <w:color w:val="000000"/>
                <w:sz w:val="18"/>
                <w:szCs w:val="18"/>
              </w:rPr>
              <w:t>Less: netting adjustmen</w:t>
            </w:r>
            <w:r>
              <w:rPr>
                <w:rFonts w:eastAsia="Times New Roman"/>
                <w:color w:val="000000"/>
                <w:sz w:val="18"/>
                <w:szCs w:val="18"/>
              </w:rPr>
              <w:t>t</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(1,134)</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(1,235)</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(542)</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(544)</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153373333"/>
        </w:trPr>
        <w:tc>
          <w:tcPr>
            <w:tcW w:w="0" w:type="auto"/>
            <w:gridSpan w:val="9"/>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 derivative assets/liabilitie</w:t>
            </w:r>
            <w:r>
              <w:rPr>
                <w:rFonts w:eastAsia="Times New Roman"/>
                <w:color w:val="000000"/>
                <w:sz w:val="18"/>
                <w:szCs w:val="18"/>
              </w:rPr>
              <w:t>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1,964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3,315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2,148 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1,324 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bl>
    <w:p w:rsidR="00000000" w:rsidRDefault="0094004B">
      <w:pPr>
        <w:divId w:val="691539526"/>
        <w:rPr>
          <w:rFonts w:eastAsia="Times New Roman"/>
        </w:rPr>
      </w:pPr>
      <w:r>
        <w:rPr>
          <w:rFonts w:eastAsia="Times New Roman"/>
          <w:color w:val="000000"/>
          <w:sz w:val="20"/>
          <w:szCs w:val="20"/>
        </w:rPr>
        <w:t>__________</w:t>
      </w:r>
    </w:p>
    <w:p w:rsidR="00000000" w:rsidRDefault="0094004B">
      <w:pPr>
        <w:ind w:hanging="360"/>
        <w:jc w:val="both"/>
        <w:divId w:val="468792503"/>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Does not reflect $4 million and $11 million</w:t>
      </w:r>
      <w:r>
        <w:rPr>
          <w:rFonts w:eastAsia="Times New Roman"/>
          <w:color w:val="000000"/>
          <w:sz w:val="16"/>
          <w:szCs w:val="16"/>
          <w:shd w:val="clear" w:color="auto" w:fill="FFFFFF"/>
        </w:rPr>
        <w:t xml:space="preserve"> recognized as a net valuation allowance on derivative assets and liabilities for non-performance risk as of December 31, 2022 and 2021, respectively. Non-performance risk is</w:t>
      </w:r>
      <w:r>
        <w:rPr>
          <w:rFonts w:eastAsia="Times New Roman"/>
          <w:color w:val="000000"/>
          <w:sz w:val="16"/>
          <w:szCs w:val="16"/>
          <w:shd w:val="clear" w:color="auto" w:fill="FFFFFF"/>
        </w:rPr>
        <w:t xml:space="preserve"> included in derivative assets and liabilities, which are part of other assets and other liabilities on the consolidated balance sheets, and is offset through non-interest income in the consolidated statements of income.</w:t>
      </w:r>
    </w:p>
    <w:p w:rsidR="00000000" w:rsidRDefault="0094004B">
      <w:pPr>
        <w:ind w:hanging="360"/>
        <w:jc w:val="both"/>
        <w:divId w:val="2065906002"/>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Other interest rate exposures in</w:t>
      </w:r>
      <w:r>
        <w:rPr>
          <w:rFonts w:eastAsia="Times New Roman"/>
          <w:color w:val="000000"/>
          <w:sz w:val="16"/>
          <w:szCs w:val="16"/>
        </w:rPr>
        <w:t>clude commercial mortgage-related derivatives and interest rate swaps.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197506427"/>
          <w:jc w:val="center"/>
        </w:trPr>
        <w:tc>
          <w:tcPr>
            <w:tcW w:w="50" w:type="pct"/>
            <w:vAlign w:val="center"/>
            <w:hideMark/>
          </w:tcPr>
          <w:p w:rsidR="00000000" w:rsidRDefault="0094004B">
            <w:pPr>
              <w:ind w:hanging="360"/>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197506427"/>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197506427"/>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167</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93" style="width:0;height:1.5pt" o:hralign="center" o:hrstd="t" o:hr="t" fillcolor="#a0a0a0" stroked="f"/>
        </w:pict>
      </w:r>
    </w:p>
    <w:p w:rsidR="00000000" w:rsidRDefault="0094004B">
      <w:pPr>
        <w:jc w:val="both"/>
        <w:divId w:val="2058969203"/>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2058969203"/>
        <w:rPr>
          <w:rFonts w:eastAsia="Times New Roman"/>
        </w:rPr>
      </w:pPr>
    </w:p>
    <w:p w:rsidR="00000000" w:rsidRDefault="0094004B">
      <w:pPr>
        <w:jc w:val="center"/>
        <w:divId w:val="2058969203"/>
        <w:rPr>
          <w:rFonts w:eastAsia="Times New Roman"/>
        </w:rPr>
      </w:pPr>
      <w:r>
        <w:rPr>
          <w:rFonts w:eastAsia="Times New Roman"/>
          <w:b/>
          <w:bCs/>
          <w:color w:val="000000"/>
          <w:sz w:val="20"/>
          <w:szCs w:val="20"/>
        </w:rPr>
        <w:t>CAPITAL ONE FINANCIAL CORPORATION</w:t>
      </w:r>
    </w:p>
    <w:p w:rsidR="00000000" w:rsidRDefault="0094004B">
      <w:pPr>
        <w:jc w:val="center"/>
        <w:divId w:val="2058969203"/>
        <w:rPr>
          <w:rFonts w:eastAsia="Times New Roman"/>
        </w:rPr>
      </w:pPr>
      <w:r>
        <w:rPr>
          <w:rFonts w:eastAsia="Times New Roman"/>
          <w:b/>
          <w:bCs/>
          <w:color w:val="000000"/>
          <w:sz w:val="20"/>
          <w:szCs w:val="20"/>
        </w:rPr>
        <w:t>NOTES TO CONSOLIDATED FINANCIAL STATEMENTS</w:t>
      </w:r>
    </w:p>
    <w:p w:rsidR="00000000" w:rsidRDefault="0094004B">
      <w:pPr>
        <w:ind w:hanging="360"/>
        <w:jc w:val="both"/>
        <w:divId w:val="1347290171"/>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Represents balance sheet netting of derivative assets and lia</w:t>
      </w:r>
      <w:r>
        <w:rPr>
          <w:rFonts w:eastAsia="Times New Roman"/>
          <w:color w:val="000000"/>
          <w:sz w:val="16"/>
          <w:szCs w:val="16"/>
        </w:rPr>
        <w:t>bilities, and related payables and receivables for cash collateral held or placed with the same counterparty.</w:t>
      </w:r>
    </w:p>
    <w:p w:rsidR="00000000" w:rsidRDefault="0094004B">
      <w:pPr>
        <w:jc w:val="both"/>
        <w:divId w:val="1129784421"/>
        <w:rPr>
          <w:rFonts w:eastAsia="Times New Roman"/>
        </w:rPr>
      </w:pPr>
      <w:r>
        <w:rPr>
          <w:rFonts w:eastAsia="Times New Roman"/>
          <w:color w:val="000000"/>
          <w:sz w:val="20"/>
          <w:szCs w:val="20"/>
        </w:rPr>
        <w:t>The following table summarizes the carrying value of our hedged assets and liabilities in fair value hedges and the associated cumulative basis ad</w:t>
      </w:r>
      <w:r>
        <w:rPr>
          <w:rFonts w:eastAsia="Times New Roman"/>
          <w:color w:val="000000"/>
          <w:sz w:val="20"/>
          <w:szCs w:val="20"/>
        </w:rPr>
        <w:t>justments included in those carrying values, excluding basis adjustments related to foreign currency risk, as of December 31, 2022 and 2021.</w:t>
      </w:r>
    </w:p>
    <w:p w:rsidR="00000000" w:rsidRDefault="0094004B">
      <w:pPr>
        <w:divId w:val="1088186801"/>
        <w:rPr>
          <w:rFonts w:eastAsia="Times New Roman"/>
        </w:rPr>
      </w:pPr>
      <w:r>
        <w:rPr>
          <w:rFonts w:eastAsia="Times New Roman"/>
          <w:b/>
          <w:bCs/>
          <w:color w:val="000000"/>
          <w:sz w:val="18"/>
          <w:szCs w:val="18"/>
        </w:rPr>
        <w:t>Table 9.2: Hedged Items in Fair Value Hedging Relationships</w:t>
      </w:r>
    </w:p>
    <w:tbl>
      <w:tblPr>
        <w:tblW w:w="5000" w:type="pct"/>
        <w:tblCellMar>
          <w:top w:w="15" w:type="dxa"/>
          <w:left w:w="15" w:type="dxa"/>
          <w:bottom w:w="15" w:type="dxa"/>
          <w:right w:w="15" w:type="dxa"/>
        </w:tblCellMar>
        <w:tblLook w:val="04A0" w:firstRow="1" w:lastRow="0" w:firstColumn="1" w:lastColumn="0" w:noHBand="0" w:noVBand="1"/>
      </w:tblPr>
      <w:tblGrid>
        <w:gridCol w:w="38"/>
        <w:gridCol w:w="968"/>
        <w:gridCol w:w="37"/>
        <w:gridCol w:w="36"/>
        <w:gridCol w:w="36"/>
        <w:gridCol w:w="36"/>
        <w:gridCol w:w="124"/>
        <w:gridCol w:w="1167"/>
        <w:gridCol w:w="36"/>
        <w:gridCol w:w="36"/>
        <w:gridCol w:w="36"/>
        <w:gridCol w:w="36"/>
        <w:gridCol w:w="124"/>
        <w:gridCol w:w="1167"/>
        <w:gridCol w:w="37"/>
        <w:gridCol w:w="36"/>
        <w:gridCol w:w="36"/>
        <w:gridCol w:w="36"/>
        <w:gridCol w:w="111"/>
        <w:gridCol w:w="889"/>
        <w:gridCol w:w="37"/>
        <w:gridCol w:w="36"/>
        <w:gridCol w:w="36"/>
        <w:gridCol w:w="36"/>
        <w:gridCol w:w="124"/>
        <w:gridCol w:w="1167"/>
        <w:gridCol w:w="36"/>
        <w:gridCol w:w="36"/>
        <w:gridCol w:w="36"/>
        <w:gridCol w:w="36"/>
        <w:gridCol w:w="124"/>
        <w:gridCol w:w="1167"/>
        <w:gridCol w:w="37"/>
        <w:gridCol w:w="36"/>
        <w:gridCol w:w="36"/>
        <w:gridCol w:w="36"/>
        <w:gridCol w:w="111"/>
        <w:gridCol w:w="889"/>
        <w:gridCol w:w="37"/>
      </w:tblGrid>
      <w:tr w:rsidR="00000000">
        <w:trPr>
          <w:divId w:val="752050519"/>
        </w:trPr>
        <w:tc>
          <w:tcPr>
            <w:tcW w:w="50" w:type="pct"/>
            <w:vAlign w:val="center"/>
            <w:hideMark/>
          </w:tcPr>
          <w:p w:rsidR="00000000" w:rsidRDefault="0094004B">
            <w:pPr>
              <w:rPr>
                <w:rFonts w:eastAsia="Times New Roman"/>
              </w:rPr>
            </w:pPr>
          </w:p>
        </w:tc>
        <w:tc>
          <w:tcPr>
            <w:tcW w:w="156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71"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71"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71"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71"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71"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71"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752050519"/>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December 31, 2022</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December 31, 2021</w:t>
            </w:r>
          </w:p>
        </w:tc>
      </w:tr>
      <w:tr w:rsidR="00000000">
        <w:trPr>
          <w:divId w:val="752050519"/>
          <w:trHeight w:val="540"/>
        </w:trPr>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Carrying Amount Assets/(Liabilities)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Cumulative Amount of Basis Adjustments Included in the Carrying Amount</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Carrying Amount Assets/(Liabilities)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Cumulative Amount of Basis Adjustments Included in the Carrying Amount</w:t>
            </w:r>
          </w:p>
        </w:tc>
      </w:tr>
      <w:tr w:rsidR="00000000">
        <w:trPr>
          <w:divId w:val="752050519"/>
          <w:trHeight w:val="540"/>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vMerge/>
            <w:tcBorders>
              <w:top w:val="single" w:sz="8" w:space="0" w:color="000000"/>
            </w:tcBorders>
            <w:vAlign w:val="center"/>
            <w:hideMark/>
          </w:tcPr>
          <w:p w:rsidR="00000000" w:rsidRDefault="009400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Total Assets/(Liabilities)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Discontinued-Hedging Relationships</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vMerge/>
            <w:tcBorders>
              <w:top w:val="single" w:sz="8" w:space="0" w:color="000000"/>
            </w:tcBorders>
            <w:vAlign w:val="center"/>
            <w:hideMark/>
          </w:tcPr>
          <w:p w:rsidR="00000000" w:rsidRDefault="009400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Total Assets/(Liabilities)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Discontinued-Hedging Relationships</w:t>
            </w:r>
          </w:p>
        </w:tc>
      </w:tr>
      <w:tr w:rsidR="00000000">
        <w:trPr>
          <w:divId w:val="752050519"/>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Line item on our consolidated balance sheets in which the hedged item is included:</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752050519"/>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divId w:val="1239754871"/>
              <w:rPr>
                <w:rFonts w:eastAsia="Times New Roman"/>
              </w:rPr>
            </w:pPr>
            <w:r>
              <w:rPr>
                <w:rFonts w:eastAsia="Times New Roman"/>
                <w:color w:val="000000"/>
                <w:sz w:val="18"/>
                <w:szCs w:val="18"/>
              </w:rPr>
              <w:t>Investment securities available for sal</w:t>
            </w:r>
            <w:r>
              <w:rPr>
                <w:rFonts w:eastAsia="Times New Roman"/>
                <w:color w:val="000000"/>
                <w:sz w:val="18"/>
                <w:szCs w:val="18"/>
              </w:rPr>
              <w:t>e</w:t>
            </w:r>
            <w:r>
              <w:rPr>
                <w:rFonts w:eastAsia="Times New Roman"/>
                <w:color w:val="000000"/>
                <w:sz w:val="12"/>
                <w:szCs w:val="12"/>
              </w:rPr>
              <w:t>(1)(2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3,983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(80)</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10,327 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286 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295 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752050519"/>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Interest-bearing deposits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(17,280)</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500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(7,361)</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(47)</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752050519"/>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Securitized debt obligations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(11,921)</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748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(11,155)</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49 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752050519"/>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Senior and subordinated notes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(24,544)</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1,542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(527)</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(22,777)</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(531)</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(708)</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bl>
    <w:p w:rsidR="00000000" w:rsidRDefault="0094004B">
      <w:pPr>
        <w:divId w:val="1641573292"/>
        <w:rPr>
          <w:rFonts w:eastAsia="Times New Roman"/>
        </w:rPr>
      </w:pPr>
      <w:r>
        <w:rPr>
          <w:rFonts w:eastAsia="Times New Roman"/>
          <w:color w:val="000000"/>
          <w:sz w:val="20"/>
          <w:szCs w:val="20"/>
        </w:rPr>
        <w:t>__________</w:t>
      </w:r>
    </w:p>
    <w:p w:rsidR="00000000" w:rsidRDefault="0094004B">
      <w:pPr>
        <w:ind w:hanging="360"/>
        <w:jc w:val="both"/>
        <w:divId w:val="1323195159"/>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These amounts include the amortized cost basis of our investment securities des</w:t>
      </w:r>
      <w:r>
        <w:rPr>
          <w:rFonts w:eastAsia="Times New Roman"/>
          <w:color w:val="000000"/>
          <w:sz w:val="16"/>
          <w:szCs w:val="16"/>
        </w:rPr>
        <w:t>ignated in hedging relationships for which the hedged item is the last layer expected to be remaining at the end of the hedging relationship. The amortized cost basis of this portfolio was $236 million and $247 million as of December 31, 2022 and 2021, res</w:t>
      </w:r>
      <w:r>
        <w:rPr>
          <w:rFonts w:eastAsia="Times New Roman"/>
          <w:color w:val="000000"/>
          <w:sz w:val="16"/>
          <w:szCs w:val="16"/>
        </w:rPr>
        <w:t>pectively. The amount of the designated hedged items was $225 million as of both December 31, 2022 and 2021. The cumulative basis adjustments associated with these hedges was $13 million and $3 million as of December 31, 2022 and 2021, respectively.</w:t>
      </w:r>
    </w:p>
    <w:p w:rsidR="00000000" w:rsidRDefault="0094004B">
      <w:pPr>
        <w:ind w:hanging="360"/>
        <w:jc w:val="both"/>
        <w:divId w:val="479228794"/>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Car</w:t>
      </w:r>
      <w:r>
        <w:rPr>
          <w:rFonts w:eastAsia="Times New Roman"/>
          <w:color w:val="000000"/>
          <w:sz w:val="16"/>
          <w:szCs w:val="16"/>
        </w:rPr>
        <w:t>rying value represents amortized cost.</w:t>
      </w:r>
    </w:p>
    <w:p w:rsidR="00000000" w:rsidRDefault="0094004B">
      <w:pPr>
        <w:divId w:val="944508166"/>
        <w:rPr>
          <w:rFonts w:eastAsia="Times New Roman"/>
        </w:rPr>
      </w:pPr>
      <w:r>
        <w:rPr>
          <w:rFonts w:eastAsia="Times New Roman"/>
          <w:b/>
          <w:bCs/>
          <w:color w:val="000000"/>
          <w:sz w:val="20"/>
          <w:szCs w:val="20"/>
        </w:rPr>
        <w:t>Balance Sheet Offsetting of Financial Assets and Liabilities</w:t>
      </w:r>
    </w:p>
    <w:p w:rsidR="00000000" w:rsidRDefault="0094004B">
      <w:pPr>
        <w:jc w:val="both"/>
        <w:divId w:val="731930139"/>
        <w:rPr>
          <w:rFonts w:eastAsia="Times New Roman"/>
        </w:rPr>
      </w:pPr>
      <w:r>
        <w:rPr>
          <w:rFonts w:eastAsia="Times New Roman"/>
          <w:color w:val="000000"/>
          <w:sz w:val="20"/>
          <w:szCs w:val="20"/>
        </w:rPr>
        <w:t>Derivative contracts and repurchase agreements that we execute bilaterally in the OTC market are generally governed by enforceable master netting agreements</w:t>
      </w:r>
      <w:r>
        <w:rPr>
          <w:rFonts w:eastAsia="Times New Roman"/>
          <w:color w:val="000000"/>
          <w:sz w:val="20"/>
          <w:szCs w:val="20"/>
        </w:rPr>
        <w:t xml:space="preserve"> where we generally have the right to offset exposure with the same counterparty. Either counterparty can generally request to net settle all contracts through a single payment upon default on, or termination of, any one contract. We elect to offset the de</w:t>
      </w:r>
      <w:r>
        <w:rPr>
          <w:rFonts w:eastAsia="Times New Roman"/>
          <w:color w:val="000000"/>
          <w:sz w:val="20"/>
          <w:szCs w:val="20"/>
        </w:rPr>
        <w:t>rivative assets and liabilities under master netting agreements for balance sheet presentation where a right of setoff exists. For derivative contracts entered into under master netting agreements for which we have not been able to confirm the enforceabili</w:t>
      </w:r>
      <w:r>
        <w:rPr>
          <w:rFonts w:eastAsia="Times New Roman"/>
          <w:color w:val="000000"/>
          <w:sz w:val="20"/>
          <w:szCs w:val="20"/>
        </w:rPr>
        <w:t>ty of the setoff rights, or those not subject to master netting agreements, we do not offset our derivative positions for balance sheet presentation.</w:t>
      </w:r>
    </w:p>
    <w:p w:rsidR="00000000" w:rsidRDefault="0094004B">
      <w:pPr>
        <w:jc w:val="both"/>
        <w:divId w:val="1513302116"/>
        <w:rPr>
          <w:rFonts w:eastAsia="Times New Roman"/>
        </w:rPr>
      </w:pPr>
      <w:r>
        <w:rPr>
          <w:rFonts w:eastAsia="Times New Roman"/>
          <w:color w:val="000000"/>
          <w:sz w:val="20"/>
          <w:szCs w:val="20"/>
        </w:rPr>
        <w:t>The following table presents the gross and net fair values of our derivative assets, derivative liabilitie</w:t>
      </w:r>
      <w:r>
        <w:rPr>
          <w:rFonts w:eastAsia="Times New Roman"/>
          <w:color w:val="000000"/>
          <w:sz w:val="20"/>
          <w:szCs w:val="20"/>
        </w:rPr>
        <w:t xml:space="preserve">s, resale and repurchase agreements and the related offsetting amounts permitted under U.S. GAAP as of December 31, 2022 and 2021. The table also includes cash and non-cash collateral received or pledged in accordance with such arrangements. The amount of </w:t>
      </w:r>
      <w:r>
        <w:rPr>
          <w:rFonts w:eastAsia="Times New Roman"/>
          <w:color w:val="000000"/>
          <w:sz w:val="20"/>
          <w:szCs w:val="20"/>
        </w:rPr>
        <w:t>collateral presented, however, is limited to the amount of the related net derivative fair values or outstanding balances; therefore, instances of over-collateralization are excluded.</w:t>
      </w:r>
    </w:p>
    <w:p w:rsidR="00000000" w:rsidRDefault="0094004B">
      <w:pPr>
        <w:divId w:val="364140357"/>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323392676"/>
          <w:jc w:val="center"/>
        </w:trPr>
        <w:tc>
          <w:tcPr>
            <w:tcW w:w="50" w:type="pct"/>
            <w:vAlign w:val="center"/>
            <w:hideMark/>
          </w:tcPr>
          <w:p w:rsidR="00000000" w:rsidRDefault="0094004B">
            <w:pPr>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323392676"/>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323392676"/>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168</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94" style="width:0;height:1.5pt" o:hralign="center" o:hrstd="t" o:hr="t" fillcolor="#a0a0a0" stroked="f"/>
        </w:pict>
      </w:r>
    </w:p>
    <w:p w:rsidR="00000000" w:rsidRDefault="0094004B">
      <w:pPr>
        <w:jc w:val="both"/>
        <w:divId w:val="1765151135"/>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1765151135"/>
        <w:rPr>
          <w:rFonts w:eastAsia="Times New Roman"/>
        </w:rPr>
      </w:pPr>
    </w:p>
    <w:p w:rsidR="00000000" w:rsidRDefault="0094004B">
      <w:pPr>
        <w:jc w:val="center"/>
        <w:divId w:val="1765151135"/>
        <w:rPr>
          <w:rFonts w:eastAsia="Times New Roman"/>
        </w:rPr>
      </w:pPr>
      <w:r>
        <w:rPr>
          <w:rFonts w:eastAsia="Times New Roman"/>
          <w:b/>
          <w:bCs/>
          <w:color w:val="000000"/>
          <w:sz w:val="20"/>
          <w:szCs w:val="20"/>
        </w:rPr>
        <w:t>CAPITAL ONE FINANCIAL CORPORATION</w:t>
      </w:r>
    </w:p>
    <w:p w:rsidR="00000000" w:rsidRDefault="0094004B">
      <w:pPr>
        <w:jc w:val="center"/>
        <w:divId w:val="1765151135"/>
        <w:rPr>
          <w:rFonts w:eastAsia="Times New Roman"/>
        </w:rPr>
      </w:pPr>
      <w:r>
        <w:rPr>
          <w:rFonts w:eastAsia="Times New Roman"/>
          <w:b/>
          <w:bCs/>
          <w:color w:val="000000"/>
          <w:sz w:val="20"/>
          <w:szCs w:val="20"/>
        </w:rPr>
        <w:t>NOTES TO CONSOLIDATED FINANCIAL STATEMENTS</w:t>
      </w:r>
    </w:p>
    <w:p w:rsidR="00000000" w:rsidRDefault="0094004B">
      <w:pPr>
        <w:divId w:val="1533149975"/>
        <w:rPr>
          <w:rFonts w:eastAsia="Times New Roman"/>
        </w:rPr>
      </w:pPr>
      <w:r>
        <w:rPr>
          <w:rFonts w:eastAsia="Times New Roman"/>
          <w:b/>
          <w:bCs/>
          <w:color w:val="000000"/>
          <w:sz w:val="18"/>
          <w:szCs w:val="18"/>
        </w:rPr>
        <w:t>Table 9.3: Offsetting of Financial Assets and Financial Liabilit</w:t>
      </w:r>
      <w:r>
        <w:rPr>
          <w:rFonts w:eastAsia="Times New Roman"/>
          <w:b/>
          <w:bCs/>
          <w:color w:val="000000"/>
          <w:sz w:val="18"/>
          <w:szCs w:val="18"/>
        </w:rPr>
        <w:t>ies</w:t>
      </w:r>
    </w:p>
    <w:tbl>
      <w:tblPr>
        <w:tblW w:w="4970" w:type="pct"/>
        <w:tblCellMar>
          <w:top w:w="15" w:type="dxa"/>
          <w:left w:w="15" w:type="dxa"/>
          <w:bottom w:w="15" w:type="dxa"/>
          <w:right w:w="15" w:type="dxa"/>
        </w:tblCellMar>
        <w:tblLook w:val="04A0" w:firstRow="1" w:lastRow="0" w:firstColumn="1" w:lastColumn="0" w:noHBand="0" w:noVBand="1"/>
      </w:tblPr>
      <w:tblGrid>
        <w:gridCol w:w="38"/>
        <w:gridCol w:w="2438"/>
        <w:gridCol w:w="37"/>
        <w:gridCol w:w="36"/>
        <w:gridCol w:w="36"/>
        <w:gridCol w:w="36"/>
        <w:gridCol w:w="111"/>
        <w:gridCol w:w="576"/>
        <w:gridCol w:w="36"/>
        <w:gridCol w:w="36"/>
        <w:gridCol w:w="36"/>
        <w:gridCol w:w="36"/>
        <w:gridCol w:w="111"/>
        <w:gridCol w:w="775"/>
        <w:gridCol w:w="37"/>
        <w:gridCol w:w="36"/>
        <w:gridCol w:w="36"/>
        <w:gridCol w:w="36"/>
        <w:gridCol w:w="111"/>
        <w:gridCol w:w="658"/>
        <w:gridCol w:w="37"/>
        <w:gridCol w:w="36"/>
        <w:gridCol w:w="36"/>
        <w:gridCol w:w="36"/>
        <w:gridCol w:w="111"/>
        <w:gridCol w:w="739"/>
        <w:gridCol w:w="36"/>
        <w:gridCol w:w="36"/>
        <w:gridCol w:w="36"/>
        <w:gridCol w:w="36"/>
        <w:gridCol w:w="111"/>
        <w:gridCol w:w="858"/>
        <w:gridCol w:w="36"/>
        <w:gridCol w:w="36"/>
        <w:gridCol w:w="36"/>
        <w:gridCol w:w="36"/>
        <w:gridCol w:w="111"/>
        <w:gridCol w:w="605"/>
        <w:gridCol w:w="36"/>
      </w:tblGrid>
      <w:tr w:rsidR="00000000">
        <w:trPr>
          <w:divId w:val="1533149975"/>
        </w:trPr>
        <w:tc>
          <w:tcPr>
            <w:tcW w:w="50" w:type="pct"/>
            <w:vAlign w:val="center"/>
            <w:hideMark/>
          </w:tcPr>
          <w:p w:rsidR="00000000" w:rsidRDefault="0094004B">
            <w:pPr>
              <w:rPr>
                <w:rFonts w:eastAsia="Times New Roman"/>
              </w:rPr>
            </w:pPr>
          </w:p>
        </w:tc>
        <w:tc>
          <w:tcPr>
            <w:tcW w:w="1540"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6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2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53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81"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658"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9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533149975"/>
          <w:trHeight w:val="420"/>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Gross Amounts</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Gross Amounts Offset in the Balance Sheet</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Net Amounts as Recognized</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Securities Collateral Held Under Master Netting Agreements</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Net Exposure</w:t>
            </w:r>
          </w:p>
        </w:tc>
      </w:tr>
      <w:tr w:rsidR="00000000">
        <w:trPr>
          <w:divId w:val="1533149975"/>
          <w:trHeight w:val="420"/>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vMerge/>
            <w:tcBorders>
              <w:bottom w:val="single" w:sz="8" w:space="0" w:color="000000"/>
            </w:tcBorders>
            <w:vAlign w:val="center"/>
            <w:hideMark/>
          </w:tcPr>
          <w:p w:rsidR="00000000" w:rsidRDefault="009400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Financial Instruments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Cash Collateral Received</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vMerge/>
            <w:tcBorders>
              <w:bottom w:val="single" w:sz="8" w:space="0" w:color="000000"/>
            </w:tcBorders>
            <w:vAlign w:val="center"/>
            <w:hideMark/>
          </w:tcPr>
          <w:p w:rsidR="00000000" w:rsidRDefault="009400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vMerge/>
            <w:tcBorders>
              <w:bottom w:val="single" w:sz="8" w:space="0" w:color="000000"/>
            </w:tcBorders>
            <w:vAlign w:val="center"/>
            <w:hideMark/>
          </w:tcPr>
          <w:p w:rsidR="00000000" w:rsidRDefault="009400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vMerge/>
            <w:tcBorders>
              <w:bottom w:val="single" w:sz="8" w:space="0" w:color="000000"/>
            </w:tcBorders>
            <w:vAlign w:val="center"/>
            <w:hideMark/>
          </w:tcPr>
          <w:p w:rsidR="00000000" w:rsidRDefault="0094004B">
            <w:pPr>
              <w:spacing w:after="100"/>
              <w:rPr>
                <w:rFonts w:eastAsia="Times New Roman"/>
              </w:rPr>
            </w:pPr>
          </w:p>
        </w:tc>
      </w:tr>
      <w:tr w:rsidR="00000000">
        <w:trPr>
          <w:divId w:val="153314997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As of December 31, 2022</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533149975"/>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divId w:val="2120029874"/>
              <w:rPr>
                <w:rFonts w:eastAsia="Times New Roman"/>
              </w:rPr>
            </w:pPr>
            <w:r>
              <w:rPr>
                <w:rFonts w:eastAsia="Times New Roman"/>
                <w:color w:val="000000"/>
                <w:sz w:val="18"/>
                <w:szCs w:val="18"/>
              </w:rPr>
              <w:t>Derivative asset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3,098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(759)</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(375)</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1,964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(96)</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1,868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533149975"/>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As of December 31, 2021</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533149975"/>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divId w:val="1249076954"/>
              <w:rPr>
                <w:rFonts w:eastAsia="Times New Roman"/>
              </w:rPr>
            </w:pPr>
            <w:r>
              <w:rPr>
                <w:rFonts w:eastAsia="Times New Roman"/>
                <w:color w:val="000000"/>
                <w:sz w:val="18"/>
                <w:szCs w:val="18"/>
              </w:rPr>
              <w:t>Derivative asset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2,690 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(252)</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(290)</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2,148 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2,148 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bl>
    <w:tbl>
      <w:tblPr>
        <w:tblW w:w="4970" w:type="pct"/>
        <w:tblCellMar>
          <w:top w:w="15" w:type="dxa"/>
          <w:left w:w="15" w:type="dxa"/>
          <w:bottom w:w="15" w:type="dxa"/>
          <w:right w:w="15" w:type="dxa"/>
        </w:tblCellMar>
        <w:tblLook w:val="04A0" w:firstRow="1" w:lastRow="0" w:firstColumn="1" w:lastColumn="0" w:noHBand="0" w:noVBand="1"/>
      </w:tblPr>
      <w:tblGrid>
        <w:gridCol w:w="144"/>
        <w:gridCol w:w="2542"/>
        <w:gridCol w:w="144"/>
        <w:gridCol w:w="144"/>
        <w:gridCol w:w="144"/>
        <w:gridCol w:w="144"/>
        <w:gridCol w:w="144"/>
        <w:gridCol w:w="601"/>
        <w:gridCol w:w="144"/>
        <w:gridCol w:w="144"/>
        <w:gridCol w:w="144"/>
        <w:gridCol w:w="144"/>
        <w:gridCol w:w="144"/>
        <w:gridCol w:w="696"/>
        <w:gridCol w:w="144"/>
        <w:gridCol w:w="144"/>
        <w:gridCol w:w="144"/>
        <w:gridCol w:w="144"/>
        <w:gridCol w:w="144"/>
        <w:gridCol w:w="880"/>
        <w:gridCol w:w="144"/>
        <w:gridCol w:w="144"/>
        <w:gridCol w:w="144"/>
        <w:gridCol w:w="144"/>
        <w:gridCol w:w="144"/>
        <w:gridCol w:w="794"/>
        <w:gridCol w:w="144"/>
        <w:gridCol w:w="144"/>
        <w:gridCol w:w="144"/>
        <w:gridCol w:w="144"/>
        <w:gridCol w:w="144"/>
        <w:gridCol w:w="1086"/>
        <w:gridCol w:w="144"/>
        <w:gridCol w:w="144"/>
        <w:gridCol w:w="144"/>
        <w:gridCol w:w="144"/>
        <w:gridCol w:w="144"/>
        <w:gridCol w:w="648"/>
        <w:gridCol w:w="144"/>
      </w:tblGrid>
      <w:tr w:rsidR="00000000">
        <w:tc>
          <w:tcPr>
            <w:tcW w:w="50" w:type="pct"/>
            <w:vAlign w:val="center"/>
            <w:hideMark/>
          </w:tcPr>
          <w:p w:rsidR="00000000" w:rsidRDefault="0094004B">
            <w:pPr>
              <w:rPr>
                <w:rFonts w:eastAsia="Times New Roman"/>
              </w:rPr>
            </w:pPr>
          </w:p>
        </w:tc>
        <w:tc>
          <w:tcPr>
            <w:tcW w:w="1540"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6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2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53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81"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658"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9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trHeight w:val="420"/>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Gross Amounts</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Gross Amounts Offset in the Balance Sheet</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Net Amounts as Recognized</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Securities Collateral Pledged Under Master Netting Agreements</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Net Exposure</w:t>
            </w:r>
          </w:p>
        </w:tc>
      </w:tr>
      <w:tr w:rsidR="00000000">
        <w:trPr>
          <w:trHeight w:val="420"/>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vMerge/>
            <w:tcBorders>
              <w:bottom w:val="single" w:sz="8" w:space="0" w:color="000000"/>
            </w:tcBorders>
            <w:vAlign w:val="center"/>
            <w:hideMark/>
          </w:tcPr>
          <w:p w:rsidR="00000000" w:rsidRDefault="009400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Financial Instruments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Cash Collateral Pledged</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vMerge/>
            <w:tcBorders>
              <w:bottom w:val="single" w:sz="8" w:space="0" w:color="000000"/>
            </w:tcBorders>
            <w:vAlign w:val="center"/>
            <w:hideMark/>
          </w:tcPr>
          <w:p w:rsidR="00000000" w:rsidRDefault="009400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vMerge/>
            <w:tcBorders>
              <w:bottom w:val="single" w:sz="8" w:space="0" w:color="000000"/>
            </w:tcBorders>
            <w:vAlign w:val="center"/>
            <w:hideMark/>
          </w:tcPr>
          <w:p w:rsidR="00000000" w:rsidRDefault="009400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vMerge/>
            <w:tcBorders>
              <w:bottom w:val="single" w:sz="8" w:space="0" w:color="000000"/>
            </w:tcBorders>
            <w:vAlign w:val="center"/>
            <w:hideMark/>
          </w:tcPr>
          <w:p w:rsidR="00000000" w:rsidRDefault="0094004B">
            <w:pPr>
              <w:spacing w:after="100"/>
              <w:rPr>
                <w:rFonts w:eastAsia="Times New Roman"/>
              </w:rPr>
            </w:pP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As of December 31, 2022</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divId w:val="160584399"/>
              <w:rPr>
                <w:rFonts w:eastAsia="Times New Roman"/>
              </w:rPr>
            </w:pPr>
            <w:r>
              <w:rPr>
                <w:rFonts w:eastAsia="Times New Roman"/>
                <w:color w:val="000000"/>
                <w:sz w:val="18"/>
                <w:szCs w:val="18"/>
              </w:rPr>
              <w:t>Derivative liabilitie</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4,550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(759)</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(476)</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3,315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(85)</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3,230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divId w:val="1800877337"/>
              <w:rPr>
                <w:rFonts w:eastAsia="Times New Roman"/>
              </w:rPr>
            </w:pPr>
            <w:r>
              <w:rPr>
                <w:rFonts w:eastAsia="Times New Roman"/>
                <w:color w:val="000000"/>
                <w:sz w:val="18"/>
                <w:szCs w:val="18"/>
              </w:rPr>
              <w:t>Repurchase agreement</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883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883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(883)</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As of December 31, 2021</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divId w:val="118187942"/>
              <w:rPr>
                <w:rFonts w:eastAsia="Times New Roman"/>
              </w:rPr>
            </w:pPr>
            <w:r>
              <w:rPr>
                <w:rFonts w:eastAsia="Times New Roman"/>
                <w:color w:val="000000"/>
                <w:sz w:val="18"/>
                <w:szCs w:val="18"/>
              </w:rPr>
              <w:t>Derivative liabilitie</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1,868 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(252)</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(292)</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1,324 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1,324 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divId w:val="1823347538"/>
              <w:rPr>
                <w:rFonts w:eastAsia="Times New Roman"/>
              </w:rPr>
            </w:pPr>
            <w:r>
              <w:rPr>
                <w:rFonts w:eastAsia="Times New Roman"/>
                <w:color w:val="000000"/>
                <w:sz w:val="18"/>
                <w:szCs w:val="18"/>
              </w:rPr>
              <w:t>Repurchase agreement</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820 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820 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(820)</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bl>
    <w:p w:rsidR="00000000" w:rsidRDefault="0094004B">
      <w:pPr>
        <w:rPr>
          <w:rFonts w:eastAsia="Times New Roman"/>
        </w:rPr>
      </w:pPr>
      <w:r>
        <w:rPr>
          <w:rFonts w:eastAsia="Times New Roman"/>
          <w:color w:val="000000"/>
          <w:sz w:val="20"/>
          <w:szCs w:val="20"/>
        </w:rPr>
        <w:t>__________</w:t>
      </w:r>
    </w:p>
    <w:p w:rsidR="00000000" w:rsidRDefault="0094004B">
      <w:pPr>
        <w:ind w:hanging="360"/>
        <w:jc w:val="both"/>
        <w:divId w:val="1614164356"/>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We received cash collateral from derivative counterparties totaling $608 million and $377 million as of December 31, 2022 and 2021, respectively. We also received securiti</w:t>
      </w:r>
      <w:r>
        <w:rPr>
          <w:rFonts w:eastAsia="Times New Roman"/>
          <w:color w:val="000000"/>
          <w:sz w:val="16"/>
          <w:szCs w:val="16"/>
        </w:rPr>
        <w:t>es from derivative counterparties with a fair value of approximately $82 million and $1 million as of December 31, 2022 and 2021, respectively, which we have the ability to re-pledge. We posted $2.3 billion and $2.0 billion of cash collateral as of Decembe</w:t>
      </w:r>
      <w:r>
        <w:rPr>
          <w:rFonts w:eastAsia="Times New Roman"/>
          <w:color w:val="000000"/>
          <w:sz w:val="16"/>
          <w:szCs w:val="16"/>
        </w:rPr>
        <w:t>r 31, 2022 and 2021, respectively.</w:t>
      </w:r>
    </w:p>
    <w:p w:rsidR="00000000" w:rsidRDefault="0094004B">
      <w:pPr>
        <w:ind w:hanging="360"/>
        <w:jc w:val="both"/>
        <w:divId w:val="646058870"/>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Under our customer repurchase agreements, which mature the next business day, we pledged collateral with a fair value of $900 million and $836 million as of December 31, 2022 and 2021, respectively, primarily consistin</w:t>
      </w:r>
      <w:r>
        <w:rPr>
          <w:rFonts w:eastAsia="Times New Roman"/>
          <w:color w:val="000000"/>
          <w:sz w:val="16"/>
          <w:szCs w:val="16"/>
        </w:rPr>
        <w:t>g of agency RMBS securities.</w:t>
      </w:r>
    </w:p>
    <w:p w:rsidR="00000000" w:rsidRDefault="0094004B">
      <w:pPr>
        <w:divId w:val="746459484"/>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469594817"/>
          <w:jc w:val="center"/>
        </w:trPr>
        <w:tc>
          <w:tcPr>
            <w:tcW w:w="50" w:type="pct"/>
            <w:vAlign w:val="center"/>
            <w:hideMark/>
          </w:tcPr>
          <w:p w:rsidR="00000000" w:rsidRDefault="0094004B">
            <w:pPr>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469594817"/>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469594817"/>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169</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95" style="width:0;height:1.5pt" o:hralign="center" o:hrstd="t" o:hr="t" fillcolor="#a0a0a0" stroked="f"/>
        </w:pict>
      </w:r>
    </w:p>
    <w:p w:rsidR="00000000" w:rsidRDefault="0094004B">
      <w:pPr>
        <w:jc w:val="both"/>
        <w:divId w:val="400716894"/>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400716894"/>
        <w:rPr>
          <w:rFonts w:eastAsia="Times New Roman"/>
        </w:rPr>
      </w:pPr>
    </w:p>
    <w:p w:rsidR="00000000" w:rsidRDefault="0094004B">
      <w:pPr>
        <w:jc w:val="center"/>
        <w:divId w:val="400716894"/>
        <w:rPr>
          <w:rFonts w:eastAsia="Times New Roman"/>
        </w:rPr>
      </w:pPr>
      <w:r>
        <w:rPr>
          <w:rFonts w:eastAsia="Times New Roman"/>
          <w:b/>
          <w:bCs/>
          <w:color w:val="000000"/>
          <w:sz w:val="20"/>
          <w:szCs w:val="20"/>
        </w:rPr>
        <w:t>CAPITAL ONE FINANCIAL CORPORATION</w:t>
      </w:r>
    </w:p>
    <w:p w:rsidR="00000000" w:rsidRDefault="0094004B">
      <w:pPr>
        <w:jc w:val="center"/>
        <w:divId w:val="400716894"/>
        <w:rPr>
          <w:rFonts w:eastAsia="Times New Roman"/>
        </w:rPr>
      </w:pPr>
      <w:r>
        <w:rPr>
          <w:rFonts w:eastAsia="Times New Roman"/>
          <w:b/>
          <w:bCs/>
          <w:color w:val="000000"/>
          <w:sz w:val="20"/>
          <w:szCs w:val="20"/>
        </w:rPr>
        <w:t>NOTES TO CONSOLIDATED FINANCIAL STATEMENTS</w:t>
      </w:r>
    </w:p>
    <w:p w:rsidR="00000000" w:rsidRDefault="0094004B">
      <w:pPr>
        <w:divId w:val="1547597930"/>
        <w:rPr>
          <w:rFonts w:eastAsia="Times New Roman"/>
        </w:rPr>
      </w:pPr>
      <w:r>
        <w:rPr>
          <w:rFonts w:eastAsia="Times New Roman"/>
          <w:b/>
          <w:bCs/>
          <w:color w:val="000000"/>
          <w:sz w:val="20"/>
          <w:szCs w:val="20"/>
        </w:rPr>
        <w:t>Income Statement and AOCI Presentation</w:t>
      </w:r>
    </w:p>
    <w:p w:rsidR="00000000" w:rsidRDefault="0094004B">
      <w:pPr>
        <w:divId w:val="697239197"/>
        <w:rPr>
          <w:rFonts w:eastAsia="Times New Roman"/>
        </w:rPr>
      </w:pPr>
      <w:r>
        <w:rPr>
          <w:rFonts w:eastAsia="Times New Roman"/>
          <w:b/>
          <w:bCs/>
          <w:i/>
          <w:iCs/>
          <w:color w:val="000000"/>
          <w:sz w:val="20"/>
          <w:szCs w:val="20"/>
        </w:rPr>
        <w:t>Fair Value and Cash Flow Hedges</w:t>
      </w:r>
    </w:p>
    <w:p w:rsidR="00000000" w:rsidRDefault="0094004B">
      <w:pPr>
        <w:jc w:val="both"/>
        <w:divId w:val="1044405131"/>
        <w:rPr>
          <w:rFonts w:eastAsia="Times New Roman"/>
        </w:rPr>
      </w:pPr>
      <w:r>
        <w:rPr>
          <w:rFonts w:eastAsia="Times New Roman"/>
          <w:color w:val="000000"/>
          <w:sz w:val="20"/>
          <w:szCs w:val="20"/>
        </w:rPr>
        <w:t>The net gains (losses) recognized in our consolidated statements of income related to derivatives in fair value and cash flow hedging relationships are presented below for the years end</w:t>
      </w:r>
      <w:r>
        <w:rPr>
          <w:rFonts w:eastAsia="Times New Roman"/>
          <w:color w:val="000000"/>
          <w:sz w:val="20"/>
          <w:szCs w:val="20"/>
        </w:rPr>
        <w:t xml:space="preserve">ed December 31, 2022, 2021 and 2020. </w:t>
      </w:r>
    </w:p>
    <w:p w:rsidR="00000000" w:rsidRDefault="0094004B">
      <w:pPr>
        <w:divId w:val="421415622"/>
        <w:rPr>
          <w:rFonts w:eastAsia="Times New Roman"/>
        </w:rPr>
      </w:pPr>
      <w:r>
        <w:rPr>
          <w:rFonts w:eastAsia="Times New Roman"/>
          <w:b/>
          <w:bCs/>
          <w:color w:val="000000"/>
          <w:sz w:val="18"/>
          <w:szCs w:val="18"/>
        </w:rPr>
        <w:t>Table 9.4: Effects of Fair Value and Cash Flow Hedge Accounting</w:t>
      </w:r>
    </w:p>
    <w:tbl>
      <w:tblPr>
        <w:tblW w:w="5000" w:type="pct"/>
        <w:tblCellMar>
          <w:top w:w="15" w:type="dxa"/>
          <w:left w:w="15" w:type="dxa"/>
          <w:bottom w:w="15" w:type="dxa"/>
          <w:right w:w="15" w:type="dxa"/>
        </w:tblCellMar>
        <w:tblLook w:val="04A0" w:firstRow="1" w:lastRow="0" w:firstColumn="1" w:lastColumn="0" w:noHBand="0" w:noVBand="1"/>
      </w:tblPr>
      <w:tblGrid>
        <w:gridCol w:w="56"/>
        <w:gridCol w:w="1777"/>
        <w:gridCol w:w="36"/>
        <w:gridCol w:w="36"/>
        <w:gridCol w:w="36"/>
        <w:gridCol w:w="36"/>
        <w:gridCol w:w="36"/>
        <w:gridCol w:w="744"/>
        <w:gridCol w:w="36"/>
        <w:gridCol w:w="36"/>
        <w:gridCol w:w="36"/>
        <w:gridCol w:w="36"/>
        <w:gridCol w:w="37"/>
        <w:gridCol w:w="745"/>
        <w:gridCol w:w="36"/>
        <w:gridCol w:w="36"/>
        <w:gridCol w:w="36"/>
        <w:gridCol w:w="36"/>
        <w:gridCol w:w="38"/>
        <w:gridCol w:w="745"/>
        <w:gridCol w:w="36"/>
        <w:gridCol w:w="36"/>
        <w:gridCol w:w="36"/>
        <w:gridCol w:w="36"/>
        <w:gridCol w:w="38"/>
        <w:gridCol w:w="745"/>
        <w:gridCol w:w="36"/>
        <w:gridCol w:w="36"/>
        <w:gridCol w:w="36"/>
        <w:gridCol w:w="36"/>
        <w:gridCol w:w="38"/>
        <w:gridCol w:w="745"/>
        <w:gridCol w:w="36"/>
        <w:gridCol w:w="36"/>
        <w:gridCol w:w="36"/>
        <w:gridCol w:w="36"/>
        <w:gridCol w:w="38"/>
        <w:gridCol w:w="745"/>
        <w:gridCol w:w="36"/>
        <w:gridCol w:w="36"/>
        <w:gridCol w:w="36"/>
        <w:gridCol w:w="36"/>
        <w:gridCol w:w="38"/>
        <w:gridCol w:w="697"/>
        <w:gridCol w:w="36"/>
      </w:tblGrid>
      <w:tr w:rsidR="00000000">
        <w:trPr>
          <w:divId w:val="421415622"/>
        </w:trPr>
        <w:tc>
          <w:tcPr>
            <w:tcW w:w="50" w:type="pct"/>
            <w:vAlign w:val="center"/>
            <w:hideMark/>
          </w:tcPr>
          <w:p w:rsidR="00000000" w:rsidRDefault="0094004B">
            <w:pPr>
              <w:rPr>
                <w:rFonts w:eastAsia="Times New Roman"/>
              </w:rPr>
            </w:pPr>
          </w:p>
        </w:tc>
        <w:tc>
          <w:tcPr>
            <w:tcW w:w="108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6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6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6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6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6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6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3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421415622"/>
          <w:trHeight w:val="60"/>
        </w:trPr>
        <w:tc>
          <w:tcPr>
            <w:tcW w:w="0" w:type="auto"/>
            <w:gridSpan w:val="45"/>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421415622"/>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421415622"/>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421415622"/>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421415622"/>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421415622"/>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421415622"/>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421415622"/>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421415622"/>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421415622"/>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421415622"/>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421415622"/>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421415622"/>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421415622"/>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421415622"/>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421415622"/>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421415622"/>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421415622"/>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1802"/>
        <w:gridCol w:w="144"/>
        <w:gridCol w:w="144"/>
        <w:gridCol w:w="144"/>
        <w:gridCol w:w="144"/>
        <w:gridCol w:w="144"/>
        <w:gridCol w:w="770"/>
        <w:gridCol w:w="144"/>
        <w:gridCol w:w="144"/>
        <w:gridCol w:w="144"/>
        <w:gridCol w:w="144"/>
        <w:gridCol w:w="144"/>
        <w:gridCol w:w="770"/>
        <w:gridCol w:w="144"/>
        <w:gridCol w:w="144"/>
        <w:gridCol w:w="144"/>
        <w:gridCol w:w="144"/>
        <w:gridCol w:w="144"/>
        <w:gridCol w:w="770"/>
        <w:gridCol w:w="144"/>
        <w:gridCol w:w="144"/>
        <w:gridCol w:w="144"/>
        <w:gridCol w:w="144"/>
        <w:gridCol w:w="144"/>
        <w:gridCol w:w="770"/>
        <w:gridCol w:w="144"/>
        <w:gridCol w:w="144"/>
        <w:gridCol w:w="144"/>
        <w:gridCol w:w="144"/>
        <w:gridCol w:w="144"/>
        <w:gridCol w:w="770"/>
        <w:gridCol w:w="144"/>
        <w:gridCol w:w="144"/>
        <w:gridCol w:w="144"/>
        <w:gridCol w:w="144"/>
        <w:gridCol w:w="144"/>
        <w:gridCol w:w="770"/>
        <w:gridCol w:w="144"/>
        <w:gridCol w:w="144"/>
        <w:gridCol w:w="144"/>
        <w:gridCol w:w="144"/>
        <w:gridCol w:w="144"/>
        <w:gridCol w:w="722"/>
        <w:gridCol w:w="144"/>
      </w:tblGrid>
      <w:tr w:rsidR="00000000">
        <w:tc>
          <w:tcPr>
            <w:tcW w:w="50" w:type="pct"/>
            <w:vAlign w:val="center"/>
            <w:hideMark/>
          </w:tcPr>
          <w:p w:rsidR="00000000" w:rsidRDefault="0094004B">
            <w:pPr>
              <w:rPr>
                <w:rFonts w:eastAsia="Times New Roman"/>
              </w:rPr>
            </w:pPr>
          </w:p>
        </w:tc>
        <w:tc>
          <w:tcPr>
            <w:tcW w:w="108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6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6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6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6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6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6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3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9"/>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Year Ended December 31, 2022</w:t>
            </w:r>
          </w:p>
        </w:tc>
      </w:tr>
      <w:tr w:rsidR="00000000">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Net Interest Income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Non-Interest Income</w:t>
            </w:r>
          </w:p>
        </w:tc>
      </w:tr>
      <w:tr w:rsidR="00000000">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Investment Securities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Loans, Including Loans Held for Sale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Other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Interest-bearing Deposits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Securitized Debt Obligations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Senior and Subordinated Notes</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Other</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divId w:val="496925697"/>
              <w:rPr>
                <w:rFonts w:eastAsia="Times New Roman"/>
              </w:rPr>
            </w:pPr>
            <w:r>
              <w:rPr>
                <w:rFonts w:eastAsia="Times New Roman"/>
                <w:b/>
                <w:bCs/>
                <w:color w:val="000000"/>
                <w:sz w:val="18"/>
                <w:szCs w:val="18"/>
              </w:rPr>
              <w:t>Total amounts presented in our consolidated statements of income</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1,884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28,910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443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(2,535)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(384)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(1,074)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905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divId w:val="1616473816"/>
              <w:rPr>
                <w:rFonts w:eastAsia="Times New Roman"/>
              </w:rPr>
            </w:pPr>
            <w:r>
              <w:rPr>
                <w:rFonts w:eastAsia="Times New Roman"/>
                <w:b/>
                <w:bCs/>
                <w:color w:val="000000"/>
                <w:sz w:val="18"/>
                <w:szCs w:val="18"/>
              </w:rPr>
              <w:t>Fair value hedging relationships: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Interest rate and foreign exchange contracts: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Interest recognized on derivatives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48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(48)</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(197)</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Gains (losses) recognized on derivatives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276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(542)</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(698)</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(1,893)</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(84)</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divId w:val="1879705937"/>
              <w:rPr>
                <w:rFonts w:eastAsia="Times New Roman"/>
              </w:rPr>
            </w:pPr>
            <w:r>
              <w:rPr>
                <w:rFonts w:eastAsia="Times New Roman"/>
                <w:color w:val="000000"/>
                <w:sz w:val="18"/>
                <w:szCs w:val="18"/>
              </w:rPr>
              <w:t>Gains (losses) recognized on hedged item</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(366)</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546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699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2,059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83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divId w:val="1795977403"/>
              <w:rPr>
                <w:rFonts w:eastAsia="Times New Roman"/>
              </w:rPr>
            </w:pPr>
            <w:r>
              <w:rPr>
                <w:rFonts w:eastAsia="Times New Roman"/>
                <w:color w:val="000000"/>
                <w:sz w:val="18"/>
                <w:szCs w:val="18"/>
              </w:rPr>
              <w:t>Excluded component of fair value hedge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(3)</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Net income (expense) recognized on fair value hedges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(42)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(47)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(34)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divId w:val="1734158243"/>
              <w:rPr>
                <w:rFonts w:eastAsia="Times New Roman"/>
              </w:rPr>
            </w:pPr>
            <w:r>
              <w:rPr>
                <w:rFonts w:eastAsia="Times New Roman"/>
                <w:b/>
                <w:bCs/>
                <w:color w:val="000000"/>
                <w:sz w:val="18"/>
                <w:szCs w:val="18"/>
              </w:rPr>
              <w:t>Cash flow hedging relationships</w:t>
            </w:r>
            <w:r>
              <w:rPr>
                <w:rFonts w:eastAsia="Times New Roman"/>
                <w:b/>
                <w:bCs/>
                <w:color w:val="000000"/>
                <w:sz w:val="18"/>
                <w:szCs w:val="18"/>
              </w:rPr>
              <w:t>:</w:t>
            </w:r>
            <w:r>
              <w:rPr>
                <w:rFonts w:eastAsia="Times New Roman"/>
                <w:b/>
                <w:bCs/>
                <w:color w:val="000000"/>
                <w:sz w:val="12"/>
                <w:szCs w:val="12"/>
              </w:rPr>
              <w:t>(3</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Interest rate contracts: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Realized gains (losses) reclassified from AOCI into net income</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(121)</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Foreign exchange contracts: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divId w:val="953636655"/>
              <w:rPr>
                <w:rFonts w:eastAsia="Times New Roman"/>
              </w:rPr>
            </w:pPr>
            <w:r>
              <w:rPr>
                <w:rFonts w:eastAsia="Times New Roman"/>
                <w:color w:val="000000"/>
                <w:sz w:val="18"/>
                <w:szCs w:val="18"/>
              </w:rPr>
              <w:t>Realized gains (losses) reclassified from AOCI into net incom</w:t>
            </w:r>
            <w:r>
              <w:rPr>
                <w:rFonts w:eastAsia="Times New Roman"/>
                <w:color w:val="000000"/>
                <w:sz w:val="18"/>
                <w:szCs w:val="18"/>
              </w:rPr>
              <w:t>e</w:t>
            </w:r>
            <w:r>
              <w:rPr>
                <w:rFonts w:eastAsia="Times New Roman"/>
                <w:color w:val="000000"/>
                <w:sz w:val="12"/>
                <w:szCs w:val="12"/>
              </w:rPr>
              <w:t>(4</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Net income (expense) recognized on cash flow hedges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(121)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bl>
    <w:p w:rsidR="00000000" w:rsidRDefault="0094004B">
      <w:pPr>
        <w:jc w:val="both"/>
        <w:divId w:val="1102726356"/>
        <w:rPr>
          <w:rFonts w:eastAsia="Times New Roman"/>
        </w:rPr>
      </w:pPr>
    </w:p>
    <w:p w:rsidR="00000000" w:rsidRDefault="0094004B">
      <w:pPr>
        <w:jc w:val="both"/>
        <w:divId w:val="200244417"/>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814182743"/>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814182743"/>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814182743"/>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170</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96" style="width:0;height:1.5pt" o:hralign="center" o:hrstd="t" o:hr="t" fillcolor="#a0a0a0" stroked="f"/>
        </w:pict>
      </w:r>
    </w:p>
    <w:p w:rsidR="00000000" w:rsidRDefault="0094004B">
      <w:pPr>
        <w:jc w:val="both"/>
        <w:divId w:val="1757357914"/>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1757357914"/>
        <w:rPr>
          <w:rFonts w:eastAsia="Times New Roman"/>
        </w:rPr>
      </w:pPr>
    </w:p>
    <w:p w:rsidR="00000000" w:rsidRDefault="0094004B">
      <w:pPr>
        <w:jc w:val="center"/>
        <w:divId w:val="1757357914"/>
        <w:rPr>
          <w:rFonts w:eastAsia="Times New Roman"/>
        </w:rPr>
      </w:pPr>
      <w:r>
        <w:rPr>
          <w:rFonts w:eastAsia="Times New Roman"/>
          <w:b/>
          <w:bCs/>
          <w:color w:val="000000"/>
          <w:sz w:val="20"/>
          <w:szCs w:val="20"/>
        </w:rPr>
        <w:t>CAPITAL ONE FINANCIAL CORPORATION</w:t>
      </w:r>
    </w:p>
    <w:p w:rsidR="00000000" w:rsidRDefault="0094004B">
      <w:pPr>
        <w:jc w:val="center"/>
        <w:divId w:val="1757357914"/>
        <w:rPr>
          <w:rFonts w:eastAsia="Times New Roman"/>
        </w:rPr>
      </w:pPr>
      <w:r>
        <w:rPr>
          <w:rFonts w:eastAsia="Times New Roman"/>
          <w:b/>
          <w:bCs/>
          <w:color w:val="000000"/>
          <w:sz w:val="20"/>
          <w:szCs w:val="20"/>
        </w:rPr>
        <w:t>NOTES TO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56"/>
        <w:gridCol w:w="1777"/>
        <w:gridCol w:w="36"/>
        <w:gridCol w:w="36"/>
        <w:gridCol w:w="36"/>
        <w:gridCol w:w="36"/>
        <w:gridCol w:w="36"/>
        <w:gridCol w:w="744"/>
        <w:gridCol w:w="36"/>
        <w:gridCol w:w="36"/>
        <w:gridCol w:w="36"/>
        <w:gridCol w:w="36"/>
        <w:gridCol w:w="37"/>
        <w:gridCol w:w="745"/>
        <w:gridCol w:w="36"/>
        <w:gridCol w:w="36"/>
        <w:gridCol w:w="36"/>
        <w:gridCol w:w="36"/>
        <w:gridCol w:w="38"/>
        <w:gridCol w:w="745"/>
        <w:gridCol w:w="36"/>
        <w:gridCol w:w="36"/>
        <w:gridCol w:w="36"/>
        <w:gridCol w:w="36"/>
        <w:gridCol w:w="38"/>
        <w:gridCol w:w="745"/>
        <w:gridCol w:w="36"/>
        <w:gridCol w:w="36"/>
        <w:gridCol w:w="36"/>
        <w:gridCol w:w="36"/>
        <w:gridCol w:w="38"/>
        <w:gridCol w:w="745"/>
        <w:gridCol w:w="36"/>
        <w:gridCol w:w="36"/>
        <w:gridCol w:w="36"/>
        <w:gridCol w:w="36"/>
        <w:gridCol w:w="38"/>
        <w:gridCol w:w="745"/>
        <w:gridCol w:w="36"/>
        <w:gridCol w:w="36"/>
        <w:gridCol w:w="36"/>
        <w:gridCol w:w="36"/>
        <w:gridCol w:w="38"/>
        <w:gridCol w:w="697"/>
        <w:gridCol w:w="36"/>
      </w:tblGrid>
      <w:tr w:rsidR="00000000">
        <w:trPr>
          <w:divId w:val="1321957670"/>
        </w:trPr>
        <w:tc>
          <w:tcPr>
            <w:tcW w:w="50" w:type="pct"/>
            <w:vAlign w:val="center"/>
            <w:hideMark/>
          </w:tcPr>
          <w:p w:rsidR="00000000" w:rsidRDefault="0094004B">
            <w:pPr>
              <w:jc w:val="center"/>
              <w:rPr>
                <w:rFonts w:eastAsia="Times New Roman"/>
              </w:rPr>
            </w:pPr>
          </w:p>
        </w:tc>
        <w:tc>
          <w:tcPr>
            <w:tcW w:w="108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6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6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6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6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6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6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3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321957670"/>
          <w:trHeight w:val="60"/>
        </w:trPr>
        <w:tc>
          <w:tcPr>
            <w:tcW w:w="0" w:type="auto"/>
            <w:gridSpan w:val="45"/>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321957670"/>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1321957670"/>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1321957670"/>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321957670"/>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321957670"/>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321957670"/>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321957670"/>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321957670"/>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321957670"/>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321957670"/>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321957670"/>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321957670"/>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321957670"/>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321957670"/>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321957670"/>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321957670"/>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321957670"/>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bl>
    <w:p w:rsidR="00000000" w:rsidRDefault="0094004B">
      <w:pPr>
        <w:jc w:val="both"/>
        <w:divId w:val="132195767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6"/>
        <w:gridCol w:w="88"/>
        <w:gridCol w:w="1585"/>
        <w:gridCol w:w="39"/>
        <w:gridCol w:w="36"/>
        <w:gridCol w:w="36"/>
        <w:gridCol w:w="36"/>
        <w:gridCol w:w="111"/>
        <w:gridCol w:w="718"/>
        <w:gridCol w:w="36"/>
        <w:gridCol w:w="36"/>
        <w:gridCol w:w="30"/>
        <w:gridCol w:w="6"/>
        <w:gridCol w:w="36"/>
        <w:gridCol w:w="102"/>
        <w:gridCol w:w="9"/>
        <w:gridCol w:w="135"/>
        <w:gridCol w:w="490"/>
        <w:gridCol w:w="36"/>
        <w:gridCol w:w="36"/>
        <w:gridCol w:w="36"/>
        <w:gridCol w:w="36"/>
        <w:gridCol w:w="111"/>
        <w:gridCol w:w="568"/>
        <w:gridCol w:w="36"/>
        <w:gridCol w:w="36"/>
        <w:gridCol w:w="36"/>
        <w:gridCol w:w="36"/>
        <w:gridCol w:w="111"/>
        <w:gridCol w:w="633"/>
        <w:gridCol w:w="36"/>
        <w:gridCol w:w="36"/>
        <w:gridCol w:w="36"/>
        <w:gridCol w:w="36"/>
        <w:gridCol w:w="111"/>
        <w:gridCol w:w="220"/>
        <w:gridCol w:w="144"/>
        <w:gridCol w:w="144"/>
        <w:gridCol w:w="235"/>
        <w:gridCol w:w="36"/>
        <w:gridCol w:w="36"/>
        <w:gridCol w:w="36"/>
        <w:gridCol w:w="36"/>
        <w:gridCol w:w="111"/>
        <w:gridCol w:w="871"/>
        <w:gridCol w:w="36"/>
        <w:gridCol w:w="36"/>
        <w:gridCol w:w="36"/>
        <w:gridCol w:w="36"/>
        <w:gridCol w:w="111"/>
        <w:gridCol w:w="595"/>
        <w:gridCol w:w="36"/>
        <w:gridCol w:w="429"/>
        <w:gridCol w:w="144"/>
      </w:tblGrid>
      <w:tr w:rsidR="00000000">
        <w:trPr>
          <w:gridAfter w:val="2"/>
          <w:divId w:val="1321957670"/>
        </w:trPr>
        <w:tc>
          <w:tcPr>
            <w:tcW w:w="50" w:type="pct"/>
            <w:vAlign w:val="center"/>
            <w:hideMark/>
          </w:tcPr>
          <w:p w:rsidR="00000000" w:rsidRDefault="0094004B">
            <w:pPr>
              <w:jc w:val="both"/>
              <w:rPr>
                <w:rFonts w:eastAsia="Times New Roman"/>
              </w:rPr>
            </w:pPr>
          </w:p>
        </w:tc>
        <w:tc>
          <w:tcPr>
            <w:tcW w:w="1063" w:type="pct"/>
            <w:gridSpan w:val="2"/>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4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gridSpan w:val="2"/>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gridSpan w:val="2"/>
            <w:vAlign w:val="center"/>
            <w:hideMark/>
          </w:tcPr>
          <w:p w:rsidR="00000000" w:rsidRDefault="0094004B">
            <w:pPr>
              <w:spacing w:after="100"/>
              <w:rPr>
                <w:rFonts w:eastAsia="Times New Roman"/>
                <w:sz w:val="20"/>
                <w:szCs w:val="20"/>
              </w:rPr>
            </w:pPr>
          </w:p>
        </w:tc>
        <w:tc>
          <w:tcPr>
            <w:tcW w:w="464" w:type="pct"/>
            <w:gridSpan w:val="2"/>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4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4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64" w:type="pct"/>
            <w:gridSpan w:val="4"/>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6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508"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gridAfter w:val="2"/>
          <w:divId w:val="1321957670"/>
        </w:trPr>
        <w:tc>
          <w:tcPr>
            <w:tcW w:w="0" w:type="auto"/>
            <w:gridSpan w:val="4"/>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4"/>
            <w:vAlign w:val="center"/>
            <w:hideMark/>
          </w:tcPr>
          <w:p w:rsidR="00000000" w:rsidRDefault="0094004B">
            <w:pPr>
              <w:spacing w:after="100"/>
              <w:rPr>
                <w:rFonts w:eastAsia="Times New Roman"/>
                <w:sz w:val="20"/>
                <w:szCs w:val="20"/>
              </w:rPr>
            </w:pPr>
          </w:p>
        </w:tc>
        <w:tc>
          <w:tcPr>
            <w:tcW w:w="0" w:type="auto"/>
            <w:gridSpan w:val="5"/>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6"/>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gridAfter w:val="2"/>
          <w:divId w:val="1321957670"/>
        </w:trPr>
        <w:tc>
          <w:tcPr>
            <w:tcW w:w="0" w:type="auto"/>
            <w:gridSpan w:val="4"/>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9"/>
            <w:tcBorders>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Year Ended December 31, 2021</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gridAfter w:val="2"/>
          <w:divId w:val="1321957670"/>
        </w:trPr>
        <w:tc>
          <w:tcPr>
            <w:tcW w:w="0" w:type="auto"/>
            <w:gridSpan w:val="4"/>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9"/>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Net Interest Income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Non-Interest Income</w:t>
            </w:r>
          </w:p>
        </w:tc>
      </w:tr>
      <w:tr w:rsidR="00000000">
        <w:trPr>
          <w:gridAfter w:val="2"/>
          <w:divId w:val="1321957670"/>
        </w:trPr>
        <w:tc>
          <w:tcPr>
            <w:tcW w:w="0" w:type="auto"/>
            <w:gridSpan w:val="4"/>
            <w:tcBorders>
              <w:bottom w:val="single" w:sz="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Investment Securities</w:t>
            </w: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5"/>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Loans, Including Loans Held for Sale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Other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Interest-bearing Deposits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6"/>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Securitized Debt Obligations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Senior and Subordinated Notes</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Other</w:t>
            </w:r>
          </w:p>
        </w:tc>
      </w:tr>
      <w:tr w:rsidR="0094004B">
        <w:trPr>
          <w:gridAfter w:val="2"/>
          <w:divId w:val="1321957670"/>
        </w:trPr>
        <w:tc>
          <w:tcPr>
            <w:tcW w:w="0" w:type="auto"/>
            <w:gridSpan w:val="4"/>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divId w:val="651565729"/>
              <w:rPr>
                <w:rFonts w:eastAsia="Times New Roman"/>
              </w:rPr>
            </w:pPr>
            <w:r>
              <w:rPr>
                <w:rFonts w:eastAsia="Times New Roman"/>
                <w:b/>
                <w:bCs/>
                <w:color w:val="000000"/>
                <w:sz w:val="18"/>
                <w:szCs w:val="18"/>
              </w:rPr>
              <w:t>Total amounts presented in our consolidated statements of income</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1,446 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2"/>
            <w:tcBorders>
              <w:top w:val="single" w:sz="8"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24,263 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(956)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4"/>
            <w:tcBorders>
              <w:top w:val="single" w:sz="8"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(119)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(488)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826 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gridAfter w:val="2"/>
          <w:divId w:val="1321957670"/>
        </w:trPr>
        <w:tc>
          <w:tcPr>
            <w:tcW w:w="0" w:type="auto"/>
            <w:gridSpan w:val="4"/>
            <w:shd w:val="clear" w:color="auto" w:fill="FFFFFF"/>
            <w:tcMar>
              <w:top w:w="30" w:type="dxa"/>
              <w:left w:w="20" w:type="dxa"/>
              <w:bottom w:w="30" w:type="dxa"/>
              <w:right w:w="20" w:type="dxa"/>
            </w:tcMar>
            <w:vAlign w:val="center"/>
            <w:hideMark/>
          </w:tcPr>
          <w:p w:rsidR="00000000" w:rsidRDefault="0094004B">
            <w:pPr>
              <w:spacing w:after="100"/>
              <w:divId w:val="746614205"/>
              <w:rPr>
                <w:rFonts w:eastAsia="Times New Roman"/>
              </w:rPr>
            </w:pPr>
            <w:r>
              <w:rPr>
                <w:rFonts w:eastAsia="Times New Roman"/>
                <w:b/>
                <w:bCs/>
                <w:color w:val="000000"/>
                <w:sz w:val="18"/>
                <w:szCs w:val="18"/>
              </w:rPr>
              <w:t>Fair value hedging relationships: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5"/>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6"/>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gridAfter w:val="2"/>
          <w:divId w:val="1321957670"/>
        </w:trPr>
        <w:tc>
          <w:tcPr>
            <w:tcW w:w="0" w:type="auto"/>
            <w:gridSpan w:val="4"/>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Interest rate and foreign exchange contracts: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6"/>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94004B">
        <w:trPr>
          <w:gridAfter w:val="2"/>
          <w:divId w:val="1321957670"/>
        </w:trPr>
        <w:tc>
          <w:tcPr>
            <w:tcW w:w="0" w:type="auto"/>
            <w:gridSpan w:val="4"/>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Interest recognized on derivatives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(92)</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126 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4"/>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123 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209 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gridAfter w:val="2"/>
          <w:divId w:val="1321957670"/>
        </w:trPr>
        <w:tc>
          <w:tcPr>
            <w:tcW w:w="0" w:type="auto"/>
            <w:gridSpan w:val="4"/>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Gains (losses) recognized on derivatives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207 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(168)</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(237)</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(799)</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(106)</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gridAfter w:val="2"/>
          <w:divId w:val="1321957670"/>
        </w:trPr>
        <w:tc>
          <w:tcPr>
            <w:tcW w:w="0" w:type="auto"/>
            <w:gridSpan w:val="4"/>
            <w:shd w:val="clear" w:color="auto" w:fill="FFFFFF"/>
            <w:tcMar>
              <w:top w:w="30" w:type="dxa"/>
              <w:left w:w="20" w:type="dxa"/>
              <w:bottom w:w="30" w:type="dxa"/>
              <w:right w:w="20" w:type="dxa"/>
            </w:tcMar>
            <w:vAlign w:val="center"/>
            <w:hideMark/>
          </w:tcPr>
          <w:p w:rsidR="00000000" w:rsidRDefault="0094004B">
            <w:pPr>
              <w:spacing w:after="100"/>
              <w:divId w:val="623854908"/>
              <w:rPr>
                <w:rFonts w:eastAsia="Times New Roman"/>
              </w:rPr>
            </w:pPr>
            <w:r>
              <w:rPr>
                <w:rFonts w:eastAsia="Times New Roman"/>
                <w:color w:val="000000"/>
                <w:sz w:val="18"/>
                <w:szCs w:val="18"/>
              </w:rPr>
              <w:t>Gains (losses) recognized on hedged item</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(299)</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167 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220 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941 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106 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gridAfter w:val="2"/>
          <w:divId w:val="1321957670"/>
        </w:trPr>
        <w:tc>
          <w:tcPr>
            <w:tcW w:w="0" w:type="auto"/>
            <w:gridSpan w:val="4"/>
            <w:shd w:val="clear" w:color="auto" w:fill="CCEEFF"/>
            <w:tcMar>
              <w:top w:w="30" w:type="dxa"/>
              <w:left w:w="20" w:type="dxa"/>
              <w:bottom w:w="30" w:type="dxa"/>
              <w:right w:w="20" w:type="dxa"/>
            </w:tcMar>
            <w:vAlign w:val="center"/>
            <w:hideMark/>
          </w:tcPr>
          <w:p w:rsidR="00000000" w:rsidRDefault="0094004B">
            <w:pPr>
              <w:spacing w:after="100"/>
              <w:divId w:val="492573908"/>
              <w:rPr>
                <w:rFonts w:eastAsia="Times New Roman"/>
              </w:rPr>
            </w:pPr>
            <w:r>
              <w:rPr>
                <w:rFonts w:eastAsia="Times New Roman"/>
                <w:color w:val="000000"/>
                <w:sz w:val="18"/>
                <w:szCs w:val="18"/>
              </w:rPr>
              <w:t>Excluded component of fair value hedge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94004B">
        <w:trPr>
          <w:gridAfter w:val="2"/>
          <w:divId w:val="1321957670"/>
        </w:trPr>
        <w:tc>
          <w:tcPr>
            <w:tcW w:w="0" w:type="auto"/>
            <w:gridSpan w:val="4"/>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Net income (expense) recognized on fair value hedges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(184)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2"/>
            <w:tcBorders>
              <w:top w:val="single" w:sz="8"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4"/>
            <w:tcBorders>
              <w:top w:val="single" w:sz="8"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gridAfter w:val="2"/>
          <w:divId w:val="1321957670"/>
        </w:trPr>
        <w:tc>
          <w:tcPr>
            <w:tcW w:w="0" w:type="auto"/>
            <w:gridSpan w:val="4"/>
            <w:shd w:val="clear" w:color="auto" w:fill="CCEEFF"/>
            <w:tcMar>
              <w:top w:w="30" w:type="dxa"/>
              <w:left w:w="20" w:type="dxa"/>
              <w:bottom w:w="30" w:type="dxa"/>
              <w:right w:w="20" w:type="dxa"/>
            </w:tcMar>
            <w:vAlign w:val="center"/>
            <w:hideMark/>
          </w:tcPr>
          <w:p w:rsidR="00000000" w:rsidRDefault="0094004B">
            <w:pPr>
              <w:spacing w:after="100"/>
              <w:divId w:val="588539051"/>
              <w:rPr>
                <w:rFonts w:eastAsia="Times New Roman"/>
              </w:rPr>
            </w:pPr>
            <w:r>
              <w:rPr>
                <w:rFonts w:eastAsia="Times New Roman"/>
                <w:b/>
                <w:bCs/>
                <w:color w:val="000000"/>
                <w:sz w:val="18"/>
                <w:szCs w:val="18"/>
              </w:rPr>
              <w:t>Cash flow hedging relationships</w:t>
            </w:r>
            <w:r>
              <w:rPr>
                <w:rFonts w:eastAsia="Times New Roman"/>
                <w:b/>
                <w:bCs/>
                <w:color w:val="000000"/>
                <w:sz w:val="18"/>
                <w:szCs w:val="18"/>
              </w:rPr>
              <w:t>:</w:t>
            </w:r>
            <w:r>
              <w:rPr>
                <w:rFonts w:eastAsia="Times New Roman"/>
                <w:b/>
                <w:bCs/>
                <w:color w:val="000000"/>
                <w:sz w:val="12"/>
                <w:szCs w:val="12"/>
              </w:rPr>
              <w:t>(3</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5"/>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6"/>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gridAfter w:val="2"/>
          <w:divId w:val="1321957670"/>
        </w:trPr>
        <w:tc>
          <w:tcPr>
            <w:tcW w:w="0" w:type="auto"/>
            <w:gridSpan w:val="4"/>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Interest rate contracts: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5"/>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6"/>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94004B">
        <w:trPr>
          <w:gridAfter w:val="2"/>
          <w:divId w:val="1321957670"/>
        </w:trPr>
        <w:tc>
          <w:tcPr>
            <w:tcW w:w="0" w:type="auto"/>
            <w:gridSpan w:val="4"/>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Realized gains reclassified from AOCI into net income</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38 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2"/>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919 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4"/>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gridAfter w:val="2"/>
          <w:divId w:val="1321957670"/>
        </w:trPr>
        <w:tc>
          <w:tcPr>
            <w:tcW w:w="0" w:type="auto"/>
            <w:gridSpan w:val="4"/>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Foreign exchange contracts: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5"/>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6"/>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gridAfter w:val="2"/>
          <w:divId w:val="1321957670"/>
        </w:trPr>
        <w:tc>
          <w:tcPr>
            <w:tcW w:w="0" w:type="auto"/>
            <w:gridSpan w:val="4"/>
            <w:shd w:val="clear" w:color="auto" w:fill="CCEEFF"/>
            <w:tcMar>
              <w:top w:w="30" w:type="dxa"/>
              <w:left w:w="20" w:type="dxa"/>
              <w:bottom w:w="30" w:type="dxa"/>
              <w:right w:w="20" w:type="dxa"/>
            </w:tcMar>
            <w:vAlign w:val="center"/>
            <w:hideMark/>
          </w:tcPr>
          <w:p w:rsidR="00000000" w:rsidRDefault="0094004B">
            <w:pPr>
              <w:spacing w:after="100"/>
              <w:divId w:val="443768052"/>
              <w:rPr>
                <w:rFonts w:eastAsia="Times New Roman"/>
              </w:rPr>
            </w:pPr>
            <w:r>
              <w:rPr>
                <w:rFonts w:eastAsia="Times New Roman"/>
                <w:color w:val="000000"/>
                <w:sz w:val="18"/>
                <w:szCs w:val="18"/>
              </w:rPr>
              <w:t>Realized gains reclassified from AOCI into net incom</w:t>
            </w:r>
            <w:r>
              <w:rPr>
                <w:rFonts w:eastAsia="Times New Roman"/>
                <w:color w:val="000000"/>
                <w:sz w:val="18"/>
                <w:szCs w:val="18"/>
              </w:rPr>
              <w:t>e</w:t>
            </w:r>
            <w:r>
              <w:rPr>
                <w:rFonts w:eastAsia="Times New Roman"/>
                <w:color w:val="000000"/>
                <w:sz w:val="12"/>
                <w:szCs w:val="12"/>
              </w:rPr>
              <w:t>(4</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94004B">
        <w:trPr>
          <w:gridAfter w:val="2"/>
          <w:divId w:val="1321957670"/>
        </w:trPr>
        <w:tc>
          <w:tcPr>
            <w:tcW w:w="0" w:type="auto"/>
            <w:gridSpan w:val="4"/>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Net income (expense) recognized on cash flow hedges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919 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4"/>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blPrEx>
          <w:tblW w:w="4992" w:type="pct"/>
          <w:jc w:val="center"/>
        </w:tblPrEx>
        <w:trPr>
          <w:jc w:val="center"/>
        </w:trPr>
        <w:tc>
          <w:tcPr>
            <w:tcW w:w="50" w:type="pct"/>
            <w:gridSpan w:val="2"/>
            <w:vAlign w:val="center"/>
            <w:hideMark/>
          </w:tcPr>
          <w:p w:rsidR="00000000" w:rsidRDefault="0094004B">
            <w:pPr>
              <w:jc w:val="both"/>
              <w:rPr>
                <w:rFonts w:eastAsia="Times New Roman"/>
              </w:rPr>
            </w:pPr>
          </w:p>
        </w:tc>
        <w:tc>
          <w:tcPr>
            <w:tcW w:w="1606" w:type="pct"/>
            <w:gridSpan w:val="10"/>
            <w:vAlign w:val="center"/>
            <w:hideMark/>
          </w:tcPr>
          <w:p w:rsidR="00000000" w:rsidRDefault="0094004B">
            <w:pPr>
              <w:spacing w:after="100"/>
              <w:rPr>
                <w:rFonts w:eastAsia="Times New Roman"/>
                <w:sz w:val="20"/>
                <w:szCs w:val="20"/>
              </w:rPr>
            </w:pPr>
          </w:p>
        </w:tc>
        <w:tc>
          <w:tcPr>
            <w:tcW w:w="5" w:type="pct"/>
            <w:gridSpan w:val="3"/>
            <w:vAlign w:val="center"/>
            <w:hideMark/>
          </w:tcPr>
          <w:p w:rsidR="00000000" w:rsidRDefault="0094004B">
            <w:pPr>
              <w:spacing w:after="100"/>
              <w:rPr>
                <w:rFonts w:eastAsia="Times New Roman"/>
                <w:sz w:val="20"/>
                <w:szCs w:val="20"/>
              </w:rPr>
            </w:pPr>
          </w:p>
        </w:tc>
        <w:tc>
          <w:tcPr>
            <w:tcW w:w="50" w:type="pct"/>
            <w:gridSpan w:val="2"/>
            <w:vAlign w:val="center"/>
            <w:hideMark/>
          </w:tcPr>
          <w:p w:rsidR="00000000" w:rsidRDefault="0094004B">
            <w:pPr>
              <w:spacing w:after="100"/>
              <w:rPr>
                <w:rFonts w:eastAsia="Times New Roman"/>
                <w:sz w:val="20"/>
                <w:szCs w:val="20"/>
              </w:rPr>
            </w:pPr>
          </w:p>
        </w:tc>
        <w:tc>
          <w:tcPr>
            <w:tcW w:w="1614" w:type="pct"/>
            <w:gridSpan w:val="19"/>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gridSpan w:val="15"/>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blPrEx>
          <w:tblW w:w="4992" w:type="pct"/>
          <w:jc w:val="center"/>
        </w:tblPrEx>
        <w:trPr>
          <w:trHeight w:val="300"/>
          <w:jc w:val="center"/>
        </w:trPr>
        <w:tc>
          <w:tcPr>
            <w:tcW w:w="0" w:type="auto"/>
            <w:gridSpan w:val="54"/>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blPrEx>
          <w:tblW w:w="4992" w:type="pct"/>
          <w:jc w:val="center"/>
        </w:tblPrEx>
        <w:trPr>
          <w:jc w:val="center"/>
        </w:trPr>
        <w:tc>
          <w:tcPr>
            <w:tcW w:w="0" w:type="auto"/>
            <w:gridSpan w:val="15"/>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2"/>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171</w:t>
            </w:r>
          </w:p>
        </w:tc>
        <w:tc>
          <w:tcPr>
            <w:tcW w:w="0" w:type="auto"/>
            <w:gridSpan w:val="17"/>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97" style="width:0;height:1.5pt" o:hralign="center" o:hrstd="t" o:hr="t" fillcolor="#a0a0a0" stroked="f"/>
        </w:pict>
      </w:r>
    </w:p>
    <w:p w:rsidR="00000000" w:rsidRDefault="0094004B">
      <w:pPr>
        <w:jc w:val="both"/>
        <w:divId w:val="5862975"/>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5862975"/>
        <w:rPr>
          <w:rFonts w:eastAsia="Times New Roman"/>
        </w:rPr>
      </w:pPr>
    </w:p>
    <w:p w:rsidR="00000000" w:rsidRDefault="0094004B">
      <w:pPr>
        <w:jc w:val="center"/>
        <w:divId w:val="5862975"/>
        <w:rPr>
          <w:rFonts w:eastAsia="Times New Roman"/>
        </w:rPr>
      </w:pPr>
      <w:r>
        <w:rPr>
          <w:rFonts w:eastAsia="Times New Roman"/>
          <w:b/>
          <w:bCs/>
          <w:color w:val="000000"/>
          <w:sz w:val="20"/>
          <w:szCs w:val="20"/>
        </w:rPr>
        <w:t>CAPITAL ONE FINANCIAL CORPORATION</w:t>
      </w:r>
    </w:p>
    <w:p w:rsidR="00000000" w:rsidRDefault="0094004B">
      <w:pPr>
        <w:jc w:val="center"/>
        <w:divId w:val="5862975"/>
        <w:rPr>
          <w:rFonts w:eastAsia="Times New Roman"/>
        </w:rPr>
      </w:pPr>
      <w:r>
        <w:rPr>
          <w:rFonts w:eastAsia="Times New Roman"/>
          <w:b/>
          <w:bCs/>
          <w:color w:val="000000"/>
          <w:sz w:val="20"/>
          <w:szCs w:val="20"/>
        </w:rPr>
        <w:t>NOTES TO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56"/>
        <w:gridCol w:w="1674"/>
        <w:gridCol w:w="39"/>
        <w:gridCol w:w="36"/>
        <w:gridCol w:w="36"/>
        <w:gridCol w:w="36"/>
        <w:gridCol w:w="111"/>
        <w:gridCol w:w="718"/>
        <w:gridCol w:w="36"/>
        <w:gridCol w:w="36"/>
        <w:gridCol w:w="36"/>
        <w:gridCol w:w="36"/>
        <w:gridCol w:w="111"/>
        <w:gridCol w:w="625"/>
        <w:gridCol w:w="36"/>
        <w:gridCol w:w="36"/>
        <w:gridCol w:w="36"/>
        <w:gridCol w:w="36"/>
        <w:gridCol w:w="111"/>
        <w:gridCol w:w="569"/>
        <w:gridCol w:w="36"/>
        <w:gridCol w:w="36"/>
        <w:gridCol w:w="36"/>
        <w:gridCol w:w="36"/>
        <w:gridCol w:w="110"/>
        <w:gridCol w:w="633"/>
        <w:gridCol w:w="36"/>
        <w:gridCol w:w="36"/>
        <w:gridCol w:w="36"/>
        <w:gridCol w:w="36"/>
        <w:gridCol w:w="111"/>
        <w:gridCol w:w="743"/>
        <w:gridCol w:w="36"/>
        <w:gridCol w:w="36"/>
        <w:gridCol w:w="36"/>
        <w:gridCol w:w="36"/>
        <w:gridCol w:w="111"/>
        <w:gridCol w:w="871"/>
        <w:gridCol w:w="36"/>
        <w:gridCol w:w="36"/>
        <w:gridCol w:w="36"/>
        <w:gridCol w:w="36"/>
        <w:gridCol w:w="110"/>
        <w:gridCol w:w="595"/>
        <w:gridCol w:w="36"/>
      </w:tblGrid>
      <w:tr w:rsidR="00000000">
        <w:trPr>
          <w:divId w:val="1997224262"/>
        </w:trPr>
        <w:tc>
          <w:tcPr>
            <w:tcW w:w="50" w:type="pct"/>
            <w:vAlign w:val="center"/>
            <w:hideMark/>
          </w:tcPr>
          <w:p w:rsidR="00000000" w:rsidRDefault="0094004B">
            <w:pPr>
              <w:jc w:val="center"/>
              <w:rPr>
                <w:rFonts w:eastAsia="Times New Roman"/>
              </w:rPr>
            </w:pPr>
          </w:p>
        </w:tc>
        <w:tc>
          <w:tcPr>
            <w:tcW w:w="106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4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6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4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4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6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6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508"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997224262"/>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997224262"/>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Year Ended December 31, 2020</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997224262"/>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Net Interest Income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Non-Interest Income</w:t>
            </w:r>
          </w:p>
        </w:tc>
      </w:tr>
      <w:tr w:rsidR="00000000">
        <w:trPr>
          <w:divId w:val="1997224262"/>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Investment Securities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Loans, Including Loans Held for Sale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Other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Interest-bearing Deposits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Securitized Debt Obligations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Senior and Subordinated Notes</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Other</w:t>
            </w:r>
          </w:p>
        </w:tc>
      </w:tr>
      <w:tr w:rsidR="0094004B">
        <w:trPr>
          <w:divId w:val="1997224262"/>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divId w:val="208875"/>
              <w:rPr>
                <w:rFonts w:eastAsia="Times New Roman"/>
              </w:rPr>
            </w:pPr>
            <w:r>
              <w:rPr>
                <w:rFonts w:eastAsia="Times New Roman"/>
                <w:b/>
                <w:bCs/>
                <w:color w:val="000000"/>
                <w:sz w:val="18"/>
                <w:szCs w:val="18"/>
              </w:rPr>
              <w:t>Total amounts presented in our consolidated statements of income</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1,877 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24,074 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(2,165)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(232)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(679)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1,350 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1997224262"/>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divId w:val="1572960136"/>
              <w:rPr>
                <w:rFonts w:eastAsia="Times New Roman"/>
              </w:rPr>
            </w:pPr>
            <w:r>
              <w:rPr>
                <w:rFonts w:eastAsia="Times New Roman"/>
                <w:b/>
                <w:bCs/>
                <w:color w:val="000000"/>
                <w:sz w:val="18"/>
                <w:szCs w:val="18"/>
              </w:rPr>
              <w:t>Fair value hedging relationships: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997224262"/>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Interest rate and foreign exchange contracts: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94004B">
        <w:trPr>
          <w:divId w:val="1997224262"/>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Interest recognized on derivatives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(76)</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108 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125 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225 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1997224262"/>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Gains (losses) recognized on derivatives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(306)</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204 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176 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950 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126 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1997224262"/>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divId w:val="1187449971"/>
              <w:rPr>
                <w:rFonts w:eastAsia="Times New Roman"/>
              </w:rPr>
            </w:pPr>
            <w:r>
              <w:rPr>
                <w:rFonts w:eastAsia="Times New Roman"/>
                <w:color w:val="000000"/>
                <w:sz w:val="18"/>
                <w:szCs w:val="18"/>
              </w:rPr>
              <w:t>Gains (losses) recognized on hedged item</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290 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(203)</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(212)</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(904)</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(125)</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1997224262"/>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divId w:val="482698324"/>
              <w:rPr>
                <w:rFonts w:eastAsia="Times New Roman"/>
              </w:rPr>
            </w:pPr>
            <w:r>
              <w:rPr>
                <w:rFonts w:eastAsia="Times New Roman"/>
                <w:color w:val="000000"/>
                <w:sz w:val="18"/>
                <w:szCs w:val="18"/>
              </w:rPr>
              <w:t>Excluded component of fair value hedge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94004B">
        <w:trPr>
          <w:divId w:val="1997224262"/>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Net income (expense) recognized on fair value hedges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(92)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89 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268 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1997224262"/>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divId w:val="329331549"/>
              <w:rPr>
                <w:rFonts w:eastAsia="Times New Roman"/>
              </w:rPr>
            </w:pPr>
            <w:r>
              <w:rPr>
                <w:rFonts w:eastAsia="Times New Roman"/>
                <w:b/>
                <w:bCs/>
                <w:color w:val="000000"/>
                <w:sz w:val="18"/>
                <w:szCs w:val="18"/>
              </w:rPr>
              <w:t>Cash flow hedging relationships</w:t>
            </w:r>
            <w:r>
              <w:rPr>
                <w:rFonts w:eastAsia="Times New Roman"/>
                <w:b/>
                <w:bCs/>
                <w:color w:val="000000"/>
                <w:sz w:val="18"/>
                <w:szCs w:val="18"/>
              </w:rPr>
              <w:t>:</w:t>
            </w:r>
            <w:r>
              <w:rPr>
                <w:rFonts w:eastAsia="Times New Roman"/>
                <w:b/>
                <w:bCs/>
                <w:color w:val="000000"/>
                <w:sz w:val="12"/>
                <w:szCs w:val="12"/>
              </w:rPr>
              <w:t>(3</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997224262"/>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Interest rate contracts: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94004B">
        <w:trPr>
          <w:divId w:val="1997224262"/>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Realized gains reclassified from AOCI into net income</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25 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541 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1997224262"/>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Foreign exchange contracts: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997224262"/>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divId w:val="394354161"/>
              <w:rPr>
                <w:rFonts w:eastAsia="Times New Roman"/>
              </w:rPr>
            </w:pPr>
            <w:r>
              <w:rPr>
                <w:rFonts w:eastAsia="Times New Roman"/>
                <w:color w:val="000000"/>
                <w:sz w:val="18"/>
                <w:szCs w:val="18"/>
              </w:rPr>
              <w:t>Realized gains (losses) reclassified from AOCI into net incom</w:t>
            </w:r>
            <w:r>
              <w:rPr>
                <w:rFonts w:eastAsia="Times New Roman"/>
                <w:color w:val="000000"/>
                <w:sz w:val="18"/>
                <w:szCs w:val="18"/>
              </w:rPr>
              <w:t>e</w:t>
            </w:r>
            <w:r>
              <w:rPr>
                <w:rFonts w:eastAsia="Times New Roman"/>
                <w:color w:val="000000"/>
                <w:sz w:val="12"/>
                <w:szCs w:val="12"/>
              </w:rPr>
              <w:t>(4</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94004B">
        <w:trPr>
          <w:divId w:val="1997224262"/>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Net income (expense) recognized on cash flow hedges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541 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bl>
    <w:p w:rsidR="00000000" w:rsidRDefault="0094004B">
      <w:pPr>
        <w:jc w:val="both"/>
        <w:divId w:val="1997224262"/>
        <w:rPr>
          <w:rFonts w:eastAsia="Times New Roman"/>
        </w:rPr>
      </w:pPr>
      <w:r>
        <w:rPr>
          <w:rFonts w:eastAsia="Times New Roman"/>
          <w:color w:val="000000"/>
          <w:sz w:val="20"/>
          <w:szCs w:val="20"/>
        </w:rPr>
        <w:t>_________</w:t>
      </w:r>
    </w:p>
    <w:p w:rsidR="00000000" w:rsidRDefault="0094004B">
      <w:pPr>
        <w:ind w:hanging="360"/>
        <w:jc w:val="both"/>
        <w:divId w:val="1359159225"/>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Includes amortization benefit of $78 million and $39 million for the years ended December 31, 2022 and 2021, respectively, and expense </w:t>
      </w:r>
      <w:r>
        <w:rPr>
          <w:rFonts w:eastAsia="Times New Roman"/>
          <w:color w:val="000000"/>
          <w:sz w:val="16"/>
          <w:szCs w:val="16"/>
        </w:rPr>
        <w:t>of $12 million for year ended December 31, 2020, related to basis adjustments on discontinued hedges.</w:t>
      </w:r>
    </w:p>
    <w:p w:rsidR="00000000" w:rsidRDefault="0094004B">
      <w:pPr>
        <w:ind w:hanging="360"/>
        <w:jc w:val="both"/>
        <w:divId w:val="336928497"/>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Changes in fair values of cross-currency swaps attributable to changes in cross-currency basis spreads are excluded from the assessment of hedge effectiveness and recorded in other comprehensive income (“OCI”). The initial value of the excluded component i</w:t>
      </w:r>
      <w:r>
        <w:rPr>
          <w:rFonts w:eastAsia="Times New Roman"/>
          <w:color w:val="000000"/>
          <w:sz w:val="16"/>
          <w:szCs w:val="16"/>
        </w:rPr>
        <w:t>s recognized in earnings over the life of the swap under the amortization approach.</w:t>
      </w:r>
    </w:p>
    <w:p w:rsidR="00000000" w:rsidRDefault="0094004B">
      <w:pPr>
        <w:ind w:hanging="360"/>
        <w:jc w:val="both"/>
        <w:divId w:val="298152449"/>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See “Note 10—Stockholders’ Equity” for the effects of cash flow and net investment hedges on AOCI and amounts reclassified to net income, net of tax.</w:t>
      </w:r>
    </w:p>
    <w:p w:rsidR="00000000" w:rsidRDefault="0094004B">
      <w:pPr>
        <w:ind w:hanging="360"/>
        <w:jc w:val="both"/>
        <w:divId w:val="1127552015"/>
        <w:rPr>
          <w:rFonts w:eastAsia="Times New Roman"/>
        </w:rPr>
      </w:pPr>
      <w:r>
        <w:rPr>
          <w:rFonts w:eastAsia="Times New Roman"/>
          <w:color w:val="000000"/>
          <w:sz w:val="10"/>
          <w:szCs w:val="10"/>
        </w:rPr>
        <w:t>(4</w:t>
      </w:r>
      <w:r>
        <w:rPr>
          <w:rFonts w:eastAsia="Times New Roman"/>
          <w:color w:val="000000"/>
          <w:sz w:val="10"/>
          <w:szCs w:val="10"/>
        </w:rPr>
        <w:t>)</w:t>
      </w:r>
      <w:r>
        <w:rPr>
          <w:rFonts w:eastAsia="Times New Roman"/>
          <w:color w:val="000000"/>
          <w:sz w:val="16"/>
          <w:szCs w:val="16"/>
        </w:rPr>
        <w:t>We recognized a loss of $17 million for the year ended December 31, 2022, gain of $163 million in 2021, and loss of $57 million for year ended December 31, 2020, on foreign exchange contracts reclassified from AOCI. These amounts were largely offset by the</w:t>
      </w:r>
      <w:r>
        <w:rPr>
          <w:rFonts w:eastAsia="Times New Roman"/>
          <w:color w:val="000000"/>
          <w:sz w:val="16"/>
          <w:szCs w:val="16"/>
        </w:rPr>
        <w:t xml:space="preserve"> foreign currency transaction gains (losses) on our foreign currency denominated intercompany funding included in other non-interest income on our consolidated statements of income.</w:t>
      </w:r>
    </w:p>
    <w:p w:rsidR="00000000" w:rsidRDefault="0094004B">
      <w:pPr>
        <w:jc w:val="both"/>
        <w:divId w:val="435906274"/>
        <w:rPr>
          <w:rFonts w:eastAsia="Times New Roman"/>
        </w:rPr>
      </w:pPr>
      <w:r>
        <w:rPr>
          <w:rFonts w:eastAsia="Times New Roman"/>
          <w:color w:val="000000"/>
          <w:sz w:val="20"/>
          <w:szCs w:val="20"/>
        </w:rPr>
        <w:t>In the next 12 months, we expect to reclassify into earnings a net after-t</w:t>
      </w:r>
      <w:r>
        <w:rPr>
          <w:rFonts w:eastAsia="Times New Roman"/>
          <w:color w:val="000000"/>
          <w:sz w:val="20"/>
          <w:szCs w:val="20"/>
        </w:rPr>
        <w:t>ax loss of $814 million recorded in AOCI as of December 31, 2022 associated with cash flow hedges of forecasted transactions. This amount will offset the cash flows associated with hedged forecasted transactions. The maximum length of time over which forec</w:t>
      </w:r>
      <w:r>
        <w:rPr>
          <w:rFonts w:eastAsia="Times New Roman"/>
          <w:color w:val="000000"/>
          <w:sz w:val="20"/>
          <w:szCs w:val="20"/>
        </w:rPr>
        <w:t>asted transactions were hedged was approximately 9.2 years as of December 31, 2022. The amount we expect to reclassify into earnings may change as a result of changes in market conditions and ongoing actions taken as part of our overall risk management str</w:t>
      </w:r>
      <w:r>
        <w:rPr>
          <w:rFonts w:eastAsia="Times New Roman"/>
          <w:color w:val="000000"/>
          <w:sz w:val="20"/>
          <w:szCs w:val="20"/>
        </w:rPr>
        <w:t>ategy.</w:t>
      </w:r>
    </w:p>
    <w:p w:rsidR="00000000" w:rsidRDefault="0094004B">
      <w:pPr>
        <w:divId w:val="158928979"/>
        <w:rPr>
          <w:rFonts w:eastAsia="Times New Roman"/>
        </w:rPr>
      </w:pPr>
    </w:p>
    <w:p w:rsidR="00000000" w:rsidRDefault="0094004B">
      <w:pPr>
        <w:divId w:val="1596089093"/>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622734537"/>
          <w:jc w:val="center"/>
        </w:trPr>
        <w:tc>
          <w:tcPr>
            <w:tcW w:w="50" w:type="pct"/>
            <w:vAlign w:val="center"/>
            <w:hideMark/>
          </w:tcPr>
          <w:p w:rsidR="00000000" w:rsidRDefault="0094004B">
            <w:pPr>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622734537"/>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622734537"/>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172</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98" style="width:0;height:1.5pt" o:hralign="center" o:hrstd="t" o:hr="t" fillcolor="#a0a0a0" stroked="f"/>
        </w:pict>
      </w:r>
    </w:p>
    <w:p w:rsidR="00000000" w:rsidRDefault="0094004B">
      <w:pPr>
        <w:jc w:val="both"/>
        <w:divId w:val="763261181"/>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763261181"/>
        <w:rPr>
          <w:rFonts w:eastAsia="Times New Roman"/>
        </w:rPr>
      </w:pPr>
    </w:p>
    <w:p w:rsidR="00000000" w:rsidRDefault="0094004B">
      <w:pPr>
        <w:jc w:val="center"/>
        <w:divId w:val="763261181"/>
        <w:rPr>
          <w:rFonts w:eastAsia="Times New Roman"/>
        </w:rPr>
      </w:pPr>
      <w:r>
        <w:rPr>
          <w:rFonts w:eastAsia="Times New Roman"/>
          <w:b/>
          <w:bCs/>
          <w:color w:val="000000"/>
          <w:sz w:val="20"/>
          <w:szCs w:val="20"/>
        </w:rPr>
        <w:t>CAPITAL ONE FINANCIAL CORPORATION</w:t>
      </w:r>
    </w:p>
    <w:p w:rsidR="00000000" w:rsidRDefault="0094004B">
      <w:pPr>
        <w:jc w:val="center"/>
        <w:divId w:val="763261181"/>
        <w:rPr>
          <w:rFonts w:eastAsia="Times New Roman"/>
        </w:rPr>
      </w:pPr>
      <w:r>
        <w:rPr>
          <w:rFonts w:eastAsia="Times New Roman"/>
          <w:b/>
          <w:bCs/>
          <w:color w:val="000000"/>
          <w:sz w:val="20"/>
          <w:szCs w:val="20"/>
        </w:rPr>
        <w:t>NOTES TO CONSOLIDATED FINANCIAL STATEMENTS</w:t>
      </w:r>
    </w:p>
    <w:p w:rsidR="00000000" w:rsidRDefault="0094004B">
      <w:pPr>
        <w:divId w:val="923494909"/>
        <w:rPr>
          <w:rFonts w:eastAsia="Times New Roman"/>
        </w:rPr>
      </w:pPr>
      <w:r>
        <w:rPr>
          <w:rFonts w:eastAsia="Times New Roman"/>
          <w:b/>
          <w:bCs/>
          <w:i/>
          <w:iCs/>
          <w:color w:val="000000"/>
          <w:sz w:val="20"/>
          <w:szCs w:val="20"/>
        </w:rPr>
        <w:t>Free-Standing Derivatives</w:t>
      </w:r>
    </w:p>
    <w:p w:rsidR="00000000" w:rsidRDefault="0094004B">
      <w:pPr>
        <w:jc w:val="both"/>
        <w:divId w:val="1003439141"/>
        <w:rPr>
          <w:rFonts w:eastAsia="Times New Roman"/>
        </w:rPr>
      </w:pPr>
      <w:r>
        <w:rPr>
          <w:rFonts w:eastAsia="Times New Roman"/>
          <w:color w:val="000000"/>
          <w:sz w:val="20"/>
          <w:szCs w:val="20"/>
        </w:rPr>
        <w:t>The net impacts to our consolidated st</w:t>
      </w:r>
      <w:r>
        <w:rPr>
          <w:rFonts w:eastAsia="Times New Roman"/>
          <w:color w:val="000000"/>
          <w:sz w:val="20"/>
          <w:szCs w:val="20"/>
        </w:rPr>
        <w:t>atements of income related to free-standing derivatives are presented below for the years ended December 31, 2022, 2021 and 2020. These gains or losses are recognized in other non-interest income on our consolidated statements of income.</w:t>
      </w:r>
    </w:p>
    <w:p w:rsidR="00000000" w:rsidRDefault="0094004B">
      <w:pPr>
        <w:divId w:val="1380128492"/>
        <w:rPr>
          <w:rFonts w:eastAsia="Times New Roman"/>
        </w:rPr>
      </w:pPr>
      <w:r>
        <w:rPr>
          <w:rFonts w:eastAsia="Times New Roman"/>
          <w:b/>
          <w:bCs/>
          <w:color w:val="000000"/>
          <w:sz w:val="18"/>
          <w:szCs w:val="18"/>
        </w:rPr>
        <w:t>Table 9.5: Gains (</w:t>
      </w:r>
      <w:r>
        <w:rPr>
          <w:rFonts w:eastAsia="Times New Roman"/>
          <w:b/>
          <w:bCs/>
          <w:color w:val="000000"/>
          <w:sz w:val="18"/>
          <w:szCs w:val="18"/>
        </w:rPr>
        <w:t>Losses) on Free-Standing Derivatives</w:t>
      </w:r>
    </w:p>
    <w:tbl>
      <w:tblPr>
        <w:tblW w:w="5000" w:type="pct"/>
        <w:tblCellMar>
          <w:top w:w="15" w:type="dxa"/>
          <w:left w:w="15" w:type="dxa"/>
          <w:bottom w:w="15" w:type="dxa"/>
          <w:right w:w="15" w:type="dxa"/>
        </w:tblCellMar>
        <w:tblLook w:val="04A0" w:firstRow="1" w:lastRow="0" w:firstColumn="1" w:lastColumn="0" w:noHBand="0" w:noVBand="1"/>
      </w:tblPr>
      <w:tblGrid>
        <w:gridCol w:w="39"/>
        <w:gridCol w:w="4586"/>
        <w:gridCol w:w="38"/>
        <w:gridCol w:w="36"/>
        <w:gridCol w:w="36"/>
        <w:gridCol w:w="36"/>
        <w:gridCol w:w="36"/>
        <w:gridCol w:w="36"/>
        <w:gridCol w:w="36"/>
        <w:gridCol w:w="36"/>
        <w:gridCol w:w="110"/>
        <w:gridCol w:w="912"/>
        <w:gridCol w:w="36"/>
        <w:gridCol w:w="36"/>
        <w:gridCol w:w="36"/>
        <w:gridCol w:w="36"/>
        <w:gridCol w:w="110"/>
        <w:gridCol w:w="912"/>
        <w:gridCol w:w="36"/>
        <w:gridCol w:w="36"/>
        <w:gridCol w:w="36"/>
        <w:gridCol w:w="36"/>
        <w:gridCol w:w="110"/>
        <w:gridCol w:w="913"/>
        <w:gridCol w:w="36"/>
      </w:tblGrid>
      <w:tr w:rsidR="00000000">
        <w:trPr>
          <w:divId w:val="1765031467"/>
        </w:trPr>
        <w:tc>
          <w:tcPr>
            <w:tcW w:w="50" w:type="pct"/>
            <w:vAlign w:val="center"/>
            <w:hideMark/>
          </w:tcPr>
          <w:p w:rsidR="00000000" w:rsidRDefault="0094004B">
            <w:pPr>
              <w:rPr>
                <w:rFonts w:eastAsia="Times New Roman"/>
              </w:rPr>
            </w:pPr>
          </w:p>
        </w:tc>
        <w:tc>
          <w:tcPr>
            <w:tcW w:w="283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610"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610"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610"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765031467"/>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Year Ended December 31,</w:t>
            </w:r>
          </w:p>
        </w:tc>
      </w:tr>
      <w:tr w:rsidR="00000000">
        <w:trPr>
          <w:divId w:val="1765031467"/>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(Dollars in millions)</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2020</w:t>
            </w:r>
          </w:p>
        </w:tc>
      </w:tr>
      <w:tr w:rsidR="00000000">
        <w:trPr>
          <w:divId w:val="176503146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Gains (losses) recognized in other non-interest income:</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765031467"/>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Customer accommodation:</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765031467"/>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Interest rate contracts</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40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32 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15 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765031467"/>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Commodity contracts</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49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28 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32 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765031467"/>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Foreign exchange and other contracts</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7 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8 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765031467"/>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 customer accommodation</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103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67 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55 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765031467"/>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Other interest rate exposures</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76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(5)</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(8)</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765031467"/>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Other contracts</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(38)</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(12)</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765031467"/>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141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50 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94004B">
            <w:pPr>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173</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199" style="width:0;height:1.5pt" o:hralign="center" o:hrstd="t" o:hr="t" fillcolor="#a0a0a0" stroked="f"/>
        </w:pict>
      </w:r>
    </w:p>
    <w:p w:rsidR="00000000" w:rsidRDefault="0094004B">
      <w:pPr>
        <w:jc w:val="both"/>
        <w:divId w:val="1969119797"/>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1969119797"/>
        <w:rPr>
          <w:rFonts w:eastAsia="Times New Roman"/>
        </w:rPr>
      </w:pPr>
    </w:p>
    <w:p w:rsidR="00000000" w:rsidRDefault="0094004B">
      <w:pPr>
        <w:jc w:val="center"/>
        <w:divId w:val="1969119797"/>
        <w:rPr>
          <w:rFonts w:eastAsia="Times New Roman"/>
        </w:rPr>
      </w:pPr>
      <w:r>
        <w:rPr>
          <w:rFonts w:eastAsia="Times New Roman"/>
          <w:b/>
          <w:bCs/>
          <w:color w:val="000000"/>
          <w:sz w:val="20"/>
          <w:szCs w:val="20"/>
        </w:rPr>
        <w:t>CAPITAL ONE FINANCIAL CORPORATION</w:t>
      </w:r>
    </w:p>
    <w:p w:rsidR="00000000" w:rsidRDefault="0094004B">
      <w:pPr>
        <w:jc w:val="center"/>
        <w:divId w:val="1969119797"/>
        <w:rPr>
          <w:rFonts w:eastAsia="Times New Roman"/>
        </w:rPr>
      </w:pPr>
      <w:r>
        <w:rPr>
          <w:rFonts w:eastAsia="Times New Roman"/>
          <w:b/>
          <w:bCs/>
          <w:color w:val="000000"/>
          <w:sz w:val="20"/>
          <w:szCs w:val="20"/>
        </w:rPr>
        <w:t>NOTES TO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35356040"/>
        </w:trPr>
        <w:tc>
          <w:tcPr>
            <w:tcW w:w="50" w:type="pct"/>
            <w:vAlign w:val="center"/>
            <w:hideMark/>
          </w:tcPr>
          <w:p w:rsidR="00000000" w:rsidRDefault="0094004B">
            <w:pPr>
              <w:jc w:val="center"/>
              <w:rPr>
                <w:rFonts w:eastAsia="Times New Roman"/>
              </w:rPr>
            </w:pPr>
          </w:p>
        </w:tc>
        <w:tc>
          <w:tcPr>
            <w:tcW w:w="494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35356040"/>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20"/>
                <w:szCs w:val="20"/>
              </w:rPr>
              <w:t>NOTE 10—STOCKHOLDERS’ EQUITY</w:t>
            </w:r>
          </w:p>
        </w:tc>
      </w:tr>
    </w:tbl>
    <w:p w:rsidR="00000000" w:rsidRDefault="0094004B">
      <w:pPr>
        <w:divId w:val="1936857871"/>
        <w:rPr>
          <w:rFonts w:eastAsia="Times New Roman"/>
        </w:rPr>
      </w:pPr>
      <w:r>
        <w:rPr>
          <w:rFonts w:eastAsia="Times New Roman"/>
          <w:b/>
          <w:bCs/>
          <w:color w:val="000000"/>
          <w:sz w:val="20"/>
          <w:szCs w:val="20"/>
        </w:rPr>
        <w:t>Preferred Stock</w:t>
      </w:r>
    </w:p>
    <w:p w:rsidR="00000000" w:rsidRDefault="0094004B">
      <w:pPr>
        <w:jc w:val="both"/>
        <w:divId w:val="495075625"/>
        <w:rPr>
          <w:rFonts w:eastAsia="Times New Roman"/>
        </w:rPr>
      </w:pPr>
      <w:r>
        <w:rPr>
          <w:rFonts w:eastAsia="Times New Roman"/>
          <w:color w:val="000000"/>
          <w:sz w:val="20"/>
          <w:szCs w:val="20"/>
        </w:rPr>
        <w:t>The following table summarizes our preferred stock outstanding as of December 31, 2022 and 2021.</w:t>
      </w:r>
    </w:p>
    <w:p w:rsidR="00000000" w:rsidRDefault="0094004B">
      <w:pPr>
        <w:divId w:val="1812870198"/>
        <w:rPr>
          <w:rFonts w:eastAsia="Times New Roman"/>
        </w:rPr>
      </w:pPr>
      <w:r>
        <w:rPr>
          <w:rFonts w:eastAsia="Times New Roman"/>
          <w:b/>
          <w:bCs/>
          <w:color w:val="000000"/>
          <w:sz w:val="18"/>
          <w:szCs w:val="18"/>
        </w:rPr>
        <w:t>Table 10.1: Preferred Stock Outstandin</w:t>
      </w:r>
      <w:r>
        <w:rPr>
          <w:rFonts w:eastAsia="Times New Roman"/>
          <w:b/>
          <w:bCs/>
          <w:color w:val="000000"/>
          <w:sz w:val="18"/>
          <w:szCs w:val="18"/>
        </w:rPr>
        <w:t>g</w:t>
      </w:r>
      <w:r>
        <w:rPr>
          <w:rFonts w:eastAsia="Times New Roman"/>
          <w:b/>
          <w:bCs/>
          <w:color w:val="000000"/>
          <w:sz w:val="12"/>
          <w:szCs w:val="12"/>
        </w:rPr>
        <w:t>(1</w:t>
      </w:r>
      <w:r>
        <w:rPr>
          <w:rFonts w:eastAsia="Times New Roman"/>
          <w:b/>
          <w:bCs/>
          <w:color w:val="000000"/>
          <w:sz w:val="12"/>
          <w:szCs w:val="12"/>
        </w:rPr>
        <w:t>)</w:t>
      </w:r>
    </w:p>
    <w:tbl>
      <w:tblPr>
        <w:tblW w:w="4970" w:type="pct"/>
        <w:tblCellMar>
          <w:top w:w="15" w:type="dxa"/>
          <w:left w:w="15" w:type="dxa"/>
          <w:bottom w:w="15" w:type="dxa"/>
          <w:right w:w="15" w:type="dxa"/>
        </w:tblCellMar>
        <w:tblLook w:val="04A0" w:firstRow="1" w:lastRow="0" w:firstColumn="1" w:lastColumn="0" w:noHBand="0" w:noVBand="1"/>
      </w:tblPr>
      <w:tblGrid>
        <w:gridCol w:w="56"/>
        <w:gridCol w:w="388"/>
        <w:gridCol w:w="36"/>
        <w:gridCol w:w="36"/>
        <w:gridCol w:w="36"/>
        <w:gridCol w:w="36"/>
        <w:gridCol w:w="80"/>
        <w:gridCol w:w="700"/>
        <w:gridCol w:w="36"/>
        <w:gridCol w:w="36"/>
        <w:gridCol w:w="36"/>
        <w:gridCol w:w="36"/>
        <w:gridCol w:w="79"/>
        <w:gridCol w:w="639"/>
        <w:gridCol w:w="37"/>
        <w:gridCol w:w="36"/>
        <w:gridCol w:w="36"/>
        <w:gridCol w:w="36"/>
        <w:gridCol w:w="83"/>
        <w:gridCol w:w="680"/>
        <w:gridCol w:w="36"/>
        <w:gridCol w:w="36"/>
        <w:gridCol w:w="36"/>
        <w:gridCol w:w="36"/>
        <w:gridCol w:w="71"/>
        <w:gridCol w:w="710"/>
        <w:gridCol w:w="37"/>
        <w:gridCol w:w="36"/>
        <w:gridCol w:w="36"/>
        <w:gridCol w:w="36"/>
        <w:gridCol w:w="79"/>
        <w:gridCol w:w="592"/>
        <w:gridCol w:w="36"/>
        <w:gridCol w:w="36"/>
        <w:gridCol w:w="36"/>
        <w:gridCol w:w="36"/>
        <w:gridCol w:w="101"/>
        <w:gridCol w:w="654"/>
        <w:gridCol w:w="36"/>
        <w:gridCol w:w="36"/>
        <w:gridCol w:w="36"/>
        <w:gridCol w:w="36"/>
        <w:gridCol w:w="83"/>
        <w:gridCol w:w="696"/>
        <w:gridCol w:w="36"/>
        <w:gridCol w:w="36"/>
        <w:gridCol w:w="36"/>
        <w:gridCol w:w="36"/>
        <w:gridCol w:w="101"/>
        <w:gridCol w:w="573"/>
        <w:gridCol w:w="36"/>
        <w:gridCol w:w="36"/>
        <w:gridCol w:w="36"/>
        <w:gridCol w:w="36"/>
        <w:gridCol w:w="101"/>
        <w:gridCol w:w="571"/>
        <w:gridCol w:w="36"/>
      </w:tblGrid>
      <w:tr w:rsidR="00000000">
        <w:trPr>
          <w:divId w:val="98139352"/>
        </w:trPr>
        <w:tc>
          <w:tcPr>
            <w:tcW w:w="50" w:type="pct"/>
            <w:vAlign w:val="center"/>
            <w:hideMark/>
          </w:tcPr>
          <w:p w:rsidR="00000000" w:rsidRDefault="0094004B">
            <w:pPr>
              <w:rPr>
                <w:rFonts w:eastAsia="Times New Roman"/>
              </w:rPr>
            </w:pPr>
          </w:p>
        </w:tc>
        <w:tc>
          <w:tcPr>
            <w:tcW w:w="34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3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08"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1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50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1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78"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78"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2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2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08"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98139352"/>
          <w:trHeight w:val="420"/>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4"/>
                <w:szCs w:val="14"/>
              </w:rPr>
              <w:t>Redeemable by Issuer Beginning</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4"/>
                <w:szCs w:val="14"/>
              </w:rPr>
              <w:t>Per Annum Dividend Rate</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4"/>
                <w:szCs w:val="14"/>
              </w:rPr>
              <w:t>Dividend Frequency</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4"/>
                <w:szCs w:val="14"/>
              </w:rPr>
              <w:t>Liquidation Preference per Share</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4"/>
                <w:szCs w:val="14"/>
              </w:rPr>
              <w:t>Total Shares Outstanding</w:t>
            </w:r>
            <w:r>
              <w:rPr>
                <w:rFonts w:eastAsia="Times New Roman"/>
                <w:b/>
                <w:bCs/>
                <w:color w:val="000000"/>
                <w:sz w:val="14"/>
                <w:szCs w:val="14"/>
              </w:rPr>
              <w:br/>
              <w:t xml:space="preserve">as of </w:t>
            </w:r>
            <w:r>
              <w:rPr>
                <w:rFonts w:eastAsia="Times New Roman"/>
                <w:b/>
                <w:bCs/>
                <w:color w:val="000000"/>
                <w:sz w:val="14"/>
                <w:szCs w:val="14"/>
              </w:rPr>
              <w:br/>
              <w:t>December 31, 2022</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4"/>
                <w:szCs w:val="14"/>
              </w:rPr>
              <w:t xml:space="preserve">Carrying Value </w:t>
            </w:r>
            <w:r>
              <w:rPr>
                <w:rFonts w:eastAsia="Times New Roman"/>
                <w:b/>
                <w:bCs/>
                <w:color w:val="000000"/>
                <w:sz w:val="14"/>
                <w:szCs w:val="14"/>
              </w:rPr>
              <w:br/>
              <w:t>(in millions)</w:t>
            </w:r>
          </w:p>
        </w:tc>
      </w:tr>
      <w:tr w:rsidR="00000000">
        <w:trPr>
          <w:divId w:val="98139352"/>
          <w:trHeight w:val="360"/>
        </w:trPr>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4"/>
                <w:szCs w:val="14"/>
              </w:rPr>
              <w:t>Series</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4"/>
                <w:szCs w:val="14"/>
              </w:rPr>
              <w:t>Description</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4"/>
                <w:szCs w:val="14"/>
              </w:rPr>
              <w:t>Issuance Date</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vMerge/>
            <w:vAlign w:val="center"/>
            <w:hideMark/>
          </w:tcPr>
          <w:p w:rsidR="00000000" w:rsidRDefault="009400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vMerge/>
            <w:vAlign w:val="center"/>
            <w:hideMark/>
          </w:tcPr>
          <w:p w:rsidR="00000000" w:rsidRDefault="009400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vMerge/>
            <w:vAlign w:val="center"/>
            <w:hideMark/>
          </w:tcPr>
          <w:p w:rsidR="00000000" w:rsidRDefault="009400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vMerge/>
            <w:vAlign w:val="center"/>
            <w:hideMark/>
          </w:tcPr>
          <w:p w:rsidR="00000000" w:rsidRDefault="009400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vMerge/>
            <w:vAlign w:val="center"/>
            <w:hideMark/>
          </w:tcPr>
          <w:p w:rsidR="00000000" w:rsidRDefault="009400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4"/>
                <w:szCs w:val="14"/>
              </w:rPr>
              <w:t>December 31,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4"/>
                <w:szCs w:val="14"/>
              </w:rPr>
              <w:t>December 31, 2021</w:t>
            </w:r>
          </w:p>
        </w:tc>
      </w:tr>
      <w:tr w:rsidR="00000000">
        <w:trPr>
          <w:divId w:val="98139352"/>
        </w:trPr>
        <w:tc>
          <w:tcPr>
            <w:tcW w:w="0" w:type="auto"/>
            <w:gridSpan w:val="3"/>
            <w:vAlign w:val="center"/>
            <w:hideMark/>
          </w:tcPr>
          <w:p w:rsidR="00000000" w:rsidRDefault="0094004B">
            <w:pPr>
              <w:spacing w:after="100"/>
              <w:jc w:val="center"/>
              <w:rPr>
                <w:rFonts w:eastAsia="Times New Roman"/>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8139352"/>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8139352"/>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94004B">
        <w:trPr>
          <w:divId w:val="98139352"/>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16"/>
                <w:szCs w:val="16"/>
              </w:rPr>
              <w:t>Series I</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 xml:space="preserve">5.000% </w:t>
            </w:r>
            <w:r>
              <w:rPr>
                <w:rFonts w:eastAsia="Times New Roman"/>
                <w:color w:val="000000"/>
                <w:sz w:val="16"/>
                <w:szCs w:val="16"/>
              </w:rPr>
              <w:br/>
              <w:t>Non-Cumulative</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September 11, 2019</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December 1, 2024</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5.000%</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Quarterly</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6"/>
                <w:szCs w:val="16"/>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6"/>
                <w:szCs w:val="16"/>
              </w:rPr>
              <w:t>1,500,000 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6"/>
                <w:szCs w:val="16"/>
              </w:rPr>
              <w:t>1,462</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6"/>
                <w:szCs w:val="16"/>
              </w:rPr>
              <w:t>1,462 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98139352"/>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16"/>
                <w:szCs w:val="16"/>
              </w:rPr>
              <w:t>Series J</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 xml:space="preserve">4.800% </w:t>
            </w:r>
            <w:r>
              <w:rPr>
                <w:rFonts w:eastAsia="Times New Roman"/>
                <w:color w:val="000000"/>
                <w:sz w:val="16"/>
                <w:szCs w:val="16"/>
              </w:rPr>
              <w:br/>
              <w:t>Non-Cumulative</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January 31, 2020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June 1, 2025</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4.800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Quarterly</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6"/>
                <w:szCs w:val="16"/>
              </w:rPr>
              <w:t>1,000 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6"/>
                <w:szCs w:val="16"/>
              </w:rPr>
              <w:t>1,250,000 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6"/>
                <w:szCs w:val="16"/>
              </w:rPr>
              <w:t>1,209</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6"/>
                <w:szCs w:val="16"/>
              </w:rPr>
              <w:t>1,209 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98139352"/>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16"/>
                <w:szCs w:val="16"/>
              </w:rPr>
              <w:t>Series K</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4.625%</w:t>
            </w:r>
            <w:r>
              <w:rPr>
                <w:rFonts w:eastAsia="Times New Roman"/>
                <w:color w:val="000000"/>
                <w:sz w:val="16"/>
                <w:szCs w:val="16"/>
              </w:rPr>
              <w:br/>
              <w:t>Non-Cumulative</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September 17, 2020</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December 1, 2025</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4.625</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Quarterly</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6"/>
                <w:szCs w:val="16"/>
              </w:rPr>
              <w:t>1,000 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6"/>
                <w:szCs w:val="16"/>
              </w:rPr>
              <w:t>125,000 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6"/>
                <w:szCs w:val="16"/>
              </w:rPr>
              <w:t>122</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6"/>
                <w:szCs w:val="16"/>
              </w:rPr>
              <w:t>122 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98139352"/>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16"/>
                <w:szCs w:val="16"/>
              </w:rPr>
              <w:t>Series L</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4.375%</w:t>
            </w:r>
            <w:r>
              <w:rPr>
                <w:rFonts w:eastAsia="Times New Roman"/>
                <w:color w:val="000000"/>
                <w:sz w:val="16"/>
                <w:szCs w:val="16"/>
              </w:rPr>
              <w:br/>
              <w:t>Non-Cumulative</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May 4, 2021</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September 1, 2026</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4.375</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Quarterly</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6"/>
                <w:szCs w:val="16"/>
              </w:rPr>
              <w:t>1,000 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6"/>
                <w:szCs w:val="16"/>
              </w:rPr>
              <w:t>675,000 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6"/>
                <w:szCs w:val="16"/>
              </w:rPr>
              <w:t>652</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6"/>
                <w:szCs w:val="16"/>
              </w:rPr>
              <w:t>652 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98139352"/>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16"/>
                <w:szCs w:val="16"/>
              </w:rPr>
              <w:t>Series M</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3.950% Fixed Rate Reset</w:t>
            </w:r>
            <w:r>
              <w:rPr>
                <w:rFonts w:eastAsia="Times New Roman"/>
                <w:color w:val="000000"/>
                <w:sz w:val="16"/>
                <w:szCs w:val="16"/>
              </w:rPr>
              <w:br/>
              <w:t>Non-Cumulative</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June 10, 2021</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September 1, 2026</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color w:val="000000"/>
                <w:sz w:val="16"/>
                <w:szCs w:val="16"/>
              </w:rPr>
              <w:t>3.950% through 8/31/2026; resets 9/1/2026 and every subsequent 5 year anniversary at 5-Year Treasury Rate +3.157%</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Quarterly</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6"/>
                <w:szCs w:val="16"/>
              </w:rPr>
              <w:t>1,000 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6"/>
                <w:szCs w:val="16"/>
              </w:rPr>
              <w:t>1,000,000 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6"/>
                <w:szCs w:val="16"/>
              </w:rPr>
              <w:t>988</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6"/>
                <w:szCs w:val="16"/>
              </w:rPr>
              <w:t>988 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98139352"/>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16"/>
                <w:szCs w:val="16"/>
              </w:rPr>
              <w:t>Series N</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4.250%</w:t>
            </w:r>
            <w:r>
              <w:rPr>
                <w:rFonts w:eastAsia="Times New Roman"/>
                <w:color w:val="000000"/>
                <w:sz w:val="16"/>
                <w:szCs w:val="16"/>
              </w:rPr>
              <w:br/>
              <w:t>Non-Cumulative</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July 29, 2021</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September 1, 2026</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4.250%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Quarterly</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6"/>
                <w:szCs w:val="16"/>
              </w:rPr>
              <w:t>1,000 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6"/>
                <w:szCs w:val="16"/>
              </w:rPr>
              <w:t>425,000 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6"/>
                <w:szCs w:val="16"/>
              </w:rPr>
              <w:t>412</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6"/>
                <w:szCs w:val="16"/>
              </w:rPr>
              <w:t>412 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98139352"/>
        </w:trPr>
        <w:tc>
          <w:tcPr>
            <w:tcW w:w="0" w:type="auto"/>
            <w:gridSpan w:val="45"/>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6"/>
                <w:szCs w:val="16"/>
              </w:rPr>
              <w:t>Total</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6"/>
                <w:szCs w:val="16"/>
              </w:rPr>
              <w:t>4,845</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6"/>
                <w:szCs w:val="16"/>
              </w:rPr>
              <w:t>4,845 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bl>
    <w:p w:rsidR="00000000" w:rsidRDefault="0094004B">
      <w:pPr>
        <w:divId w:val="98139352"/>
        <w:rPr>
          <w:rFonts w:eastAsia="Times New Roman"/>
        </w:rPr>
      </w:pPr>
      <w:r>
        <w:rPr>
          <w:rFonts w:eastAsia="Times New Roman"/>
          <w:color w:val="000000"/>
          <w:sz w:val="20"/>
          <w:szCs w:val="20"/>
        </w:rPr>
        <w:t>__________</w:t>
      </w:r>
    </w:p>
    <w:p w:rsidR="00000000" w:rsidRDefault="0094004B">
      <w:pPr>
        <w:ind w:hanging="360"/>
        <w:divId w:val="97213375"/>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Except for Series</w:t>
      </w:r>
      <w:r>
        <w:rPr>
          <w:rFonts w:eastAsia="Times New Roman"/>
          <w:color w:val="000000"/>
          <w:sz w:val="16"/>
          <w:szCs w:val="16"/>
          <w:shd w:val="clear" w:color="auto" w:fill="FFFFFF"/>
        </w:rPr>
        <w:t xml:space="preserve"> M</w:t>
      </w:r>
      <w:r>
        <w:rPr>
          <w:rFonts w:eastAsia="Times New Roman"/>
          <w:color w:val="000000"/>
          <w:sz w:val="16"/>
          <w:szCs w:val="16"/>
        </w:rPr>
        <w:t>, ownership is held in the form of depositary shares, each representing a 1/40th interest in a share of fixed-rate non-cumulative perpetual preferred stock.</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139031336"/>
          <w:jc w:val="center"/>
        </w:trPr>
        <w:tc>
          <w:tcPr>
            <w:tcW w:w="50" w:type="pct"/>
            <w:vAlign w:val="center"/>
            <w:hideMark/>
          </w:tcPr>
          <w:p w:rsidR="00000000" w:rsidRDefault="0094004B">
            <w:pPr>
              <w:ind w:hanging="360"/>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139031336"/>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139031336"/>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174</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200" style="width:0;height:1.5pt" o:hralign="center" o:hrstd="t" o:hr="t" fillcolor="#a0a0a0" stroked="f"/>
        </w:pict>
      </w:r>
    </w:p>
    <w:p w:rsidR="00000000" w:rsidRDefault="0094004B">
      <w:pPr>
        <w:jc w:val="both"/>
        <w:divId w:val="208684582"/>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208684582"/>
        <w:rPr>
          <w:rFonts w:eastAsia="Times New Roman"/>
        </w:rPr>
      </w:pPr>
    </w:p>
    <w:p w:rsidR="00000000" w:rsidRDefault="0094004B">
      <w:pPr>
        <w:jc w:val="center"/>
        <w:divId w:val="208684582"/>
        <w:rPr>
          <w:rFonts w:eastAsia="Times New Roman"/>
        </w:rPr>
      </w:pPr>
      <w:r>
        <w:rPr>
          <w:rFonts w:eastAsia="Times New Roman"/>
          <w:b/>
          <w:bCs/>
          <w:color w:val="000000"/>
          <w:sz w:val="20"/>
          <w:szCs w:val="20"/>
        </w:rPr>
        <w:t>CAPITAL ONE FINANCIAL CORPORATION</w:t>
      </w:r>
    </w:p>
    <w:p w:rsidR="00000000" w:rsidRDefault="0094004B">
      <w:pPr>
        <w:jc w:val="center"/>
        <w:divId w:val="208684582"/>
        <w:rPr>
          <w:rFonts w:eastAsia="Times New Roman"/>
        </w:rPr>
      </w:pPr>
      <w:r>
        <w:rPr>
          <w:rFonts w:eastAsia="Times New Roman"/>
          <w:b/>
          <w:bCs/>
          <w:color w:val="000000"/>
          <w:sz w:val="20"/>
          <w:szCs w:val="20"/>
        </w:rPr>
        <w:t>NOTES TO CONSOLIDATED FINANCIAL STATEMENTS</w:t>
      </w:r>
    </w:p>
    <w:p w:rsidR="00000000" w:rsidRDefault="0094004B">
      <w:pPr>
        <w:divId w:val="755368105"/>
        <w:rPr>
          <w:rFonts w:eastAsia="Times New Roman"/>
        </w:rPr>
      </w:pPr>
      <w:r>
        <w:rPr>
          <w:rFonts w:eastAsia="Times New Roman"/>
          <w:b/>
          <w:bCs/>
          <w:color w:val="000000"/>
          <w:sz w:val="20"/>
          <w:szCs w:val="20"/>
        </w:rPr>
        <w:t>Accumulated Other Comprehensive Income</w:t>
      </w:r>
    </w:p>
    <w:p w:rsidR="00000000" w:rsidRDefault="0094004B">
      <w:pPr>
        <w:jc w:val="both"/>
        <w:divId w:val="1777825656"/>
        <w:rPr>
          <w:rFonts w:eastAsia="Times New Roman"/>
        </w:rPr>
      </w:pPr>
      <w:r>
        <w:rPr>
          <w:rFonts w:eastAsia="Times New Roman"/>
          <w:color w:val="000000"/>
          <w:sz w:val="20"/>
          <w:szCs w:val="20"/>
        </w:rPr>
        <w:t>AOCI primarily consists o</w:t>
      </w:r>
      <w:r>
        <w:rPr>
          <w:rFonts w:eastAsia="Times New Roman"/>
          <w:color w:val="000000"/>
          <w:sz w:val="20"/>
          <w:szCs w:val="20"/>
        </w:rPr>
        <w:t>f accumulated net unrealized gains or losses associated with securities available for sale, changes in fair value of derivatives in hedging relationships and foreign currency translation adjustments.</w:t>
      </w:r>
    </w:p>
    <w:p w:rsidR="00000000" w:rsidRDefault="0094004B">
      <w:pPr>
        <w:jc w:val="both"/>
        <w:divId w:val="1372339431"/>
        <w:rPr>
          <w:rFonts w:eastAsia="Times New Roman"/>
        </w:rPr>
      </w:pPr>
      <w:r>
        <w:rPr>
          <w:rFonts w:eastAsia="Times New Roman"/>
          <w:color w:val="000000"/>
          <w:sz w:val="20"/>
          <w:szCs w:val="20"/>
        </w:rPr>
        <w:t>The following table presents the changes in AOCI by component for the years ended December 31, 2022, 2021 and 2020.</w:t>
      </w:r>
    </w:p>
    <w:p w:rsidR="00000000" w:rsidRDefault="0094004B">
      <w:pPr>
        <w:divId w:val="322244382"/>
        <w:rPr>
          <w:rFonts w:eastAsia="Times New Roman"/>
        </w:rPr>
      </w:pPr>
      <w:r>
        <w:rPr>
          <w:rFonts w:eastAsia="Times New Roman"/>
          <w:b/>
          <w:bCs/>
          <w:color w:val="000000"/>
          <w:sz w:val="18"/>
          <w:szCs w:val="18"/>
        </w:rPr>
        <w:t>Table 10.2: AOCI</w:t>
      </w:r>
    </w:p>
    <w:tbl>
      <w:tblPr>
        <w:tblW w:w="5000" w:type="pct"/>
        <w:tblCellMar>
          <w:top w:w="15" w:type="dxa"/>
          <w:left w:w="15" w:type="dxa"/>
          <w:bottom w:w="15" w:type="dxa"/>
          <w:right w:w="15" w:type="dxa"/>
        </w:tblCellMar>
        <w:tblLook w:val="04A0" w:firstRow="1" w:lastRow="0" w:firstColumn="1" w:lastColumn="0" w:noHBand="0" w:noVBand="1"/>
      </w:tblPr>
      <w:tblGrid>
        <w:gridCol w:w="55"/>
        <w:gridCol w:w="3856"/>
        <w:gridCol w:w="36"/>
        <w:gridCol w:w="36"/>
        <w:gridCol w:w="36"/>
        <w:gridCol w:w="36"/>
        <w:gridCol w:w="36"/>
        <w:gridCol w:w="654"/>
        <w:gridCol w:w="36"/>
        <w:gridCol w:w="36"/>
        <w:gridCol w:w="36"/>
        <w:gridCol w:w="36"/>
        <w:gridCol w:w="36"/>
        <w:gridCol w:w="850"/>
        <w:gridCol w:w="36"/>
        <w:gridCol w:w="36"/>
        <w:gridCol w:w="36"/>
        <w:gridCol w:w="36"/>
        <w:gridCol w:w="36"/>
        <w:gridCol w:w="814"/>
        <w:gridCol w:w="36"/>
        <w:gridCol w:w="36"/>
        <w:gridCol w:w="36"/>
        <w:gridCol w:w="36"/>
        <w:gridCol w:w="55"/>
        <w:gridCol w:w="561"/>
        <w:gridCol w:w="36"/>
        <w:gridCol w:w="36"/>
        <w:gridCol w:w="36"/>
        <w:gridCol w:w="36"/>
        <w:gridCol w:w="36"/>
        <w:gridCol w:w="561"/>
        <w:gridCol w:w="36"/>
      </w:tblGrid>
      <w:tr w:rsidR="00000000">
        <w:trPr>
          <w:divId w:val="322244382"/>
        </w:trPr>
        <w:tc>
          <w:tcPr>
            <w:tcW w:w="50" w:type="pct"/>
            <w:vAlign w:val="center"/>
            <w:hideMark/>
          </w:tcPr>
          <w:p w:rsidR="00000000" w:rsidRDefault="0094004B">
            <w:pPr>
              <w:rPr>
                <w:rFonts w:eastAsia="Times New Roman"/>
              </w:rPr>
            </w:pPr>
          </w:p>
        </w:tc>
        <w:tc>
          <w:tcPr>
            <w:tcW w:w="233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1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52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50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1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5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5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322244382"/>
          <w:trHeight w:val="60"/>
        </w:trPr>
        <w:tc>
          <w:tcPr>
            <w:tcW w:w="0" w:type="auto"/>
            <w:gridSpan w:val="33"/>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322244382"/>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322244382"/>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322244382"/>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322244382"/>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322244382"/>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322244382"/>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322244382"/>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322244382"/>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322244382"/>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322244382"/>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322244382"/>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322244382"/>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322244382"/>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322244382"/>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322244382"/>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322244382"/>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322244382"/>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bl>
    <w:p w:rsidR="00000000" w:rsidRDefault="0094004B">
      <w:pPr>
        <w:divId w:val="322244382"/>
        <w:rPr>
          <w:rFonts w:eastAsia="Times New Roman"/>
          <w:vanish/>
        </w:rPr>
      </w:pPr>
    </w:p>
    <w:tbl>
      <w:tblPr>
        <w:tblW w:w="4985" w:type="pct"/>
        <w:tblCellMar>
          <w:top w:w="15" w:type="dxa"/>
          <w:left w:w="15" w:type="dxa"/>
          <w:bottom w:w="15" w:type="dxa"/>
          <w:right w:w="15" w:type="dxa"/>
        </w:tblCellMar>
        <w:tblLook w:val="04A0" w:firstRow="1" w:lastRow="0" w:firstColumn="1" w:lastColumn="0" w:noHBand="0" w:noVBand="1"/>
      </w:tblPr>
      <w:tblGrid>
        <w:gridCol w:w="40"/>
        <w:gridCol w:w="3461"/>
        <w:gridCol w:w="39"/>
        <w:gridCol w:w="36"/>
        <w:gridCol w:w="36"/>
        <w:gridCol w:w="36"/>
        <w:gridCol w:w="111"/>
        <w:gridCol w:w="624"/>
        <w:gridCol w:w="36"/>
        <w:gridCol w:w="36"/>
        <w:gridCol w:w="36"/>
        <w:gridCol w:w="36"/>
        <w:gridCol w:w="111"/>
        <w:gridCol w:w="980"/>
        <w:gridCol w:w="36"/>
        <w:gridCol w:w="36"/>
        <w:gridCol w:w="36"/>
        <w:gridCol w:w="36"/>
        <w:gridCol w:w="111"/>
        <w:gridCol w:w="823"/>
        <w:gridCol w:w="36"/>
        <w:gridCol w:w="36"/>
        <w:gridCol w:w="36"/>
        <w:gridCol w:w="36"/>
        <w:gridCol w:w="36"/>
        <w:gridCol w:w="36"/>
        <w:gridCol w:w="36"/>
        <w:gridCol w:w="36"/>
        <w:gridCol w:w="36"/>
        <w:gridCol w:w="36"/>
        <w:gridCol w:w="110"/>
        <w:gridCol w:w="300"/>
        <w:gridCol w:w="36"/>
        <w:gridCol w:w="36"/>
        <w:gridCol w:w="36"/>
        <w:gridCol w:w="36"/>
        <w:gridCol w:w="110"/>
        <w:gridCol w:w="525"/>
        <w:gridCol w:w="36"/>
      </w:tblGrid>
      <w:tr w:rsidR="00000000">
        <w:trPr>
          <w:divId w:val="322244382"/>
        </w:trPr>
        <w:tc>
          <w:tcPr>
            <w:tcW w:w="50" w:type="pct"/>
            <w:vAlign w:val="center"/>
            <w:hideMark/>
          </w:tcPr>
          <w:p w:rsidR="00000000" w:rsidRDefault="0094004B">
            <w:pPr>
              <w:rPr>
                <w:rFonts w:eastAsia="Times New Roman"/>
              </w:rPr>
            </w:pPr>
          </w:p>
        </w:tc>
        <w:tc>
          <w:tcPr>
            <w:tcW w:w="2320"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531"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50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5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5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322244382"/>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322244382"/>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Securities Available for Sale</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Hedging Relationship</w:t>
            </w:r>
            <w:r>
              <w:rPr>
                <w:rFonts w:eastAsia="Times New Roman"/>
                <w:b/>
                <w:bCs/>
                <w:color w:val="000000"/>
                <w:sz w:val="16"/>
                <w:szCs w:val="16"/>
              </w:rPr>
              <w:t>s</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Foreign Currency Translation Adjustments</w:t>
            </w:r>
            <w:r>
              <w:rPr>
                <w:rFonts w:eastAsia="Times New Roman"/>
                <w:b/>
                <w:bCs/>
                <w:color w:val="000000"/>
                <w:sz w:val="16"/>
                <w:szCs w:val="16"/>
              </w:rPr>
              <w:t xml:space="preserve"> </w:t>
            </w:r>
            <w:r>
              <w:rPr>
                <w:rFonts w:eastAsia="Times New Roman"/>
                <w:b/>
                <w:bCs/>
                <w:color w:val="000000"/>
                <w:sz w:val="10"/>
                <w:szCs w:val="10"/>
              </w:rPr>
              <w:t>(2</w:t>
            </w:r>
            <w:r>
              <w:rPr>
                <w:rFonts w:eastAsia="Times New Roman"/>
                <w:b/>
                <w:bCs/>
                <w:color w:val="000000"/>
                <w:sz w:val="10"/>
                <w:szCs w:val="10"/>
              </w:rPr>
              <w:t>)</w:t>
            </w:r>
          </w:p>
        </w:tc>
        <w:tc>
          <w:tcPr>
            <w:tcW w:w="0" w:type="auto"/>
            <w:gridSpan w:val="3"/>
            <w:vAlign w:val="center"/>
            <w:hideMark/>
          </w:tcPr>
          <w:p w:rsidR="00000000" w:rsidRDefault="0094004B">
            <w:pPr>
              <w:spacing w:after="100"/>
              <w:jc w:val="center"/>
              <w:rPr>
                <w:rFonts w:eastAsia="Times New Roman"/>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Other</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Total</w:t>
            </w:r>
          </w:p>
        </w:tc>
      </w:tr>
      <w:tr w:rsidR="00000000">
        <w:trPr>
          <w:divId w:val="322244382"/>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AOCI as of December 31, 2019</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935 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354 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(107)</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(26)</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1,156 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322244382"/>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Cumulative effects from the adoption of the CECL standard</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(8)</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(8)</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322244382"/>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Other comprehensive income before reclassifications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1,278 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1,401 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76 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5 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2,760 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322244382"/>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Amounts reclassified from AOCI into earnings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(19)</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(393)</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(414)</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322244382"/>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Other comprehensive income, net of tax</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1,259 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1,008 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76 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2,346 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322244382"/>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AOCI as of December 31, 2020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2,186 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1,362 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(31)</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(23)</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3,494 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322244382"/>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Other comprehensive income (loss) before reclassifications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(1,887)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(396)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(2,266)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322244382"/>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Amounts reclassified from AOCI into earnings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(848)</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(854)</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322244382"/>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Other comprehensive income (loss), net of tax</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(1,889)</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(1,244)</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(3,120)</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322244382"/>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AOCI as of December 31, 2021</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297 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118 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(21)</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(20)</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374 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322244382"/>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Other comprehensive income (loss) before reclassifications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(7,980)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(2,404)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(10,400)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322244382"/>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Amounts reclassified from AOCI into earnings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104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110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322244382"/>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Other comprehensive income (loss), net of tax</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(7,973)</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(2,300)</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(18)</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(10,290)</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322244382"/>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AOCI as of December 31, 2022</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(7,676)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(2,182)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(9,916)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bl>
    <w:p w:rsidR="00000000" w:rsidRDefault="0094004B">
      <w:pPr>
        <w:divId w:val="322244382"/>
        <w:rPr>
          <w:rFonts w:eastAsia="Times New Roman"/>
        </w:rPr>
      </w:pPr>
      <w:r>
        <w:rPr>
          <w:rFonts w:eastAsia="Times New Roman"/>
          <w:color w:val="000000"/>
          <w:sz w:val="20"/>
          <w:szCs w:val="20"/>
        </w:rPr>
        <w:t>__________</w:t>
      </w:r>
    </w:p>
    <w:p w:rsidR="00000000" w:rsidRDefault="0094004B">
      <w:pPr>
        <w:ind w:hanging="360"/>
        <w:jc w:val="both"/>
        <w:divId w:val="1929921201"/>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Includes amounts related to cash flow hedges as well as the excluded component of cross-currency swaps designated as fair value hedges.</w:t>
      </w:r>
    </w:p>
    <w:p w:rsidR="00000000" w:rsidRDefault="0094004B">
      <w:pPr>
        <w:ind w:hanging="360"/>
        <w:jc w:val="both"/>
        <w:divId w:val="239560692"/>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Includes other comprehensive gains of $305 million and $22 millio</w:t>
      </w:r>
      <w:r>
        <w:rPr>
          <w:rFonts w:eastAsia="Times New Roman"/>
          <w:color w:val="000000"/>
          <w:sz w:val="16"/>
          <w:szCs w:val="16"/>
        </w:rPr>
        <w:t>n, and loss of $65 million for the years ended December 31, 2022, 2021 and 2020, respectively, from hedging instruments designated as net investment hedges.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416321075"/>
          <w:jc w:val="center"/>
        </w:trPr>
        <w:tc>
          <w:tcPr>
            <w:tcW w:w="50" w:type="pct"/>
            <w:vAlign w:val="center"/>
            <w:hideMark/>
          </w:tcPr>
          <w:p w:rsidR="00000000" w:rsidRDefault="0094004B">
            <w:pPr>
              <w:ind w:hanging="360"/>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416321075"/>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416321075"/>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175</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201" style="width:0;height:1.5pt" o:hralign="center" o:hrstd="t" o:hr="t" fillcolor="#a0a0a0" stroked="f"/>
        </w:pict>
      </w:r>
    </w:p>
    <w:p w:rsidR="00000000" w:rsidRDefault="0094004B">
      <w:pPr>
        <w:jc w:val="both"/>
        <w:divId w:val="1869638844"/>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284117017"/>
        <w:rPr>
          <w:rFonts w:eastAsia="Times New Roman"/>
        </w:rPr>
      </w:pPr>
    </w:p>
    <w:p w:rsidR="00000000" w:rsidRDefault="0094004B">
      <w:pPr>
        <w:jc w:val="both"/>
        <w:divId w:val="229846751"/>
        <w:rPr>
          <w:rFonts w:eastAsia="Times New Roman"/>
        </w:rPr>
      </w:pPr>
    </w:p>
    <w:p w:rsidR="00000000" w:rsidRDefault="0094004B">
      <w:pPr>
        <w:jc w:val="both"/>
        <w:divId w:val="684333298"/>
        <w:rPr>
          <w:rFonts w:eastAsia="Times New Roman"/>
        </w:rPr>
      </w:pPr>
      <w:r>
        <w:rPr>
          <w:rFonts w:eastAsia="Times New Roman"/>
          <w:color w:val="000000"/>
          <w:sz w:val="20"/>
          <w:szCs w:val="20"/>
        </w:rPr>
        <w:t xml:space="preserve">The following table presents amounts reclassified from each component of AOCI to our consolidated statements of income for the years ended </w:t>
      </w:r>
      <w:r>
        <w:rPr>
          <w:rFonts w:eastAsia="Times New Roman"/>
          <w:color w:val="000000"/>
          <w:sz w:val="20"/>
          <w:szCs w:val="20"/>
        </w:rPr>
        <w:t>December 31, 2022, 2021 and 2020.</w:t>
      </w:r>
    </w:p>
    <w:p w:rsidR="00000000" w:rsidRDefault="0094004B">
      <w:pPr>
        <w:divId w:val="88932467"/>
        <w:rPr>
          <w:rFonts w:eastAsia="Times New Roman"/>
        </w:rPr>
      </w:pPr>
      <w:r>
        <w:rPr>
          <w:rFonts w:eastAsia="Times New Roman"/>
          <w:b/>
          <w:bCs/>
          <w:color w:val="000000"/>
          <w:sz w:val="18"/>
          <w:szCs w:val="18"/>
        </w:rPr>
        <w:t>Table 10.3: Reclassifications from AOCI</w:t>
      </w:r>
    </w:p>
    <w:tbl>
      <w:tblPr>
        <w:tblW w:w="5000" w:type="pct"/>
        <w:tblCellMar>
          <w:top w:w="15" w:type="dxa"/>
          <w:left w:w="15" w:type="dxa"/>
          <w:bottom w:w="15" w:type="dxa"/>
          <w:right w:w="15" w:type="dxa"/>
        </w:tblCellMar>
        <w:tblLook w:val="04A0" w:firstRow="1" w:lastRow="0" w:firstColumn="1" w:lastColumn="0" w:noHBand="0" w:noVBand="1"/>
      </w:tblPr>
      <w:tblGrid>
        <w:gridCol w:w="45"/>
        <w:gridCol w:w="1853"/>
        <w:gridCol w:w="38"/>
        <w:gridCol w:w="36"/>
        <w:gridCol w:w="36"/>
        <w:gridCol w:w="36"/>
        <w:gridCol w:w="64"/>
        <w:gridCol w:w="3175"/>
        <w:gridCol w:w="36"/>
        <w:gridCol w:w="36"/>
        <w:gridCol w:w="36"/>
        <w:gridCol w:w="46"/>
        <w:gridCol w:w="36"/>
        <w:gridCol w:w="36"/>
        <w:gridCol w:w="36"/>
        <w:gridCol w:w="36"/>
        <w:gridCol w:w="110"/>
        <w:gridCol w:w="706"/>
        <w:gridCol w:w="36"/>
        <w:gridCol w:w="36"/>
        <w:gridCol w:w="36"/>
        <w:gridCol w:w="36"/>
        <w:gridCol w:w="111"/>
        <w:gridCol w:w="706"/>
        <w:gridCol w:w="36"/>
        <w:gridCol w:w="36"/>
        <w:gridCol w:w="36"/>
        <w:gridCol w:w="36"/>
        <w:gridCol w:w="110"/>
        <w:gridCol w:w="658"/>
        <w:gridCol w:w="36"/>
      </w:tblGrid>
      <w:tr w:rsidR="00000000">
        <w:trPr>
          <w:divId w:val="395860988"/>
        </w:trPr>
        <w:tc>
          <w:tcPr>
            <w:tcW w:w="50" w:type="pct"/>
            <w:vAlign w:val="center"/>
            <w:hideMark/>
          </w:tcPr>
          <w:p w:rsidR="00000000" w:rsidRDefault="0094004B">
            <w:pPr>
              <w:rPr>
                <w:rFonts w:eastAsia="Times New Roman"/>
              </w:rPr>
            </w:pPr>
          </w:p>
        </w:tc>
        <w:tc>
          <w:tcPr>
            <w:tcW w:w="116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0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78"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78"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4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395860988"/>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1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395860988"/>
        </w:trPr>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AOCI Components</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Affected Income Statement Line </w:t>
            </w:r>
            <w:r>
              <w:rPr>
                <w:rFonts w:eastAsia="Times New Roman"/>
                <w:b/>
                <w:bCs/>
                <w:color w:val="000000"/>
                <w:sz w:val="16"/>
                <w:szCs w:val="16"/>
              </w:rPr>
              <w:t>Item</w:t>
            </w:r>
          </w:p>
        </w:tc>
        <w:tc>
          <w:tcPr>
            <w:tcW w:w="0" w:type="auto"/>
            <w:vAlign w:val="center"/>
            <w:hideMark/>
          </w:tcPr>
          <w:p w:rsidR="00000000" w:rsidRDefault="0094004B">
            <w:pPr>
              <w:spacing w:after="100"/>
              <w:jc w:val="center"/>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2020</w:t>
            </w:r>
          </w:p>
        </w:tc>
      </w:tr>
      <w:tr w:rsidR="00000000">
        <w:trPr>
          <w:divId w:val="395860988"/>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395860988"/>
        </w:trPr>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Non-interest income (loss)</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(9)</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25 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395860988"/>
        </w:trPr>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Income tax provision (benefit)</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6 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395860988"/>
        </w:trPr>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Net income (loss)</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(7)</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395860988"/>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Hedging relationships: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395860988"/>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Interest rate contracts: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Interest income (loss)</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(121)</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957 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566 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395860988"/>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Foreign exchange contracts: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Interest income</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395860988"/>
        </w:trPr>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Interest expense</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395860988"/>
        </w:trPr>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Non-interest </w:t>
            </w:r>
            <w:r>
              <w:rPr>
                <w:rFonts w:eastAsia="Times New Roman"/>
                <w:color w:val="000000"/>
                <w:sz w:val="18"/>
                <w:szCs w:val="18"/>
              </w:rPr>
              <w:t>income (loss)</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(17)</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163 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(57)</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395860988"/>
        </w:trPr>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Income (loss) from continuing operations before income taxes</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(138)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1,118 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516 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395860988"/>
        </w:trPr>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Income tax provision (benefit)</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(34)</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270 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123 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395860988"/>
        </w:trPr>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Net income (loss)</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(104)</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848 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393 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395860988"/>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395860988"/>
        </w:trPr>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Non-interest income and non-interest expense</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5 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395860988"/>
        </w:trPr>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Income tax provision (benefit)</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395860988"/>
        </w:trPr>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Net income</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395860988"/>
        </w:trPr>
        <w:tc>
          <w:tcPr>
            <w:tcW w:w="0" w:type="auto"/>
            <w:gridSpan w:val="9"/>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 reclassifications</w:t>
            </w:r>
          </w:p>
        </w:tc>
        <w:tc>
          <w:tcPr>
            <w:tcW w:w="0" w:type="auto"/>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(110)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854 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414 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bl>
    <w:p w:rsidR="00000000" w:rsidRDefault="0094004B">
      <w:pPr>
        <w:jc w:val="both"/>
        <w:divId w:val="2125418019"/>
        <w:rPr>
          <w:rFonts w:eastAsia="Times New Roman"/>
        </w:rPr>
      </w:pPr>
      <w:r>
        <w:rPr>
          <w:rFonts w:eastAsia="Times New Roman"/>
          <w:color w:val="000000"/>
          <w:sz w:val="20"/>
          <w:szCs w:val="20"/>
        </w:rPr>
        <w:t>The table below summarizes other comprehensive income (loss) activity and the related tax impact f</w:t>
      </w:r>
      <w:r>
        <w:rPr>
          <w:rFonts w:eastAsia="Times New Roman"/>
          <w:color w:val="000000"/>
          <w:sz w:val="20"/>
          <w:szCs w:val="20"/>
        </w:rPr>
        <w:t>or the years ended December 31, 2022 and 2021 and 2020.</w:t>
      </w:r>
    </w:p>
    <w:p w:rsidR="00000000" w:rsidRDefault="0094004B">
      <w:pPr>
        <w:divId w:val="1069574144"/>
        <w:rPr>
          <w:rFonts w:eastAsia="Times New Roman"/>
        </w:rPr>
      </w:pPr>
      <w:r>
        <w:rPr>
          <w:rFonts w:eastAsia="Times New Roman"/>
          <w:b/>
          <w:bCs/>
          <w:color w:val="000000"/>
          <w:sz w:val="18"/>
          <w:szCs w:val="18"/>
        </w:rPr>
        <w:t>Table 10.4: Other Comprehensive Income (Loss)</w:t>
      </w:r>
    </w:p>
    <w:tbl>
      <w:tblPr>
        <w:tblW w:w="5000" w:type="pct"/>
        <w:tblCellMar>
          <w:top w:w="15" w:type="dxa"/>
          <w:left w:w="15" w:type="dxa"/>
          <w:bottom w:w="15" w:type="dxa"/>
          <w:right w:w="15" w:type="dxa"/>
        </w:tblCellMar>
        <w:tblLook w:val="04A0" w:firstRow="1" w:lastRow="0" w:firstColumn="1" w:lastColumn="0" w:noHBand="0" w:noVBand="1"/>
      </w:tblPr>
      <w:tblGrid>
        <w:gridCol w:w="49"/>
        <w:gridCol w:w="3184"/>
        <w:gridCol w:w="36"/>
        <w:gridCol w:w="36"/>
        <w:gridCol w:w="36"/>
        <w:gridCol w:w="36"/>
        <w:gridCol w:w="36"/>
        <w:gridCol w:w="551"/>
        <w:gridCol w:w="36"/>
        <w:gridCol w:w="36"/>
        <w:gridCol w:w="36"/>
        <w:gridCol w:w="36"/>
        <w:gridCol w:w="36"/>
        <w:gridCol w:w="551"/>
        <w:gridCol w:w="36"/>
        <w:gridCol w:w="36"/>
        <w:gridCol w:w="36"/>
        <w:gridCol w:w="36"/>
        <w:gridCol w:w="36"/>
        <w:gridCol w:w="551"/>
        <w:gridCol w:w="36"/>
        <w:gridCol w:w="36"/>
        <w:gridCol w:w="36"/>
        <w:gridCol w:w="36"/>
        <w:gridCol w:w="36"/>
        <w:gridCol w:w="551"/>
        <w:gridCol w:w="36"/>
        <w:gridCol w:w="36"/>
        <w:gridCol w:w="36"/>
        <w:gridCol w:w="36"/>
        <w:gridCol w:w="36"/>
        <w:gridCol w:w="551"/>
        <w:gridCol w:w="36"/>
        <w:gridCol w:w="36"/>
        <w:gridCol w:w="36"/>
        <w:gridCol w:w="36"/>
        <w:gridCol w:w="36"/>
        <w:gridCol w:w="554"/>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divId w:val="1755393968"/>
        </w:trPr>
        <w:tc>
          <w:tcPr>
            <w:tcW w:w="50" w:type="pct"/>
            <w:vAlign w:val="center"/>
            <w:hideMark/>
          </w:tcPr>
          <w:p w:rsidR="00000000" w:rsidRDefault="0094004B">
            <w:pPr>
              <w:rPr>
                <w:rFonts w:eastAsia="Times New Roman"/>
              </w:rPr>
            </w:pPr>
          </w:p>
        </w:tc>
        <w:tc>
          <w:tcPr>
            <w:tcW w:w="209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8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8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8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8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8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8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755393968"/>
          <w:trHeight w:val="60"/>
        </w:trPr>
        <w:tc>
          <w:tcPr>
            <w:tcW w:w="0" w:type="auto"/>
            <w:gridSpan w:val="39"/>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1755393968"/>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1755393968"/>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1755393968"/>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755393968"/>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755393968"/>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755393968"/>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755393968"/>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755393968"/>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755393968"/>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2227"/>
        <w:gridCol w:w="144"/>
        <w:gridCol w:w="144"/>
        <w:gridCol w:w="144"/>
        <w:gridCol w:w="144"/>
        <w:gridCol w:w="144"/>
        <w:gridCol w:w="551"/>
        <w:gridCol w:w="144"/>
        <w:gridCol w:w="144"/>
        <w:gridCol w:w="144"/>
        <w:gridCol w:w="144"/>
        <w:gridCol w:w="144"/>
        <w:gridCol w:w="539"/>
        <w:gridCol w:w="144"/>
        <w:gridCol w:w="144"/>
        <w:gridCol w:w="144"/>
        <w:gridCol w:w="144"/>
        <w:gridCol w:w="144"/>
        <w:gridCol w:w="526"/>
        <w:gridCol w:w="144"/>
        <w:gridCol w:w="144"/>
        <w:gridCol w:w="144"/>
        <w:gridCol w:w="144"/>
        <w:gridCol w:w="144"/>
        <w:gridCol w:w="478"/>
        <w:gridCol w:w="144"/>
        <w:gridCol w:w="144"/>
        <w:gridCol w:w="144"/>
        <w:gridCol w:w="144"/>
        <w:gridCol w:w="144"/>
        <w:gridCol w:w="539"/>
        <w:gridCol w:w="144"/>
        <w:gridCol w:w="144"/>
        <w:gridCol w:w="144"/>
        <w:gridCol w:w="144"/>
        <w:gridCol w:w="144"/>
        <w:gridCol w:w="478"/>
        <w:gridCol w:w="144"/>
        <w:gridCol w:w="144"/>
        <w:gridCol w:w="144"/>
        <w:gridCol w:w="144"/>
        <w:gridCol w:w="144"/>
        <w:gridCol w:w="478"/>
        <w:gridCol w:w="144"/>
        <w:gridCol w:w="144"/>
        <w:gridCol w:w="144"/>
        <w:gridCol w:w="144"/>
        <w:gridCol w:w="144"/>
        <w:gridCol w:w="539"/>
        <w:gridCol w:w="144"/>
        <w:gridCol w:w="144"/>
        <w:gridCol w:w="144"/>
        <w:gridCol w:w="144"/>
        <w:gridCol w:w="144"/>
        <w:gridCol w:w="480"/>
        <w:gridCol w:w="144"/>
      </w:tblGrid>
      <w:tr w:rsidR="00000000">
        <w:tc>
          <w:tcPr>
            <w:tcW w:w="50" w:type="pct"/>
            <w:vAlign w:val="center"/>
            <w:hideMark/>
          </w:tcPr>
          <w:p w:rsidR="00000000" w:rsidRDefault="0094004B">
            <w:pPr>
              <w:jc w:val="both"/>
              <w:rPr>
                <w:rFonts w:eastAsia="Times New Roman"/>
              </w:rPr>
            </w:pPr>
          </w:p>
        </w:tc>
        <w:tc>
          <w:tcPr>
            <w:tcW w:w="1341"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3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2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1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88"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2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88"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88"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2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8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51"/>
            <w:tcBorders>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Year Ended December 31,</w:t>
            </w:r>
          </w:p>
        </w:tc>
      </w:tr>
      <w:tr w:rsidR="00000000">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2020</w:t>
            </w:r>
          </w:p>
        </w:tc>
      </w:tr>
      <w:tr w:rsidR="00000000">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Before</w:t>
            </w:r>
            <w:r>
              <w:rPr>
                <w:rFonts w:eastAsia="Times New Roman"/>
                <w:b/>
                <w:bCs/>
                <w:color w:val="000000"/>
                <w:sz w:val="16"/>
                <w:szCs w:val="16"/>
              </w:rPr>
              <w:br/>
              <w:t>Tax</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Provision</w:t>
            </w:r>
            <w:r>
              <w:rPr>
                <w:rFonts w:eastAsia="Times New Roman"/>
                <w:b/>
                <w:bCs/>
                <w:color w:val="000000"/>
                <w:sz w:val="16"/>
                <w:szCs w:val="16"/>
              </w:rPr>
              <w:br/>
              <w:t>(Benefit)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After</w:t>
            </w:r>
            <w:r>
              <w:rPr>
                <w:rFonts w:eastAsia="Times New Roman"/>
                <w:b/>
                <w:bCs/>
                <w:color w:val="000000"/>
                <w:sz w:val="16"/>
                <w:szCs w:val="16"/>
              </w:rPr>
              <w:br/>
              <w:t>Tax</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Before</w:t>
            </w:r>
            <w:r>
              <w:rPr>
                <w:rFonts w:eastAsia="Times New Roman"/>
                <w:b/>
                <w:bCs/>
                <w:color w:val="000000"/>
                <w:sz w:val="16"/>
                <w:szCs w:val="16"/>
              </w:rPr>
              <w:br/>
              <w:t>Tax</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Provision</w:t>
            </w:r>
            <w:r>
              <w:rPr>
                <w:rFonts w:eastAsia="Times New Roman"/>
                <w:b/>
                <w:bCs/>
                <w:color w:val="000000"/>
                <w:sz w:val="16"/>
                <w:szCs w:val="16"/>
              </w:rPr>
              <w:br/>
              <w:t>(Benefit)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After</w:t>
            </w:r>
            <w:r>
              <w:rPr>
                <w:rFonts w:eastAsia="Times New Roman"/>
                <w:b/>
                <w:bCs/>
                <w:color w:val="000000"/>
                <w:sz w:val="16"/>
                <w:szCs w:val="16"/>
              </w:rPr>
              <w:br/>
              <w:t>Tax</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Before</w:t>
            </w:r>
            <w:r>
              <w:rPr>
                <w:rFonts w:eastAsia="Times New Roman"/>
                <w:b/>
                <w:bCs/>
                <w:color w:val="000000"/>
                <w:sz w:val="16"/>
                <w:szCs w:val="16"/>
              </w:rPr>
              <w:br/>
              <w:t>Tax</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Provision</w:t>
            </w:r>
            <w:r>
              <w:rPr>
                <w:rFonts w:eastAsia="Times New Roman"/>
                <w:b/>
                <w:bCs/>
                <w:color w:val="000000"/>
                <w:sz w:val="16"/>
                <w:szCs w:val="16"/>
              </w:rPr>
              <w:br/>
              <w:t>(Benefit)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After</w:t>
            </w:r>
            <w:r>
              <w:rPr>
                <w:rFonts w:eastAsia="Times New Roman"/>
                <w:b/>
                <w:bCs/>
                <w:color w:val="000000"/>
                <w:sz w:val="16"/>
                <w:szCs w:val="16"/>
              </w:rPr>
              <w:br/>
              <w:t>Tax</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jc w:val="both"/>
              <w:rPr>
                <w:rFonts w:eastAsia="Times New Roman"/>
              </w:rPr>
            </w:pPr>
            <w:r>
              <w:rPr>
                <w:rFonts w:eastAsia="Times New Roman"/>
                <w:b/>
                <w:bCs/>
                <w:color w:val="000000"/>
                <w:sz w:val="18"/>
                <w:szCs w:val="18"/>
              </w:rPr>
              <w:t>Other comprehensive income (loss):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both"/>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94004B">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Net unrealized gains (losses) on securities available for sale</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(10,516)</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(2,543)</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(7,973)</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(2,486)</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(597)</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(1,889)</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1,659 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400 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1,259 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Net unrealized gains (losses) on hedging relationships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(3,032)</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(732)</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(2,300)</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(1,640)</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(396)</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(1,244)</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8"/>
                <w:szCs w:val="18"/>
              </w:rPr>
              <w:t>1,329</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8"/>
                <w:szCs w:val="18"/>
              </w:rPr>
              <w:t>321</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8"/>
                <w:szCs w:val="18"/>
              </w:rPr>
              <w:t>1,008</w:t>
            </w:r>
          </w:p>
        </w:tc>
      </w:tr>
      <w:tr w:rsidR="00000000">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divId w:val="360401522"/>
              <w:rPr>
                <w:rFonts w:eastAsia="Times New Roman"/>
              </w:rPr>
            </w:pPr>
            <w:r>
              <w:rPr>
                <w:rFonts w:eastAsia="Times New Roman"/>
                <w:color w:val="000000"/>
                <w:sz w:val="18"/>
                <w:szCs w:val="18"/>
              </w:rPr>
              <w:t>Foreign currency translation adjustment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98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97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17 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7 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8"/>
                <w:szCs w:val="18"/>
              </w:rPr>
              <w:t>56</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(20)</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8"/>
                <w:szCs w:val="18"/>
              </w:rPr>
              <w:t>76</w:t>
            </w:r>
          </w:p>
        </w:tc>
      </w:tr>
      <w:tr w:rsidR="00000000">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(24)</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(6)</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(18)</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4 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4 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94004B">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Other comprehensive loss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(13,474)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(3,184)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(10,290)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(4,105)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(985)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(3,120)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3,048 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702 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2,346 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bl>
    <w:p w:rsidR="00000000" w:rsidRDefault="0094004B">
      <w:pPr>
        <w:jc w:val="both"/>
        <w:rPr>
          <w:rFonts w:eastAsia="Times New Roman"/>
        </w:rPr>
      </w:pPr>
      <w:r>
        <w:rPr>
          <w:rFonts w:eastAsia="Times New Roman"/>
          <w:color w:val="000000"/>
          <w:sz w:val="20"/>
          <w:szCs w:val="20"/>
        </w:rPr>
        <w:t>__________</w:t>
      </w:r>
    </w:p>
    <w:p w:rsidR="00000000" w:rsidRDefault="0094004B">
      <w:pPr>
        <w:ind w:hanging="360"/>
        <w:jc w:val="both"/>
        <w:divId w:val="693043382"/>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Includes the impact of hedging instruments designated as net investment hedges.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174998117"/>
          <w:jc w:val="center"/>
        </w:trPr>
        <w:tc>
          <w:tcPr>
            <w:tcW w:w="50" w:type="pct"/>
            <w:vAlign w:val="center"/>
            <w:hideMark/>
          </w:tcPr>
          <w:p w:rsidR="00000000" w:rsidRDefault="0094004B">
            <w:pPr>
              <w:ind w:hanging="360"/>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174998117"/>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174998117"/>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176</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202" style="width:0;height:1.5pt" o:hralign="center" o:hrstd="t" o:hr="t" fillcolor="#a0a0a0" stroked="f"/>
        </w:pict>
      </w:r>
    </w:p>
    <w:p w:rsidR="00000000" w:rsidRDefault="0094004B">
      <w:pPr>
        <w:jc w:val="both"/>
        <w:divId w:val="1685327496"/>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1685327496"/>
        <w:rPr>
          <w:rFonts w:eastAsia="Times New Roman"/>
        </w:rPr>
      </w:pPr>
    </w:p>
    <w:p w:rsidR="00000000" w:rsidRDefault="0094004B">
      <w:pPr>
        <w:jc w:val="center"/>
        <w:divId w:val="1685327496"/>
        <w:rPr>
          <w:rFonts w:eastAsia="Times New Roman"/>
        </w:rPr>
      </w:pPr>
      <w:r>
        <w:rPr>
          <w:rFonts w:eastAsia="Times New Roman"/>
          <w:b/>
          <w:bCs/>
          <w:color w:val="000000"/>
          <w:sz w:val="20"/>
          <w:szCs w:val="20"/>
        </w:rPr>
        <w:t>CAPITAL ONE FINANCIAL CORPORATION</w:t>
      </w:r>
    </w:p>
    <w:p w:rsidR="00000000" w:rsidRDefault="0094004B">
      <w:pPr>
        <w:jc w:val="center"/>
        <w:divId w:val="1685327496"/>
        <w:rPr>
          <w:rFonts w:eastAsia="Times New Roman"/>
        </w:rPr>
      </w:pPr>
      <w:r>
        <w:rPr>
          <w:rFonts w:eastAsia="Times New Roman"/>
          <w:b/>
          <w:bCs/>
          <w:color w:val="000000"/>
          <w:sz w:val="20"/>
          <w:szCs w:val="20"/>
        </w:rPr>
        <w:t>NOTES TO CONSOLIDATED FINANCIAL STATEMENTS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818450506"/>
          <w:jc w:val="center"/>
        </w:trPr>
        <w:tc>
          <w:tcPr>
            <w:tcW w:w="50" w:type="pct"/>
            <w:vAlign w:val="center"/>
            <w:hideMark/>
          </w:tcPr>
          <w:p w:rsidR="00000000" w:rsidRDefault="0094004B">
            <w:pPr>
              <w:jc w:val="center"/>
              <w:rPr>
                <w:rFonts w:eastAsia="Times New Roman"/>
              </w:rPr>
            </w:pPr>
          </w:p>
        </w:tc>
        <w:tc>
          <w:tcPr>
            <w:tcW w:w="494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818450506"/>
          <w:jc w:val="center"/>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20"/>
                <w:szCs w:val="20"/>
              </w:rPr>
              <w:t>NOTE 11—</w:t>
            </w:r>
            <w:r>
              <w:rPr>
                <w:rFonts w:eastAsia="Times New Roman"/>
                <w:b/>
                <w:bCs/>
                <w:color w:val="000000"/>
                <w:sz w:val="20"/>
                <w:szCs w:val="20"/>
              </w:rPr>
              <w:t>REGULATORY AND CAPITAL ADEQUACY</w:t>
            </w:r>
          </w:p>
        </w:tc>
      </w:tr>
    </w:tbl>
    <w:p w:rsidR="00000000" w:rsidRDefault="0094004B">
      <w:pPr>
        <w:divId w:val="1826046228"/>
        <w:rPr>
          <w:rFonts w:eastAsia="Times New Roman"/>
        </w:rPr>
      </w:pPr>
      <w:r>
        <w:rPr>
          <w:rFonts w:eastAsia="Times New Roman"/>
          <w:b/>
          <w:bCs/>
          <w:color w:val="000000"/>
          <w:sz w:val="20"/>
          <w:szCs w:val="20"/>
        </w:rPr>
        <w:t>Regulation and Capital Adequacy</w:t>
      </w:r>
    </w:p>
    <w:p w:rsidR="00000000" w:rsidRDefault="0094004B">
      <w:pPr>
        <w:jc w:val="both"/>
        <w:divId w:val="668993013"/>
        <w:rPr>
          <w:rFonts w:eastAsia="Times New Roman"/>
        </w:rPr>
      </w:pPr>
      <w:r>
        <w:rPr>
          <w:rFonts w:eastAsia="Times New Roman"/>
          <w:color w:val="000000"/>
          <w:sz w:val="20"/>
          <w:szCs w:val="20"/>
        </w:rPr>
        <w:t>The Company and the Bank are subject to regulatory capital requirements established by the Board of Governors of the Federal Reserve System (“Federal Reserve”) and the Office of the Comptroller of the Currency (“OCC”), respectively (“Basel III Capital Rule</w:t>
      </w:r>
      <w:r>
        <w:rPr>
          <w:rFonts w:eastAsia="Times New Roman"/>
          <w:color w:val="000000"/>
          <w:sz w:val="20"/>
          <w:szCs w:val="20"/>
        </w:rPr>
        <w:t>s”). The Basel III Capital Rules implement certain capital requirements published by the Basel Committee on Banking Supervision (“Basel Committee”), along with certain provisions of the Dodd-Frank Wall Street Reform and Consumer Production Act of 2010 (“Do</w:t>
      </w:r>
      <w:r>
        <w:rPr>
          <w:rFonts w:eastAsia="Times New Roman"/>
          <w:color w:val="000000"/>
          <w:sz w:val="20"/>
          <w:szCs w:val="20"/>
        </w:rPr>
        <w:t xml:space="preserve">dd-Frank Act”) and other capital provisions. </w:t>
      </w:r>
    </w:p>
    <w:p w:rsidR="00000000" w:rsidRDefault="0094004B">
      <w:pPr>
        <w:jc w:val="both"/>
        <w:divId w:val="188447541"/>
        <w:rPr>
          <w:rFonts w:eastAsia="Times New Roman"/>
        </w:rPr>
      </w:pPr>
      <w:r>
        <w:rPr>
          <w:rFonts w:eastAsia="Times New Roman"/>
          <w:color w:val="000000"/>
          <w:sz w:val="20"/>
          <w:szCs w:val="20"/>
        </w:rPr>
        <w:t xml:space="preserve">As a bank holding company (“BHC”) with total consolidated assets of at least $250 billion but less than $700 billion and not exceeding any of the applicable risk-based thresholds, the Company is a Category III </w:t>
      </w:r>
      <w:r>
        <w:rPr>
          <w:rFonts w:eastAsia="Times New Roman"/>
          <w:color w:val="000000"/>
          <w:sz w:val="20"/>
          <w:szCs w:val="20"/>
        </w:rPr>
        <w:t>institution under the Basel III Capital Rules.</w:t>
      </w:r>
    </w:p>
    <w:p w:rsidR="00000000" w:rsidRDefault="0094004B">
      <w:pPr>
        <w:jc w:val="both"/>
        <w:divId w:val="1490949939"/>
        <w:rPr>
          <w:rFonts w:eastAsia="Times New Roman"/>
        </w:rPr>
      </w:pPr>
      <w:r>
        <w:rPr>
          <w:rFonts w:eastAsia="Times New Roman"/>
          <w:color w:val="000000"/>
          <w:sz w:val="20"/>
          <w:szCs w:val="20"/>
        </w:rPr>
        <w:t>The Bank, as a subsidiary of a Category III institution, is a Category III bank. Moreover, the Bank, as an insured depository institution, is subject to prompt corrective action (“PCA”) capital regulations.</w:t>
      </w:r>
    </w:p>
    <w:p w:rsidR="00000000" w:rsidRDefault="0094004B">
      <w:pPr>
        <w:jc w:val="both"/>
        <w:divId w:val="396786525"/>
        <w:rPr>
          <w:rFonts w:eastAsia="Times New Roman"/>
        </w:rPr>
      </w:pPr>
      <w:r>
        <w:rPr>
          <w:rFonts w:eastAsia="Times New Roman"/>
          <w:color w:val="000000"/>
          <w:sz w:val="20"/>
          <w:szCs w:val="20"/>
        </w:rPr>
        <w:t>Un</w:t>
      </w:r>
      <w:r>
        <w:rPr>
          <w:rFonts w:eastAsia="Times New Roman"/>
          <w:color w:val="000000"/>
          <w:sz w:val="20"/>
          <w:szCs w:val="20"/>
        </w:rPr>
        <w:t>der the Basel III Capital Rules, we must maintain a minimum common equity Tier 1 (“CET1”) capital ratio of 4.5%, a Tier 1 capital ratio of 6.0% and a total capital ratio of 8.0%, in each case in relation to risk-weighted assets. In addition, we must mainta</w:t>
      </w:r>
      <w:r>
        <w:rPr>
          <w:rFonts w:eastAsia="Times New Roman"/>
          <w:color w:val="000000"/>
          <w:sz w:val="20"/>
          <w:szCs w:val="20"/>
        </w:rPr>
        <w:t>in a minimum leverage ratio of 4.0% and a minimum supplementary leverage ratio of 3.0%. We are also subject to the standardized approach capital conservation buffer requirement, which includes the stress capital buffer requirement, any global systematicall</w:t>
      </w:r>
      <w:r>
        <w:rPr>
          <w:rFonts w:eastAsia="Times New Roman"/>
          <w:color w:val="000000"/>
          <w:sz w:val="20"/>
          <w:szCs w:val="20"/>
        </w:rPr>
        <w:t>y important banks (“G-SIB”) surcharge (which is not applicable to us) and the countercyclical capital buffer requirement (which is currently set at 0%). Our stress capital buffer requirement for the period beginning on October 1, 2022 through September 30,</w:t>
      </w:r>
      <w:r>
        <w:rPr>
          <w:rFonts w:eastAsia="Times New Roman"/>
          <w:color w:val="000000"/>
          <w:sz w:val="20"/>
          <w:szCs w:val="20"/>
        </w:rPr>
        <w:t xml:space="preserve"> 2023 is 3.1%. Our capital and leverage ratios are calculated based on the Basel III standardized approach framework.</w:t>
      </w:r>
    </w:p>
    <w:p w:rsidR="00000000" w:rsidRDefault="0094004B">
      <w:pPr>
        <w:divId w:val="1014920566"/>
        <w:rPr>
          <w:rFonts w:eastAsia="Times New Roman"/>
        </w:rPr>
      </w:pPr>
      <w:r>
        <w:rPr>
          <w:rFonts w:eastAsia="Times New Roman"/>
          <w:color w:val="000000"/>
          <w:sz w:val="20"/>
          <w:szCs w:val="20"/>
        </w:rPr>
        <w:t xml:space="preserve">We have elected to exclude certain elements of </w:t>
      </w:r>
      <w:r>
        <w:rPr>
          <w:rFonts w:eastAsia="Times New Roman"/>
          <w:color w:val="000000"/>
          <w:sz w:val="20"/>
          <w:szCs w:val="20"/>
          <w:shd w:val="clear" w:color="auto" w:fill="FFFFFF"/>
        </w:rPr>
        <w:t xml:space="preserve">AOCI </w:t>
      </w:r>
      <w:r>
        <w:rPr>
          <w:rFonts w:eastAsia="Times New Roman"/>
          <w:color w:val="000000"/>
          <w:sz w:val="20"/>
          <w:szCs w:val="20"/>
        </w:rPr>
        <w:t xml:space="preserve">from our regulatory capital as permitted for a Category III institution. </w:t>
      </w:r>
    </w:p>
    <w:p w:rsidR="00000000" w:rsidRDefault="0094004B">
      <w:pPr>
        <w:jc w:val="both"/>
        <w:divId w:val="1451709204"/>
        <w:rPr>
          <w:rFonts w:eastAsia="Times New Roman"/>
        </w:rPr>
      </w:pPr>
      <w:r>
        <w:rPr>
          <w:rFonts w:eastAsia="Times New Roman"/>
          <w:color w:val="000000"/>
          <w:sz w:val="20"/>
          <w:szCs w:val="20"/>
        </w:rPr>
        <w:t xml:space="preserve">The Federal </w:t>
      </w:r>
      <w:r>
        <w:rPr>
          <w:rFonts w:eastAsia="Times New Roman"/>
          <w:color w:val="000000"/>
          <w:sz w:val="20"/>
          <w:szCs w:val="20"/>
        </w:rPr>
        <w:t>Reserve, OCC, and the Federal Deposit Insurance Corporation (collectively, “Federal Banking Agencies”) adopted a final rule (“CECL Transition Rule”) that provides banking institutions an optional five-year transition period to phase in the impact of the CE</w:t>
      </w:r>
      <w:r>
        <w:rPr>
          <w:rFonts w:eastAsia="Times New Roman"/>
          <w:color w:val="000000"/>
          <w:sz w:val="20"/>
          <w:szCs w:val="20"/>
        </w:rPr>
        <w:t>CL standard on their regulatory capital(the “CECL Transition Election”). We adopted the CECL standard (for accounting purposes) as of January 1, 2020, and made the CECL Transition Election (for regulatory capital purposes) in the first quarter of 2020. The</w:t>
      </w:r>
      <w:r>
        <w:rPr>
          <w:rFonts w:eastAsia="Times New Roman"/>
          <w:color w:val="000000"/>
          <w:sz w:val="20"/>
          <w:szCs w:val="20"/>
        </w:rPr>
        <w:t>refore, the applicable amounts presented in this Report reflect such election.</w:t>
      </w:r>
    </w:p>
    <w:p w:rsidR="00000000" w:rsidRDefault="0094004B">
      <w:pPr>
        <w:jc w:val="both"/>
        <w:divId w:val="1254512768"/>
        <w:rPr>
          <w:rFonts w:eastAsia="Times New Roman"/>
        </w:rPr>
      </w:pPr>
      <w:r>
        <w:rPr>
          <w:rFonts w:eastAsia="Times New Roman"/>
          <w:color w:val="000000"/>
          <w:sz w:val="20"/>
          <w:szCs w:val="20"/>
        </w:rPr>
        <w:t>Pursuant to the CECL Transition Rule, a banking institution could elect to delay the estimated impact of adopting CECL on its regulatory capital through December 31, 2021 and th</w:t>
      </w:r>
      <w:r>
        <w:rPr>
          <w:rFonts w:eastAsia="Times New Roman"/>
          <w:color w:val="000000"/>
          <w:sz w:val="20"/>
          <w:szCs w:val="20"/>
        </w:rPr>
        <w:t xml:space="preserve">en phase in the estimated cumulative impact from January 1, 2022 through December 31, 2024. For the “day 2” ongoing impact of CECL during the initial two years, the Federal Banking Agencies used a uniform “scaling factor” of 25% as an approximation of the </w:t>
      </w:r>
      <w:r>
        <w:rPr>
          <w:rFonts w:eastAsia="Times New Roman"/>
          <w:color w:val="000000"/>
          <w:sz w:val="20"/>
          <w:szCs w:val="20"/>
        </w:rPr>
        <w:t>increase in the allowance under the CECL standard compared to the prior incurred loss methodology. Accordingly, from January 1, 2020 through December 31, 2021, electing banking institutions were permitted to add back to their regulatory capital an amount e</w:t>
      </w:r>
      <w:r>
        <w:rPr>
          <w:rFonts w:eastAsia="Times New Roman"/>
          <w:color w:val="000000"/>
          <w:sz w:val="20"/>
          <w:szCs w:val="20"/>
        </w:rPr>
        <w:t>qual to the sum of the after-tax “day 1” CECL adoption impact and 25% of the increase in the allowance since the adoption of the CECL standard. From January 1, 2022 through December 31, 2024, the after-tax “day 1” CECL adoption impact and the cumulative “d</w:t>
      </w:r>
      <w:r>
        <w:rPr>
          <w:rFonts w:eastAsia="Times New Roman"/>
          <w:color w:val="000000"/>
          <w:sz w:val="20"/>
          <w:szCs w:val="20"/>
        </w:rPr>
        <w:t>ay 2” ongoing impact are being phased in to regulatory capital at 25% per year. The following table summarizes the capital impact delay and phase in period on our regulatory capital from years 2020 to 2025.</w:t>
      </w:r>
    </w:p>
    <w:tbl>
      <w:tblPr>
        <w:tblW w:w="4963" w:type="pct"/>
        <w:tblCellMar>
          <w:top w:w="15" w:type="dxa"/>
          <w:left w:w="15" w:type="dxa"/>
          <w:bottom w:w="15" w:type="dxa"/>
          <w:right w:w="15" w:type="dxa"/>
        </w:tblCellMar>
        <w:tblLook w:val="04A0" w:firstRow="1" w:lastRow="0" w:firstColumn="1" w:lastColumn="0" w:noHBand="0" w:noVBand="1"/>
      </w:tblPr>
      <w:tblGrid>
        <w:gridCol w:w="53"/>
        <w:gridCol w:w="2299"/>
        <w:gridCol w:w="37"/>
        <w:gridCol w:w="36"/>
        <w:gridCol w:w="36"/>
        <w:gridCol w:w="36"/>
        <w:gridCol w:w="48"/>
        <w:gridCol w:w="775"/>
        <w:gridCol w:w="39"/>
        <w:gridCol w:w="38"/>
        <w:gridCol w:w="38"/>
        <w:gridCol w:w="38"/>
        <w:gridCol w:w="48"/>
        <w:gridCol w:w="773"/>
        <w:gridCol w:w="38"/>
        <w:gridCol w:w="36"/>
        <w:gridCol w:w="36"/>
        <w:gridCol w:w="36"/>
        <w:gridCol w:w="50"/>
        <w:gridCol w:w="775"/>
        <w:gridCol w:w="36"/>
        <w:gridCol w:w="36"/>
        <w:gridCol w:w="36"/>
        <w:gridCol w:w="36"/>
        <w:gridCol w:w="50"/>
        <w:gridCol w:w="776"/>
        <w:gridCol w:w="36"/>
        <w:gridCol w:w="36"/>
        <w:gridCol w:w="36"/>
        <w:gridCol w:w="36"/>
        <w:gridCol w:w="50"/>
        <w:gridCol w:w="789"/>
        <w:gridCol w:w="36"/>
        <w:gridCol w:w="36"/>
        <w:gridCol w:w="36"/>
        <w:gridCol w:w="36"/>
        <w:gridCol w:w="54"/>
        <w:gridCol w:w="793"/>
        <w:gridCol w:w="36"/>
      </w:tblGrid>
      <w:tr w:rsidR="00000000">
        <w:trPr>
          <w:divId w:val="1072122487"/>
        </w:trPr>
        <w:tc>
          <w:tcPr>
            <w:tcW w:w="50" w:type="pct"/>
            <w:vAlign w:val="center"/>
            <w:hideMark/>
          </w:tcPr>
          <w:p w:rsidR="00000000" w:rsidRDefault="0094004B">
            <w:pPr>
              <w:jc w:val="both"/>
              <w:rPr>
                <w:rFonts w:eastAsia="Times New Roman"/>
              </w:rPr>
            </w:pPr>
          </w:p>
        </w:tc>
        <w:tc>
          <w:tcPr>
            <w:tcW w:w="1410"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9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9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9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9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3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9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1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9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072122487"/>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rPr>
              <w:t>Capital Impact Delayed</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21"/>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rPr>
              <w:t>Phase In Period</w:t>
            </w:r>
          </w:p>
        </w:tc>
      </w:tr>
      <w:tr w:rsidR="00000000">
        <w:trPr>
          <w:divId w:val="1072122487"/>
        </w:trPr>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rPr>
              <w:t>2020</w:t>
            </w:r>
          </w:p>
        </w:tc>
        <w:tc>
          <w:tcPr>
            <w:tcW w:w="0" w:type="auto"/>
            <w:gridSpan w:val="3"/>
            <w:tcBorders>
              <w:top w:val="single" w:sz="8" w:space="0" w:color="000000"/>
              <w:bottom w:val="single" w:sz="8" w:space="0" w:color="FFFFFF"/>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rP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rPr>
              <w:t>2024</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8"/>
                <w:szCs w:val="18"/>
              </w:rPr>
              <w:t>2025</w:t>
            </w:r>
          </w:p>
        </w:tc>
      </w:tr>
      <w:tr w:rsidR="00000000">
        <w:trPr>
          <w:divId w:val="1072122487"/>
          <w:trHeight w:val="480"/>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“Day 1” CECL adoption impact</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9"/>
            <w:tcBorders>
              <w:top w:val="single" w:sz="8" w:space="0" w:color="000000"/>
              <w:bottom w:val="single" w:sz="8" w:space="0" w:color="000000"/>
            </w:tcBorders>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color w:val="000000"/>
                <w:sz w:val="18"/>
                <w:szCs w:val="18"/>
              </w:rPr>
              <w:t>Capital impact delayed to 2022</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color w:val="000000"/>
                <w:sz w:val="18"/>
                <w:szCs w:val="18"/>
              </w:rPr>
              <w:t>25% Phased In</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color w:val="000000"/>
                <w:sz w:val="18"/>
                <w:szCs w:val="18"/>
              </w:rPr>
              <w:t>50% Phased In</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color w:val="000000"/>
                <w:sz w:val="18"/>
                <w:szCs w:val="18"/>
              </w:rPr>
              <w:t>75% Phased In</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color w:val="000000"/>
                <w:sz w:val="18"/>
                <w:szCs w:val="18"/>
              </w:rPr>
              <w:t>Fully Phased In</w:t>
            </w:r>
          </w:p>
        </w:tc>
      </w:tr>
      <w:tr w:rsidR="00000000">
        <w:trPr>
          <w:divId w:val="1072122487"/>
          <w:trHeight w:val="640"/>
        </w:trPr>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Cumulative “day 2” ongoing impact</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9"/>
            <w:tcBorders>
              <w:top w:val="single" w:sz="8" w:space="0" w:color="000000"/>
              <w:bottom w:val="single" w:sz="8" w:space="0" w:color="000000"/>
            </w:tcBorders>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color w:val="000000"/>
                <w:sz w:val="18"/>
                <w:szCs w:val="18"/>
              </w:rPr>
              <w:t>25% scaling factor as an approximation of the increase in allowance under CECL</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vMerge/>
            <w:tcBorders>
              <w:top w:val="single" w:sz="8" w:space="0" w:color="000000"/>
              <w:bottom w:val="single" w:sz="8" w:space="0" w:color="000000"/>
            </w:tcBorders>
            <w:vAlign w:val="center"/>
            <w:hideMark/>
          </w:tcPr>
          <w:p w:rsidR="00000000" w:rsidRDefault="0094004B">
            <w:pPr>
              <w:spacing w:after="100"/>
              <w:rPr>
                <w:rFonts w:eastAsia="Times New Roman"/>
              </w:rPr>
            </w:pP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vMerge/>
            <w:tcBorders>
              <w:top w:val="single" w:sz="8" w:space="0" w:color="000000"/>
              <w:bottom w:val="single" w:sz="8" w:space="0" w:color="000000"/>
            </w:tcBorders>
            <w:vAlign w:val="center"/>
            <w:hideMark/>
          </w:tcPr>
          <w:p w:rsidR="00000000" w:rsidRDefault="0094004B">
            <w:pPr>
              <w:spacing w:after="100"/>
              <w:rPr>
                <w:rFonts w:eastAsia="Times New Roman"/>
              </w:rPr>
            </w:pP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vMerge/>
            <w:tcBorders>
              <w:top w:val="single" w:sz="8" w:space="0" w:color="000000"/>
              <w:bottom w:val="single" w:sz="8" w:space="0" w:color="000000"/>
            </w:tcBorders>
            <w:vAlign w:val="center"/>
            <w:hideMark/>
          </w:tcPr>
          <w:p w:rsidR="00000000" w:rsidRDefault="0094004B">
            <w:pPr>
              <w:spacing w:after="100"/>
              <w:rPr>
                <w:rFonts w:eastAsia="Times New Roman"/>
              </w:rPr>
            </w:pP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vMerge/>
            <w:tcBorders>
              <w:top w:val="single" w:sz="8" w:space="0" w:color="000000"/>
              <w:bottom w:val="single" w:sz="8" w:space="0" w:color="000000"/>
            </w:tcBorders>
            <w:vAlign w:val="center"/>
            <w:hideMark/>
          </w:tcPr>
          <w:p w:rsidR="00000000" w:rsidRDefault="0094004B">
            <w:pPr>
              <w:spacing w:after="100"/>
              <w:rPr>
                <w:rFonts w:eastAsia="Times New Roman"/>
              </w:rPr>
            </w:pPr>
          </w:p>
        </w:tc>
      </w:tr>
    </w:tbl>
    <w:p w:rsidR="00000000" w:rsidRDefault="0094004B">
      <w:pPr>
        <w:jc w:val="both"/>
        <w:divId w:val="1599024758"/>
        <w:rPr>
          <w:rFonts w:eastAsia="Times New Roman"/>
        </w:rPr>
      </w:pPr>
      <w:r>
        <w:rPr>
          <w:rFonts w:eastAsia="Times New Roman"/>
          <w:color w:val="000000"/>
          <w:sz w:val="20"/>
          <w:szCs w:val="20"/>
        </w:rPr>
        <w:t xml:space="preserve">As of December 31, 2021, we added back an aggregate amount of $2.4 billion to our regulatory capital pursuant to the CECL Transition Rule. Consistent with the rule, we phased in 25% of this amount, or $599 million, on January 1, 2022, leaving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526476326"/>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526476326"/>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526476326"/>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177</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203" style="width:0;height:1.5pt" o:hralign="center" o:hrstd="t" o:hr="t" fillcolor="#a0a0a0" stroked="f"/>
        </w:pict>
      </w:r>
    </w:p>
    <w:p w:rsidR="00000000" w:rsidRDefault="0094004B">
      <w:pPr>
        <w:jc w:val="both"/>
        <w:divId w:val="1191264590"/>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1191264590"/>
        <w:rPr>
          <w:rFonts w:eastAsia="Times New Roman"/>
        </w:rPr>
      </w:pPr>
    </w:p>
    <w:p w:rsidR="00000000" w:rsidRDefault="0094004B">
      <w:pPr>
        <w:jc w:val="center"/>
        <w:divId w:val="1191264590"/>
        <w:rPr>
          <w:rFonts w:eastAsia="Times New Roman"/>
        </w:rPr>
      </w:pPr>
      <w:r>
        <w:rPr>
          <w:rFonts w:eastAsia="Times New Roman"/>
          <w:b/>
          <w:bCs/>
          <w:color w:val="000000"/>
          <w:sz w:val="20"/>
          <w:szCs w:val="20"/>
        </w:rPr>
        <w:t>CAPITAL ONE FINANCIAL CORPORATION</w:t>
      </w:r>
    </w:p>
    <w:p w:rsidR="00000000" w:rsidRDefault="0094004B">
      <w:pPr>
        <w:jc w:val="center"/>
        <w:divId w:val="1191264590"/>
        <w:rPr>
          <w:rFonts w:eastAsia="Times New Roman"/>
        </w:rPr>
      </w:pPr>
      <w:r>
        <w:rPr>
          <w:rFonts w:eastAsia="Times New Roman"/>
          <w:b/>
          <w:bCs/>
          <w:color w:val="000000"/>
          <w:sz w:val="20"/>
          <w:szCs w:val="20"/>
        </w:rPr>
        <w:t>NOTES TO CONSOLIDATED FINANCIAL STATEMENTS</w:t>
      </w:r>
    </w:p>
    <w:p w:rsidR="00000000" w:rsidRDefault="0094004B">
      <w:pPr>
        <w:jc w:val="both"/>
        <w:divId w:val="1895190220"/>
        <w:rPr>
          <w:rFonts w:eastAsia="Times New Roman"/>
        </w:rPr>
      </w:pPr>
      <w:r>
        <w:rPr>
          <w:rFonts w:eastAsia="Times New Roman"/>
          <w:color w:val="000000"/>
          <w:sz w:val="20"/>
          <w:szCs w:val="20"/>
        </w:rPr>
        <w:t xml:space="preserve">$1.8 billion to be phased in over 2023-2025. As of December 31, </w:t>
      </w:r>
      <w:r>
        <w:rPr>
          <w:rFonts w:eastAsia="Times New Roman"/>
          <w:color w:val="000000"/>
          <w:sz w:val="20"/>
          <w:szCs w:val="20"/>
        </w:rPr>
        <w:t>2022, the Company’s CET1 capital ratio, reflecting the CECL Transition Rule, was 12.5% and would have been 12.0% excluding the impact of the CECL Transition Rule (or “on a fully phased-in basis”).</w:t>
      </w:r>
    </w:p>
    <w:p w:rsidR="00000000" w:rsidRDefault="0094004B">
      <w:pPr>
        <w:jc w:val="both"/>
        <w:divId w:val="2008289688"/>
        <w:rPr>
          <w:rFonts w:eastAsia="Times New Roman"/>
        </w:rPr>
      </w:pPr>
      <w:r>
        <w:rPr>
          <w:rFonts w:eastAsia="Times New Roman"/>
          <w:color w:val="000000"/>
          <w:sz w:val="20"/>
          <w:szCs w:val="20"/>
        </w:rPr>
        <w:t>For additional information about the capital adequacy guide</w:t>
      </w:r>
      <w:r>
        <w:rPr>
          <w:rFonts w:eastAsia="Times New Roman"/>
          <w:color w:val="000000"/>
          <w:sz w:val="20"/>
          <w:szCs w:val="20"/>
        </w:rPr>
        <w:t>lines to which we are subject, see “Part I—Item 1. Business—Supervision and Regulation.”</w:t>
      </w:r>
    </w:p>
    <w:p w:rsidR="00000000" w:rsidRDefault="0094004B">
      <w:pPr>
        <w:jc w:val="both"/>
        <w:divId w:val="243879313"/>
        <w:rPr>
          <w:rFonts w:eastAsia="Times New Roman"/>
        </w:rPr>
      </w:pPr>
      <w:r>
        <w:rPr>
          <w:rFonts w:eastAsia="Times New Roman"/>
          <w:color w:val="000000"/>
          <w:sz w:val="20"/>
          <w:szCs w:val="20"/>
        </w:rPr>
        <w:t>The following table</w:t>
      </w:r>
      <w:r>
        <w:rPr>
          <w:rFonts w:eastAsia="Times New Roman"/>
          <w:b/>
          <w:bCs/>
          <w:color w:val="000000"/>
          <w:sz w:val="20"/>
          <w:szCs w:val="20"/>
        </w:rPr>
        <w:t xml:space="preserve"> </w:t>
      </w:r>
      <w:r>
        <w:rPr>
          <w:rFonts w:eastAsia="Times New Roman"/>
          <w:color w:val="000000"/>
          <w:sz w:val="20"/>
          <w:szCs w:val="20"/>
        </w:rPr>
        <w:t>provides a comparison of our regulatory capital amounts and ratios under the Basel III standardized approach subject to the applicable transition p</w:t>
      </w:r>
      <w:r>
        <w:rPr>
          <w:rFonts w:eastAsia="Times New Roman"/>
          <w:color w:val="000000"/>
          <w:sz w:val="20"/>
          <w:szCs w:val="20"/>
        </w:rPr>
        <w:t>rovisions, the regulatory minimum capital adequacy ratios and the applicable well-capitalized standard for each ratio as of December 31, 2022 and 2021.</w:t>
      </w:r>
    </w:p>
    <w:p w:rsidR="00000000" w:rsidRDefault="0094004B">
      <w:pPr>
        <w:divId w:val="1106265195"/>
        <w:rPr>
          <w:rFonts w:eastAsia="Times New Roman"/>
        </w:rPr>
      </w:pPr>
      <w:r>
        <w:rPr>
          <w:rFonts w:eastAsia="Times New Roman"/>
          <w:b/>
          <w:bCs/>
          <w:color w:val="000000"/>
          <w:sz w:val="18"/>
          <w:szCs w:val="18"/>
        </w:rPr>
        <w:t>Table 11.1: Capital Ratios Under Basel II</w:t>
      </w:r>
      <w:r>
        <w:rPr>
          <w:rFonts w:eastAsia="Times New Roman"/>
          <w:b/>
          <w:bCs/>
          <w:color w:val="000000"/>
          <w:sz w:val="18"/>
          <w:szCs w:val="18"/>
        </w:rPr>
        <w:t>I</w:t>
      </w:r>
      <w:r>
        <w:rPr>
          <w:rFonts w:eastAsia="Times New Roman"/>
          <w:b/>
          <w:bCs/>
          <w:color w:val="000000"/>
          <w:sz w:val="12"/>
          <w:szCs w:val="12"/>
        </w:rPr>
        <w:t>(1</w:t>
      </w:r>
      <w:r>
        <w:rPr>
          <w:rFonts w:eastAsia="Times New Roman"/>
          <w:b/>
          <w:bCs/>
          <w:color w:val="000000"/>
          <w:sz w:val="12"/>
          <w:szCs w:val="12"/>
        </w:rPr>
        <w:t>)</w:t>
      </w:r>
    </w:p>
    <w:tbl>
      <w:tblPr>
        <w:tblW w:w="5000" w:type="pct"/>
        <w:tblCellMar>
          <w:top w:w="15" w:type="dxa"/>
          <w:left w:w="15" w:type="dxa"/>
          <w:bottom w:w="15" w:type="dxa"/>
          <w:right w:w="15" w:type="dxa"/>
        </w:tblCellMar>
        <w:tblLook w:val="04A0" w:firstRow="1" w:lastRow="0" w:firstColumn="1" w:lastColumn="0" w:noHBand="0" w:noVBand="1"/>
      </w:tblPr>
      <w:tblGrid>
        <w:gridCol w:w="46"/>
        <w:gridCol w:w="1261"/>
        <w:gridCol w:w="38"/>
        <w:gridCol w:w="36"/>
        <w:gridCol w:w="36"/>
        <w:gridCol w:w="36"/>
        <w:gridCol w:w="110"/>
        <w:gridCol w:w="540"/>
        <w:gridCol w:w="36"/>
        <w:gridCol w:w="36"/>
        <w:gridCol w:w="36"/>
        <w:gridCol w:w="36"/>
        <w:gridCol w:w="60"/>
        <w:gridCol w:w="590"/>
        <w:gridCol w:w="36"/>
        <w:gridCol w:w="36"/>
        <w:gridCol w:w="36"/>
        <w:gridCol w:w="36"/>
        <w:gridCol w:w="88"/>
        <w:gridCol w:w="629"/>
        <w:gridCol w:w="36"/>
        <w:gridCol w:w="36"/>
        <w:gridCol w:w="36"/>
        <w:gridCol w:w="36"/>
        <w:gridCol w:w="90"/>
        <w:gridCol w:w="725"/>
        <w:gridCol w:w="36"/>
        <w:gridCol w:w="36"/>
        <w:gridCol w:w="36"/>
        <w:gridCol w:w="36"/>
        <w:gridCol w:w="110"/>
        <w:gridCol w:w="540"/>
        <w:gridCol w:w="36"/>
        <w:gridCol w:w="36"/>
        <w:gridCol w:w="36"/>
        <w:gridCol w:w="36"/>
        <w:gridCol w:w="85"/>
        <w:gridCol w:w="532"/>
        <w:gridCol w:w="36"/>
        <w:gridCol w:w="40"/>
        <w:gridCol w:w="207"/>
        <w:gridCol w:w="39"/>
        <w:gridCol w:w="88"/>
        <w:gridCol w:w="629"/>
        <w:gridCol w:w="36"/>
        <w:gridCol w:w="36"/>
        <w:gridCol w:w="36"/>
        <w:gridCol w:w="36"/>
        <w:gridCol w:w="90"/>
        <w:gridCol w:w="725"/>
        <w:gridCol w:w="36"/>
      </w:tblGrid>
      <w:tr w:rsidR="00000000">
        <w:trPr>
          <w:divId w:val="489640332"/>
        </w:trPr>
        <w:tc>
          <w:tcPr>
            <w:tcW w:w="50" w:type="pct"/>
            <w:vAlign w:val="center"/>
            <w:hideMark/>
          </w:tcPr>
          <w:p w:rsidR="00000000" w:rsidRDefault="0094004B">
            <w:pPr>
              <w:rPr>
                <w:rFonts w:eastAsia="Times New Roman"/>
              </w:rPr>
            </w:pPr>
          </w:p>
        </w:tc>
        <w:tc>
          <w:tcPr>
            <w:tcW w:w="119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3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500"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61"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0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3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1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61"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489640332"/>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1"/>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December 31, 2022</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21"/>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December 31, 2021</w:t>
            </w:r>
          </w:p>
        </w:tc>
      </w:tr>
      <w:tr w:rsidR="00000000">
        <w:trPr>
          <w:divId w:val="489640332"/>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Capital 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Capital</w:t>
            </w:r>
            <w:r>
              <w:rPr>
                <w:rFonts w:eastAsia="Times New Roman"/>
                <w:b/>
                <w:bCs/>
                <w:color w:val="000000"/>
                <w:sz w:val="16"/>
                <w:szCs w:val="16"/>
              </w:rPr>
              <w:br/>
              <w:t>Ratio</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Minimum</w:t>
            </w:r>
            <w:r>
              <w:rPr>
                <w:rFonts w:eastAsia="Times New Roman"/>
                <w:b/>
                <w:bCs/>
                <w:color w:val="000000"/>
                <w:sz w:val="16"/>
                <w:szCs w:val="16"/>
              </w:rPr>
              <w:br/>
              <w:t>Capital</w:t>
            </w:r>
            <w:r>
              <w:rPr>
                <w:rFonts w:eastAsia="Times New Roman"/>
                <w:b/>
                <w:bCs/>
                <w:color w:val="000000"/>
                <w:sz w:val="16"/>
                <w:szCs w:val="16"/>
              </w:rPr>
              <w:br/>
              <w:t>Adequacy</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Well-</w:t>
            </w:r>
            <w:r>
              <w:rPr>
                <w:rFonts w:eastAsia="Times New Roman"/>
                <w:b/>
                <w:bCs/>
                <w:color w:val="000000"/>
                <w:sz w:val="16"/>
                <w:szCs w:val="16"/>
              </w:rPr>
              <w:br/>
              <w:t>Capitalized</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Capital 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Capital</w:t>
            </w:r>
            <w:r>
              <w:rPr>
                <w:rFonts w:eastAsia="Times New Roman"/>
                <w:b/>
                <w:bCs/>
                <w:color w:val="000000"/>
                <w:sz w:val="16"/>
                <w:szCs w:val="16"/>
              </w:rPr>
              <w:br/>
              <w:t>Ratio</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Minimum</w:t>
            </w:r>
            <w:r>
              <w:rPr>
                <w:rFonts w:eastAsia="Times New Roman"/>
                <w:b/>
                <w:bCs/>
                <w:color w:val="000000"/>
                <w:sz w:val="16"/>
                <w:szCs w:val="16"/>
              </w:rPr>
              <w:br/>
            </w:r>
            <w:r>
              <w:rPr>
                <w:rFonts w:eastAsia="Times New Roman"/>
                <w:b/>
                <w:bCs/>
                <w:color w:val="000000"/>
                <w:sz w:val="16"/>
                <w:szCs w:val="16"/>
              </w:rPr>
              <w:t>Capital</w:t>
            </w:r>
            <w:r>
              <w:rPr>
                <w:rFonts w:eastAsia="Times New Roman"/>
                <w:b/>
                <w:bCs/>
                <w:color w:val="000000"/>
                <w:sz w:val="16"/>
                <w:szCs w:val="16"/>
              </w:rPr>
              <w:br/>
              <w:t>Adequacy</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Well-</w:t>
            </w:r>
            <w:r>
              <w:rPr>
                <w:rFonts w:eastAsia="Times New Roman"/>
                <w:b/>
                <w:bCs/>
                <w:color w:val="000000"/>
                <w:sz w:val="16"/>
                <w:szCs w:val="16"/>
              </w:rPr>
              <w:br/>
              <w:t>Capitalized</w:t>
            </w:r>
          </w:p>
        </w:tc>
      </w:tr>
      <w:tr w:rsidR="00000000">
        <w:trPr>
          <w:divId w:val="489640332"/>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18"/>
                <w:szCs w:val="18"/>
              </w:rPr>
              <w:t>Capital One Financial Corp:</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489640332"/>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divId w:val="1358315573"/>
              <w:rPr>
                <w:rFonts w:eastAsia="Times New Roman"/>
              </w:rPr>
            </w:pPr>
            <w:r>
              <w:rPr>
                <w:rFonts w:eastAsia="Times New Roman"/>
                <w:color w:val="000000"/>
                <w:sz w:val="18"/>
                <w:szCs w:val="18"/>
              </w:rPr>
              <w:t>Common equity Tier 1 capita</w:t>
            </w:r>
            <w:r>
              <w:rPr>
                <w:rFonts w:eastAsia="Times New Roman"/>
                <w:color w:val="000000"/>
                <w:sz w:val="18"/>
                <w:szCs w:val="18"/>
              </w:rPr>
              <w:t>l</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44,731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12.5%</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b/>
                <w:bCs/>
                <w:color w:val="000000"/>
                <w:sz w:val="18"/>
                <w:szCs w:val="18"/>
              </w:rPr>
              <w:t>4.5%</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43,501 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13.1%</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94004B">
            <w:pPr>
              <w:spacing w:after="100"/>
              <w:jc w:val="right"/>
              <w:rPr>
                <w:rFonts w:eastAsia="Times New Roman"/>
              </w:rPr>
            </w:pPr>
            <w:r>
              <w:rPr>
                <w:rFonts w:eastAsia="Times New Roman"/>
                <w:color w:val="000000"/>
                <w:sz w:val="18"/>
                <w:szCs w:val="18"/>
              </w:rPr>
              <w:t>4.5%</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N/A</w:t>
            </w:r>
          </w:p>
        </w:tc>
      </w:tr>
      <w:tr w:rsidR="00000000">
        <w:trPr>
          <w:divId w:val="489640332"/>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divId w:val="1168518608"/>
              <w:rPr>
                <w:rFonts w:eastAsia="Times New Roman"/>
              </w:rPr>
            </w:pPr>
            <w:r>
              <w:rPr>
                <w:rFonts w:eastAsia="Times New Roman"/>
                <w:color w:val="000000"/>
                <w:sz w:val="18"/>
                <w:szCs w:val="18"/>
              </w:rPr>
              <w:t>Tier 1 capita</w:t>
            </w:r>
            <w:r>
              <w:rPr>
                <w:rFonts w:eastAsia="Times New Roman"/>
                <w:color w:val="000000"/>
                <w:sz w:val="18"/>
                <w:szCs w:val="18"/>
              </w:rPr>
              <w:t>l</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49,576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13.9</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6.0</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6.0%</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48,346 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14.5</w:t>
            </w:r>
          </w:p>
        </w:tc>
        <w:tc>
          <w:tcPr>
            <w:tcW w:w="0" w:type="auto"/>
            <w:gridSpan w:val="3"/>
            <w:shd w:val="clear" w:color="auto" w:fill="CCEEFF"/>
            <w:tcMar>
              <w:top w:w="0" w:type="dxa"/>
              <w:left w:w="20" w:type="dxa"/>
              <w:bottom w:w="0" w:type="dxa"/>
              <w:right w:w="26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6.0</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6.0%</w:t>
            </w:r>
          </w:p>
        </w:tc>
      </w:tr>
      <w:tr w:rsidR="00000000">
        <w:trPr>
          <w:divId w:val="489640332"/>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divId w:val="500511398"/>
              <w:rPr>
                <w:rFonts w:eastAsia="Times New Roman"/>
              </w:rPr>
            </w:pPr>
            <w:r>
              <w:rPr>
                <w:rFonts w:eastAsia="Times New Roman"/>
                <w:color w:val="000000"/>
                <w:sz w:val="18"/>
                <w:szCs w:val="18"/>
              </w:rPr>
              <w:t>Total capita</w:t>
            </w:r>
            <w:r>
              <w:rPr>
                <w:rFonts w:eastAsia="Times New Roman"/>
                <w:color w:val="000000"/>
                <w:sz w:val="18"/>
                <w:szCs w:val="18"/>
              </w:rPr>
              <w:t>l</w:t>
            </w:r>
            <w:r>
              <w:rPr>
                <w:rFonts w:eastAsia="Times New Roman"/>
                <w:color w:val="000000"/>
                <w:sz w:val="12"/>
                <w:szCs w:val="12"/>
              </w:rPr>
              <w:t>(4</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56,714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15.8</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8.0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380" w:type="dxa"/>
            </w:tcMar>
            <w:vAlign w:val="bottom"/>
            <w:hideMark/>
          </w:tcPr>
          <w:p w:rsidR="00000000" w:rsidRDefault="0094004B">
            <w:pPr>
              <w:spacing w:after="100"/>
              <w:jc w:val="right"/>
              <w:rPr>
                <w:rFonts w:eastAsia="Times New Roman"/>
              </w:rPr>
            </w:pPr>
            <w:r>
              <w:rPr>
                <w:rFonts w:eastAsia="Times New Roman"/>
                <w:b/>
                <w:bCs/>
                <w:color w:val="000000"/>
                <w:sz w:val="18"/>
                <w:szCs w:val="18"/>
              </w:rPr>
              <w:t>10.0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56,089 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16.9</w:t>
            </w:r>
          </w:p>
        </w:tc>
        <w:tc>
          <w:tcPr>
            <w:tcW w:w="0" w:type="auto"/>
            <w:gridSpan w:val="3"/>
            <w:shd w:val="clear" w:color="auto" w:fill="FFFFFF"/>
            <w:tcMar>
              <w:top w:w="0" w:type="dxa"/>
              <w:left w:w="20" w:type="dxa"/>
              <w:bottom w:w="0" w:type="dxa"/>
              <w:right w:w="26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8.0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380" w:type="dxa"/>
            </w:tcMar>
            <w:vAlign w:val="bottom"/>
            <w:hideMark/>
          </w:tcPr>
          <w:p w:rsidR="00000000" w:rsidRDefault="0094004B">
            <w:pPr>
              <w:spacing w:after="100"/>
              <w:jc w:val="right"/>
              <w:rPr>
                <w:rFonts w:eastAsia="Times New Roman"/>
              </w:rPr>
            </w:pPr>
            <w:r>
              <w:rPr>
                <w:rFonts w:eastAsia="Times New Roman"/>
                <w:color w:val="000000"/>
                <w:sz w:val="18"/>
                <w:szCs w:val="18"/>
              </w:rPr>
              <w:t>10.0</w:t>
            </w:r>
          </w:p>
        </w:tc>
      </w:tr>
      <w:tr w:rsidR="00000000">
        <w:trPr>
          <w:divId w:val="489640332"/>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divId w:val="357856389"/>
              <w:rPr>
                <w:rFonts w:eastAsia="Times New Roman"/>
              </w:rPr>
            </w:pPr>
            <w:r>
              <w:rPr>
                <w:rFonts w:eastAsia="Times New Roman"/>
                <w:color w:val="000000"/>
                <w:sz w:val="18"/>
                <w:szCs w:val="18"/>
              </w:rPr>
              <w:t>Tier 1 leverag</w:t>
            </w:r>
            <w:r>
              <w:rPr>
                <w:rFonts w:eastAsia="Times New Roman"/>
                <w:color w:val="000000"/>
                <w:sz w:val="18"/>
                <w:szCs w:val="18"/>
              </w:rPr>
              <w:t>e</w:t>
            </w:r>
            <w:r>
              <w:rPr>
                <w:rFonts w:eastAsia="Times New Roman"/>
                <w:color w:val="000000"/>
                <w:sz w:val="12"/>
                <w:szCs w:val="12"/>
              </w:rPr>
              <w:t>(5</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49,576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11.1</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4.0</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N/A</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48,346 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11.6</w:t>
            </w:r>
          </w:p>
        </w:tc>
        <w:tc>
          <w:tcPr>
            <w:tcW w:w="0" w:type="auto"/>
            <w:gridSpan w:val="3"/>
            <w:shd w:val="clear" w:color="auto" w:fill="CCEEFF"/>
            <w:tcMar>
              <w:top w:w="0" w:type="dxa"/>
              <w:left w:w="20" w:type="dxa"/>
              <w:bottom w:w="0" w:type="dxa"/>
              <w:right w:w="26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4.0</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N/A</w:t>
            </w:r>
          </w:p>
        </w:tc>
      </w:tr>
      <w:tr w:rsidR="00000000">
        <w:trPr>
          <w:divId w:val="489640332"/>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divId w:val="821625058"/>
              <w:rPr>
                <w:rFonts w:eastAsia="Times New Roman"/>
              </w:rPr>
            </w:pPr>
            <w:r>
              <w:rPr>
                <w:rFonts w:eastAsia="Times New Roman"/>
                <w:color w:val="000000"/>
                <w:sz w:val="18"/>
                <w:szCs w:val="18"/>
              </w:rPr>
              <w:t>Supplementary leverag</w:t>
            </w:r>
            <w:r>
              <w:rPr>
                <w:rFonts w:eastAsia="Times New Roman"/>
                <w:color w:val="000000"/>
                <w:sz w:val="18"/>
                <w:szCs w:val="18"/>
              </w:rPr>
              <w:t>e</w:t>
            </w:r>
            <w:r>
              <w:rPr>
                <w:rFonts w:eastAsia="Times New Roman"/>
                <w:color w:val="000000"/>
                <w:sz w:val="12"/>
                <w:szCs w:val="12"/>
              </w:rPr>
              <w:t>(6</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49,576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9.5</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3.0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48,346 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9.9</w:t>
            </w:r>
          </w:p>
        </w:tc>
        <w:tc>
          <w:tcPr>
            <w:tcW w:w="0" w:type="auto"/>
            <w:gridSpan w:val="3"/>
            <w:shd w:val="clear" w:color="auto" w:fill="FFFFFF"/>
            <w:tcMar>
              <w:top w:w="0" w:type="dxa"/>
              <w:left w:w="20" w:type="dxa"/>
              <w:bottom w:w="0" w:type="dxa"/>
              <w:right w:w="26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3.0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N/A</w:t>
            </w:r>
          </w:p>
        </w:tc>
      </w:tr>
      <w:tr w:rsidR="00000000">
        <w:trPr>
          <w:divId w:val="489640332"/>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18"/>
                <w:szCs w:val="18"/>
              </w:rPr>
              <w:t>CONA:</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6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6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6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489640332"/>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divId w:val="1928298213"/>
              <w:rPr>
                <w:rFonts w:eastAsia="Times New Roman"/>
              </w:rPr>
            </w:pPr>
            <w:r>
              <w:rPr>
                <w:rFonts w:eastAsia="Times New Roman"/>
                <w:color w:val="000000"/>
                <w:sz w:val="18"/>
                <w:szCs w:val="18"/>
              </w:rPr>
              <w:t>Common equity Tier 1 capita</w:t>
            </w:r>
            <w:r>
              <w:rPr>
                <w:rFonts w:eastAsia="Times New Roman"/>
                <w:color w:val="000000"/>
                <w:sz w:val="18"/>
                <w:szCs w:val="18"/>
              </w:rPr>
              <w:t>l</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46,630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13.1</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4.5</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380" w:type="dxa"/>
            </w:tcMar>
            <w:vAlign w:val="bottom"/>
            <w:hideMark/>
          </w:tcPr>
          <w:p w:rsidR="00000000" w:rsidRDefault="0094004B">
            <w:pPr>
              <w:spacing w:after="100"/>
              <w:jc w:val="right"/>
              <w:rPr>
                <w:rFonts w:eastAsia="Times New Roman"/>
              </w:rPr>
            </w:pPr>
            <w:r>
              <w:rPr>
                <w:rFonts w:eastAsia="Times New Roman"/>
                <w:b/>
                <w:bCs/>
                <w:color w:val="000000"/>
                <w:sz w:val="18"/>
                <w:szCs w:val="18"/>
              </w:rPr>
              <w:t>6.5</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26,699 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11.1</w:t>
            </w:r>
          </w:p>
        </w:tc>
        <w:tc>
          <w:tcPr>
            <w:tcW w:w="0" w:type="auto"/>
            <w:gridSpan w:val="3"/>
            <w:shd w:val="clear" w:color="auto" w:fill="FFFFFF"/>
            <w:tcMar>
              <w:top w:w="0" w:type="dxa"/>
              <w:left w:w="20" w:type="dxa"/>
              <w:bottom w:w="0" w:type="dxa"/>
              <w:right w:w="26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4.5</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380" w:type="dxa"/>
            </w:tcMar>
            <w:vAlign w:val="bottom"/>
            <w:hideMark/>
          </w:tcPr>
          <w:p w:rsidR="00000000" w:rsidRDefault="0094004B">
            <w:pPr>
              <w:spacing w:after="100"/>
              <w:jc w:val="right"/>
              <w:rPr>
                <w:rFonts w:eastAsia="Times New Roman"/>
              </w:rPr>
            </w:pPr>
            <w:r>
              <w:rPr>
                <w:rFonts w:eastAsia="Times New Roman"/>
                <w:color w:val="000000"/>
                <w:sz w:val="18"/>
                <w:szCs w:val="18"/>
              </w:rPr>
              <w:t>6.5</w:t>
            </w:r>
          </w:p>
        </w:tc>
      </w:tr>
      <w:tr w:rsidR="00000000">
        <w:trPr>
          <w:divId w:val="489640332"/>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divId w:val="1278487227"/>
              <w:rPr>
                <w:rFonts w:eastAsia="Times New Roman"/>
              </w:rPr>
            </w:pPr>
            <w:r>
              <w:rPr>
                <w:rFonts w:eastAsia="Times New Roman"/>
                <w:color w:val="000000"/>
                <w:sz w:val="18"/>
                <w:szCs w:val="18"/>
              </w:rPr>
              <w:t>Tier 1 capita</w:t>
            </w:r>
            <w:r>
              <w:rPr>
                <w:rFonts w:eastAsia="Times New Roman"/>
                <w:color w:val="000000"/>
                <w:sz w:val="18"/>
                <w:szCs w:val="18"/>
              </w:rPr>
              <w:t>l</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46,630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13.1</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6.0</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380" w:type="dxa"/>
            </w:tcMar>
            <w:vAlign w:val="bottom"/>
            <w:hideMark/>
          </w:tcPr>
          <w:p w:rsidR="00000000" w:rsidRDefault="0094004B">
            <w:pPr>
              <w:spacing w:after="100"/>
              <w:jc w:val="right"/>
              <w:rPr>
                <w:rFonts w:eastAsia="Times New Roman"/>
              </w:rPr>
            </w:pPr>
            <w:r>
              <w:rPr>
                <w:rFonts w:eastAsia="Times New Roman"/>
                <w:b/>
                <w:bCs/>
                <w:color w:val="000000"/>
                <w:sz w:val="18"/>
                <w:szCs w:val="18"/>
              </w:rPr>
              <w:t>8.0</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26,699 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11.1</w:t>
            </w:r>
          </w:p>
        </w:tc>
        <w:tc>
          <w:tcPr>
            <w:tcW w:w="0" w:type="auto"/>
            <w:gridSpan w:val="3"/>
            <w:shd w:val="clear" w:color="auto" w:fill="CCEEFF"/>
            <w:tcMar>
              <w:top w:w="0" w:type="dxa"/>
              <w:left w:w="20" w:type="dxa"/>
              <w:bottom w:w="0" w:type="dxa"/>
              <w:right w:w="26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6.0</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380" w:type="dxa"/>
            </w:tcMar>
            <w:vAlign w:val="bottom"/>
            <w:hideMark/>
          </w:tcPr>
          <w:p w:rsidR="00000000" w:rsidRDefault="0094004B">
            <w:pPr>
              <w:spacing w:after="100"/>
              <w:jc w:val="right"/>
              <w:rPr>
                <w:rFonts w:eastAsia="Times New Roman"/>
              </w:rPr>
            </w:pPr>
            <w:r>
              <w:rPr>
                <w:rFonts w:eastAsia="Times New Roman"/>
                <w:color w:val="000000"/>
                <w:sz w:val="18"/>
                <w:szCs w:val="18"/>
              </w:rPr>
              <w:t>8.0</w:t>
            </w:r>
          </w:p>
        </w:tc>
      </w:tr>
      <w:tr w:rsidR="00000000">
        <w:trPr>
          <w:divId w:val="489640332"/>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divId w:val="1862160508"/>
              <w:rPr>
                <w:rFonts w:eastAsia="Times New Roman"/>
              </w:rPr>
            </w:pPr>
            <w:r>
              <w:rPr>
                <w:rFonts w:eastAsia="Times New Roman"/>
                <w:color w:val="000000"/>
                <w:sz w:val="18"/>
                <w:szCs w:val="18"/>
              </w:rPr>
              <w:t>Total capita</w:t>
            </w:r>
            <w:r>
              <w:rPr>
                <w:rFonts w:eastAsia="Times New Roman"/>
                <w:color w:val="000000"/>
                <w:sz w:val="18"/>
                <w:szCs w:val="18"/>
              </w:rPr>
              <w:t>l</w:t>
            </w:r>
            <w:r>
              <w:rPr>
                <w:rFonts w:eastAsia="Times New Roman"/>
                <w:color w:val="000000"/>
                <w:sz w:val="12"/>
                <w:szCs w:val="12"/>
              </w:rPr>
              <w:t>(4</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51,165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14.4</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8.0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380" w:type="dxa"/>
            </w:tcMar>
            <w:vAlign w:val="bottom"/>
            <w:hideMark/>
          </w:tcPr>
          <w:p w:rsidR="00000000" w:rsidRDefault="0094004B">
            <w:pPr>
              <w:spacing w:after="100"/>
              <w:jc w:val="right"/>
              <w:rPr>
                <w:rFonts w:eastAsia="Times New Roman"/>
              </w:rPr>
            </w:pPr>
            <w:r>
              <w:rPr>
                <w:rFonts w:eastAsia="Times New Roman"/>
                <w:b/>
                <w:bCs/>
                <w:color w:val="000000"/>
                <w:sz w:val="18"/>
                <w:szCs w:val="18"/>
              </w:rPr>
              <w:t>10.0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29,449 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12.2</w:t>
            </w:r>
          </w:p>
        </w:tc>
        <w:tc>
          <w:tcPr>
            <w:tcW w:w="0" w:type="auto"/>
            <w:gridSpan w:val="3"/>
            <w:shd w:val="clear" w:color="auto" w:fill="FFFFFF"/>
            <w:tcMar>
              <w:top w:w="0" w:type="dxa"/>
              <w:left w:w="20" w:type="dxa"/>
              <w:bottom w:w="0" w:type="dxa"/>
              <w:right w:w="26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8.0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380" w:type="dxa"/>
            </w:tcMar>
            <w:vAlign w:val="bottom"/>
            <w:hideMark/>
          </w:tcPr>
          <w:p w:rsidR="00000000" w:rsidRDefault="0094004B">
            <w:pPr>
              <w:spacing w:after="100"/>
              <w:jc w:val="right"/>
              <w:rPr>
                <w:rFonts w:eastAsia="Times New Roman"/>
              </w:rPr>
            </w:pPr>
            <w:r>
              <w:rPr>
                <w:rFonts w:eastAsia="Times New Roman"/>
                <w:color w:val="000000"/>
                <w:sz w:val="18"/>
                <w:szCs w:val="18"/>
              </w:rPr>
              <w:t>10.0</w:t>
            </w:r>
          </w:p>
        </w:tc>
      </w:tr>
      <w:tr w:rsidR="00000000">
        <w:trPr>
          <w:divId w:val="489640332"/>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divId w:val="1336953246"/>
              <w:rPr>
                <w:rFonts w:eastAsia="Times New Roman"/>
              </w:rPr>
            </w:pPr>
            <w:r>
              <w:rPr>
                <w:rFonts w:eastAsia="Times New Roman"/>
                <w:color w:val="000000"/>
                <w:sz w:val="18"/>
                <w:szCs w:val="18"/>
              </w:rPr>
              <w:t>Tier 1 leverag</w:t>
            </w:r>
            <w:r>
              <w:rPr>
                <w:rFonts w:eastAsia="Times New Roman"/>
                <w:color w:val="000000"/>
                <w:sz w:val="18"/>
                <w:szCs w:val="18"/>
              </w:rPr>
              <w:t>e</w:t>
            </w:r>
            <w:r>
              <w:rPr>
                <w:rFonts w:eastAsia="Times New Roman"/>
                <w:color w:val="000000"/>
                <w:sz w:val="12"/>
                <w:szCs w:val="12"/>
              </w:rPr>
              <w:t>(5</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46,630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10.5</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4.0</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380" w:type="dxa"/>
            </w:tcMar>
            <w:vAlign w:val="bottom"/>
            <w:hideMark/>
          </w:tcPr>
          <w:p w:rsidR="00000000" w:rsidRDefault="0094004B">
            <w:pPr>
              <w:spacing w:after="100"/>
              <w:jc w:val="right"/>
              <w:rPr>
                <w:rFonts w:eastAsia="Times New Roman"/>
              </w:rPr>
            </w:pPr>
            <w:r>
              <w:rPr>
                <w:rFonts w:eastAsia="Times New Roman"/>
                <w:b/>
                <w:bCs/>
                <w:color w:val="000000"/>
                <w:sz w:val="18"/>
                <w:szCs w:val="18"/>
              </w:rPr>
              <w:t>5.0</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26,699 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7.4</w:t>
            </w:r>
          </w:p>
        </w:tc>
        <w:tc>
          <w:tcPr>
            <w:tcW w:w="0" w:type="auto"/>
            <w:gridSpan w:val="3"/>
            <w:shd w:val="clear" w:color="auto" w:fill="CCEEFF"/>
            <w:tcMar>
              <w:top w:w="0" w:type="dxa"/>
              <w:left w:w="20" w:type="dxa"/>
              <w:bottom w:w="0" w:type="dxa"/>
              <w:right w:w="26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4.0</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30" w:type="dxa"/>
              <w:left w:w="20" w:type="dxa"/>
              <w:bottom w:w="30" w:type="dxa"/>
              <w:right w:w="380" w:type="dxa"/>
            </w:tcMar>
            <w:vAlign w:val="bottom"/>
            <w:hideMark/>
          </w:tcPr>
          <w:p w:rsidR="00000000" w:rsidRDefault="0094004B">
            <w:pPr>
              <w:spacing w:after="100"/>
              <w:jc w:val="right"/>
              <w:rPr>
                <w:rFonts w:eastAsia="Times New Roman"/>
              </w:rPr>
            </w:pPr>
            <w:r>
              <w:rPr>
                <w:rFonts w:eastAsia="Times New Roman"/>
                <w:color w:val="000000"/>
                <w:sz w:val="18"/>
                <w:szCs w:val="18"/>
              </w:rPr>
              <w:t>5.0</w:t>
            </w:r>
          </w:p>
        </w:tc>
      </w:tr>
      <w:tr w:rsidR="00000000">
        <w:trPr>
          <w:divId w:val="489640332"/>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divId w:val="1410347998"/>
              <w:rPr>
                <w:rFonts w:eastAsia="Times New Roman"/>
              </w:rPr>
            </w:pPr>
            <w:r>
              <w:rPr>
                <w:rFonts w:eastAsia="Times New Roman"/>
                <w:color w:val="000000"/>
                <w:sz w:val="18"/>
                <w:szCs w:val="18"/>
              </w:rPr>
              <w:t>Supplementary leverag</w:t>
            </w:r>
            <w:r>
              <w:rPr>
                <w:rFonts w:eastAsia="Times New Roman"/>
                <w:color w:val="000000"/>
                <w:sz w:val="18"/>
                <w:szCs w:val="18"/>
              </w:rPr>
              <w:t>e</w:t>
            </w:r>
            <w:r>
              <w:rPr>
                <w:rFonts w:eastAsia="Times New Roman"/>
                <w:color w:val="000000"/>
                <w:sz w:val="12"/>
                <w:szCs w:val="12"/>
              </w:rPr>
              <w:t>(6</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46,630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9.0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3.0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b/>
                <w:bCs/>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26,699 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6.6</w:t>
            </w:r>
          </w:p>
        </w:tc>
        <w:tc>
          <w:tcPr>
            <w:tcW w:w="0" w:type="auto"/>
            <w:gridSpan w:val="3"/>
            <w:shd w:val="clear" w:color="auto" w:fill="FFFFFF"/>
            <w:tcMar>
              <w:top w:w="0" w:type="dxa"/>
              <w:left w:w="20" w:type="dxa"/>
              <w:bottom w:w="0" w:type="dxa"/>
              <w:right w:w="26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3.0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rsidR="00000000" w:rsidRDefault="0094004B">
            <w:pPr>
              <w:spacing w:after="100"/>
              <w:jc w:val="right"/>
              <w:rPr>
                <w:rFonts w:eastAsia="Times New Roman"/>
              </w:rPr>
            </w:pPr>
            <w:r>
              <w:rPr>
                <w:rFonts w:eastAsia="Times New Roman"/>
                <w:color w:val="000000"/>
                <w:sz w:val="18"/>
                <w:szCs w:val="18"/>
              </w:rPr>
              <w:t>N/A</w:t>
            </w:r>
          </w:p>
        </w:tc>
      </w:tr>
    </w:tbl>
    <w:p w:rsidR="00000000" w:rsidRDefault="0094004B">
      <w:pPr>
        <w:divId w:val="489640332"/>
        <w:rPr>
          <w:rFonts w:eastAsia="Times New Roman"/>
        </w:rPr>
      </w:pPr>
      <w:r>
        <w:rPr>
          <w:rFonts w:eastAsia="Times New Roman"/>
          <w:color w:val="000000"/>
          <w:sz w:val="20"/>
          <w:szCs w:val="20"/>
        </w:rPr>
        <w:t>__________</w:t>
      </w:r>
    </w:p>
    <w:p w:rsidR="00000000" w:rsidRDefault="0094004B">
      <w:pPr>
        <w:ind w:hanging="360"/>
        <w:jc w:val="both"/>
        <w:divId w:val="370616652"/>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Capital requirements that are not applicable are denoted by “N/A.”</w:t>
      </w:r>
    </w:p>
    <w:p w:rsidR="00000000" w:rsidRDefault="0094004B">
      <w:pPr>
        <w:ind w:hanging="360"/>
        <w:jc w:val="both"/>
        <w:divId w:val="1515027493"/>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Common equity Tier 1 capital ratio is a regulatory capital measu</w:t>
      </w:r>
      <w:r>
        <w:rPr>
          <w:rFonts w:eastAsia="Times New Roman"/>
          <w:color w:val="000000"/>
          <w:sz w:val="16"/>
          <w:szCs w:val="16"/>
        </w:rPr>
        <w:t>re calculated based on common equity Tier 1 capital divided by risk-weighted assets.</w:t>
      </w:r>
    </w:p>
    <w:p w:rsidR="00000000" w:rsidRDefault="0094004B">
      <w:pPr>
        <w:ind w:hanging="360"/>
        <w:jc w:val="both"/>
        <w:divId w:val="1041784446"/>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Tier 1 capital ratio is a regulatory capital measure calculated based on Tier 1 capital divided by risk-weighted assets.</w:t>
      </w:r>
    </w:p>
    <w:p w:rsidR="00000000" w:rsidRDefault="0094004B">
      <w:pPr>
        <w:ind w:hanging="360"/>
        <w:jc w:val="both"/>
        <w:divId w:val="828836918"/>
        <w:rPr>
          <w:rFonts w:eastAsia="Times New Roman"/>
        </w:rPr>
      </w:pPr>
      <w:r>
        <w:rPr>
          <w:rFonts w:eastAsia="Times New Roman"/>
          <w:color w:val="000000"/>
          <w:sz w:val="10"/>
          <w:szCs w:val="10"/>
        </w:rPr>
        <w:t>(4</w:t>
      </w:r>
      <w:r>
        <w:rPr>
          <w:rFonts w:eastAsia="Times New Roman"/>
          <w:color w:val="000000"/>
          <w:sz w:val="10"/>
          <w:szCs w:val="10"/>
        </w:rPr>
        <w:t>)</w:t>
      </w:r>
      <w:r>
        <w:rPr>
          <w:rFonts w:eastAsia="Times New Roman"/>
          <w:color w:val="000000"/>
          <w:sz w:val="16"/>
          <w:szCs w:val="16"/>
        </w:rPr>
        <w:t xml:space="preserve">Total capital ratio is a regulatory capital </w:t>
      </w:r>
      <w:r>
        <w:rPr>
          <w:rFonts w:eastAsia="Times New Roman"/>
          <w:color w:val="000000"/>
          <w:sz w:val="16"/>
          <w:szCs w:val="16"/>
        </w:rPr>
        <w:t>measure calculated based on total capital divided by risk-weighted assets.</w:t>
      </w:r>
    </w:p>
    <w:p w:rsidR="00000000" w:rsidRDefault="0094004B">
      <w:pPr>
        <w:ind w:hanging="360"/>
        <w:jc w:val="both"/>
        <w:divId w:val="214199225"/>
        <w:rPr>
          <w:rFonts w:eastAsia="Times New Roman"/>
        </w:rPr>
      </w:pPr>
      <w:r>
        <w:rPr>
          <w:rFonts w:eastAsia="Times New Roman"/>
          <w:color w:val="000000"/>
          <w:sz w:val="10"/>
          <w:szCs w:val="10"/>
        </w:rPr>
        <w:t>(5</w:t>
      </w:r>
      <w:r>
        <w:rPr>
          <w:rFonts w:eastAsia="Times New Roman"/>
          <w:color w:val="000000"/>
          <w:sz w:val="10"/>
          <w:szCs w:val="10"/>
        </w:rPr>
        <w:t>)</w:t>
      </w:r>
      <w:r>
        <w:rPr>
          <w:rFonts w:eastAsia="Times New Roman"/>
          <w:color w:val="000000"/>
          <w:sz w:val="16"/>
          <w:szCs w:val="16"/>
        </w:rPr>
        <w:t>Tier 1 leverage ratio is a regulatory capital measure calculated based on Tier 1 capital divided by adjusted average assets.</w:t>
      </w:r>
    </w:p>
    <w:p w:rsidR="00000000" w:rsidRDefault="0094004B">
      <w:pPr>
        <w:ind w:hanging="360"/>
        <w:jc w:val="both"/>
        <w:divId w:val="912475337"/>
        <w:rPr>
          <w:rFonts w:eastAsia="Times New Roman"/>
        </w:rPr>
      </w:pPr>
      <w:r>
        <w:rPr>
          <w:rFonts w:eastAsia="Times New Roman"/>
          <w:color w:val="000000"/>
          <w:sz w:val="10"/>
          <w:szCs w:val="10"/>
        </w:rPr>
        <w:t>(6</w:t>
      </w:r>
      <w:r>
        <w:rPr>
          <w:rFonts w:eastAsia="Times New Roman"/>
          <w:color w:val="000000"/>
          <w:sz w:val="10"/>
          <w:szCs w:val="10"/>
        </w:rPr>
        <w:t>)</w:t>
      </w:r>
      <w:r>
        <w:rPr>
          <w:rFonts w:eastAsia="Times New Roman"/>
          <w:color w:val="000000"/>
          <w:sz w:val="16"/>
          <w:szCs w:val="16"/>
        </w:rPr>
        <w:t>Supplementary leverage ratio is a regulatory capit</w:t>
      </w:r>
      <w:r>
        <w:rPr>
          <w:rFonts w:eastAsia="Times New Roman"/>
          <w:color w:val="000000"/>
          <w:sz w:val="16"/>
          <w:szCs w:val="16"/>
        </w:rPr>
        <w:t>al measure calculated based on Tier 1 capital divided by total leverage exposure.</w:t>
      </w:r>
    </w:p>
    <w:p w:rsidR="00000000" w:rsidRDefault="0094004B">
      <w:pPr>
        <w:jc w:val="both"/>
        <w:divId w:val="2037805009"/>
        <w:rPr>
          <w:rFonts w:eastAsia="Times New Roman"/>
        </w:rPr>
      </w:pPr>
      <w:r>
        <w:rPr>
          <w:rFonts w:eastAsia="Times New Roman"/>
          <w:color w:val="000000"/>
          <w:sz w:val="20"/>
          <w:szCs w:val="20"/>
        </w:rPr>
        <w:t>On October 1, 2022, COBNA merged with and into CONA, with CONA as the surviving entity. The capital ratios of COBNA immediately prior to the Bank Merger were higher than thos</w:t>
      </w:r>
      <w:r>
        <w:rPr>
          <w:rFonts w:eastAsia="Times New Roman"/>
          <w:color w:val="000000"/>
          <w:sz w:val="20"/>
          <w:szCs w:val="20"/>
        </w:rPr>
        <w:t xml:space="preserve">e of CONA, therefore increasing the capital ratios of CONA immediately after the Bank Merger and as of December 31, 2022. We exceeded the minimum capital requirements and the Bank exceeded the minimum regulatory requirements and was well-capitalized under </w:t>
      </w:r>
      <w:r>
        <w:rPr>
          <w:rFonts w:eastAsia="Times New Roman"/>
          <w:color w:val="000000"/>
          <w:sz w:val="20"/>
          <w:szCs w:val="20"/>
        </w:rPr>
        <w:t>PCA requirements as of both December 31, 2022 and 2021.</w:t>
      </w:r>
    </w:p>
    <w:p w:rsidR="00000000" w:rsidRDefault="0094004B">
      <w:pPr>
        <w:jc w:val="both"/>
        <w:divId w:val="1417939627"/>
        <w:rPr>
          <w:rFonts w:eastAsia="Times New Roman"/>
        </w:rPr>
      </w:pPr>
      <w:r>
        <w:rPr>
          <w:rFonts w:eastAsia="Times New Roman"/>
          <w:color w:val="000000"/>
          <w:sz w:val="20"/>
          <w:szCs w:val="20"/>
        </w:rPr>
        <w:t xml:space="preserve">Regulatory restrictions exist that limit the ability of CONA to transfer funds to our BHC. As of December 31, 2022, funds available for dividend payments </w:t>
      </w:r>
      <w:r>
        <w:rPr>
          <w:rFonts w:eastAsia="Times New Roman"/>
          <w:color w:val="000000"/>
          <w:sz w:val="20"/>
          <w:szCs w:val="20"/>
          <w:shd w:val="clear" w:color="auto" w:fill="FFFFFF"/>
        </w:rPr>
        <w:t>from</w:t>
      </w:r>
      <w:r>
        <w:rPr>
          <w:rFonts w:eastAsia="Times New Roman"/>
          <w:color w:val="000000"/>
          <w:sz w:val="20"/>
          <w:szCs w:val="20"/>
        </w:rPr>
        <w:t xml:space="preserve"> the Bank were $3.2 billion. Applicable pr</w:t>
      </w:r>
      <w:r>
        <w:rPr>
          <w:rFonts w:eastAsia="Times New Roman"/>
          <w:color w:val="000000"/>
          <w:sz w:val="20"/>
          <w:szCs w:val="20"/>
        </w:rPr>
        <w:t>ovisions that may be contained in our borrowing agreements or the borrowing agreements of our subsidiaries may limit our subsidiaries’ ability to pay dividends to us or our ability to pay dividends to our stockholders. There can be no assurance that we wil</w:t>
      </w:r>
      <w:r>
        <w:rPr>
          <w:rFonts w:eastAsia="Times New Roman"/>
          <w:color w:val="000000"/>
          <w:sz w:val="20"/>
          <w:szCs w:val="20"/>
        </w:rPr>
        <w:t>l declare and pay any dividends to stockholders.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544760679"/>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544760679"/>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544760679"/>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178</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204" style="width:0;height:1.5pt" o:hralign="center" o:hrstd="t" o:hr="t" fillcolor="#a0a0a0" stroked="f"/>
        </w:pict>
      </w:r>
    </w:p>
    <w:p w:rsidR="00000000" w:rsidRDefault="0094004B">
      <w:pPr>
        <w:jc w:val="both"/>
        <w:divId w:val="1206991498"/>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1206991498"/>
        <w:rPr>
          <w:rFonts w:eastAsia="Times New Roman"/>
        </w:rPr>
      </w:pPr>
    </w:p>
    <w:p w:rsidR="00000000" w:rsidRDefault="0094004B">
      <w:pPr>
        <w:jc w:val="center"/>
        <w:divId w:val="1206991498"/>
        <w:rPr>
          <w:rFonts w:eastAsia="Times New Roman"/>
        </w:rPr>
      </w:pPr>
      <w:r>
        <w:rPr>
          <w:rFonts w:eastAsia="Times New Roman"/>
          <w:b/>
          <w:bCs/>
          <w:color w:val="000000"/>
          <w:sz w:val="20"/>
          <w:szCs w:val="20"/>
        </w:rPr>
        <w:t>CAPITAL ONE FINANCIAL CORPORATION</w:t>
      </w:r>
    </w:p>
    <w:p w:rsidR="00000000" w:rsidRDefault="0094004B">
      <w:pPr>
        <w:jc w:val="center"/>
        <w:divId w:val="1206991498"/>
        <w:rPr>
          <w:rFonts w:eastAsia="Times New Roman"/>
        </w:rPr>
      </w:pPr>
      <w:r>
        <w:rPr>
          <w:rFonts w:eastAsia="Times New Roman"/>
          <w:b/>
          <w:bCs/>
          <w:color w:val="000000"/>
          <w:sz w:val="20"/>
          <w:szCs w:val="20"/>
        </w:rPr>
        <w:t>NOTES TO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732705074"/>
        </w:trPr>
        <w:tc>
          <w:tcPr>
            <w:tcW w:w="50" w:type="pct"/>
            <w:vAlign w:val="center"/>
            <w:hideMark/>
          </w:tcPr>
          <w:p w:rsidR="00000000" w:rsidRDefault="0094004B">
            <w:pPr>
              <w:jc w:val="center"/>
              <w:rPr>
                <w:rFonts w:eastAsia="Times New Roman"/>
              </w:rPr>
            </w:pPr>
          </w:p>
        </w:tc>
        <w:tc>
          <w:tcPr>
            <w:tcW w:w="494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732705074"/>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20"/>
                <w:szCs w:val="20"/>
              </w:rPr>
              <w:t>NOTE 12—EARNINGS PER COMMON SHARE</w:t>
            </w:r>
          </w:p>
        </w:tc>
      </w:tr>
    </w:tbl>
    <w:p w:rsidR="00000000" w:rsidRDefault="0094004B">
      <w:pPr>
        <w:jc w:val="both"/>
        <w:divId w:val="1534539964"/>
        <w:rPr>
          <w:rFonts w:eastAsia="Times New Roman"/>
        </w:rPr>
      </w:pPr>
      <w:r>
        <w:rPr>
          <w:rFonts w:eastAsia="Times New Roman"/>
          <w:color w:val="000000"/>
          <w:sz w:val="20"/>
          <w:szCs w:val="20"/>
        </w:rPr>
        <w:t xml:space="preserve">The following table sets forth the computation of basic and diluted earnings per common share for the years ended December 31, 2022, 2021 and 2020. Dividends and undistributed earnings allocated to participating securities represent the application of the </w:t>
      </w:r>
      <w:r>
        <w:rPr>
          <w:rFonts w:eastAsia="Times New Roman"/>
          <w:color w:val="000000"/>
          <w:sz w:val="20"/>
          <w:szCs w:val="20"/>
        </w:rPr>
        <w:t>“two-class” method as described in “Note 1—Summary of Significant Accounting Policies.”</w:t>
      </w:r>
    </w:p>
    <w:p w:rsidR="00000000" w:rsidRDefault="0094004B">
      <w:pPr>
        <w:divId w:val="665598356"/>
        <w:rPr>
          <w:rFonts w:eastAsia="Times New Roman"/>
        </w:rPr>
      </w:pPr>
      <w:r>
        <w:rPr>
          <w:rFonts w:eastAsia="Times New Roman"/>
          <w:b/>
          <w:bCs/>
          <w:color w:val="000000"/>
          <w:sz w:val="18"/>
          <w:szCs w:val="18"/>
        </w:rPr>
        <w:t>Table 12.1: Computation of Basic and Diluted Earnings per Common Share</w:t>
      </w:r>
    </w:p>
    <w:tbl>
      <w:tblPr>
        <w:tblW w:w="5000" w:type="pct"/>
        <w:tblCellMar>
          <w:top w:w="15" w:type="dxa"/>
          <w:left w:w="15" w:type="dxa"/>
          <w:bottom w:w="15" w:type="dxa"/>
          <w:right w:w="15" w:type="dxa"/>
        </w:tblCellMar>
        <w:tblLook w:val="04A0" w:firstRow="1" w:lastRow="0" w:firstColumn="1" w:lastColumn="0" w:noHBand="0" w:noVBand="1"/>
      </w:tblPr>
      <w:tblGrid>
        <w:gridCol w:w="40"/>
        <w:gridCol w:w="5341"/>
        <w:gridCol w:w="39"/>
        <w:gridCol w:w="36"/>
        <w:gridCol w:w="36"/>
        <w:gridCol w:w="36"/>
        <w:gridCol w:w="36"/>
        <w:gridCol w:w="36"/>
        <w:gridCol w:w="36"/>
        <w:gridCol w:w="36"/>
        <w:gridCol w:w="110"/>
        <w:gridCol w:w="586"/>
        <w:gridCol w:w="36"/>
        <w:gridCol w:w="36"/>
        <w:gridCol w:w="36"/>
        <w:gridCol w:w="36"/>
        <w:gridCol w:w="110"/>
        <w:gridCol w:w="587"/>
        <w:gridCol w:w="36"/>
        <w:gridCol w:w="36"/>
        <w:gridCol w:w="36"/>
        <w:gridCol w:w="36"/>
        <w:gridCol w:w="110"/>
        <w:gridCol w:w="591"/>
        <w:gridCol w:w="36"/>
        <w:gridCol w:w="36"/>
        <w:gridCol w:w="36"/>
        <w:gridCol w:w="36"/>
        <w:gridCol w:w="36"/>
        <w:gridCol w:w="36"/>
        <w:gridCol w:w="36"/>
      </w:tblGrid>
      <w:tr w:rsidR="00000000">
        <w:trPr>
          <w:divId w:val="976841943"/>
        </w:trPr>
        <w:tc>
          <w:tcPr>
            <w:tcW w:w="50" w:type="pct"/>
            <w:vAlign w:val="center"/>
            <w:hideMark/>
          </w:tcPr>
          <w:p w:rsidR="00000000" w:rsidRDefault="0094004B">
            <w:pPr>
              <w:rPr>
                <w:rFonts w:eastAsia="Times New Roman"/>
              </w:rPr>
            </w:pPr>
          </w:p>
        </w:tc>
        <w:tc>
          <w:tcPr>
            <w:tcW w:w="340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3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3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1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0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76841943"/>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Year Ended December 31,</w:t>
            </w:r>
          </w:p>
        </w:tc>
        <w:tc>
          <w:tcPr>
            <w:tcW w:w="0" w:type="auto"/>
            <w:gridSpan w:val="3"/>
            <w:vAlign w:val="center"/>
            <w:hideMark/>
          </w:tcPr>
          <w:p w:rsidR="00000000" w:rsidRDefault="0094004B">
            <w:pPr>
              <w:spacing w:after="100"/>
              <w:jc w:val="center"/>
              <w:rPr>
                <w:rFonts w:eastAsia="Times New Roman"/>
              </w:rPr>
            </w:pPr>
          </w:p>
        </w:tc>
        <w:tc>
          <w:tcPr>
            <w:tcW w:w="0" w:type="auto"/>
            <w:gridSpan w:val="3"/>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976841943"/>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(Dollars and shares in millions, except per share data)</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2020</w:t>
            </w:r>
          </w:p>
        </w:tc>
        <w:tc>
          <w:tcPr>
            <w:tcW w:w="0" w:type="auto"/>
            <w:gridSpan w:val="3"/>
            <w:vAlign w:val="center"/>
            <w:hideMark/>
          </w:tcPr>
          <w:p w:rsidR="00000000" w:rsidRDefault="0094004B">
            <w:pPr>
              <w:spacing w:after="100"/>
              <w:jc w:val="center"/>
              <w:rPr>
                <w:rFonts w:eastAsia="Times New Roman"/>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76841943"/>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Income from continuing operations, net of tax</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7,360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12,394 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2,717 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76841943"/>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Income (loss) from discontinued operations, net of tax</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76841943"/>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Net income</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7,360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12,390 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2,714 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76841943"/>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Dividends and undistributed earnings allocated to participating securities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(88)</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(105)</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(20)</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76841943"/>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Preferred stock dividends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(228)</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(274)</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(280)</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76841943"/>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Issuance cost for redeemed preferred stock</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(46)</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(39)</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76841943"/>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Net income available to common stockholders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7,044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11,965 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2,375 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76841943"/>
          <w:trHeight w:val="240"/>
        </w:trPr>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76841943"/>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 weighted-average basic common shares outstanding</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391.8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442.5 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457.8 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76841943"/>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divId w:val="1782802248"/>
              <w:rPr>
                <w:rFonts w:eastAsia="Times New Roman"/>
              </w:rPr>
            </w:pPr>
            <w:r>
              <w:rPr>
                <w:rFonts w:eastAsia="Times New Roman"/>
                <w:color w:val="000000"/>
                <w:sz w:val="18"/>
                <w:szCs w:val="18"/>
              </w:rPr>
              <w:t>Effect of dilutive securities</w:t>
            </w:r>
            <w:r>
              <w:rPr>
                <w:rFonts w:eastAsia="Times New Roman"/>
                <w:color w:val="000000"/>
                <w:sz w:val="18"/>
                <w:szCs w:val="18"/>
              </w:rPr>
              <w:t>:</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76841943"/>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Stock options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0.7 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0.6 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76841943"/>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Other contingently issuable shares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0.5 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76841943"/>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 effect of dilutive securities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76841943"/>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 weighted-average diluted common shares outstanding</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393.2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444.2 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458.9 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76841943"/>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Basic earnings per common share:</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76841943"/>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Net income from continuing operations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17.98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27.05 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5.20 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76841943"/>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Income (loss) from discontinued operations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(0.01)</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(0.01)</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76841943"/>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Net income per basic common share</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17.98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27.04 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5.19 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76841943"/>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divId w:val="1230382718"/>
              <w:rPr>
                <w:rFonts w:eastAsia="Times New Roman"/>
              </w:rPr>
            </w:pPr>
            <w:r>
              <w:rPr>
                <w:rFonts w:eastAsia="Times New Roman"/>
                <w:b/>
                <w:bCs/>
                <w:color w:val="000000"/>
                <w:sz w:val="18"/>
                <w:szCs w:val="18"/>
              </w:rPr>
              <w:t>Diluted earnings per common share</w:t>
            </w:r>
            <w:r>
              <w:rPr>
                <w:rFonts w:eastAsia="Times New Roman"/>
                <w:b/>
                <w:bCs/>
                <w:color w:val="000000"/>
                <w:sz w:val="18"/>
                <w:szCs w:val="18"/>
              </w:rPr>
              <w:t>:</w:t>
            </w:r>
            <w:r>
              <w:rPr>
                <w:rFonts w:eastAsia="Times New Roman"/>
                <w:b/>
                <w:bCs/>
                <w:color w:val="000000"/>
                <w:sz w:val="12"/>
                <w:szCs w:val="12"/>
              </w:rPr>
              <w:t>(1</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76841943"/>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Net income from continuing operations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17.91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26.95 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5.19 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76841943"/>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Income (loss) from discontinued operations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(0.01)</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(0.01)</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76841943"/>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Net income per diluted common share</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17.91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26.94 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5.18 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bl>
    <w:p w:rsidR="00000000" w:rsidRDefault="0094004B">
      <w:pPr>
        <w:divId w:val="976841943"/>
        <w:rPr>
          <w:rFonts w:eastAsia="Times New Roman"/>
        </w:rPr>
      </w:pPr>
      <w:r>
        <w:rPr>
          <w:rFonts w:eastAsia="Times New Roman"/>
          <w:color w:val="000000"/>
          <w:sz w:val="20"/>
          <w:szCs w:val="20"/>
        </w:rPr>
        <w:t>__________</w:t>
      </w:r>
      <w:r>
        <w:rPr>
          <w:rFonts w:eastAsia="Times New Roman"/>
          <w:color w:val="000000"/>
          <w:sz w:val="16"/>
          <w:szCs w:val="16"/>
        </w:rPr>
        <w:t xml:space="preserve"> </w:t>
      </w:r>
    </w:p>
    <w:p w:rsidR="00000000" w:rsidRDefault="0094004B">
      <w:pPr>
        <w:ind w:hanging="360"/>
        <w:jc w:val="both"/>
        <w:divId w:val="448746591"/>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Excluded from the computation of diluted earnings per share were awards of 24 thousand shares and awards of 26 thousand shares for the years ended December 31, 2022 and 2021, </w:t>
      </w:r>
      <w:r>
        <w:rPr>
          <w:rFonts w:eastAsia="Times New Roman"/>
          <w:color w:val="000000"/>
          <w:sz w:val="16"/>
          <w:szCs w:val="16"/>
          <w:shd w:val="clear" w:color="auto" w:fill="FFFFFF"/>
        </w:rPr>
        <w:t>respectively,</w:t>
      </w:r>
      <w:r>
        <w:rPr>
          <w:rFonts w:eastAsia="Times New Roman"/>
          <w:color w:val="000000"/>
          <w:sz w:val="16"/>
          <w:szCs w:val="16"/>
        </w:rPr>
        <w:t xml:space="preserve"> awards of 6 thousand shares and options of 523 thousand </w:t>
      </w:r>
      <w:r>
        <w:rPr>
          <w:rFonts w:eastAsia="Times New Roman"/>
          <w:color w:val="000000"/>
          <w:sz w:val="16"/>
          <w:szCs w:val="16"/>
          <w:shd w:val="clear" w:color="auto" w:fill="FFFFFF"/>
        </w:rPr>
        <w:t>with an exe</w:t>
      </w:r>
      <w:r>
        <w:rPr>
          <w:rFonts w:eastAsia="Times New Roman"/>
          <w:color w:val="000000"/>
          <w:sz w:val="16"/>
          <w:szCs w:val="16"/>
          <w:shd w:val="clear" w:color="auto" w:fill="FFFFFF"/>
        </w:rPr>
        <w:t>rcise price ranging from $63.73 to $86.34 for the year ended December 31, 2020,</w:t>
      </w:r>
      <w:r>
        <w:rPr>
          <w:rFonts w:eastAsia="Times New Roman"/>
          <w:color w:val="000000"/>
          <w:sz w:val="16"/>
          <w:szCs w:val="16"/>
        </w:rPr>
        <w:t xml:space="preserve"> because their inclusion would be anti-dilutive. There were no anti-dilutive stock options for the years ended December 31, 2022 and 2021. </w:t>
      </w:r>
    </w:p>
    <w:p w:rsidR="00000000" w:rsidRDefault="0094004B">
      <w:pPr>
        <w:ind w:firstLine="720"/>
        <w:jc w:val="both"/>
        <w:divId w:val="1480609094"/>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323709722"/>
          <w:jc w:val="center"/>
        </w:trPr>
        <w:tc>
          <w:tcPr>
            <w:tcW w:w="50" w:type="pct"/>
            <w:vAlign w:val="center"/>
            <w:hideMark/>
          </w:tcPr>
          <w:p w:rsidR="00000000" w:rsidRDefault="0094004B">
            <w:pPr>
              <w:ind w:firstLine="720"/>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323709722"/>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323709722"/>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179</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205" style="width:0;height:1.5pt" o:hralign="center" o:hrstd="t" o:hr="t" fillcolor="#a0a0a0" stroked="f"/>
        </w:pict>
      </w:r>
    </w:p>
    <w:p w:rsidR="00000000" w:rsidRDefault="0094004B">
      <w:pPr>
        <w:jc w:val="both"/>
        <w:divId w:val="189223693"/>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189223693"/>
        <w:rPr>
          <w:rFonts w:eastAsia="Times New Roman"/>
        </w:rPr>
      </w:pPr>
    </w:p>
    <w:p w:rsidR="00000000" w:rsidRDefault="0094004B">
      <w:pPr>
        <w:jc w:val="center"/>
        <w:divId w:val="189223693"/>
        <w:rPr>
          <w:rFonts w:eastAsia="Times New Roman"/>
        </w:rPr>
      </w:pPr>
      <w:r>
        <w:rPr>
          <w:rFonts w:eastAsia="Times New Roman"/>
          <w:b/>
          <w:bCs/>
          <w:color w:val="000000"/>
          <w:sz w:val="20"/>
          <w:szCs w:val="20"/>
        </w:rPr>
        <w:t>CAPITAL ONE FINANCIAL CORPORATION</w:t>
      </w:r>
    </w:p>
    <w:p w:rsidR="00000000" w:rsidRDefault="0094004B">
      <w:pPr>
        <w:jc w:val="center"/>
        <w:divId w:val="189223693"/>
        <w:rPr>
          <w:rFonts w:eastAsia="Times New Roman"/>
        </w:rPr>
      </w:pPr>
      <w:r>
        <w:rPr>
          <w:rFonts w:eastAsia="Times New Roman"/>
          <w:b/>
          <w:bCs/>
          <w:color w:val="000000"/>
          <w:sz w:val="20"/>
          <w:szCs w:val="20"/>
        </w:rPr>
        <w:t>NOTES TO CONSOLIDATED FINANCIAL STATEMENTS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29515434"/>
          <w:jc w:val="center"/>
        </w:trPr>
        <w:tc>
          <w:tcPr>
            <w:tcW w:w="50" w:type="pct"/>
            <w:vAlign w:val="center"/>
            <w:hideMark/>
          </w:tcPr>
          <w:p w:rsidR="00000000" w:rsidRDefault="0094004B">
            <w:pPr>
              <w:jc w:val="center"/>
              <w:rPr>
                <w:rFonts w:eastAsia="Times New Roman"/>
              </w:rPr>
            </w:pPr>
          </w:p>
        </w:tc>
        <w:tc>
          <w:tcPr>
            <w:tcW w:w="494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29515434"/>
          <w:jc w:val="center"/>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20"/>
                <w:szCs w:val="20"/>
              </w:rPr>
              <w:t>NOTE 13—STOCK-BASED COMPENSATION PLANS</w:t>
            </w:r>
          </w:p>
        </w:tc>
      </w:tr>
    </w:tbl>
    <w:p w:rsidR="00000000" w:rsidRDefault="0094004B">
      <w:pPr>
        <w:divId w:val="1901165470"/>
        <w:rPr>
          <w:rFonts w:eastAsia="Times New Roman"/>
        </w:rPr>
      </w:pPr>
      <w:r>
        <w:rPr>
          <w:rFonts w:eastAsia="Times New Roman"/>
          <w:b/>
          <w:bCs/>
          <w:color w:val="000000"/>
          <w:sz w:val="20"/>
          <w:szCs w:val="20"/>
        </w:rPr>
        <w:t>Stock Plans</w:t>
      </w:r>
    </w:p>
    <w:p w:rsidR="00000000" w:rsidRDefault="0094004B">
      <w:pPr>
        <w:jc w:val="both"/>
        <w:divId w:val="2117362015"/>
        <w:rPr>
          <w:rFonts w:eastAsia="Times New Roman"/>
        </w:rPr>
      </w:pPr>
      <w:r>
        <w:rPr>
          <w:rFonts w:eastAsia="Times New Roman"/>
          <w:color w:val="000000"/>
          <w:sz w:val="20"/>
          <w:szCs w:val="20"/>
        </w:rPr>
        <w:t>We have one active stock-based compensation plan available for the issuance of shares to employees and directors. As of December 31, 2022, under the Amended and Restated 2004 Stock Incentive plan (“2004 Plan”), we are authorized to issue 67 mil</w:t>
      </w:r>
      <w:r>
        <w:rPr>
          <w:rFonts w:eastAsia="Times New Roman"/>
          <w:color w:val="000000"/>
          <w:sz w:val="20"/>
          <w:szCs w:val="20"/>
        </w:rPr>
        <w:t>lion common shares in various forms, primarily share-settled RSUs, performance share units (“PSUs”), and non-qualified stock options. Of this amount, approximately 13 million shares remain available for future issuance as of December 31, 2022. The 2004 Pla</w:t>
      </w:r>
      <w:r>
        <w:rPr>
          <w:rFonts w:eastAsia="Times New Roman"/>
          <w:color w:val="000000"/>
          <w:sz w:val="20"/>
          <w:szCs w:val="20"/>
        </w:rPr>
        <w:t xml:space="preserve">n permits the use of newly issued shares or treasury shares upon the settlement of options and stock-based incentive awards, and we generally settle by issuing new shares. </w:t>
      </w:r>
    </w:p>
    <w:p w:rsidR="00000000" w:rsidRDefault="0094004B">
      <w:pPr>
        <w:jc w:val="both"/>
        <w:divId w:val="804078619"/>
        <w:rPr>
          <w:rFonts w:eastAsia="Times New Roman"/>
        </w:rPr>
      </w:pPr>
      <w:r>
        <w:rPr>
          <w:rFonts w:eastAsia="Times New Roman"/>
          <w:color w:val="000000"/>
          <w:sz w:val="20"/>
          <w:szCs w:val="20"/>
        </w:rPr>
        <w:t>We also issue cash-settled restricted stock units. These cash-settled units are not</w:t>
      </w:r>
      <w:r>
        <w:rPr>
          <w:rFonts w:eastAsia="Times New Roman"/>
          <w:color w:val="000000"/>
          <w:sz w:val="20"/>
          <w:szCs w:val="20"/>
        </w:rPr>
        <w:t xml:space="preserve"> counted against the common shares authorized for issuance or available for issuance under the 2004 Plan. Cash-settled units vesting during 2022, 2021 and 2020 resulted in cash payments to associates of $8 million, $7 million and $12 million, respectively.</w:t>
      </w:r>
      <w:r>
        <w:rPr>
          <w:rFonts w:eastAsia="Times New Roman"/>
          <w:color w:val="000000"/>
          <w:sz w:val="20"/>
          <w:szCs w:val="20"/>
        </w:rPr>
        <w:t xml:space="preserve"> There was no unrecognized compensation cost for unvested cash-settled units as of December 31, 2022. </w:t>
      </w:r>
    </w:p>
    <w:p w:rsidR="00000000" w:rsidRDefault="0094004B">
      <w:pPr>
        <w:jc w:val="both"/>
        <w:divId w:val="1497116042"/>
        <w:rPr>
          <w:rFonts w:eastAsia="Times New Roman"/>
        </w:rPr>
      </w:pPr>
      <w:r>
        <w:rPr>
          <w:rFonts w:eastAsia="Times New Roman"/>
          <w:color w:val="000000"/>
          <w:sz w:val="20"/>
          <w:szCs w:val="20"/>
        </w:rPr>
        <w:t>Total stock-based compensation expense recognized during 2022, 2021 and 2020 was $314 million, $331 million and $203 million, respectively. The total inc</w:t>
      </w:r>
      <w:r>
        <w:rPr>
          <w:rFonts w:eastAsia="Times New Roman"/>
          <w:color w:val="000000"/>
          <w:sz w:val="20"/>
          <w:szCs w:val="20"/>
        </w:rPr>
        <w:t>ome tax benefit for stock-based compensation recognized during 2022, 2021 and 2020 was $75 million, $62 million and $43 million, respectively.</w:t>
      </w:r>
    </w:p>
    <w:p w:rsidR="00000000" w:rsidRDefault="0094004B">
      <w:pPr>
        <w:jc w:val="both"/>
        <w:divId w:val="741682203"/>
        <w:rPr>
          <w:rFonts w:eastAsia="Times New Roman"/>
        </w:rPr>
      </w:pPr>
      <w:r>
        <w:rPr>
          <w:rFonts w:eastAsia="Times New Roman"/>
          <w:color w:val="000000"/>
          <w:sz w:val="20"/>
          <w:szCs w:val="20"/>
        </w:rPr>
        <w:t>In addition, we maintain an Associate Stock Purchase Plan (“Purchase Plan”), which is a compensatory plan under t</w:t>
      </w:r>
      <w:r>
        <w:rPr>
          <w:rFonts w:eastAsia="Times New Roman"/>
          <w:color w:val="000000"/>
          <w:sz w:val="20"/>
          <w:szCs w:val="20"/>
        </w:rPr>
        <w:t>he accounting guidance for stock-based compensation. Related to the Purchase Plan, we recognized compensation expense of $36 million, $33 million and $30 million for 2022, 2021 and 2020, respectively. We also maintain a Dividend Reinvestment and Stock Purc</w:t>
      </w:r>
      <w:r>
        <w:rPr>
          <w:rFonts w:eastAsia="Times New Roman"/>
          <w:color w:val="000000"/>
          <w:sz w:val="20"/>
          <w:szCs w:val="20"/>
        </w:rPr>
        <w:t>hase Plan, which allows participating stockholders to purchase additional shares of our common stock through automatic reinvestment of dividends or optional cash investments.</w:t>
      </w:r>
    </w:p>
    <w:p w:rsidR="00000000" w:rsidRDefault="0094004B">
      <w:pPr>
        <w:divId w:val="165368529"/>
        <w:rPr>
          <w:rFonts w:eastAsia="Times New Roman"/>
        </w:rPr>
      </w:pPr>
      <w:r>
        <w:rPr>
          <w:rFonts w:eastAsia="Times New Roman"/>
          <w:b/>
          <w:bCs/>
          <w:i/>
          <w:iCs/>
          <w:color w:val="000000"/>
          <w:sz w:val="20"/>
          <w:szCs w:val="20"/>
        </w:rPr>
        <w:t>Restricted Stock Units and Performance Share Units</w:t>
      </w:r>
    </w:p>
    <w:p w:rsidR="00000000" w:rsidRDefault="0094004B">
      <w:pPr>
        <w:jc w:val="both"/>
        <w:divId w:val="1060596053"/>
        <w:rPr>
          <w:rFonts w:eastAsia="Times New Roman"/>
        </w:rPr>
      </w:pPr>
      <w:r>
        <w:rPr>
          <w:rFonts w:eastAsia="Times New Roman"/>
          <w:color w:val="000000"/>
          <w:sz w:val="20"/>
          <w:szCs w:val="20"/>
        </w:rPr>
        <w:t>RSUs represent share-settled a</w:t>
      </w:r>
      <w:r>
        <w:rPr>
          <w:rFonts w:eastAsia="Times New Roman"/>
          <w:color w:val="000000"/>
          <w:sz w:val="20"/>
          <w:szCs w:val="20"/>
        </w:rPr>
        <w:t>wards that do not contain performance conditions and are granted to certain employees at no cost to the recipient. RSUs generally vest over three years from the date of grant; however, some RSUs cliff vest on or shortly after the first or third anniversary</w:t>
      </w:r>
      <w:r>
        <w:rPr>
          <w:rFonts w:eastAsia="Times New Roman"/>
          <w:color w:val="000000"/>
          <w:sz w:val="20"/>
          <w:szCs w:val="20"/>
        </w:rPr>
        <w:t xml:space="preserve"> of the grant date. RSUs are subject to forfeiture until certain restrictions have lapsed, including continued employment for a specified period of time.</w:t>
      </w:r>
    </w:p>
    <w:p w:rsidR="00000000" w:rsidRDefault="0094004B">
      <w:pPr>
        <w:jc w:val="both"/>
        <w:divId w:val="77599664"/>
        <w:rPr>
          <w:rFonts w:eastAsia="Times New Roman"/>
        </w:rPr>
      </w:pPr>
      <w:r>
        <w:rPr>
          <w:rFonts w:eastAsia="Times New Roman"/>
          <w:color w:val="000000"/>
          <w:sz w:val="20"/>
          <w:szCs w:val="20"/>
        </w:rPr>
        <w:t>PSUs represent share-settled awards that contain performance conditions and are granted to certain employees at no cost to the recipient. PSUs generally vest over three years from the date of grant; however, some PSUs cliff vest on or shortly after the thi</w:t>
      </w:r>
      <w:r>
        <w:rPr>
          <w:rFonts w:eastAsia="Times New Roman"/>
          <w:color w:val="000000"/>
          <w:sz w:val="20"/>
          <w:szCs w:val="20"/>
        </w:rPr>
        <w:t>rd anniversary of the grant date. The number of PSUs that step vest over three years can be reduced by 50% or 100% depending on whether specific performance goals are met during the vesting period. The number of three-year cliff vesting PSUs that will ulti</w:t>
      </w:r>
      <w:r>
        <w:rPr>
          <w:rFonts w:eastAsia="Times New Roman"/>
          <w:color w:val="000000"/>
          <w:sz w:val="20"/>
          <w:szCs w:val="20"/>
        </w:rPr>
        <w:t>mately vest is contingent upon meeting specific performance goals over a three-year period. These PSUs also include an opportunity to receive from 0% to 150% of the target number of common shares.</w:t>
      </w:r>
    </w:p>
    <w:p w:rsidR="00000000" w:rsidRDefault="0094004B">
      <w:pPr>
        <w:jc w:val="both"/>
        <w:divId w:val="1276596848"/>
        <w:rPr>
          <w:rFonts w:eastAsia="Times New Roman"/>
        </w:rPr>
      </w:pPr>
      <w:r>
        <w:rPr>
          <w:rFonts w:eastAsia="Times New Roman"/>
          <w:color w:val="000000"/>
          <w:sz w:val="20"/>
          <w:szCs w:val="20"/>
        </w:rPr>
        <w:t>A recipient of an RSU or PSU is entitled to receive a share</w:t>
      </w:r>
      <w:r>
        <w:rPr>
          <w:rFonts w:eastAsia="Times New Roman"/>
          <w:color w:val="000000"/>
          <w:sz w:val="20"/>
          <w:szCs w:val="20"/>
        </w:rPr>
        <w:t xml:space="preserve"> of common stock after the applicable restrictions lapse and is generally entitled to receive cash payments or additional shares of common stock equivalent to any dividends paid on the underlying common stock during the period the RSU or PSU is outstanding</w:t>
      </w:r>
      <w:r>
        <w:rPr>
          <w:rFonts w:eastAsia="Times New Roman"/>
          <w:color w:val="000000"/>
          <w:sz w:val="20"/>
          <w:szCs w:val="20"/>
        </w:rPr>
        <w:t>, but is not entitled to voting rights. Generally, the value of RSUs and PSUs will equal the fair value of our common stock on the date of grant and the expense is recognized over the vesting period. Certain PSUs have discretionary vesting conditions and a</w:t>
      </w:r>
      <w:r>
        <w:rPr>
          <w:rFonts w:eastAsia="Times New Roman"/>
          <w:color w:val="000000"/>
          <w:sz w:val="20"/>
          <w:szCs w:val="20"/>
        </w:rPr>
        <w:t xml:space="preserve">re remeasured at fair value each reporting period.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317734360"/>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317734360"/>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317734360"/>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180</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206" style="width:0;height:1.5pt" o:hralign="center" o:hrstd="t" o:hr="t" fillcolor="#a0a0a0" stroked="f"/>
        </w:pict>
      </w:r>
    </w:p>
    <w:p w:rsidR="00000000" w:rsidRDefault="0094004B">
      <w:pPr>
        <w:jc w:val="both"/>
        <w:divId w:val="1664503780"/>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1664503780"/>
        <w:rPr>
          <w:rFonts w:eastAsia="Times New Roman"/>
        </w:rPr>
      </w:pPr>
    </w:p>
    <w:p w:rsidR="00000000" w:rsidRDefault="0094004B">
      <w:pPr>
        <w:jc w:val="center"/>
        <w:divId w:val="1664503780"/>
        <w:rPr>
          <w:rFonts w:eastAsia="Times New Roman"/>
        </w:rPr>
      </w:pPr>
      <w:r>
        <w:rPr>
          <w:rFonts w:eastAsia="Times New Roman"/>
          <w:b/>
          <w:bCs/>
          <w:color w:val="000000"/>
          <w:sz w:val="20"/>
          <w:szCs w:val="20"/>
        </w:rPr>
        <w:t>CAPITAL ONE FINANCIAL CORPORATION</w:t>
      </w:r>
    </w:p>
    <w:p w:rsidR="00000000" w:rsidRDefault="0094004B">
      <w:pPr>
        <w:jc w:val="center"/>
        <w:divId w:val="1664503780"/>
        <w:rPr>
          <w:rFonts w:eastAsia="Times New Roman"/>
        </w:rPr>
      </w:pPr>
      <w:r>
        <w:rPr>
          <w:rFonts w:eastAsia="Times New Roman"/>
          <w:b/>
          <w:bCs/>
          <w:color w:val="000000"/>
          <w:sz w:val="20"/>
          <w:szCs w:val="20"/>
        </w:rPr>
        <w:t>NOTES TO CONSOLIDATED FINANCIAL STATEMENTS</w:t>
      </w:r>
    </w:p>
    <w:p w:rsidR="00000000" w:rsidRDefault="0094004B">
      <w:pPr>
        <w:jc w:val="both"/>
        <w:divId w:val="2099591175"/>
        <w:rPr>
          <w:rFonts w:eastAsia="Times New Roman"/>
        </w:rPr>
      </w:pPr>
      <w:r>
        <w:rPr>
          <w:rFonts w:eastAsia="Times New Roman"/>
          <w:color w:val="000000"/>
          <w:sz w:val="20"/>
          <w:szCs w:val="20"/>
        </w:rPr>
        <w:t>The following table presents a summary of 2022 activity for RSUs and PSUs.</w:t>
      </w:r>
    </w:p>
    <w:p w:rsidR="00000000" w:rsidRDefault="0094004B">
      <w:pPr>
        <w:divId w:val="75060990"/>
        <w:rPr>
          <w:rFonts w:eastAsia="Times New Roman"/>
        </w:rPr>
      </w:pPr>
      <w:r>
        <w:rPr>
          <w:rFonts w:eastAsia="Times New Roman"/>
          <w:b/>
          <w:bCs/>
          <w:color w:val="000000"/>
          <w:sz w:val="18"/>
          <w:szCs w:val="18"/>
        </w:rPr>
        <w:t>Table 13.1: Summary of Restricted Stock Units and Performance Share Units</w:t>
      </w:r>
    </w:p>
    <w:tbl>
      <w:tblPr>
        <w:tblW w:w="5000" w:type="pct"/>
        <w:tblCellMar>
          <w:top w:w="15" w:type="dxa"/>
          <w:left w:w="15" w:type="dxa"/>
          <w:bottom w:w="15" w:type="dxa"/>
          <w:right w:w="15" w:type="dxa"/>
        </w:tblCellMar>
        <w:tblLook w:val="04A0" w:firstRow="1" w:lastRow="0" w:firstColumn="1" w:lastColumn="0" w:noHBand="0" w:noVBand="1"/>
      </w:tblPr>
      <w:tblGrid>
        <w:gridCol w:w="40"/>
        <w:gridCol w:w="4582"/>
        <w:gridCol w:w="37"/>
        <w:gridCol w:w="36"/>
        <w:gridCol w:w="36"/>
        <w:gridCol w:w="36"/>
        <w:gridCol w:w="85"/>
        <w:gridCol w:w="460"/>
        <w:gridCol w:w="36"/>
        <w:gridCol w:w="36"/>
        <w:gridCol w:w="36"/>
        <w:gridCol w:w="36"/>
        <w:gridCol w:w="111"/>
        <w:gridCol w:w="923"/>
        <w:gridCol w:w="37"/>
        <w:gridCol w:w="36"/>
        <w:gridCol w:w="36"/>
        <w:gridCol w:w="36"/>
        <w:gridCol w:w="73"/>
        <w:gridCol w:w="398"/>
        <w:gridCol w:w="38"/>
        <w:gridCol w:w="37"/>
        <w:gridCol w:w="36"/>
        <w:gridCol w:w="36"/>
        <w:gridCol w:w="111"/>
        <w:gridCol w:w="905"/>
        <w:gridCol w:w="37"/>
      </w:tblGrid>
      <w:tr w:rsidR="00000000">
        <w:trPr>
          <w:divId w:val="257563649"/>
        </w:trPr>
        <w:tc>
          <w:tcPr>
            <w:tcW w:w="50" w:type="pct"/>
            <w:vAlign w:val="center"/>
            <w:hideMark/>
          </w:tcPr>
          <w:p w:rsidR="00000000" w:rsidRDefault="0094004B">
            <w:pPr>
              <w:rPr>
                <w:rFonts w:eastAsia="Times New Roman"/>
              </w:rPr>
            </w:pPr>
          </w:p>
        </w:tc>
        <w:tc>
          <w:tcPr>
            <w:tcW w:w="2781"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7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62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7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62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257563649"/>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Restricted Stock Units</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Performance Share Unit</w:t>
            </w:r>
            <w:r>
              <w:rPr>
                <w:rFonts w:eastAsia="Times New Roman"/>
                <w:b/>
                <w:bCs/>
                <w:color w:val="000000"/>
                <w:sz w:val="16"/>
                <w:szCs w:val="16"/>
              </w:rPr>
              <w:t>s</w:t>
            </w:r>
            <w:r>
              <w:rPr>
                <w:rFonts w:eastAsia="Times New Roman"/>
                <w:b/>
                <w:bCs/>
                <w:color w:val="000000"/>
                <w:sz w:val="10"/>
                <w:szCs w:val="10"/>
              </w:rPr>
              <w:t>(1</w:t>
            </w:r>
            <w:r>
              <w:rPr>
                <w:rFonts w:eastAsia="Times New Roman"/>
                <w:b/>
                <w:bCs/>
                <w:color w:val="000000"/>
                <w:sz w:val="10"/>
                <w:szCs w:val="10"/>
              </w:rPr>
              <w:t>)</w:t>
            </w:r>
          </w:p>
        </w:tc>
      </w:tr>
      <w:tr w:rsidR="00000000">
        <w:trPr>
          <w:divId w:val="257563649"/>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(Shares/units in thousands)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 xml:space="preserve">Units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Weighted-Average</w:t>
            </w:r>
            <w:r>
              <w:rPr>
                <w:rFonts w:eastAsia="Times New Roman"/>
                <w:b/>
                <w:bCs/>
                <w:color w:val="000000"/>
                <w:sz w:val="16"/>
                <w:szCs w:val="16"/>
              </w:rPr>
              <w:br/>
              <w:t>Grant Date</w:t>
            </w:r>
            <w:r>
              <w:rPr>
                <w:rFonts w:eastAsia="Times New Roman"/>
                <w:b/>
                <w:bCs/>
                <w:color w:val="000000"/>
                <w:sz w:val="16"/>
                <w:szCs w:val="16"/>
              </w:rPr>
              <w:br/>
              <w:t>Fair Value</w:t>
            </w:r>
            <w:r>
              <w:rPr>
                <w:rFonts w:eastAsia="Times New Roman"/>
                <w:b/>
                <w:bCs/>
                <w:color w:val="000000"/>
                <w:sz w:val="16"/>
                <w:szCs w:val="16"/>
              </w:rPr>
              <w:br/>
              <w:t>per Unit</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Units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Weighted-Average</w:t>
            </w:r>
            <w:r>
              <w:rPr>
                <w:rFonts w:eastAsia="Times New Roman"/>
                <w:b/>
                <w:bCs/>
                <w:color w:val="000000"/>
                <w:sz w:val="16"/>
                <w:szCs w:val="16"/>
              </w:rPr>
              <w:br/>
              <w:t>Grant Date</w:t>
            </w:r>
            <w:r>
              <w:rPr>
                <w:rFonts w:eastAsia="Times New Roman"/>
                <w:b/>
                <w:bCs/>
                <w:color w:val="000000"/>
                <w:sz w:val="16"/>
                <w:szCs w:val="16"/>
              </w:rPr>
              <w:br/>
              <w:t>Fair Value</w:t>
            </w:r>
            <w:r>
              <w:rPr>
                <w:rFonts w:eastAsia="Times New Roman"/>
                <w:b/>
                <w:bCs/>
                <w:color w:val="000000"/>
                <w:sz w:val="16"/>
                <w:szCs w:val="16"/>
              </w:rPr>
              <w:br/>
              <w:t>per Unit</w:t>
            </w:r>
          </w:p>
        </w:tc>
      </w:tr>
      <w:tr w:rsidR="00000000">
        <w:trPr>
          <w:divId w:val="257563649"/>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Unvested as of January 1, 2022</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4,110 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104.50 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1,765 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102.84 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257563649"/>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divId w:val="1693459423"/>
              <w:rPr>
                <w:rFonts w:eastAsia="Times New Roman"/>
              </w:rPr>
            </w:pPr>
            <w:r>
              <w:rPr>
                <w:rFonts w:eastAsia="Times New Roman"/>
                <w:color w:val="000000"/>
                <w:sz w:val="18"/>
                <w:szCs w:val="18"/>
              </w:rPr>
              <w:t>Grante</w:t>
            </w:r>
            <w:r>
              <w:rPr>
                <w:rFonts w:eastAsia="Times New Roman"/>
                <w:color w:val="000000"/>
                <w:sz w:val="18"/>
                <w:szCs w:val="18"/>
              </w:rPr>
              <w:t>d</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2,987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141.71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870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139.00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257563649"/>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Vested</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(1,696)</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103.43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(888)</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93.37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257563649"/>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Forfeited</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(345)</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132.68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(44)</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129.28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257563649"/>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Unvested as of December 31, 2022</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5,056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124.92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1,703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125.55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bl>
    <w:p w:rsidR="00000000" w:rsidRDefault="0094004B">
      <w:pPr>
        <w:divId w:val="257563649"/>
        <w:rPr>
          <w:rFonts w:eastAsia="Times New Roman"/>
        </w:rPr>
      </w:pPr>
      <w:r>
        <w:rPr>
          <w:rFonts w:eastAsia="Times New Roman"/>
          <w:color w:val="000000"/>
          <w:sz w:val="20"/>
          <w:szCs w:val="20"/>
        </w:rPr>
        <w:t>_________</w:t>
      </w:r>
    </w:p>
    <w:p w:rsidR="00000000" w:rsidRDefault="0094004B">
      <w:pPr>
        <w:ind w:hanging="360"/>
        <w:jc w:val="both"/>
        <w:divId w:val="1426463811"/>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Granted and vested include adjustments for achievement of specific performance goals for performance share units granted in prior periods.</w:t>
      </w:r>
    </w:p>
    <w:p w:rsidR="00000000" w:rsidRDefault="0094004B">
      <w:pPr>
        <w:ind w:hanging="360"/>
        <w:jc w:val="both"/>
        <w:divId w:val="1360161327"/>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The weighted-average grant date fair value of RSUs was $127.37 and $92.04 in 2021 and 2020, respectively. The weig</w:t>
      </w:r>
      <w:r>
        <w:rPr>
          <w:rFonts w:eastAsia="Times New Roman"/>
          <w:color w:val="000000"/>
          <w:sz w:val="16"/>
          <w:szCs w:val="16"/>
        </w:rPr>
        <w:t>hted-average grant date fair value of PSUs was $112.51 and $100.04 in 2021 and 2020, respectively.</w:t>
      </w:r>
    </w:p>
    <w:p w:rsidR="00000000" w:rsidRDefault="0094004B">
      <w:pPr>
        <w:jc w:val="both"/>
        <w:divId w:val="1077435453"/>
        <w:rPr>
          <w:rFonts w:eastAsia="Times New Roman"/>
        </w:rPr>
      </w:pPr>
      <w:r>
        <w:rPr>
          <w:rFonts w:eastAsia="Times New Roman"/>
          <w:color w:val="000000"/>
          <w:sz w:val="20"/>
          <w:szCs w:val="20"/>
        </w:rPr>
        <w:t>The total fair value of RSUs that vested during 2022, 2021 and 2020 was $248 million, $202 million and $140 million, respectively. The total fair value of PS</w:t>
      </w:r>
      <w:r>
        <w:rPr>
          <w:rFonts w:eastAsia="Times New Roman"/>
          <w:color w:val="000000"/>
          <w:sz w:val="20"/>
          <w:szCs w:val="20"/>
        </w:rPr>
        <w:t>Us that vested was $127 million, $94 million and $82 million in 2022, 2021 and 2020, respectively. As of December 31, 2022, the unrecognized compensation expense related to unvested RSUs is $372 million, which is expected to be amortized over a weighted-av</w:t>
      </w:r>
      <w:r>
        <w:rPr>
          <w:rFonts w:eastAsia="Times New Roman"/>
          <w:color w:val="000000"/>
          <w:sz w:val="20"/>
          <w:szCs w:val="20"/>
        </w:rPr>
        <w:t>erage period of approximately 1.9 years; and the unrecognized compensation related to unvested PSUs was $31 million, which is expected to be amortized over a weighted-average period of approximately one year.</w:t>
      </w:r>
    </w:p>
    <w:p w:rsidR="00000000" w:rsidRDefault="0094004B">
      <w:pPr>
        <w:divId w:val="564726239"/>
        <w:rPr>
          <w:rFonts w:eastAsia="Times New Roman"/>
        </w:rPr>
      </w:pPr>
      <w:r>
        <w:rPr>
          <w:rFonts w:eastAsia="Times New Roman"/>
          <w:b/>
          <w:bCs/>
          <w:i/>
          <w:iCs/>
          <w:color w:val="000000"/>
          <w:sz w:val="20"/>
          <w:szCs w:val="20"/>
        </w:rPr>
        <w:t>Stock Options</w:t>
      </w:r>
    </w:p>
    <w:p w:rsidR="00000000" w:rsidRDefault="0094004B">
      <w:pPr>
        <w:jc w:val="both"/>
        <w:divId w:val="890923691"/>
        <w:rPr>
          <w:rFonts w:eastAsia="Times New Roman"/>
        </w:rPr>
      </w:pPr>
      <w:r>
        <w:rPr>
          <w:rFonts w:eastAsia="Times New Roman"/>
          <w:color w:val="000000"/>
          <w:sz w:val="20"/>
          <w:szCs w:val="20"/>
        </w:rPr>
        <w:t>Stock options have a maximum cont</w:t>
      </w:r>
      <w:r>
        <w:rPr>
          <w:rFonts w:eastAsia="Times New Roman"/>
          <w:color w:val="000000"/>
          <w:sz w:val="20"/>
          <w:szCs w:val="20"/>
        </w:rPr>
        <w:t>ractual term of 10 years. Generally, the exercise price of stock options will equal the fair market value of our common stock on the date of grant. Option vesting is determined at the time of grant and may be subject to the achievement of any applicable pe</w:t>
      </w:r>
      <w:r>
        <w:rPr>
          <w:rFonts w:eastAsia="Times New Roman"/>
          <w:color w:val="000000"/>
          <w:sz w:val="20"/>
          <w:szCs w:val="20"/>
        </w:rPr>
        <w:t>rformance conditions. Options generally become exercisable over three years beginning on the first anniversary of the date of grant; however, some option grants cliff vest on or shortly after the first or third anniversary of the grant date.</w:t>
      </w:r>
    </w:p>
    <w:p w:rsidR="00000000" w:rsidRDefault="0094004B">
      <w:pPr>
        <w:jc w:val="both"/>
        <w:divId w:val="1142816817"/>
        <w:rPr>
          <w:rFonts w:eastAsia="Times New Roman"/>
        </w:rPr>
      </w:pPr>
      <w:r>
        <w:rPr>
          <w:rFonts w:eastAsia="Times New Roman"/>
          <w:color w:val="000000"/>
          <w:sz w:val="20"/>
          <w:szCs w:val="20"/>
        </w:rPr>
        <w:t xml:space="preserve">The following </w:t>
      </w:r>
      <w:r>
        <w:rPr>
          <w:rFonts w:eastAsia="Times New Roman"/>
          <w:color w:val="000000"/>
          <w:sz w:val="20"/>
          <w:szCs w:val="20"/>
        </w:rPr>
        <w:t>table presents a summary of 2022 activity for stock options and the balance of stock options exercisable as of December 31, 2022.</w:t>
      </w:r>
    </w:p>
    <w:p w:rsidR="00000000" w:rsidRDefault="0094004B">
      <w:pPr>
        <w:divId w:val="1384866403"/>
        <w:rPr>
          <w:rFonts w:eastAsia="Times New Roman"/>
        </w:rPr>
      </w:pPr>
      <w:r>
        <w:rPr>
          <w:rFonts w:eastAsia="Times New Roman"/>
          <w:b/>
          <w:bCs/>
          <w:color w:val="000000"/>
          <w:sz w:val="18"/>
          <w:szCs w:val="18"/>
        </w:rPr>
        <w:t>Table 13.2: Summary of Stock Options Activity</w:t>
      </w:r>
    </w:p>
    <w:tbl>
      <w:tblPr>
        <w:tblW w:w="4963" w:type="pct"/>
        <w:tblCellMar>
          <w:top w:w="15" w:type="dxa"/>
          <w:left w:w="15" w:type="dxa"/>
          <w:bottom w:w="15" w:type="dxa"/>
          <w:right w:w="15" w:type="dxa"/>
        </w:tblCellMar>
        <w:tblLook w:val="04A0" w:firstRow="1" w:lastRow="0" w:firstColumn="1" w:lastColumn="0" w:noHBand="0" w:noVBand="1"/>
      </w:tblPr>
      <w:tblGrid>
        <w:gridCol w:w="47"/>
        <w:gridCol w:w="4262"/>
        <w:gridCol w:w="37"/>
        <w:gridCol w:w="36"/>
        <w:gridCol w:w="36"/>
        <w:gridCol w:w="36"/>
        <w:gridCol w:w="55"/>
        <w:gridCol w:w="724"/>
        <w:gridCol w:w="36"/>
        <w:gridCol w:w="36"/>
        <w:gridCol w:w="36"/>
        <w:gridCol w:w="36"/>
        <w:gridCol w:w="111"/>
        <w:gridCol w:w="757"/>
        <w:gridCol w:w="36"/>
        <w:gridCol w:w="36"/>
        <w:gridCol w:w="36"/>
        <w:gridCol w:w="36"/>
        <w:gridCol w:w="79"/>
        <w:gridCol w:w="781"/>
        <w:gridCol w:w="36"/>
        <w:gridCol w:w="36"/>
        <w:gridCol w:w="36"/>
        <w:gridCol w:w="36"/>
        <w:gridCol w:w="111"/>
        <w:gridCol w:w="705"/>
        <w:gridCol w:w="36"/>
      </w:tblGrid>
      <w:tr w:rsidR="00000000">
        <w:trPr>
          <w:divId w:val="608198435"/>
        </w:trPr>
        <w:tc>
          <w:tcPr>
            <w:tcW w:w="50" w:type="pct"/>
            <w:vAlign w:val="center"/>
            <w:hideMark/>
          </w:tcPr>
          <w:p w:rsidR="00000000" w:rsidRDefault="0094004B">
            <w:pPr>
              <w:rPr>
                <w:rFonts w:eastAsia="Times New Roman"/>
              </w:rPr>
            </w:pPr>
          </w:p>
        </w:tc>
        <w:tc>
          <w:tcPr>
            <w:tcW w:w="260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8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9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9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9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608198435"/>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(Shares in thousands, and intrinsic value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Shares</w:t>
            </w:r>
            <w:r>
              <w:rPr>
                <w:rFonts w:eastAsia="Times New Roman"/>
                <w:b/>
                <w:bCs/>
                <w:color w:val="000000"/>
                <w:sz w:val="16"/>
                <w:szCs w:val="16"/>
              </w:rPr>
              <w:br/>
              <w:t>Subject to</w:t>
            </w:r>
            <w:r>
              <w:rPr>
                <w:rFonts w:eastAsia="Times New Roman"/>
                <w:b/>
                <w:bCs/>
                <w:color w:val="000000"/>
                <w:sz w:val="16"/>
                <w:szCs w:val="16"/>
              </w:rPr>
              <w:br/>
              <w:t>Options</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Exercise</w:t>
            </w:r>
            <w:r>
              <w:rPr>
                <w:rFonts w:eastAsia="Times New Roman"/>
                <w:b/>
                <w:bCs/>
                <w:color w:val="000000"/>
                <w:sz w:val="16"/>
                <w:szCs w:val="16"/>
              </w:rPr>
              <w:br/>
              <w:t>Price</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Remaining</w:t>
            </w:r>
            <w:r>
              <w:rPr>
                <w:rFonts w:eastAsia="Times New Roman"/>
                <w:b/>
                <w:bCs/>
                <w:color w:val="000000"/>
                <w:sz w:val="16"/>
                <w:szCs w:val="16"/>
              </w:rPr>
              <w:br/>
              <w:t>Contractual</w:t>
            </w:r>
            <w:r>
              <w:rPr>
                <w:rFonts w:eastAsia="Times New Roman"/>
                <w:b/>
                <w:bCs/>
                <w:color w:val="000000"/>
                <w:sz w:val="16"/>
                <w:szCs w:val="16"/>
              </w:rPr>
              <w:br/>
              <w:t>Term</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Aggregate</w:t>
            </w:r>
            <w:r>
              <w:rPr>
                <w:rFonts w:eastAsia="Times New Roman"/>
                <w:b/>
                <w:bCs/>
                <w:color w:val="000000"/>
                <w:sz w:val="16"/>
                <w:szCs w:val="16"/>
              </w:rPr>
              <w:br/>
              <w:t>Intrinsic</w:t>
            </w:r>
            <w:r>
              <w:rPr>
                <w:rFonts w:eastAsia="Times New Roman"/>
                <w:b/>
                <w:bCs/>
                <w:color w:val="000000"/>
                <w:sz w:val="16"/>
                <w:szCs w:val="16"/>
              </w:rPr>
              <w:br/>
              <w:t>Value</w:t>
            </w:r>
          </w:p>
        </w:tc>
      </w:tr>
      <w:tr w:rsidR="00000000">
        <w:trPr>
          <w:divId w:val="60819843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Outstanding as of January 1, 2022</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875 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67.92 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608198435"/>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Granted</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608198435"/>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Exercised</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(334)</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56.26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608198435"/>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Forfeited</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608198435"/>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Expired</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608198435"/>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divId w:val="93282079"/>
              <w:rPr>
                <w:rFonts w:eastAsia="Times New Roman"/>
              </w:rPr>
            </w:pPr>
            <w:r>
              <w:rPr>
                <w:rFonts w:eastAsia="Times New Roman"/>
                <w:color w:val="000000"/>
                <w:sz w:val="18"/>
                <w:szCs w:val="18"/>
              </w:rPr>
              <w:t>Outstanding and Exercisable as of December 31, 2022</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541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75.12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b/>
                <w:bCs/>
                <w:color w:val="000000"/>
                <w:sz w:val="18"/>
                <w:szCs w:val="18"/>
              </w:rPr>
              <w:t>2.80 years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608198435"/>
        </w:trPr>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bl>
    <w:p w:rsidR="00000000" w:rsidRDefault="0094004B">
      <w:pPr>
        <w:jc w:val="both"/>
        <w:divId w:val="2004579823"/>
        <w:rPr>
          <w:rFonts w:eastAsia="Times New Roman"/>
        </w:rPr>
      </w:pPr>
      <w:r>
        <w:rPr>
          <w:rFonts w:eastAsia="Times New Roman"/>
          <w:color w:val="000000"/>
          <w:sz w:val="20"/>
          <w:szCs w:val="20"/>
        </w:rPr>
        <w:t xml:space="preserve">There were no </w:t>
      </w:r>
      <w:r>
        <w:rPr>
          <w:rFonts w:eastAsia="Times New Roman"/>
          <w:color w:val="000000"/>
          <w:sz w:val="20"/>
          <w:szCs w:val="20"/>
        </w:rPr>
        <w:t>stock options granted in 2022, 2021 and 2020. The total intrinsic value of stock options exercised during 2022, 2021 and 2020 was $18 million, $80 million and $65 million, respectively.</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966691051"/>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966691051"/>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966691051"/>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181</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207" style="width:0;height:1.5pt" o:hralign="center" o:hrstd="t" o:hr="t" fillcolor="#a0a0a0" stroked="f"/>
        </w:pict>
      </w:r>
    </w:p>
    <w:p w:rsidR="00000000" w:rsidRDefault="0094004B">
      <w:pPr>
        <w:jc w:val="both"/>
        <w:divId w:val="774861094"/>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774861094"/>
        <w:rPr>
          <w:rFonts w:eastAsia="Times New Roman"/>
        </w:rPr>
      </w:pPr>
    </w:p>
    <w:p w:rsidR="00000000" w:rsidRDefault="0094004B">
      <w:pPr>
        <w:jc w:val="center"/>
        <w:divId w:val="774861094"/>
        <w:rPr>
          <w:rFonts w:eastAsia="Times New Roman"/>
        </w:rPr>
      </w:pPr>
      <w:r>
        <w:rPr>
          <w:rFonts w:eastAsia="Times New Roman"/>
          <w:b/>
          <w:bCs/>
          <w:color w:val="000000"/>
          <w:sz w:val="20"/>
          <w:szCs w:val="20"/>
        </w:rPr>
        <w:t>CAPITAL ONE FINANCIAL CORPORATION</w:t>
      </w:r>
    </w:p>
    <w:p w:rsidR="00000000" w:rsidRDefault="0094004B">
      <w:pPr>
        <w:jc w:val="center"/>
        <w:divId w:val="774861094"/>
        <w:rPr>
          <w:rFonts w:eastAsia="Times New Roman"/>
        </w:rPr>
      </w:pPr>
      <w:r>
        <w:rPr>
          <w:rFonts w:eastAsia="Times New Roman"/>
          <w:b/>
          <w:bCs/>
          <w:color w:val="000000"/>
          <w:sz w:val="20"/>
          <w:szCs w:val="20"/>
        </w:rPr>
        <w:t>NOTES TO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837692650"/>
        </w:trPr>
        <w:tc>
          <w:tcPr>
            <w:tcW w:w="50" w:type="pct"/>
            <w:vAlign w:val="center"/>
            <w:hideMark/>
          </w:tcPr>
          <w:p w:rsidR="00000000" w:rsidRDefault="0094004B">
            <w:pPr>
              <w:jc w:val="center"/>
              <w:rPr>
                <w:rFonts w:eastAsia="Times New Roman"/>
              </w:rPr>
            </w:pPr>
          </w:p>
        </w:tc>
        <w:tc>
          <w:tcPr>
            <w:tcW w:w="494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837692650"/>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20"/>
                <w:szCs w:val="20"/>
              </w:rPr>
              <w:t>NOTE 14—EMPLOYEE BENEFIT PLANS</w:t>
            </w:r>
          </w:p>
        </w:tc>
      </w:tr>
    </w:tbl>
    <w:p w:rsidR="00000000" w:rsidRDefault="0094004B">
      <w:pPr>
        <w:divId w:val="578756149"/>
        <w:rPr>
          <w:rFonts w:eastAsia="Times New Roman"/>
        </w:rPr>
      </w:pPr>
      <w:r>
        <w:rPr>
          <w:rFonts w:eastAsia="Times New Roman"/>
          <w:b/>
          <w:bCs/>
          <w:color w:val="000000"/>
          <w:sz w:val="20"/>
          <w:szCs w:val="20"/>
        </w:rPr>
        <w:t>Defined Contribution Plan</w:t>
      </w:r>
    </w:p>
    <w:p w:rsidR="00000000" w:rsidRDefault="0094004B">
      <w:pPr>
        <w:jc w:val="both"/>
        <w:divId w:val="1640723560"/>
        <w:rPr>
          <w:rFonts w:eastAsia="Times New Roman"/>
        </w:rPr>
      </w:pPr>
      <w:r>
        <w:rPr>
          <w:rFonts w:eastAsia="Times New Roman"/>
          <w:color w:val="000000"/>
          <w:sz w:val="20"/>
          <w:szCs w:val="20"/>
        </w:rPr>
        <w:t xml:space="preserve">We sponsor a contributory Associate Savings Plan (the “Plan”) in which all full-time and part-time associates over the age of 18 are eligible to participate. We make non-elective contributions to each eligible associate’s account </w:t>
      </w:r>
      <w:r>
        <w:rPr>
          <w:rFonts w:eastAsia="Times New Roman"/>
          <w:color w:val="000000"/>
          <w:sz w:val="20"/>
          <w:szCs w:val="20"/>
        </w:rPr>
        <w:t>and match a portion of associate contributions. We also sponsor a voluntary non-qualified deferred compensation plan in which select groups of employees are eligible to participate. We make contributions to this plan based on participants’ deferral of sala</w:t>
      </w:r>
      <w:r>
        <w:rPr>
          <w:rFonts w:eastAsia="Times New Roman"/>
          <w:color w:val="000000"/>
          <w:sz w:val="20"/>
          <w:szCs w:val="20"/>
        </w:rPr>
        <w:t>ry, bonuses and other eligible pay. In addition, we match participants’ excess compensation (compensation over the Internal Revenue Service (“IRS”) compensation limit) less deferrals. We contributed a total of $444 million, $378 million and $350 million to</w:t>
      </w:r>
      <w:r>
        <w:rPr>
          <w:rFonts w:eastAsia="Times New Roman"/>
          <w:color w:val="000000"/>
          <w:sz w:val="20"/>
          <w:szCs w:val="20"/>
        </w:rPr>
        <w:t xml:space="preserve"> these plans during the years ended December 31, 2022, 2021 and 2020, respectively.</w:t>
      </w:r>
    </w:p>
    <w:p w:rsidR="00000000" w:rsidRDefault="0094004B">
      <w:pPr>
        <w:divId w:val="1798379445"/>
        <w:rPr>
          <w:rFonts w:eastAsia="Times New Roman"/>
        </w:rPr>
      </w:pPr>
      <w:r>
        <w:rPr>
          <w:rFonts w:eastAsia="Times New Roman"/>
          <w:b/>
          <w:bCs/>
          <w:color w:val="000000"/>
          <w:sz w:val="20"/>
          <w:szCs w:val="20"/>
        </w:rPr>
        <w:t>Defined Benefit Pension and Other Postretirement Benefit Plans</w:t>
      </w:r>
    </w:p>
    <w:p w:rsidR="00000000" w:rsidRDefault="0094004B">
      <w:pPr>
        <w:jc w:val="both"/>
        <w:divId w:val="364793265"/>
        <w:rPr>
          <w:rFonts w:eastAsia="Times New Roman"/>
        </w:rPr>
      </w:pPr>
      <w:r>
        <w:rPr>
          <w:rFonts w:eastAsia="Times New Roman"/>
          <w:color w:val="000000"/>
          <w:sz w:val="20"/>
          <w:szCs w:val="20"/>
        </w:rPr>
        <w:t>We sponsor several frozen plans, including a qualified defined benefit pension plan, several non-qualified de</w:t>
      </w:r>
      <w:r>
        <w:rPr>
          <w:rFonts w:eastAsia="Times New Roman"/>
          <w:color w:val="000000"/>
          <w:sz w:val="20"/>
          <w:szCs w:val="20"/>
        </w:rPr>
        <w:t xml:space="preserve">fined benefit pension plans, and a plan that provides other postretirement benefits, including medical and life insurance coverage. Our pension plans and the other postretirement benefit plan are valued using December 31 as the measurement date each year. </w:t>
      </w:r>
      <w:r>
        <w:rPr>
          <w:rFonts w:eastAsia="Times New Roman"/>
          <w:color w:val="000000"/>
          <w:sz w:val="20"/>
          <w:szCs w:val="20"/>
        </w:rPr>
        <w:t>Our policy is to amortize prior service amounts on a straight-line basis over the average remaining years of service to full eligibility for benefits of active plan participants.</w:t>
      </w:r>
    </w:p>
    <w:p w:rsidR="00000000" w:rsidRDefault="0094004B">
      <w:pPr>
        <w:jc w:val="both"/>
        <w:divId w:val="198393648"/>
        <w:rPr>
          <w:rFonts w:eastAsia="Times New Roman"/>
        </w:rPr>
      </w:pPr>
      <w:r>
        <w:rPr>
          <w:rFonts w:eastAsia="Times New Roman"/>
          <w:color w:val="000000"/>
          <w:sz w:val="20"/>
          <w:szCs w:val="20"/>
        </w:rPr>
        <w:t>The following table sets forth, on an aggregated basis, changes in the benefi</w:t>
      </w:r>
      <w:r>
        <w:rPr>
          <w:rFonts w:eastAsia="Times New Roman"/>
          <w:color w:val="000000"/>
          <w:sz w:val="20"/>
          <w:szCs w:val="20"/>
        </w:rPr>
        <w:t>t obligation and plan assets, the funded status and how the funded status is recognized on our consolidated balance sheets.    </w:t>
      </w:r>
    </w:p>
    <w:p w:rsidR="00000000" w:rsidRDefault="0094004B">
      <w:pPr>
        <w:divId w:val="505637525"/>
        <w:rPr>
          <w:rFonts w:eastAsia="Times New Roman"/>
        </w:rPr>
      </w:pPr>
      <w:r>
        <w:rPr>
          <w:rFonts w:eastAsia="Times New Roman"/>
          <w:b/>
          <w:bCs/>
          <w:color w:val="000000"/>
          <w:sz w:val="18"/>
          <w:szCs w:val="18"/>
        </w:rPr>
        <w:t>Table 14.1: Changes in Benefit Obligation and Plan Assets</w:t>
      </w:r>
    </w:p>
    <w:tbl>
      <w:tblPr>
        <w:tblW w:w="5000" w:type="pct"/>
        <w:tblCellMar>
          <w:top w:w="15" w:type="dxa"/>
          <w:left w:w="15" w:type="dxa"/>
          <w:bottom w:w="15" w:type="dxa"/>
          <w:right w:w="15" w:type="dxa"/>
        </w:tblCellMar>
        <w:tblLook w:val="04A0" w:firstRow="1" w:lastRow="0" w:firstColumn="1" w:lastColumn="0" w:noHBand="0" w:noVBand="1"/>
      </w:tblPr>
      <w:tblGrid>
        <w:gridCol w:w="39"/>
        <w:gridCol w:w="4995"/>
        <w:gridCol w:w="38"/>
        <w:gridCol w:w="36"/>
        <w:gridCol w:w="36"/>
        <w:gridCol w:w="36"/>
        <w:gridCol w:w="111"/>
        <w:gridCol w:w="483"/>
        <w:gridCol w:w="37"/>
        <w:gridCol w:w="37"/>
        <w:gridCol w:w="39"/>
        <w:gridCol w:w="36"/>
        <w:gridCol w:w="110"/>
        <w:gridCol w:w="482"/>
        <w:gridCol w:w="36"/>
        <w:gridCol w:w="36"/>
        <w:gridCol w:w="36"/>
        <w:gridCol w:w="36"/>
        <w:gridCol w:w="111"/>
        <w:gridCol w:w="614"/>
        <w:gridCol w:w="37"/>
        <w:gridCol w:w="37"/>
        <w:gridCol w:w="51"/>
        <w:gridCol w:w="36"/>
        <w:gridCol w:w="110"/>
        <w:gridCol w:w="615"/>
        <w:gridCol w:w="36"/>
      </w:tblGrid>
      <w:tr w:rsidR="00000000">
        <w:trPr>
          <w:divId w:val="1204904406"/>
        </w:trPr>
        <w:tc>
          <w:tcPr>
            <w:tcW w:w="50" w:type="pct"/>
            <w:vAlign w:val="center"/>
            <w:hideMark/>
          </w:tcPr>
          <w:p w:rsidR="00000000" w:rsidRDefault="0094004B">
            <w:pPr>
              <w:rPr>
                <w:rFonts w:eastAsia="Times New Roman"/>
              </w:rPr>
            </w:pPr>
          </w:p>
        </w:tc>
        <w:tc>
          <w:tcPr>
            <w:tcW w:w="330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1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1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1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18"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204904406"/>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Defined Pension </w:t>
            </w:r>
            <w:r>
              <w:rPr>
                <w:rFonts w:eastAsia="Times New Roman"/>
                <w:b/>
                <w:bCs/>
                <w:color w:val="000000"/>
                <w:sz w:val="16"/>
                <w:szCs w:val="16"/>
              </w:rPr>
              <w:br/>
              <w:t>Benefits</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Other Postretirement</w:t>
            </w:r>
            <w:r>
              <w:rPr>
                <w:rFonts w:eastAsia="Times New Roman"/>
                <w:b/>
                <w:bCs/>
                <w:color w:val="000000"/>
                <w:sz w:val="16"/>
                <w:szCs w:val="16"/>
              </w:rPr>
              <w:br/>
              <w:t>Benefits</w:t>
            </w:r>
          </w:p>
        </w:tc>
      </w:tr>
      <w:tr w:rsidR="00000000">
        <w:trPr>
          <w:divId w:val="1204904406"/>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2021</w:t>
            </w:r>
          </w:p>
        </w:tc>
      </w:tr>
      <w:tr w:rsidR="00000000">
        <w:trPr>
          <w:divId w:val="120490440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Change in benefit obligation:</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204904406"/>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 xml:space="preserve">Accumulated benefit obligation as of January 1, </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163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178 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21 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204904406"/>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Service cost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204904406"/>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Interest cost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204904406"/>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Benefits paid</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(11)</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(12)</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204904406"/>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Actuarial loss (gain)</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(29)</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(8)</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204904406"/>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Accumulated benefit obligation as of December 31,</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128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163 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204904406"/>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Change in plan assets: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204904406"/>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 xml:space="preserve">Fair value of plan assets as of January 1, </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273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274 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6 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204904406"/>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Actual return on plan assets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(41)</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204904406"/>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Employer contributions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204904406"/>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Benefits paid</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(11)</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(12)</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204904406"/>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 xml:space="preserve">Fair value of plan assets as of December 31, </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222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273 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204904406"/>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 xml:space="preserve">Over (under) funded status as of December 31, </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94</w:t>
            </w:r>
            <w:r>
              <w:rPr>
                <w:rFonts w:eastAsia="Times New Roman"/>
                <w:color w:val="000000"/>
                <w:sz w:val="18"/>
                <w:szCs w:val="18"/>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110 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(7)</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(10)</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bl>
    <w:p w:rsidR="00000000" w:rsidRDefault="0094004B">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4997"/>
        <w:gridCol w:w="37"/>
        <w:gridCol w:w="36"/>
        <w:gridCol w:w="36"/>
        <w:gridCol w:w="36"/>
        <w:gridCol w:w="111"/>
        <w:gridCol w:w="483"/>
        <w:gridCol w:w="37"/>
        <w:gridCol w:w="37"/>
        <w:gridCol w:w="39"/>
        <w:gridCol w:w="36"/>
        <w:gridCol w:w="110"/>
        <w:gridCol w:w="482"/>
        <w:gridCol w:w="36"/>
        <w:gridCol w:w="36"/>
        <w:gridCol w:w="36"/>
        <w:gridCol w:w="36"/>
        <w:gridCol w:w="111"/>
        <w:gridCol w:w="614"/>
        <w:gridCol w:w="37"/>
        <w:gridCol w:w="37"/>
        <w:gridCol w:w="51"/>
        <w:gridCol w:w="36"/>
        <w:gridCol w:w="110"/>
        <w:gridCol w:w="615"/>
        <w:gridCol w:w="36"/>
      </w:tblGrid>
      <w:tr w:rsidR="00000000">
        <w:trPr>
          <w:divId w:val="2020696125"/>
        </w:trPr>
        <w:tc>
          <w:tcPr>
            <w:tcW w:w="50" w:type="pct"/>
            <w:vAlign w:val="center"/>
            <w:hideMark/>
          </w:tcPr>
          <w:p w:rsidR="00000000" w:rsidRDefault="0094004B">
            <w:pPr>
              <w:jc w:val="both"/>
              <w:rPr>
                <w:rFonts w:eastAsia="Times New Roman"/>
              </w:rPr>
            </w:pPr>
          </w:p>
        </w:tc>
        <w:tc>
          <w:tcPr>
            <w:tcW w:w="330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1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1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1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18"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2020696125"/>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Defined Pension </w:t>
            </w:r>
            <w:r>
              <w:rPr>
                <w:rFonts w:eastAsia="Times New Roman"/>
                <w:b/>
                <w:bCs/>
                <w:color w:val="000000"/>
                <w:sz w:val="16"/>
                <w:szCs w:val="16"/>
              </w:rPr>
              <w:br/>
              <w:t>Benefits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Other Postretirement</w:t>
            </w:r>
            <w:r>
              <w:rPr>
                <w:rFonts w:eastAsia="Times New Roman"/>
                <w:b/>
                <w:bCs/>
                <w:color w:val="000000"/>
                <w:sz w:val="16"/>
                <w:szCs w:val="16"/>
              </w:rPr>
              <w:br/>
              <w:t>Benefits</w:t>
            </w:r>
          </w:p>
        </w:tc>
      </w:tr>
      <w:tr w:rsidR="00000000">
        <w:trPr>
          <w:divId w:val="2020696125"/>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2021</w:t>
            </w:r>
          </w:p>
        </w:tc>
      </w:tr>
      <w:tr w:rsidR="00000000">
        <w:trPr>
          <w:divId w:val="202069612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 xml:space="preserve">Balance sheet presentation as of December 31, </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2020696125"/>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Other assets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102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121 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2020696125"/>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Other liabilities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(8)</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(11)</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(7)</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(10)</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2020696125"/>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 xml:space="preserve">Net amount recognized as of December 31, </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94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110 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182</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208" style="width:0;height:1.5pt" o:hralign="center" o:hrstd="t" o:hr="t" fillcolor="#a0a0a0" stroked="f"/>
        </w:pict>
      </w:r>
    </w:p>
    <w:p w:rsidR="00000000" w:rsidRDefault="0094004B">
      <w:pPr>
        <w:jc w:val="both"/>
        <w:divId w:val="509491638"/>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509491638"/>
        <w:rPr>
          <w:rFonts w:eastAsia="Times New Roman"/>
        </w:rPr>
      </w:pPr>
    </w:p>
    <w:p w:rsidR="00000000" w:rsidRDefault="0094004B">
      <w:pPr>
        <w:jc w:val="center"/>
        <w:divId w:val="509491638"/>
        <w:rPr>
          <w:rFonts w:eastAsia="Times New Roman"/>
        </w:rPr>
      </w:pPr>
      <w:r>
        <w:rPr>
          <w:rFonts w:eastAsia="Times New Roman"/>
          <w:b/>
          <w:bCs/>
          <w:color w:val="000000"/>
          <w:sz w:val="20"/>
          <w:szCs w:val="20"/>
        </w:rPr>
        <w:t>CAPITAL ONE FINANCIAL CORPORATION</w:t>
      </w:r>
    </w:p>
    <w:p w:rsidR="00000000" w:rsidRDefault="0094004B">
      <w:pPr>
        <w:jc w:val="center"/>
        <w:divId w:val="509491638"/>
        <w:rPr>
          <w:rFonts w:eastAsia="Times New Roman"/>
        </w:rPr>
      </w:pPr>
      <w:r>
        <w:rPr>
          <w:rFonts w:eastAsia="Times New Roman"/>
          <w:b/>
          <w:bCs/>
          <w:color w:val="000000"/>
          <w:sz w:val="20"/>
          <w:szCs w:val="20"/>
        </w:rPr>
        <w:t>NOTES TO CONSOLIDATED FINANCIAL STATEMENTS</w:t>
      </w:r>
    </w:p>
    <w:p w:rsidR="00000000" w:rsidRDefault="0094004B">
      <w:pPr>
        <w:jc w:val="both"/>
        <w:divId w:val="177937499"/>
        <w:rPr>
          <w:rFonts w:eastAsia="Times New Roman"/>
        </w:rPr>
      </w:pPr>
      <w:r>
        <w:rPr>
          <w:rFonts w:eastAsia="Times New Roman"/>
          <w:color w:val="000000"/>
          <w:sz w:val="20"/>
          <w:szCs w:val="20"/>
        </w:rPr>
        <w:t xml:space="preserve">Net periodic benefit gain for our defined benefit pension plans </w:t>
      </w:r>
      <w:r>
        <w:rPr>
          <w:rFonts w:eastAsia="Times New Roman"/>
          <w:color w:val="000000"/>
          <w:sz w:val="20"/>
          <w:szCs w:val="20"/>
        </w:rPr>
        <w:t>and other postretirement benefit plan totaled $8 million, $12 million, and $8 million in 2022, 2021 and 2020, respectively. We recognized a pre-tax loss of $24 million in 2022 and pre-tax gains of $4 million in other comprehensive income for our defined be</w:t>
      </w:r>
      <w:r>
        <w:rPr>
          <w:rFonts w:eastAsia="Times New Roman"/>
          <w:color w:val="000000"/>
          <w:sz w:val="20"/>
          <w:szCs w:val="20"/>
        </w:rPr>
        <w:t xml:space="preserve">nefit pension plans and other postretirement benefit plan in both 2021 and 2020. </w:t>
      </w:r>
    </w:p>
    <w:p w:rsidR="00000000" w:rsidRDefault="0094004B">
      <w:pPr>
        <w:jc w:val="both"/>
        <w:divId w:val="1470977127"/>
        <w:rPr>
          <w:rFonts w:eastAsia="Times New Roman"/>
        </w:rPr>
      </w:pPr>
      <w:r>
        <w:rPr>
          <w:rFonts w:eastAsia="Times New Roman"/>
          <w:color w:val="000000"/>
          <w:sz w:val="20"/>
          <w:szCs w:val="20"/>
        </w:rPr>
        <w:t>Pre-tax amounts recognized in AOCI that have not yet been recognized as a component of net periodic benefit cost consist of net actuarial losses of $57 million and $33 millio</w:t>
      </w:r>
      <w:r>
        <w:rPr>
          <w:rFonts w:eastAsia="Times New Roman"/>
          <w:color w:val="000000"/>
          <w:sz w:val="20"/>
          <w:szCs w:val="20"/>
        </w:rPr>
        <w:t>n for our defined benefit pension plans as of December 31, 2022 and 2021, respectively, and net actuarial gains of $3 million for our other postretirement benefit plan as of both December 31, 2022 and 2021. There was no meaningful prior service cost recogn</w:t>
      </w:r>
      <w:r>
        <w:rPr>
          <w:rFonts w:eastAsia="Times New Roman"/>
          <w:color w:val="000000"/>
          <w:sz w:val="20"/>
          <w:szCs w:val="20"/>
        </w:rPr>
        <w:t>ized in AOCI.</w:t>
      </w:r>
    </w:p>
    <w:p w:rsidR="00000000" w:rsidRDefault="0094004B">
      <w:pPr>
        <w:divId w:val="70658058"/>
        <w:rPr>
          <w:rFonts w:eastAsia="Times New Roman"/>
        </w:rPr>
      </w:pPr>
      <w:r>
        <w:rPr>
          <w:rFonts w:eastAsia="Times New Roman"/>
          <w:b/>
          <w:bCs/>
          <w:i/>
          <w:iCs/>
          <w:color w:val="000000"/>
          <w:sz w:val="20"/>
          <w:szCs w:val="20"/>
        </w:rPr>
        <w:t>Plan Assets and Fair Value Measurement</w:t>
      </w:r>
    </w:p>
    <w:p w:rsidR="00000000" w:rsidRDefault="0094004B">
      <w:pPr>
        <w:jc w:val="both"/>
        <w:divId w:val="671878654"/>
        <w:rPr>
          <w:rFonts w:eastAsia="Times New Roman"/>
        </w:rPr>
      </w:pPr>
      <w:r>
        <w:rPr>
          <w:rFonts w:eastAsia="Times New Roman"/>
          <w:color w:val="000000"/>
          <w:sz w:val="20"/>
          <w:szCs w:val="20"/>
        </w:rPr>
        <w:t>Plan assets are invested using a total return investment approach whereby a mix of equity securities and debt securities are used to preserve asset values, diversify risk and enhance our ability to achie</w:t>
      </w:r>
      <w:r>
        <w:rPr>
          <w:rFonts w:eastAsia="Times New Roman"/>
          <w:color w:val="000000"/>
          <w:sz w:val="20"/>
          <w:szCs w:val="20"/>
        </w:rPr>
        <w:t>ve our benchmark for long-term investment return. Investment strategies and asset allocations are based on careful consideration of plan liabilities, the plan’s funded status and our financial condition. Investment performance and asset allocation are meas</w:t>
      </w:r>
      <w:r>
        <w:rPr>
          <w:rFonts w:eastAsia="Times New Roman"/>
          <w:color w:val="000000"/>
          <w:sz w:val="20"/>
          <w:szCs w:val="20"/>
        </w:rPr>
        <w:t>ured and monitored on a daily basis.</w:t>
      </w:r>
    </w:p>
    <w:p w:rsidR="00000000" w:rsidRDefault="0094004B">
      <w:pPr>
        <w:jc w:val="both"/>
        <w:divId w:val="1245798352"/>
        <w:rPr>
          <w:rFonts w:eastAsia="Times New Roman"/>
        </w:rPr>
      </w:pPr>
      <w:r>
        <w:rPr>
          <w:rFonts w:eastAsia="Times New Roman"/>
          <w:color w:val="000000"/>
          <w:sz w:val="20"/>
          <w:szCs w:val="20"/>
        </w:rPr>
        <w:t>As of December 31, 2022 and 2021, our plan assets totaled $227 million and $279 million, respectively. We invested substantially all our plan assets in common collective trusts, which primarily consist of domestic and i</w:t>
      </w:r>
      <w:r>
        <w:rPr>
          <w:rFonts w:eastAsia="Times New Roman"/>
          <w:color w:val="000000"/>
          <w:sz w:val="20"/>
          <w:szCs w:val="20"/>
        </w:rPr>
        <w:t>nternational equity securities, government securities and corporate and municipal bonds. Our plan assets were classified as Level 2 in the fair value hierarchy as of December 31, 2022 and 2021. For information on fair value measurements, including descript</w:t>
      </w:r>
      <w:r>
        <w:rPr>
          <w:rFonts w:eastAsia="Times New Roman"/>
          <w:color w:val="000000"/>
          <w:sz w:val="20"/>
          <w:szCs w:val="20"/>
        </w:rPr>
        <w:t>ions of Level 1, 2 and 3 of the fair value hierarchy, see “Note 16—Fair Value Measurement.”</w:t>
      </w:r>
    </w:p>
    <w:p w:rsidR="00000000" w:rsidRDefault="0094004B">
      <w:pPr>
        <w:divId w:val="1144396801"/>
        <w:rPr>
          <w:rFonts w:eastAsia="Times New Roman"/>
        </w:rPr>
      </w:pPr>
      <w:r>
        <w:rPr>
          <w:rFonts w:eastAsia="Times New Roman"/>
          <w:b/>
          <w:bCs/>
          <w:i/>
          <w:iCs/>
          <w:color w:val="000000"/>
          <w:sz w:val="20"/>
          <w:szCs w:val="20"/>
        </w:rPr>
        <w:t>Expected Future Benefit Payments</w:t>
      </w:r>
    </w:p>
    <w:p w:rsidR="00000000" w:rsidRDefault="0094004B">
      <w:pPr>
        <w:jc w:val="both"/>
        <w:divId w:val="1603799916"/>
        <w:rPr>
          <w:rFonts w:eastAsia="Times New Roman"/>
        </w:rPr>
      </w:pPr>
      <w:r>
        <w:rPr>
          <w:rFonts w:eastAsia="Times New Roman"/>
          <w:color w:val="000000"/>
          <w:sz w:val="20"/>
          <w:szCs w:val="20"/>
        </w:rPr>
        <w:t xml:space="preserve">As of December 31, 2022, the benefits expected to be paid in the next ten years totaled </w:t>
      </w:r>
      <w:r>
        <w:rPr>
          <w:rFonts w:eastAsia="Times New Roman"/>
          <w:color w:val="242424"/>
          <w:sz w:val="20"/>
          <w:szCs w:val="20"/>
        </w:rPr>
        <w:t>$108 million</w:t>
      </w:r>
      <w:r>
        <w:rPr>
          <w:rFonts w:eastAsia="Times New Roman"/>
          <w:color w:val="000000"/>
          <w:sz w:val="20"/>
          <w:szCs w:val="20"/>
        </w:rPr>
        <w:t xml:space="preserve"> </w:t>
      </w:r>
      <w:r>
        <w:rPr>
          <w:rFonts w:eastAsia="Times New Roman"/>
          <w:color w:val="000000"/>
          <w:sz w:val="20"/>
          <w:szCs w:val="20"/>
        </w:rPr>
        <w:t xml:space="preserve">for our defined pension benefit plans and </w:t>
      </w:r>
      <w:r>
        <w:rPr>
          <w:rFonts w:eastAsia="Times New Roman"/>
          <w:color w:val="242424"/>
          <w:sz w:val="20"/>
          <w:szCs w:val="20"/>
        </w:rPr>
        <w:t>$11 million</w:t>
      </w:r>
      <w:r>
        <w:rPr>
          <w:rFonts w:eastAsia="Times New Roman"/>
          <w:color w:val="000000"/>
          <w:sz w:val="20"/>
          <w:szCs w:val="20"/>
        </w:rPr>
        <w:t xml:space="preserve"> for our other postretirement benefit plan, respectively.</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210142159"/>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210142159"/>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210142159"/>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183</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209" style="width:0;height:1.5pt" o:hralign="center" o:hrstd="t" o:hr="t" fillcolor="#a0a0a0" stroked="f"/>
        </w:pict>
      </w:r>
    </w:p>
    <w:p w:rsidR="00000000" w:rsidRDefault="0094004B">
      <w:pPr>
        <w:jc w:val="both"/>
        <w:divId w:val="476192618"/>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476192618"/>
        <w:rPr>
          <w:rFonts w:eastAsia="Times New Roman"/>
        </w:rPr>
      </w:pPr>
    </w:p>
    <w:p w:rsidR="00000000" w:rsidRDefault="0094004B">
      <w:pPr>
        <w:jc w:val="center"/>
        <w:divId w:val="476192618"/>
        <w:rPr>
          <w:rFonts w:eastAsia="Times New Roman"/>
        </w:rPr>
      </w:pPr>
      <w:r>
        <w:rPr>
          <w:rFonts w:eastAsia="Times New Roman"/>
          <w:b/>
          <w:bCs/>
          <w:color w:val="000000"/>
          <w:sz w:val="20"/>
          <w:szCs w:val="20"/>
        </w:rPr>
        <w:t>CAPITAL ONE FINANCIAL CORPORATION</w:t>
      </w:r>
    </w:p>
    <w:p w:rsidR="00000000" w:rsidRDefault="0094004B">
      <w:pPr>
        <w:jc w:val="center"/>
        <w:divId w:val="476192618"/>
        <w:rPr>
          <w:rFonts w:eastAsia="Times New Roman"/>
        </w:rPr>
      </w:pPr>
      <w:r>
        <w:rPr>
          <w:rFonts w:eastAsia="Times New Roman"/>
          <w:b/>
          <w:bCs/>
          <w:color w:val="000000"/>
          <w:sz w:val="20"/>
          <w:szCs w:val="20"/>
        </w:rPr>
        <w:t>NOTES TO CONSOLIDATED FINANCIAL STATEMENTS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798914470"/>
          <w:jc w:val="center"/>
        </w:trPr>
        <w:tc>
          <w:tcPr>
            <w:tcW w:w="50" w:type="pct"/>
            <w:vAlign w:val="center"/>
            <w:hideMark/>
          </w:tcPr>
          <w:p w:rsidR="00000000" w:rsidRDefault="0094004B">
            <w:pPr>
              <w:jc w:val="center"/>
              <w:rPr>
                <w:rFonts w:eastAsia="Times New Roman"/>
              </w:rPr>
            </w:pPr>
          </w:p>
        </w:tc>
        <w:tc>
          <w:tcPr>
            <w:tcW w:w="494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798914470"/>
          <w:jc w:val="center"/>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20"/>
                <w:szCs w:val="20"/>
              </w:rPr>
              <w:t>NOTE 15—INCOME TAXES</w:t>
            </w:r>
          </w:p>
        </w:tc>
      </w:tr>
    </w:tbl>
    <w:p w:rsidR="00000000" w:rsidRDefault="0094004B">
      <w:pPr>
        <w:jc w:val="both"/>
        <w:divId w:val="356664317"/>
        <w:rPr>
          <w:rFonts w:eastAsia="Times New Roman"/>
        </w:rPr>
      </w:pPr>
      <w:r>
        <w:rPr>
          <w:rFonts w:eastAsia="Times New Roman"/>
          <w:color w:val="000000"/>
          <w:sz w:val="20"/>
          <w:szCs w:val="20"/>
        </w:rPr>
        <w:t xml:space="preserve">We recognize the current and deferred tax consequences of all transactions that have been recognized in the financial statements using the provisions of the enacted tax laws. Current income tax expense represents our estimated taxes to be paid or refunded </w:t>
      </w:r>
      <w:r>
        <w:rPr>
          <w:rFonts w:eastAsia="Times New Roman"/>
          <w:color w:val="000000"/>
          <w:sz w:val="20"/>
          <w:szCs w:val="20"/>
        </w:rPr>
        <w:t>for the current period and includes income tax expense related to our uncertain tax positions, as well as tax-related interest and penalties. Deferred tax assets and liabilities are determined based on differences between the financial reporting and tax ba</w:t>
      </w:r>
      <w:r>
        <w:rPr>
          <w:rFonts w:eastAsia="Times New Roman"/>
          <w:color w:val="000000"/>
          <w:sz w:val="20"/>
          <w:szCs w:val="20"/>
        </w:rPr>
        <w:t>sis of assets and liabilities and are measured using the enacted tax rates and laws that will be in effect when the differences are expected to reverse. We record valuation allowances to reduce deferred tax assets to the amount that is more likely than not</w:t>
      </w:r>
      <w:r>
        <w:rPr>
          <w:rFonts w:eastAsia="Times New Roman"/>
          <w:color w:val="000000"/>
          <w:sz w:val="20"/>
          <w:szCs w:val="20"/>
        </w:rPr>
        <w:t xml:space="preserve"> to be realized. We record the effect of remeasuring deferred tax assets and liabilities due to a change in tax rates or laws as a component of income tax expense related to continuing operations for the period in which the change is enacted. We subsequent</w:t>
      </w:r>
      <w:r>
        <w:rPr>
          <w:rFonts w:eastAsia="Times New Roman"/>
          <w:color w:val="000000"/>
          <w:sz w:val="20"/>
          <w:szCs w:val="20"/>
        </w:rPr>
        <w:t>ly release income tax effects stranded in AOCI using a portfolio approach. Income tax benefits are recognized when, based on their technical merits, they are more likely than not to be sustained upon examination. The amount recognized is the largest amount</w:t>
      </w:r>
      <w:r>
        <w:rPr>
          <w:rFonts w:eastAsia="Times New Roman"/>
          <w:color w:val="000000"/>
          <w:sz w:val="20"/>
          <w:szCs w:val="20"/>
        </w:rPr>
        <w:t xml:space="preserve"> of benefit that is more likely than not to be realized upon settlement.</w:t>
      </w:r>
    </w:p>
    <w:p w:rsidR="00000000" w:rsidRDefault="0094004B">
      <w:pPr>
        <w:jc w:val="both"/>
        <w:divId w:val="1677489853"/>
        <w:rPr>
          <w:rFonts w:eastAsia="Times New Roman"/>
        </w:rPr>
      </w:pPr>
      <w:r>
        <w:rPr>
          <w:rFonts w:eastAsia="Times New Roman"/>
          <w:color w:val="000000"/>
          <w:sz w:val="20"/>
          <w:szCs w:val="20"/>
        </w:rPr>
        <w:t>The following table presents significant components of the provision for income taxes attributable to continuing operations for the years ended December 31, 2022, 2021 and 2020.</w:t>
      </w:r>
    </w:p>
    <w:p w:rsidR="00000000" w:rsidRDefault="0094004B">
      <w:pPr>
        <w:divId w:val="1384402208"/>
        <w:rPr>
          <w:rFonts w:eastAsia="Times New Roman"/>
        </w:rPr>
      </w:pPr>
      <w:r>
        <w:rPr>
          <w:rFonts w:eastAsia="Times New Roman"/>
          <w:b/>
          <w:bCs/>
          <w:color w:val="000000"/>
          <w:sz w:val="18"/>
          <w:szCs w:val="18"/>
        </w:rPr>
        <w:t>Table 15.1: Significant Components of the Provision for Income Taxes Attributa</w:t>
      </w:r>
      <w:r>
        <w:rPr>
          <w:rFonts w:eastAsia="Times New Roman"/>
          <w:b/>
          <w:bCs/>
          <w:color w:val="000000"/>
          <w:sz w:val="18"/>
          <w:szCs w:val="18"/>
        </w:rPr>
        <w:t>ble to Continuing Operations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5414"/>
        <w:gridCol w:w="38"/>
        <w:gridCol w:w="36"/>
        <w:gridCol w:w="36"/>
        <w:gridCol w:w="36"/>
        <w:gridCol w:w="110"/>
        <w:gridCol w:w="675"/>
        <w:gridCol w:w="36"/>
        <w:gridCol w:w="36"/>
        <w:gridCol w:w="36"/>
        <w:gridCol w:w="36"/>
        <w:gridCol w:w="110"/>
        <w:gridCol w:w="688"/>
        <w:gridCol w:w="36"/>
        <w:gridCol w:w="36"/>
        <w:gridCol w:w="36"/>
        <w:gridCol w:w="36"/>
        <w:gridCol w:w="110"/>
        <w:gridCol w:w="690"/>
        <w:gridCol w:w="36"/>
      </w:tblGrid>
      <w:tr w:rsidR="00000000">
        <w:trPr>
          <w:divId w:val="160708280"/>
        </w:trPr>
        <w:tc>
          <w:tcPr>
            <w:tcW w:w="50" w:type="pct"/>
            <w:vAlign w:val="center"/>
            <w:hideMark/>
          </w:tcPr>
          <w:p w:rsidR="00000000" w:rsidRDefault="0094004B">
            <w:pPr>
              <w:rPr>
                <w:rFonts w:eastAsia="Times New Roman"/>
              </w:rPr>
            </w:pPr>
          </w:p>
        </w:tc>
        <w:tc>
          <w:tcPr>
            <w:tcW w:w="328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5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6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6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60708280"/>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Year Ended December 31,</w:t>
            </w:r>
          </w:p>
        </w:tc>
      </w:tr>
      <w:tr w:rsidR="00000000">
        <w:trPr>
          <w:divId w:val="160708280"/>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2020</w:t>
            </w:r>
          </w:p>
        </w:tc>
      </w:tr>
      <w:tr w:rsidR="00000000">
        <w:trPr>
          <w:divId w:val="160708280"/>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Current income tax provision:</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60708280"/>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Federal taxes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2,125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2,173 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1,676 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60708280"/>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State taxes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423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485 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370 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60708280"/>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International taxes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104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152 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67 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60708280"/>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 current provision</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2,652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2,810 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2,113 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60708280"/>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Deferred income tax provision (benefit):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60708280"/>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Federal taxes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(662)</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490 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(1,357)</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60708280"/>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State taxes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(112)</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91 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(266)</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60708280"/>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International taxes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24 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60708280"/>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 deferred provision (benefit)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(772)</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605 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(1,627)</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60708280"/>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 income tax provision</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1,880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3,415 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486 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bl>
    <w:p w:rsidR="00000000" w:rsidRDefault="0094004B">
      <w:pPr>
        <w:jc w:val="both"/>
        <w:divId w:val="1396319102"/>
        <w:rPr>
          <w:rFonts w:eastAsia="Times New Roman"/>
        </w:rPr>
      </w:pPr>
      <w:r>
        <w:rPr>
          <w:rFonts w:eastAsia="Times New Roman"/>
          <w:color w:val="000000"/>
          <w:sz w:val="20"/>
          <w:szCs w:val="20"/>
        </w:rPr>
        <w:t>The international income tax provision is related to pre-tax earnings from foreign operations of approximately $462 million, $677 million and $293 million in 2022, 2021 and 2020, r</w:t>
      </w:r>
      <w:r>
        <w:rPr>
          <w:rFonts w:eastAsia="Times New Roman"/>
          <w:color w:val="000000"/>
          <w:sz w:val="20"/>
          <w:szCs w:val="20"/>
        </w:rPr>
        <w:t>espectively.</w:t>
      </w:r>
    </w:p>
    <w:p w:rsidR="00000000" w:rsidRDefault="0094004B">
      <w:pPr>
        <w:jc w:val="both"/>
        <w:divId w:val="704329561"/>
        <w:rPr>
          <w:rFonts w:eastAsia="Times New Roman"/>
        </w:rPr>
      </w:pPr>
      <w:r>
        <w:rPr>
          <w:rFonts w:eastAsia="Times New Roman"/>
          <w:color w:val="000000"/>
          <w:sz w:val="20"/>
          <w:szCs w:val="20"/>
        </w:rPr>
        <w:t>Total income tax provision does not reflect the tax effects of items that are included in AOCI, which include a tax benefit of $3.2 billion and $985 million in 2022 and 2021, respectively, and tax provision of $702 million in 2020. See “Note 1</w:t>
      </w:r>
      <w:r>
        <w:rPr>
          <w:rFonts w:eastAsia="Times New Roman"/>
          <w:color w:val="000000"/>
          <w:sz w:val="20"/>
          <w:szCs w:val="20"/>
        </w:rPr>
        <w:t>0—Stockholders’ Equity” for additional information.</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631857257"/>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631857257"/>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631857257"/>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184</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210" style="width:0;height:1.5pt" o:hralign="center" o:hrstd="t" o:hr="t" fillcolor="#a0a0a0" stroked="f"/>
        </w:pict>
      </w:r>
    </w:p>
    <w:p w:rsidR="00000000" w:rsidRDefault="0094004B">
      <w:pPr>
        <w:jc w:val="both"/>
        <w:divId w:val="1346636770"/>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1346636770"/>
        <w:rPr>
          <w:rFonts w:eastAsia="Times New Roman"/>
        </w:rPr>
      </w:pPr>
    </w:p>
    <w:p w:rsidR="00000000" w:rsidRDefault="0094004B">
      <w:pPr>
        <w:jc w:val="center"/>
        <w:divId w:val="1346636770"/>
        <w:rPr>
          <w:rFonts w:eastAsia="Times New Roman"/>
        </w:rPr>
      </w:pPr>
      <w:r>
        <w:rPr>
          <w:rFonts w:eastAsia="Times New Roman"/>
          <w:b/>
          <w:bCs/>
          <w:color w:val="000000"/>
          <w:sz w:val="20"/>
          <w:szCs w:val="20"/>
        </w:rPr>
        <w:t>CAPITAL ONE FINANCIAL CORPORATION</w:t>
      </w:r>
    </w:p>
    <w:p w:rsidR="00000000" w:rsidRDefault="0094004B">
      <w:pPr>
        <w:jc w:val="center"/>
        <w:divId w:val="1346636770"/>
        <w:rPr>
          <w:rFonts w:eastAsia="Times New Roman"/>
        </w:rPr>
      </w:pPr>
      <w:r>
        <w:rPr>
          <w:rFonts w:eastAsia="Times New Roman"/>
          <w:b/>
          <w:bCs/>
          <w:color w:val="000000"/>
          <w:sz w:val="20"/>
          <w:szCs w:val="20"/>
        </w:rPr>
        <w:t>NOTES TO CONSOLIDATED FINANCIAL STATEMENTS</w:t>
      </w:r>
    </w:p>
    <w:p w:rsidR="00000000" w:rsidRDefault="0094004B">
      <w:pPr>
        <w:jc w:val="both"/>
        <w:divId w:val="1719360658"/>
        <w:rPr>
          <w:rFonts w:eastAsia="Times New Roman"/>
        </w:rPr>
      </w:pPr>
      <w:r>
        <w:rPr>
          <w:rFonts w:eastAsia="Times New Roman"/>
          <w:color w:val="000000"/>
          <w:sz w:val="20"/>
          <w:szCs w:val="20"/>
        </w:rPr>
        <w:t>The following table presents the reconciliation of the U.S. fede</w:t>
      </w:r>
      <w:r>
        <w:rPr>
          <w:rFonts w:eastAsia="Times New Roman"/>
          <w:color w:val="000000"/>
          <w:sz w:val="20"/>
          <w:szCs w:val="20"/>
        </w:rPr>
        <w:t>ral statutory income tax rate to the effective income tax rate applicable to income from continuing operations for the years ended December 31, 2022, 2021 and 2020.</w:t>
      </w:r>
    </w:p>
    <w:p w:rsidR="00000000" w:rsidRDefault="0094004B">
      <w:pPr>
        <w:divId w:val="2015721735"/>
        <w:rPr>
          <w:rFonts w:eastAsia="Times New Roman"/>
        </w:rPr>
      </w:pPr>
      <w:r>
        <w:rPr>
          <w:rFonts w:eastAsia="Times New Roman"/>
          <w:b/>
          <w:bCs/>
          <w:color w:val="000000"/>
          <w:sz w:val="18"/>
          <w:szCs w:val="18"/>
        </w:rPr>
        <w:t>Table 15.2: Effective Income Tax Rate</w:t>
      </w:r>
    </w:p>
    <w:tbl>
      <w:tblPr>
        <w:tblW w:w="5000" w:type="pct"/>
        <w:tblCellMar>
          <w:top w:w="15" w:type="dxa"/>
          <w:left w:w="15" w:type="dxa"/>
          <w:bottom w:w="15" w:type="dxa"/>
          <w:right w:w="15" w:type="dxa"/>
        </w:tblCellMar>
        <w:tblLook w:val="04A0" w:firstRow="1" w:lastRow="0" w:firstColumn="1" w:lastColumn="0" w:noHBand="0" w:noVBand="1"/>
      </w:tblPr>
      <w:tblGrid>
        <w:gridCol w:w="38"/>
        <w:gridCol w:w="5908"/>
        <w:gridCol w:w="37"/>
        <w:gridCol w:w="36"/>
        <w:gridCol w:w="36"/>
        <w:gridCol w:w="36"/>
        <w:gridCol w:w="48"/>
        <w:gridCol w:w="479"/>
        <w:gridCol w:w="201"/>
        <w:gridCol w:w="36"/>
        <w:gridCol w:w="36"/>
        <w:gridCol w:w="36"/>
        <w:gridCol w:w="48"/>
        <w:gridCol w:w="416"/>
        <w:gridCol w:w="171"/>
        <w:gridCol w:w="36"/>
        <w:gridCol w:w="36"/>
        <w:gridCol w:w="36"/>
        <w:gridCol w:w="57"/>
        <w:gridCol w:w="408"/>
        <w:gridCol w:w="171"/>
      </w:tblGrid>
      <w:tr w:rsidR="00000000">
        <w:trPr>
          <w:divId w:val="2008559517"/>
        </w:trPr>
        <w:tc>
          <w:tcPr>
            <w:tcW w:w="50" w:type="pct"/>
            <w:vAlign w:val="center"/>
            <w:hideMark/>
          </w:tcPr>
          <w:p w:rsidR="00000000" w:rsidRDefault="0094004B">
            <w:pPr>
              <w:rPr>
                <w:rFonts w:eastAsia="Times New Roman"/>
              </w:rPr>
            </w:pPr>
          </w:p>
        </w:tc>
        <w:tc>
          <w:tcPr>
            <w:tcW w:w="3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1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5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5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5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2008559517"/>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Year Ended December 31,</w:t>
            </w:r>
          </w:p>
        </w:tc>
      </w:tr>
      <w:tr w:rsidR="00000000">
        <w:trPr>
          <w:divId w:val="2008559517"/>
        </w:trPr>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2020</w:t>
            </w:r>
          </w:p>
        </w:tc>
      </w:tr>
      <w:tr w:rsidR="00000000">
        <w:trPr>
          <w:divId w:val="200855951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Income tax at U.S. federal statutory tax rate</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21.0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21.0 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21.0 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r>
              <w:rPr>
                <w:rFonts w:eastAsia="Times New Roman"/>
                <w:color w:val="000000"/>
                <w:sz w:val="18"/>
                <w:szCs w:val="18"/>
              </w:rPr>
              <w:t>%</w:t>
            </w:r>
          </w:p>
        </w:tc>
      </w:tr>
      <w:tr w:rsidR="00000000">
        <w:trPr>
          <w:divId w:val="2008559517"/>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State taxes, net of federal benefit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3.1 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3.5 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2008559517"/>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Non-deductible expenses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0.4 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3.2 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2008559517"/>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Affordable housing, new markets and other tax credits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(4.2)</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(2.3)</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(11.4)</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2008559517"/>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Tax-exempt interest and other nontaxable income</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(0.4)</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(0.3)</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(1.7)</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2008559517"/>
        </w:trPr>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2008559517"/>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Changes in valuation allowance</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0.4 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2.3 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2008559517"/>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Other, net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(0.8)</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(0.7)</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(1.7)</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2008559517"/>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Effective income tax rate</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20.3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21.6 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15.2 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r>
              <w:rPr>
                <w:rFonts w:eastAsia="Times New Roman"/>
                <w:color w:val="000000"/>
                <w:sz w:val="18"/>
                <w:szCs w:val="18"/>
              </w:rPr>
              <w:t>%</w:t>
            </w:r>
          </w:p>
        </w:tc>
      </w:tr>
    </w:tbl>
    <w:p w:rsidR="00000000" w:rsidRDefault="0094004B">
      <w:pPr>
        <w:jc w:val="both"/>
        <w:divId w:val="528496958"/>
        <w:rPr>
          <w:rFonts w:eastAsia="Times New Roman"/>
        </w:rPr>
      </w:pPr>
      <w:r>
        <w:rPr>
          <w:rFonts w:eastAsia="Times New Roman"/>
          <w:color w:val="000000"/>
          <w:sz w:val="20"/>
          <w:szCs w:val="20"/>
        </w:rPr>
        <w:t>The following table presents significant components of our deferred tax assets and liabilities as of </w:t>
      </w:r>
      <w:r>
        <w:rPr>
          <w:rFonts w:eastAsia="Times New Roman"/>
          <w:color w:val="000000"/>
          <w:sz w:val="20"/>
          <w:szCs w:val="20"/>
        </w:rPr>
        <w:t>December 31, 2022 and 2021. The valuation allowance below represents the adjustment of our foreign tax credit carryforward, certain state deferred tax assets and net operating loss carryforwards to the amount we have determined is more likely than not to b</w:t>
      </w:r>
      <w:r>
        <w:rPr>
          <w:rFonts w:eastAsia="Times New Roman"/>
          <w:color w:val="000000"/>
          <w:sz w:val="20"/>
          <w:szCs w:val="20"/>
        </w:rPr>
        <w:t>e realized.</w:t>
      </w:r>
    </w:p>
    <w:p w:rsidR="00000000" w:rsidRDefault="0094004B">
      <w:pPr>
        <w:divId w:val="415131450"/>
        <w:rPr>
          <w:rFonts w:eastAsia="Times New Roman"/>
        </w:rPr>
      </w:pPr>
      <w:r>
        <w:rPr>
          <w:rFonts w:eastAsia="Times New Roman"/>
          <w:b/>
          <w:bCs/>
          <w:color w:val="000000"/>
          <w:sz w:val="18"/>
          <w:szCs w:val="18"/>
        </w:rPr>
        <w:t>Table 15.3: Significant Components of Deferred Tax Assets and Liabilities</w:t>
      </w:r>
    </w:p>
    <w:tbl>
      <w:tblPr>
        <w:tblW w:w="5000" w:type="pct"/>
        <w:tblCellMar>
          <w:top w:w="15" w:type="dxa"/>
          <w:left w:w="15" w:type="dxa"/>
          <w:bottom w:w="15" w:type="dxa"/>
          <w:right w:w="15" w:type="dxa"/>
        </w:tblCellMar>
        <w:tblLook w:val="04A0" w:firstRow="1" w:lastRow="0" w:firstColumn="1" w:lastColumn="0" w:noHBand="0" w:noVBand="1"/>
      </w:tblPr>
      <w:tblGrid>
        <w:gridCol w:w="41"/>
        <w:gridCol w:w="6231"/>
        <w:gridCol w:w="40"/>
        <w:gridCol w:w="36"/>
        <w:gridCol w:w="36"/>
        <w:gridCol w:w="36"/>
        <w:gridCol w:w="111"/>
        <w:gridCol w:w="742"/>
        <w:gridCol w:w="36"/>
        <w:gridCol w:w="36"/>
        <w:gridCol w:w="36"/>
        <w:gridCol w:w="36"/>
        <w:gridCol w:w="111"/>
        <w:gridCol w:w="742"/>
        <w:gridCol w:w="36"/>
      </w:tblGrid>
      <w:tr w:rsidR="00000000">
        <w:trPr>
          <w:divId w:val="1414929461"/>
        </w:trPr>
        <w:tc>
          <w:tcPr>
            <w:tcW w:w="50" w:type="pct"/>
            <w:vAlign w:val="center"/>
            <w:hideMark/>
          </w:tcPr>
          <w:p w:rsidR="00000000" w:rsidRDefault="0094004B">
            <w:pPr>
              <w:rPr>
                <w:rFonts w:eastAsia="Times New Roman"/>
              </w:rPr>
            </w:pPr>
          </w:p>
        </w:tc>
        <w:tc>
          <w:tcPr>
            <w:tcW w:w="377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9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9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414929461"/>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December 31, 2022</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December 31, 2021</w:t>
            </w:r>
          </w:p>
        </w:tc>
      </w:tr>
      <w:tr w:rsidR="00000000">
        <w:trPr>
          <w:divId w:val="1414929461"/>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Deferred tax assets: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414929461"/>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Allowance for credit losses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3,025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2,657 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414929461"/>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Security and loan valuations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2,497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414929461"/>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Rewards programs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790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825 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414929461"/>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Net unrealized loss on derivatives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689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414929461"/>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Net operating loss and tax credit carryforwards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437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367 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414929461"/>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Compensation and employee benefits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411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337 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414929461"/>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Lease liabilities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346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345 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414929461"/>
        </w:trPr>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414929461"/>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414929461"/>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414929461"/>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414929461"/>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Partnership investments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253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238 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414929461"/>
        </w:trPr>
        <w:tc>
          <w:tcPr>
            <w:tcW w:w="0" w:type="auto"/>
            <w:gridSpan w:val="3"/>
            <w:shd w:val="clear" w:color="auto" w:fill="FFFFFF"/>
            <w:tcMar>
              <w:top w:w="30" w:type="dxa"/>
              <w:left w:w="27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Other assets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507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359 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414929461"/>
        </w:trPr>
        <w:tc>
          <w:tcPr>
            <w:tcW w:w="0" w:type="auto"/>
            <w:gridSpan w:val="3"/>
            <w:shd w:val="clear" w:color="auto" w:fill="CCEEFF"/>
            <w:tcMar>
              <w:top w:w="30" w:type="dxa"/>
              <w:left w:w="51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Subtotal</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8,955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5,128 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414929461"/>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Valuation allowance</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(446)</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(355)</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414929461"/>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 deferred tax assets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8,509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4,773 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414929461"/>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Deferred tax liabilities: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414929461"/>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Right-of-use assets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284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284 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414929461"/>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Original issue discount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241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361 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414929461"/>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Partnership investments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119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128 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414929461"/>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Mortgage servicing rights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95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88 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414929461"/>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Security </w:t>
            </w:r>
            <w:r>
              <w:rPr>
                <w:rFonts w:eastAsia="Times New Roman"/>
                <w:color w:val="000000"/>
                <w:sz w:val="18"/>
                <w:szCs w:val="18"/>
              </w:rPr>
              <w:t>and loan valuations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49 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414929461"/>
        </w:trPr>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414929461"/>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414929461"/>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Net unrealized gains on derivatives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32 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414929461"/>
        </w:trPr>
        <w:tc>
          <w:tcPr>
            <w:tcW w:w="0" w:type="auto"/>
            <w:gridSpan w:val="3"/>
            <w:shd w:val="clear" w:color="auto" w:fill="CCEEFF"/>
            <w:tcMar>
              <w:top w:w="30" w:type="dxa"/>
              <w:left w:w="26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Other liabilities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111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123 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414929461"/>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 deferred tax liabilities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850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1,065 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414929461"/>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Net deferred tax assets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7,659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3,708 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bl>
    <w:p w:rsidR="00000000" w:rsidRDefault="0094004B">
      <w:pPr>
        <w:divId w:val="1414929461"/>
        <w:rPr>
          <w:rFonts w:eastAsia="Times New Roman"/>
        </w:rPr>
      </w:pPr>
      <w:r>
        <w:rPr>
          <w:rFonts w:eastAsia="Times New Roman"/>
          <w:color w:val="000000"/>
          <w:sz w:val="20"/>
          <w:szCs w:val="20"/>
        </w:rPr>
        <w:t>_________</w:t>
      </w:r>
    </w:p>
    <w:p w:rsidR="00000000" w:rsidRDefault="0094004B">
      <w:pPr>
        <w:ind w:hanging="360"/>
        <w:jc w:val="both"/>
        <w:divId w:val="774640107"/>
        <w:rPr>
          <w:rFonts w:eastAsia="Times New Roman"/>
        </w:rPr>
      </w:pPr>
      <w:r>
        <w:rPr>
          <w:rFonts w:eastAsia="Times New Roman"/>
          <w:color w:val="000000"/>
          <w:sz w:val="16"/>
          <w:szCs w:val="16"/>
          <w:shd w:val="clear" w:color="auto" w:fill="B6B6B6"/>
        </w:rPr>
        <w:t>.</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71335310"/>
          <w:jc w:val="center"/>
        </w:trPr>
        <w:tc>
          <w:tcPr>
            <w:tcW w:w="50" w:type="pct"/>
            <w:vAlign w:val="center"/>
            <w:hideMark/>
          </w:tcPr>
          <w:p w:rsidR="00000000" w:rsidRDefault="0094004B">
            <w:pPr>
              <w:ind w:hanging="360"/>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71335310"/>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71335310"/>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185</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211" style="width:0;height:1.5pt" o:hralign="center" o:hrstd="t" o:hr="t" fillcolor="#a0a0a0" stroked="f"/>
        </w:pict>
      </w:r>
    </w:p>
    <w:p w:rsidR="00000000" w:rsidRDefault="0094004B">
      <w:pPr>
        <w:jc w:val="both"/>
        <w:divId w:val="1335572688"/>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1335572688"/>
        <w:rPr>
          <w:rFonts w:eastAsia="Times New Roman"/>
        </w:rPr>
      </w:pPr>
    </w:p>
    <w:p w:rsidR="00000000" w:rsidRDefault="0094004B">
      <w:pPr>
        <w:jc w:val="center"/>
        <w:divId w:val="1335572688"/>
        <w:rPr>
          <w:rFonts w:eastAsia="Times New Roman"/>
        </w:rPr>
      </w:pPr>
      <w:r>
        <w:rPr>
          <w:rFonts w:eastAsia="Times New Roman"/>
          <w:b/>
          <w:bCs/>
          <w:color w:val="000000"/>
          <w:sz w:val="20"/>
          <w:szCs w:val="20"/>
        </w:rPr>
        <w:t>CAPITAL ONE FINANCIAL CORPORATION</w:t>
      </w:r>
    </w:p>
    <w:p w:rsidR="00000000" w:rsidRDefault="0094004B">
      <w:pPr>
        <w:jc w:val="center"/>
        <w:divId w:val="1335572688"/>
        <w:rPr>
          <w:rFonts w:eastAsia="Times New Roman"/>
        </w:rPr>
      </w:pPr>
      <w:r>
        <w:rPr>
          <w:rFonts w:eastAsia="Times New Roman"/>
          <w:b/>
          <w:bCs/>
          <w:color w:val="000000"/>
          <w:sz w:val="20"/>
          <w:szCs w:val="20"/>
        </w:rPr>
        <w:t>NOTES TO CONSOLIDATED FINANCIAL STATEMENTS</w:t>
      </w:r>
    </w:p>
    <w:p w:rsidR="00000000" w:rsidRDefault="0094004B">
      <w:pPr>
        <w:jc w:val="both"/>
        <w:rPr>
          <w:rFonts w:eastAsia="Times New Roman"/>
        </w:rPr>
      </w:pPr>
      <w:r>
        <w:rPr>
          <w:rFonts w:eastAsia="Times New Roman"/>
          <w:color w:val="000000"/>
          <w:sz w:val="20"/>
          <w:szCs w:val="20"/>
        </w:rPr>
        <w:t>Our gross federal net operating loss carryforwards were $13 mill</w:t>
      </w:r>
      <w:r>
        <w:rPr>
          <w:rFonts w:eastAsia="Times New Roman"/>
          <w:color w:val="000000"/>
          <w:sz w:val="20"/>
          <w:szCs w:val="20"/>
        </w:rPr>
        <w:t>ion and $25 million as of December 31, 2022 and 2021, respectively. These operating loss carryforwards were attributable to acquisitions, and none of the $13 million of operating loss carryforwards are subject to expiration. Under IRS rules, our ability to</w:t>
      </w:r>
      <w:r>
        <w:rPr>
          <w:rFonts w:eastAsia="Times New Roman"/>
          <w:color w:val="000000"/>
          <w:sz w:val="20"/>
          <w:szCs w:val="20"/>
        </w:rPr>
        <w:t xml:space="preserve"> utilize these losses against future income is limited. The net tax values of our state net operating loss carryforwards were $267 million and $258 million as of December 31, 2022 and 2021, respectively, and they will expire from 2023 to 2041. Our foreign </w:t>
      </w:r>
      <w:r>
        <w:rPr>
          <w:rFonts w:eastAsia="Times New Roman"/>
          <w:color w:val="000000"/>
          <w:sz w:val="20"/>
          <w:szCs w:val="20"/>
        </w:rPr>
        <w:t xml:space="preserve">tax credit carryforwards were $166 million and $91 million as of December 31, 2022 and 2021, respectively, and they will expire from 2028 to 2032. </w:t>
      </w:r>
    </w:p>
    <w:p w:rsidR="00000000" w:rsidRDefault="0094004B">
      <w:pPr>
        <w:jc w:val="both"/>
        <w:divId w:val="529539165"/>
        <w:rPr>
          <w:rFonts w:eastAsia="Times New Roman"/>
        </w:rPr>
      </w:pPr>
      <w:r>
        <w:rPr>
          <w:rFonts w:eastAsia="Times New Roman"/>
          <w:color w:val="000000"/>
          <w:sz w:val="20"/>
          <w:szCs w:val="20"/>
        </w:rPr>
        <w:t>Our valuation allowance increased by $91 million to $446 million as of December 31, 2022 compared to $355 mi</w:t>
      </w:r>
      <w:r>
        <w:rPr>
          <w:rFonts w:eastAsia="Times New Roman"/>
          <w:color w:val="000000"/>
          <w:sz w:val="20"/>
          <w:szCs w:val="20"/>
        </w:rPr>
        <w:t>llion as of December 31, 2021. Of the total increase, $75 million is related to the current year increase in our foreign tax credit carryforwards that will not be realized prior to expiration and $15 million is related to reducing state net operating losse</w:t>
      </w:r>
      <w:r>
        <w:rPr>
          <w:rFonts w:eastAsia="Times New Roman"/>
          <w:color w:val="000000"/>
          <w:sz w:val="20"/>
          <w:szCs w:val="20"/>
        </w:rPr>
        <w:t>s and interest carryforwards to the amount we have determined is more likely than not to be realized.</w:t>
      </w:r>
    </w:p>
    <w:p w:rsidR="00000000" w:rsidRDefault="0094004B">
      <w:pPr>
        <w:jc w:val="both"/>
        <w:divId w:val="799998576"/>
        <w:rPr>
          <w:rFonts w:eastAsia="Times New Roman"/>
        </w:rPr>
      </w:pPr>
      <w:r>
        <w:rPr>
          <w:rFonts w:eastAsia="Times New Roman"/>
          <w:color w:val="000000"/>
          <w:sz w:val="20"/>
          <w:szCs w:val="20"/>
        </w:rPr>
        <w:t>We recognize accrued interest and penalties related to income taxes as a component of income tax expense. We recognized a $1 million and $30 million tax b</w:t>
      </w:r>
      <w:r>
        <w:rPr>
          <w:rFonts w:eastAsia="Times New Roman"/>
          <w:color w:val="000000"/>
          <w:sz w:val="20"/>
          <w:szCs w:val="20"/>
        </w:rPr>
        <w:t>enefit in 2022 and 2021, respectively, and $16 million of such expense in 2020.</w:t>
      </w:r>
    </w:p>
    <w:p w:rsidR="00000000" w:rsidRDefault="0094004B">
      <w:pPr>
        <w:jc w:val="both"/>
        <w:divId w:val="2129229705"/>
        <w:rPr>
          <w:rFonts w:eastAsia="Times New Roman"/>
        </w:rPr>
      </w:pPr>
      <w:r>
        <w:rPr>
          <w:rFonts w:eastAsia="Times New Roman"/>
          <w:color w:val="000000"/>
          <w:sz w:val="20"/>
          <w:szCs w:val="20"/>
        </w:rPr>
        <w:t>The following table presents the accrued balance of tax, interest and penalties related to unrecognized tax benefits.</w:t>
      </w:r>
    </w:p>
    <w:p w:rsidR="00000000" w:rsidRDefault="0094004B">
      <w:pPr>
        <w:divId w:val="2021546291"/>
        <w:rPr>
          <w:rFonts w:eastAsia="Times New Roman"/>
        </w:rPr>
      </w:pPr>
      <w:r>
        <w:rPr>
          <w:rFonts w:eastAsia="Times New Roman"/>
          <w:b/>
          <w:bCs/>
          <w:color w:val="000000"/>
          <w:sz w:val="18"/>
          <w:szCs w:val="18"/>
        </w:rPr>
        <w:t>Table 15.4: Reconciliation of the Change in Unrecognized T</w:t>
      </w:r>
      <w:r>
        <w:rPr>
          <w:rFonts w:eastAsia="Times New Roman"/>
          <w:b/>
          <w:bCs/>
          <w:color w:val="000000"/>
          <w:sz w:val="18"/>
          <w:szCs w:val="18"/>
        </w:rPr>
        <w:t>ax Benefits</w:t>
      </w:r>
    </w:p>
    <w:tbl>
      <w:tblPr>
        <w:tblW w:w="4963" w:type="pct"/>
        <w:tblCellMar>
          <w:top w:w="15" w:type="dxa"/>
          <w:left w:w="15" w:type="dxa"/>
          <w:bottom w:w="15" w:type="dxa"/>
          <w:right w:w="15" w:type="dxa"/>
        </w:tblCellMar>
        <w:tblLook w:val="04A0" w:firstRow="1" w:lastRow="0" w:firstColumn="1" w:lastColumn="0" w:noHBand="0" w:noVBand="1"/>
      </w:tblPr>
      <w:tblGrid>
        <w:gridCol w:w="40"/>
        <w:gridCol w:w="4940"/>
        <w:gridCol w:w="39"/>
        <w:gridCol w:w="36"/>
        <w:gridCol w:w="36"/>
        <w:gridCol w:w="36"/>
        <w:gridCol w:w="111"/>
        <w:gridCol w:w="887"/>
        <w:gridCol w:w="36"/>
        <w:gridCol w:w="36"/>
        <w:gridCol w:w="36"/>
        <w:gridCol w:w="36"/>
        <w:gridCol w:w="111"/>
        <w:gridCol w:w="787"/>
        <w:gridCol w:w="36"/>
        <w:gridCol w:w="36"/>
        <w:gridCol w:w="36"/>
        <w:gridCol w:w="36"/>
        <w:gridCol w:w="111"/>
        <w:gridCol w:w="787"/>
        <w:gridCol w:w="36"/>
      </w:tblGrid>
      <w:tr w:rsidR="00000000">
        <w:trPr>
          <w:divId w:val="1197236618"/>
        </w:trPr>
        <w:tc>
          <w:tcPr>
            <w:tcW w:w="50" w:type="pct"/>
            <w:vAlign w:val="center"/>
            <w:hideMark/>
          </w:tcPr>
          <w:p w:rsidR="00000000" w:rsidRDefault="0094004B">
            <w:pPr>
              <w:rPr>
                <w:rFonts w:eastAsia="Times New Roman"/>
              </w:rPr>
            </w:pPr>
          </w:p>
        </w:tc>
        <w:tc>
          <w:tcPr>
            <w:tcW w:w="315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50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50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50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197236618"/>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Gross</w:t>
            </w:r>
            <w:r>
              <w:rPr>
                <w:rFonts w:eastAsia="Times New Roman"/>
                <w:b/>
                <w:bCs/>
                <w:color w:val="000000"/>
                <w:sz w:val="16"/>
                <w:szCs w:val="16"/>
              </w:rPr>
              <w:br/>
              <w:t>Unrecognized</w:t>
            </w:r>
            <w:r>
              <w:rPr>
                <w:rFonts w:eastAsia="Times New Roman"/>
                <w:b/>
                <w:bCs/>
                <w:color w:val="000000"/>
                <w:sz w:val="16"/>
                <w:szCs w:val="16"/>
              </w:rPr>
              <w:br/>
              <w:t>Tax Benefits</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Accrued</w:t>
            </w:r>
            <w:r>
              <w:rPr>
                <w:rFonts w:eastAsia="Times New Roman"/>
                <w:b/>
                <w:bCs/>
                <w:color w:val="000000"/>
                <w:sz w:val="16"/>
                <w:szCs w:val="16"/>
              </w:rPr>
              <w:br/>
              <w:t>Interest and</w:t>
            </w:r>
            <w:r>
              <w:rPr>
                <w:rFonts w:eastAsia="Times New Roman"/>
                <w:b/>
                <w:bCs/>
                <w:color w:val="000000"/>
                <w:sz w:val="16"/>
                <w:szCs w:val="16"/>
              </w:rPr>
              <w:br/>
              <w:t>Penalties</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Gross Tax,</w:t>
            </w:r>
            <w:r>
              <w:rPr>
                <w:rFonts w:eastAsia="Times New Roman"/>
                <w:b/>
                <w:bCs/>
                <w:color w:val="000000"/>
                <w:sz w:val="16"/>
                <w:szCs w:val="16"/>
              </w:rPr>
              <w:br/>
              <w:t>Interest and</w:t>
            </w:r>
            <w:r>
              <w:rPr>
                <w:rFonts w:eastAsia="Times New Roman"/>
                <w:b/>
                <w:bCs/>
                <w:color w:val="000000"/>
                <w:sz w:val="16"/>
                <w:szCs w:val="16"/>
              </w:rPr>
              <w:br/>
              <w:t>Penalties</w:t>
            </w:r>
          </w:p>
        </w:tc>
      </w:tr>
      <w:tr w:rsidR="00000000">
        <w:trPr>
          <w:divId w:val="1197236618"/>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Balance as of January 1, 2020</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431 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462 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197236618"/>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Additions for tax positions related to the current year</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33 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33 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197236618"/>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Additions for tax positions related to prior years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21 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24 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197236618"/>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Reductions for tax positions related to prior years due to IRS and other settlements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(16)</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(6)</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(22)</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197236618"/>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Balance as of December 31, 2020</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451 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497 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197236618"/>
        </w:trPr>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197236618"/>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Additions for tax positions related to prior years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5 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197236618"/>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Reductions for tax positions related to prior years due to IRS and other settlements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(47)</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(36)</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(83)</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197236618"/>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Balance as of December 31, 2021</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405 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419 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197236618"/>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Additions for tax positions related to the current year</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197236618"/>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Additions for tax positions related to prior years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197236618"/>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Reductions for tax positions related to prior years due to IRS and other settlements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(381)</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(10)</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(391)</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197236618"/>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Balance as of December 31, 2022</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41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51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197236618"/>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Portion of balance at December </w:t>
            </w:r>
            <w:r>
              <w:rPr>
                <w:rFonts w:eastAsia="Times New Roman"/>
                <w:color w:val="000000"/>
                <w:sz w:val="18"/>
                <w:szCs w:val="18"/>
              </w:rPr>
              <w:t>31, 2022 that, if recognized, would impact the effective income tax rate</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32</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8</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40</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bl>
    <w:p w:rsidR="00000000" w:rsidRDefault="0094004B">
      <w:pPr>
        <w:jc w:val="both"/>
        <w:rPr>
          <w:rFonts w:eastAsia="Times New Roman"/>
        </w:rPr>
      </w:pPr>
      <w:r>
        <w:rPr>
          <w:rFonts w:eastAsia="Times New Roman"/>
          <w:color w:val="000000"/>
          <w:sz w:val="20"/>
          <w:szCs w:val="20"/>
        </w:rPr>
        <w:t>We are subject to examination by the IRS and other tax authorities in certain countries and states in which we operate. The tax years subject to examination vary by jurisdiction. During 2022, we contin</w:t>
      </w:r>
      <w:r>
        <w:rPr>
          <w:rFonts w:eastAsia="Times New Roman"/>
          <w:color w:val="000000"/>
          <w:sz w:val="20"/>
          <w:szCs w:val="20"/>
        </w:rPr>
        <w:t>ued to participate in the IRS Compliance Assurance Process (“CAP”) for our open federal income tax return years and have been accepted into CAP for 2023. During 2022, the IRS review of our 2017, 2018, 2019, and 2020 federal income tax returns was completed</w:t>
      </w:r>
      <w:r>
        <w:rPr>
          <w:rFonts w:eastAsia="Times New Roman"/>
          <w:color w:val="000000"/>
          <w:sz w:val="20"/>
          <w:szCs w:val="20"/>
        </w:rPr>
        <w:t>, with the Company due a net refund of tax and interest and these years are now closed. We expect that the IRS review of our 2021 federal income tax return will be completed in 2023, as only one issue remains under review post-filing. We also expect that t</w:t>
      </w:r>
      <w:r>
        <w:rPr>
          <w:rFonts w:eastAsia="Times New Roman"/>
          <w:color w:val="000000"/>
          <w:sz w:val="20"/>
          <w:szCs w:val="20"/>
        </w:rPr>
        <w:t>he IRS review of our 2022 federal income tax return will be substantially completed in 2023 prior to its filing.</w:t>
      </w:r>
    </w:p>
    <w:p w:rsidR="00000000" w:rsidRDefault="0094004B">
      <w:pPr>
        <w:jc w:val="both"/>
        <w:divId w:val="321154745"/>
        <w:rPr>
          <w:rFonts w:eastAsia="Times New Roman"/>
        </w:rPr>
      </w:pPr>
      <w:r>
        <w:rPr>
          <w:rFonts w:eastAsia="Times New Roman"/>
          <w:color w:val="000000"/>
          <w:sz w:val="20"/>
          <w:szCs w:val="20"/>
        </w:rPr>
        <w:t>It is reasonably possible that further adjustments to the Company’s unrecognized tax benefits may be made within 12 months of the reporting dat</w:t>
      </w:r>
      <w:r>
        <w:rPr>
          <w:rFonts w:eastAsia="Times New Roman"/>
          <w:color w:val="000000"/>
          <w:sz w:val="20"/>
          <w:szCs w:val="20"/>
        </w:rPr>
        <w:t>e as a result of future judicial or regulatory interpretations of existing tax laws. At this time, an estimate of the potential changes to the amount of unrecognized tax benefits cannot be made.</w:t>
      </w:r>
    </w:p>
    <w:p w:rsidR="00000000" w:rsidRDefault="0094004B">
      <w:pPr>
        <w:jc w:val="both"/>
        <w:divId w:val="1258519771"/>
        <w:rPr>
          <w:rFonts w:eastAsia="Times New Roman"/>
        </w:rPr>
      </w:pPr>
      <w:r>
        <w:rPr>
          <w:rFonts w:eastAsia="Times New Roman"/>
          <w:color w:val="000000"/>
          <w:sz w:val="20"/>
          <w:szCs w:val="20"/>
        </w:rPr>
        <w:t>As of December 31, 2022, the Company had approximately $1.7 b</w:t>
      </w:r>
      <w:r>
        <w:rPr>
          <w:rFonts w:eastAsia="Times New Roman"/>
          <w:color w:val="000000"/>
          <w:sz w:val="20"/>
          <w:szCs w:val="20"/>
        </w:rPr>
        <w:t>illion of unremitted earnings of subsidiaries operating outside the U.S. that upon repatriation would have no additional U.S. income taxes. In accordance with the guidance for accounting for income taxes in special areas, nearly all these earnings are cons</w:t>
      </w:r>
      <w:r>
        <w:rPr>
          <w:rFonts w:eastAsia="Times New Roman"/>
          <w:color w:val="000000"/>
          <w:sz w:val="20"/>
          <w:szCs w:val="20"/>
        </w:rPr>
        <w:t>idered by management to be invested indefinitely.</w:t>
      </w:r>
    </w:p>
    <w:p w:rsidR="00000000" w:rsidRDefault="0094004B">
      <w:pPr>
        <w:jc w:val="both"/>
        <w:divId w:val="503202713"/>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491480239"/>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491480239"/>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491480239"/>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186</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212" style="width:0;height:1.5pt" o:hralign="center" o:hrstd="t" o:hr="t" fillcolor="#a0a0a0" stroked="f"/>
        </w:pict>
      </w:r>
    </w:p>
    <w:p w:rsidR="00000000" w:rsidRDefault="0094004B">
      <w:pPr>
        <w:jc w:val="both"/>
        <w:divId w:val="1268268460"/>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1268268460"/>
        <w:rPr>
          <w:rFonts w:eastAsia="Times New Roman"/>
        </w:rPr>
      </w:pPr>
    </w:p>
    <w:p w:rsidR="00000000" w:rsidRDefault="0094004B">
      <w:pPr>
        <w:jc w:val="center"/>
        <w:divId w:val="1268268460"/>
        <w:rPr>
          <w:rFonts w:eastAsia="Times New Roman"/>
        </w:rPr>
      </w:pPr>
      <w:r>
        <w:rPr>
          <w:rFonts w:eastAsia="Times New Roman"/>
          <w:b/>
          <w:bCs/>
          <w:color w:val="000000"/>
          <w:sz w:val="20"/>
          <w:szCs w:val="20"/>
        </w:rPr>
        <w:t>CAPITAL ONE FINANCIAL CORPORATION</w:t>
      </w:r>
    </w:p>
    <w:p w:rsidR="00000000" w:rsidRDefault="0094004B">
      <w:pPr>
        <w:jc w:val="center"/>
        <w:divId w:val="1268268460"/>
        <w:rPr>
          <w:rFonts w:eastAsia="Times New Roman"/>
        </w:rPr>
      </w:pPr>
      <w:r>
        <w:rPr>
          <w:rFonts w:eastAsia="Times New Roman"/>
          <w:b/>
          <w:bCs/>
          <w:color w:val="000000"/>
          <w:sz w:val="20"/>
          <w:szCs w:val="20"/>
        </w:rPr>
        <w:t>NOTES TO CONSOLIDATED FINANCIAL STATEMENTS</w:t>
      </w:r>
    </w:p>
    <w:p w:rsidR="00000000" w:rsidRDefault="0094004B">
      <w:pPr>
        <w:jc w:val="both"/>
        <w:divId w:val="271976513"/>
        <w:rPr>
          <w:rFonts w:eastAsia="Times New Roman"/>
        </w:rPr>
      </w:pPr>
      <w:r>
        <w:rPr>
          <w:rFonts w:eastAsia="Times New Roman"/>
          <w:color w:val="000000"/>
          <w:sz w:val="20"/>
          <w:szCs w:val="20"/>
        </w:rPr>
        <w:t xml:space="preserve">As of December 31, 2022, U.S. income taxes of $69 </w:t>
      </w:r>
      <w:r>
        <w:rPr>
          <w:rFonts w:eastAsia="Times New Roman"/>
          <w:color w:val="000000"/>
          <w:sz w:val="20"/>
          <w:szCs w:val="20"/>
        </w:rPr>
        <w:t>million have not been provided for approximately $287 million of previously acquired thrift bad debt reserves created for tax purposes as of December 31, 1987. These amounts, acquired as a result of previous mergers and acquisitions, are subject to recaptu</w:t>
      </w:r>
      <w:r>
        <w:rPr>
          <w:rFonts w:eastAsia="Times New Roman"/>
          <w:color w:val="000000"/>
          <w:sz w:val="20"/>
          <w:szCs w:val="20"/>
        </w:rPr>
        <w:t>re in the unlikely event that CONA, as the successor to the merged and acquired entities, makes distributions in excess of earnings and profits, redeems its stock or liquidates.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411243431"/>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411243431"/>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411243431"/>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187</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213" style="width:0;height:1.5pt" o:hralign="center" o:hrstd="t" o:hr="t" fillcolor="#a0a0a0" stroked="f"/>
        </w:pict>
      </w:r>
    </w:p>
    <w:p w:rsidR="00000000" w:rsidRDefault="0094004B">
      <w:pPr>
        <w:jc w:val="both"/>
        <w:divId w:val="1715422641"/>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1715422641"/>
        <w:rPr>
          <w:rFonts w:eastAsia="Times New Roman"/>
        </w:rPr>
      </w:pPr>
    </w:p>
    <w:p w:rsidR="00000000" w:rsidRDefault="0094004B">
      <w:pPr>
        <w:jc w:val="center"/>
        <w:divId w:val="1715422641"/>
        <w:rPr>
          <w:rFonts w:eastAsia="Times New Roman"/>
        </w:rPr>
      </w:pPr>
      <w:r>
        <w:rPr>
          <w:rFonts w:eastAsia="Times New Roman"/>
          <w:b/>
          <w:bCs/>
          <w:color w:val="000000"/>
          <w:sz w:val="20"/>
          <w:szCs w:val="20"/>
        </w:rPr>
        <w:t>CAPITAL ONE FINANCIAL CORPORATION</w:t>
      </w:r>
    </w:p>
    <w:p w:rsidR="00000000" w:rsidRDefault="0094004B">
      <w:pPr>
        <w:jc w:val="center"/>
        <w:divId w:val="1715422641"/>
        <w:rPr>
          <w:rFonts w:eastAsia="Times New Roman"/>
        </w:rPr>
      </w:pPr>
      <w:r>
        <w:rPr>
          <w:rFonts w:eastAsia="Times New Roman"/>
          <w:b/>
          <w:bCs/>
          <w:color w:val="000000"/>
          <w:sz w:val="20"/>
          <w:szCs w:val="20"/>
        </w:rPr>
        <w:t>NOTES TO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982809566"/>
        </w:trPr>
        <w:tc>
          <w:tcPr>
            <w:tcW w:w="50" w:type="pct"/>
            <w:vAlign w:val="center"/>
            <w:hideMark/>
          </w:tcPr>
          <w:p w:rsidR="00000000" w:rsidRDefault="0094004B">
            <w:pPr>
              <w:jc w:val="center"/>
              <w:rPr>
                <w:rFonts w:eastAsia="Times New Roman"/>
              </w:rPr>
            </w:pPr>
          </w:p>
        </w:tc>
        <w:tc>
          <w:tcPr>
            <w:tcW w:w="494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982809566"/>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20"/>
                <w:szCs w:val="20"/>
              </w:rPr>
              <w:t>NOTE 16—FAIR VALUE MEASUREMENT</w:t>
            </w:r>
          </w:p>
        </w:tc>
      </w:tr>
    </w:tbl>
    <w:p w:rsidR="00000000" w:rsidRDefault="0094004B">
      <w:pPr>
        <w:jc w:val="both"/>
        <w:divId w:val="2051565903"/>
        <w:rPr>
          <w:rFonts w:eastAsia="Times New Roman"/>
        </w:rPr>
      </w:pPr>
      <w:r>
        <w:rPr>
          <w:rFonts w:eastAsia="Times New Roman"/>
          <w:color w:val="000000"/>
          <w:sz w:val="20"/>
          <w:szCs w:val="20"/>
        </w:rPr>
        <w:t>Fair value, also referred to as an exit price, is defined as the price that would be received for an asset or paid to transfer a liability in an orderly transaction between market participants on the measurement date. The fair value accounting guidance pro</w:t>
      </w:r>
      <w:r>
        <w:rPr>
          <w:rFonts w:eastAsia="Times New Roman"/>
          <w:color w:val="000000"/>
          <w:sz w:val="20"/>
          <w:szCs w:val="20"/>
        </w:rPr>
        <w:t xml:space="preserve">vides a three-level fair value hierarchy for classifying financial instruments. This hierarchy is based on the markets in which the assets or liabilities trade and whether the inputs to the valuation techniques used to measure fair value are observable or </w:t>
      </w:r>
      <w:r>
        <w:rPr>
          <w:rFonts w:eastAsia="Times New Roman"/>
          <w:color w:val="000000"/>
          <w:sz w:val="20"/>
          <w:szCs w:val="20"/>
        </w:rPr>
        <w:t>unobservable. The fair value measurement of a financial asset or liability is assigned a level based on the lowest level of any input that is significant to the fair value measurement in its entirety. The three levels of the fair value hierarchy are descri</w:t>
      </w:r>
      <w:r>
        <w:rPr>
          <w:rFonts w:eastAsia="Times New Roman"/>
          <w:color w:val="000000"/>
          <w:sz w:val="20"/>
          <w:szCs w:val="20"/>
        </w:rPr>
        <w:t>bed below:</w:t>
      </w:r>
    </w:p>
    <w:tbl>
      <w:tblPr>
        <w:tblW w:w="5000" w:type="pct"/>
        <w:tblCellMar>
          <w:top w:w="15" w:type="dxa"/>
          <w:left w:w="15" w:type="dxa"/>
          <w:bottom w:w="15" w:type="dxa"/>
          <w:right w:w="15" w:type="dxa"/>
        </w:tblCellMar>
        <w:tblLook w:val="04A0" w:firstRow="1" w:lastRow="0" w:firstColumn="1" w:lastColumn="0" w:noHBand="0" w:noVBand="1"/>
      </w:tblPr>
      <w:tblGrid>
        <w:gridCol w:w="86"/>
        <w:gridCol w:w="607"/>
        <w:gridCol w:w="36"/>
        <w:gridCol w:w="36"/>
        <w:gridCol w:w="36"/>
        <w:gridCol w:w="36"/>
        <w:gridCol w:w="38"/>
        <w:gridCol w:w="7394"/>
        <w:gridCol w:w="37"/>
      </w:tblGrid>
      <w:tr w:rsidR="00000000">
        <w:trPr>
          <w:divId w:val="1603217614"/>
        </w:trPr>
        <w:tc>
          <w:tcPr>
            <w:tcW w:w="50" w:type="pct"/>
            <w:vAlign w:val="center"/>
            <w:hideMark/>
          </w:tcPr>
          <w:p w:rsidR="00000000" w:rsidRDefault="0094004B">
            <w:pPr>
              <w:jc w:val="both"/>
              <w:rPr>
                <w:rFonts w:eastAsia="Times New Roman"/>
              </w:rPr>
            </w:pPr>
          </w:p>
        </w:tc>
        <w:tc>
          <w:tcPr>
            <w:tcW w:w="35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49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603217614"/>
        </w:trPr>
        <w:tc>
          <w:tcPr>
            <w:tcW w:w="0" w:type="auto"/>
            <w:gridSpan w:val="3"/>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20"/>
                <w:szCs w:val="20"/>
              </w:rPr>
              <w:t>Level 1:</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94004B">
            <w:pPr>
              <w:spacing w:after="100"/>
              <w:jc w:val="both"/>
              <w:rPr>
                <w:rFonts w:eastAsia="Times New Roman"/>
              </w:rPr>
            </w:pPr>
            <w:r>
              <w:rPr>
                <w:rFonts w:eastAsia="Times New Roman"/>
                <w:color w:val="000000"/>
                <w:sz w:val="20"/>
                <w:szCs w:val="20"/>
              </w:rPr>
              <w:t>Valuation is based on quoted prices (unadjusted) in active markets for identical assets or liabilities.</w:t>
            </w:r>
          </w:p>
        </w:tc>
      </w:tr>
      <w:tr w:rsidR="00000000">
        <w:trPr>
          <w:divId w:val="1603217614"/>
        </w:trPr>
        <w:tc>
          <w:tcPr>
            <w:tcW w:w="0" w:type="auto"/>
            <w:gridSpan w:val="3"/>
            <w:tcMar>
              <w:top w:w="30" w:type="dxa"/>
              <w:left w:w="20" w:type="dxa"/>
              <w:bottom w:w="30" w:type="dxa"/>
              <w:right w:w="20" w:type="dxa"/>
            </w:tcMar>
            <w:hideMark/>
          </w:tcPr>
          <w:p w:rsidR="00000000" w:rsidRDefault="0094004B">
            <w:pPr>
              <w:spacing w:after="100"/>
              <w:rPr>
                <w:rFonts w:eastAsia="Times New Roman"/>
              </w:rPr>
            </w:pPr>
            <w:r>
              <w:rPr>
                <w:rFonts w:eastAsia="Times New Roman"/>
                <w:color w:val="000000"/>
                <w:sz w:val="20"/>
                <w:szCs w:val="20"/>
              </w:rPr>
              <w:t>Level 2:</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94004B">
            <w:pPr>
              <w:spacing w:after="100"/>
              <w:jc w:val="both"/>
              <w:rPr>
                <w:rFonts w:eastAsia="Times New Roman"/>
              </w:rPr>
            </w:pPr>
            <w:r>
              <w:rPr>
                <w:rFonts w:eastAsia="Times New Roman"/>
                <w:color w:val="000000"/>
                <w:sz w:val="20"/>
                <w:szCs w:val="20"/>
              </w:rPr>
              <w:t xml:space="preserve">Valuation is based on observable market-based inputs other than Level 1 prices, such as quoted prices for similar assets or liabilities, quoted prices in markets that are not active, or other inputs that are observable or can be corroborated by observable </w:t>
            </w:r>
            <w:r>
              <w:rPr>
                <w:rFonts w:eastAsia="Times New Roman"/>
                <w:color w:val="000000"/>
                <w:sz w:val="20"/>
                <w:szCs w:val="20"/>
              </w:rPr>
              <w:t>market data for substantially the full term of the assets or liabilities.</w:t>
            </w:r>
          </w:p>
        </w:tc>
      </w:tr>
      <w:tr w:rsidR="00000000">
        <w:trPr>
          <w:divId w:val="1603217614"/>
        </w:trPr>
        <w:tc>
          <w:tcPr>
            <w:tcW w:w="0" w:type="auto"/>
            <w:gridSpan w:val="3"/>
            <w:tcMar>
              <w:top w:w="30" w:type="dxa"/>
              <w:left w:w="20" w:type="dxa"/>
              <w:bottom w:w="30" w:type="dxa"/>
              <w:right w:w="20" w:type="dxa"/>
            </w:tcMar>
            <w:hideMark/>
          </w:tcPr>
          <w:p w:rsidR="00000000" w:rsidRDefault="0094004B">
            <w:pPr>
              <w:spacing w:after="100"/>
              <w:rPr>
                <w:rFonts w:eastAsia="Times New Roman"/>
              </w:rPr>
            </w:pPr>
            <w:r>
              <w:rPr>
                <w:rFonts w:eastAsia="Times New Roman"/>
                <w:color w:val="000000"/>
                <w:sz w:val="20"/>
                <w:szCs w:val="20"/>
              </w:rPr>
              <w:t>Level 3:</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94004B">
            <w:pPr>
              <w:spacing w:after="100"/>
              <w:jc w:val="both"/>
              <w:rPr>
                <w:rFonts w:eastAsia="Times New Roman"/>
              </w:rPr>
            </w:pPr>
            <w:r>
              <w:rPr>
                <w:rFonts w:eastAsia="Times New Roman"/>
                <w:color w:val="000000"/>
                <w:sz w:val="20"/>
                <w:szCs w:val="20"/>
              </w:rPr>
              <w:t>Valuation is generated from techniques that use significant assumptions not observable in the market. Valuation techniques include pricing models, discounted cash fl</w:t>
            </w:r>
            <w:r>
              <w:rPr>
                <w:rFonts w:eastAsia="Times New Roman"/>
                <w:color w:val="000000"/>
                <w:sz w:val="20"/>
                <w:szCs w:val="20"/>
              </w:rPr>
              <w:t>ow methodologies or similar techniques.</w:t>
            </w:r>
          </w:p>
        </w:tc>
      </w:tr>
    </w:tbl>
    <w:p w:rsidR="00000000" w:rsidRDefault="0094004B">
      <w:pPr>
        <w:jc w:val="both"/>
        <w:divId w:val="1603217614"/>
        <w:rPr>
          <w:rFonts w:eastAsia="Times New Roman"/>
        </w:rPr>
      </w:pPr>
      <w:r>
        <w:rPr>
          <w:rFonts w:eastAsia="Times New Roman"/>
          <w:color w:val="000000"/>
          <w:sz w:val="20"/>
          <w:szCs w:val="20"/>
        </w:rPr>
        <w:t>The accounting guidance for fair value measurements requires that we maximize the use of observable inputs and minimize the use of unobservable inputs in determining fair value. We consider all available information, including observable market data, indic</w:t>
      </w:r>
      <w:r>
        <w:rPr>
          <w:rFonts w:eastAsia="Times New Roman"/>
          <w:color w:val="000000"/>
          <w:sz w:val="20"/>
          <w:szCs w:val="20"/>
        </w:rPr>
        <w:t>ations of market liquidity and orderliness, and our understanding of the valuation techniques and significant inputs. Based upon the specific facts and circumstances of each instrument or instrument category, judgments are made regarding the significance o</w:t>
      </w:r>
      <w:r>
        <w:rPr>
          <w:rFonts w:eastAsia="Times New Roman"/>
          <w:color w:val="000000"/>
          <w:sz w:val="20"/>
          <w:szCs w:val="20"/>
        </w:rPr>
        <w:t>f the observable or unobservable inputs to the instruments’ fair value measurement in its entirety. If unobservable inputs are considered significant, the instrument is classified as Level 3. The process for determining fair value using unobservable inputs</w:t>
      </w:r>
      <w:r>
        <w:rPr>
          <w:rFonts w:eastAsia="Times New Roman"/>
          <w:color w:val="000000"/>
          <w:sz w:val="20"/>
          <w:szCs w:val="20"/>
        </w:rPr>
        <w:t xml:space="preserve"> is generally more subjective and involves a high degree of management judgment and assumptions. The accounting guidance provides for the irrevocable option to elect, on a contract-by-contract basis, to measure certain financial assets and liabilities at f</w:t>
      </w:r>
      <w:r>
        <w:rPr>
          <w:rFonts w:eastAsia="Times New Roman"/>
          <w:color w:val="000000"/>
          <w:sz w:val="20"/>
          <w:szCs w:val="20"/>
        </w:rPr>
        <w:t>air value at inception of the contract and record any subsequent changes in fair value in earnings.</w:t>
      </w:r>
    </w:p>
    <w:p w:rsidR="00000000" w:rsidRDefault="0094004B">
      <w:pPr>
        <w:divId w:val="28604030"/>
        <w:rPr>
          <w:rFonts w:eastAsia="Times New Roman"/>
        </w:rPr>
      </w:pPr>
      <w:r>
        <w:rPr>
          <w:rFonts w:eastAsia="Times New Roman"/>
          <w:b/>
          <w:bCs/>
          <w:color w:val="000000"/>
          <w:sz w:val="20"/>
          <w:szCs w:val="20"/>
        </w:rPr>
        <w:t>Assets and Liabilities Measured at Fair Value on a Recurring Basis</w:t>
      </w:r>
    </w:p>
    <w:p w:rsidR="00000000" w:rsidRDefault="0094004B">
      <w:pPr>
        <w:jc w:val="both"/>
        <w:divId w:val="1608928300"/>
        <w:rPr>
          <w:rFonts w:eastAsia="Times New Roman"/>
        </w:rPr>
      </w:pPr>
      <w:r>
        <w:rPr>
          <w:rFonts w:eastAsia="Times New Roman"/>
          <w:color w:val="000000"/>
          <w:sz w:val="20"/>
          <w:szCs w:val="20"/>
        </w:rPr>
        <w:t>The following describes the valuation techniques used in estimating the fair value of our</w:t>
      </w:r>
      <w:r>
        <w:rPr>
          <w:rFonts w:eastAsia="Times New Roman"/>
          <w:color w:val="000000"/>
          <w:sz w:val="20"/>
          <w:szCs w:val="20"/>
        </w:rPr>
        <w:t xml:space="preserve"> financial assets and liabilities recorded at fair value on a recurring basis. The determination of the leveling of financial instruments in the fair value hierarchy is performed at the end of each reporting period. </w:t>
      </w:r>
    </w:p>
    <w:p w:rsidR="00000000" w:rsidRDefault="0094004B">
      <w:pPr>
        <w:divId w:val="1683164736"/>
        <w:rPr>
          <w:rFonts w:eastAsia="Times New Roman"/>
        </w:rPr>
      </w:pPr>
      <w:r>
        <w:rPr>
          <w:rFonts w:eastAsia="Times New Roman"/>
          <w:b/>
          <w:bCs/>
          <w:i/>
          <w:iCs/>
          <w:color w:val="000000"/>
          <w:sz w:val="20"/>
          <w:szCs w:val="20"/>
        </w:rPr>
        <w:t>Investment Securities</w:t>
      </w:r>
    </w:p>
    <w:p w:rsidR="00000000" w:rsidRDefault="0094004B">
      <w:pPr>
        <w:jc w:val="both"/>
        <w:divId w:val="856961489"/>
        <w:rPr>
          <w:rFonts w:eastAsia="Times New Roman"/>
        </w:rPr>
      </w:pPr>
      <w:r>
        <w:rPr>
          <w:rFonts w:eastAsia="Times New Roman"/>
          <w:color w:val="000000"/>
          <w:sz w:val="20"/>
          <w:szCs w:val="20"/>
        </w:rPr>
        <w:t>We measure the fa</w:t>
      </w:r>
      <w:r>
        <w:rPr>
          <w:rFonts w:eastAsia="Times New Roman"/>
          <w:color w:val="000000"/>
          <w:sz w:val="20"/>
          <w:szCs w:val="20"/>
        </w:rPr>
        <w:t>ir value of our U.S. Treasury securities using quoted prices in active markets. For the majority of securities in other investment categories, we utilize multiple vendor pricing services to obtain fair value measurements. We use a waterfall of pricing vend</w:t>
      </w:r>
      <w:r>
        <w:rPr>
          <w:rFonts w:eastAsia="Times New Roman"/>
          <w:color w:val="000000"/>
          <w:sz w:val="20"/>
          <w:szCs w:val="20"/>
        </w:rPr>
        <w:t>ors determined using our annual assessment of pricing service performance. A pricing service may be considered as the preferred or primary pricing provider depending on how closely aligned its prices are to other vendor prices, and how consistent the price</w:t>
      </w:r>
      <w:r>
        <w:rPr>
          <w:rFonts w:eastAsia="Times New Roman"/>
          <w:color w:val="000000"/>
          <w:sz w:val="20"/>
          <w:szCs w:val="20"/>
        </w:rPr>
        <w:t>s are with other available market information. The price of each security is confirmed by comparing such price to other vendor prices before it is finalized.</w:t>
      </w:r>
    </w:p>
    <w:p w:rsidR="00000000" w:rsidRDefault="0094004B">
      <w:pPr>
        <w:jc w:val="both"/>
        <w:divId w:val="701134049"/>
        <w:rPr>
          <w:rFonts w:eastAsia="Times New Roman"/>
        </w:rPr>
      </w:pPr>
      <w:r>
        <w:rPr>
          <w:rFonts w:eastAsia="Times New Roman"/>
          <w:color w:val="000000"/>
          <w:sz w:val="20"/>
          <w:szCs w:val="20"/>
        </w:rPr>
        <w:t>RMBS and CMBS are generally classified as Level 2 or 3. When significant assumptions are not consi</w:t>
      </w:r>
      <w:r>
        <w:rPr>
          <w:rFonts w:eastAsia="Times New Roman"/>
          <w:color w:val="000000"/>
          <w:sz w:val="20"/>
          <w:szCs w:val="20"/>
        </w:rPr>
        <w:t>stently observable, fair values are derived using the best available data. Such data may include quotes provided by dealers, valuation from external pricing services, independent pricing models, or other model-based valuation techniques, for example, calcu</w:t>
      </w:r>
      <w:r>
        <w:rPr>
          <w:rFonts w:eastAsia="Times New Roman"/>
          <w:color w:val="000000"/>
          <w:sz w:val="20"/>
          <w:szCs w:val="20"/>
        </w:rPr>
        <w:t>lation of the present values of future cash flows incorporating assumptions such as benchmark yields, spreads, prepayment speeds, credit ratings and losses. Generally, the external pricing services utilize observable market data to the extent available. Pr</w:t>
      </w:r>
      <w:r>
        <w:rPr>
          <w:rFonts w:eastAsia="Times New Roman"/>
          <w:color w:val="000000"/>
          <w:sz w:val="20"/>
          <w:szCs w:val="20"/>
        </w:rPr>
        <w:t>icing models may be used, which can vary by asset class, and may also incorporate available trade, bid and other market information. Across asset classes, information such as trader/dealer inputs, credit spreads, forward curves and prepayment speeds are us</w:t>
      </w:r>
      <w:r>
        <w:rPr>
          <w:rFonts w:eastAsia="Times New Roman"/>
          <w:color w:val="000000"/>
          <w:sz w:val="20"/>
          <w:szCs w:val="20"/>
        </w:rPr>
        <w:t>ed to help determine appropriate valuations. Because many fixed income securities do not trade on a daily basis, the pricing models may apply available information through processes such as benchmarking curves, grouping securities based on their characteri</w:t>
      </w:r>
      <w:r>
        <w:rPr>
          <w:rFonts w:eastAsia="Times New Roman"/>
          <w:color w:val="000000"/>
          <w:sz w:val="20"/>
          <w:szCs w:val="20"/>
        </w:rPr>
        <w:t>stics and using matrix pricing to prepare valuations. In addition, model processes are used by the pricing services to develop prepayment assumptions.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763259789"/>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763259789"/>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763259789"/>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188</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214" style="width:0;height:1.5pt" o:hralign="center" o:hrstd="t" o:hr="t" fillcolor="#a0a0a0" stroked="f"/>
        </w:pict>
      </w:r>
    </w:p>
    <w:p w:rsidR="00000000" w:rsidRDefault="0094004B">
      <w:pPr>
        <w:jc w:val="both"/>
        <w:divId w:val="1083839189"/>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1083839189"/>
        <w:rPr>
          <w:rFonts w:eastAsia="Times New Roman"/>
        </w:rPr>
      </w:pPr>
    </w:p>
    <w:p w:rsidR="00000000" w:rsidRDefault="0094004B">
      <w:pPr>
        <w:jc w:val="center"/>
        <w:divId w:val="1083839189"/>
        <w:rPr>
          <w:rFonts w:eastAsia="Times New Roman"/>
        </w:rPr>
      </w:pPr>
      <w:r>
        <w:rPr>
          <w:rFonts w:eastAsia="Times New Roman"/>
          <w:b/>
          <w:bCs/>
          <w:color w:val="000000"/>
          <w:sz w:val="20"/>
          <w:szCs w:val="20"/>
        </w:rPr>
        <w:t>CAPITAL ONE FINANCIAL CORPORATION</w:t>
      </w:r>
    </w:p>
    <w:p w:rsidR="00000000" w:rsidRDefault="0094004B">
      <w:pPr>
        <w:jc w:val="center"/>
        <w:divId w:val="1083839189"/>
        <w:rPr>
          <w:rFonts w:eastAsia="Times New Roman"/>
        </w:rPr>
      </w:pPr>
      <w:r>
        <w:rPr>
          <w:rFonts w:eastAsia="Times New Roman"/>
          <w:b/>
          <w:bCs/>
          <w:color w:val="000000"/>
          <w:sz w:val="20"/>
          <w:szCs w:val="20"/>
        </w:rPr>
        <w:t>NOTES TO CONSOLIDATED FINANCIAL STATEMENTS</w:t>
      </w:r>
    </w:p>
    <w:p w:rsidR="00000000" w:rsidRDefault="0094004B">
      <w:pPr>
        <w:jc w:val="both"/>
        <w:divId w:val="2020500776"/>
        <w:rPr>
          <w:rFonts w:eastAsia="Times New Roman"/>
        </w:rPr>
      </w:pPr>
      <w:r>
        <w:rPr>
          <w:rFonts w:eastAsia="Times New Roman"/>
          <w:color w:val="000000"/>
          <w:sz w:val="20"/>
          <w:szCs w:val="20"/>
        </w:rPr>
        <w:t>We validate the pricing obtained from the primary pricing provid</w:t>
      </w:r>
      <w:r>
        <w:rPr>
          <w:rFonts w:eastAsia="Times New Roman"/>
          <w:color w:val="000000"/>
          <w:sz w:val="20"/>
          <w:szCs w:val="20"/>
        </w:rPr>
        <w:t>ers through comparison of pricing to additional sources, including other pricing services, dealer pricing indications in transaction results and other internal sources. Pricing variances among different pricing sources are analyzed. Additionally, on an on-</w:t>
      </w:r>
      <w:r>
        <w:rPr>
          <w:rFonts w:eastAsia="Times New Roman"/>
          <w:color w:val="000000"/>
          <w:sz w:val="20"/>
          <w:szCs w:val="20"/>
        </w:rPr>
        <w:t>going basis, we request more detailed information from the valuation vendors to understand the pricing methodology and assumptions used to value the securities.</w:t>
      </w:r>
    </w:p>
    <w:p w:rsidR="00000000" w:rsidRDefault="0094004B">
      <w:pPr>
        <w:divId w:val="1455321233"/>
        <w:rPr>
          <w:rFonts w:eastAsia="Times New Roman"/>
        </w:rPr>
      </w:pPr>
      <w:r>
        <w:rPr>
          <w:rFonts w:eastAsia="Times New Roman"/>
          <w:b/>
          <w:bCs/>
          <w:i/>
          <w:iCs/>
          <w:color w:val="000000"/>
          <w:sz w:val="20"/>
          <w:szCs w:val="20"/>
        </w:rPr>
        <w:t>Derivative Assets and Liabilities</w:t>
      </w:r>
    </w:p>
    <w:p w:rsidR="00000000" w:rsidRDefault="0094004B">
      <w:pPr>
        <w:jc w:val="both"/>
        <w:divId w:val="396975868"/>
        <w:rPr>
          <w:rFonts w:eastAsia="Times New Roman"/>
        </w:rPr>
      </w:pPr>
      <w:r>
        <w:rPr>
          <w:rFonts w:eastAsia="Times New Roman"/>
          <w:color w:val="000000"/>
          <w:sz w:val="20"/>
          <w:szCs w:val="20"/>
        </w:rPr>
        <w:t>We use both exchange-traded and OTC derivatives to manage our</w:t>
      </w:r>
      <w:r>
        <w:rPr>
          <w:rFonts w:eastAsia="Times New Roman"/>
          <w:color w:val="000000"/>
          <w:sz w:val="20"/>
          <w:szCs w:val="20"/>
        </w:rPr>
        <w:t xml:space="preserve"> interest rate, foreign currency and commodity risk exposures. When quoted market prices are available and used to value our exchange-traded derivatives, we classify them as Level 1. However, the majority of our derivatives do not have readily available qu</w:t>
      </w:r>
      <w:r>
        <w:rPr>
          <w:rFonts w:eastAsia="Times New Roman"/>
          <w:color w:val="000000"/>
          <w:sz w:val="20"/>
          <w:szCs w:val="20"/>
        </w:rPr>
        <w:t>oted market prices. Therefore, we value most of our derivatives using vendor-based models. We primarily rely on market observable inputs for these models, including, for example, interest rate yield curves, credit curves, option volatility and currency rat</w:t>
      </w:r>
      <w:r>
        <w:rPr>
          <w:rFonts w:eastAsia="Times New Roman"/>
          <w:color w:val="000000"/>
          <w:sz w:val="20"/>
          <w:szCs w:val="20"/>
        </w:rPr>
        <w:t>es. These inputs can vary depending on the type of derivatives and nature of the underlying rate, price or index upon which the value of the derivative is based. We typically classify derivatives as Level 2 when significant inputs can be observed in a liqu</w:t>
      </w:r>
      <w:r>
        <w:rPr>
          <w:rFonts w:eastAsia="Times New Roman"/>
          <w:color w:val="000000"/>
          <w:sz w:val="20"/>
          <w:szCs w:val="20"/>
        </w:rPr>
        <w:t>id market and the model itself does not require significant judgment. When instruments are traded in less liquid markets and significant inputs are unobservable, such as interest rate swaps whose remaining terms do not correlate with market observable inte</w:t>
      </w:r>
      <w:r>
        <w:rPr>
          <w:rFonts w:eastAsia="Times New Roman"/>
          <w:color w:val="000000"/>
          <w:sz w:val="20"/>
          <w:szCs w:val="20"/>
        </w:rPr>
        <w:t>rest rate yield curves, such derivatives are classified as Level 3. We consider the impact of credit risk valuation adjustments when measuring the fair value of derivative contracts in order to reflect the credit quality of the counterparty and our own cre</w:t>
      </w:r>
      <w:r>
        <w:rPr>
          <w:rFonts w:eastAsia="Times New Roman"/>
          <w:color w:val="000000"/>
          <w:sz w:val="20"/>
          <w:szCs w:val="20"/>
        </w:rPr>
        <w:t>dit quality. Our internal pricing is compared against additional pricing sources such as external valuation agents and other internal sources. Pricing variances among different pricing sources are analyzed and validated. These derivatives are included in o</w:t>
      </w:r>
      <w:r>
        <w:rPr>
          <w:rFonts w:eastAsia="Times New Roman"/>
          <w:color w:val="000000"/>
          <w:sz w:val="20"/>
          <w:szCs w:val="20"/>
        </w:rPr>
        <w:t>ther assets or other liabilities on our consolidated balance sheets.</w:t>
      </w:r>
    </w:p>
    <w:p w:rsidR="00000000" w:rsidRDefault="0094004B">
      <w:pPr>
        <w:divId w:val="462968148"/>
        <w:rPr>
          <w:rFonts w:eastAsia="Times New Roman"/>
        </w:rPr>
      </w:pPr>
      <w:r>
        <w:rPr>
          <w:rFonts w:eastAsia="Times New Roman"/>
          <w:b/>
          <w:bCs/>
          <w:i/>
          <w:iCs/>
          <w:color w:val="000000"/>
          <w:sz w:val="20"/>
          <w:szCs w:val="20"/>
        </w:rPr>
        <w:t>Loans Held for Sale</w:t>
      </w:r>
    </w:p>
    <w:p w:rsidR="00000000" w:rsidRDefault="0094004B">
      <w:pPr>
        <w:jc w:val="both"/>
        <w:divId w:val="428045232"/>
        <w:rPr>
          <w:rFonts w:eastAsia="Times New Roman"/>
        </w:rPr>
      </w:pPr>
      <w:r>
        <w:rPr>
          <w:rFonts w:eastAsia="Times New Roman"/>
          <w:color w:val="000000"/>
          <w:sz w:val="20"/>
          <w:szCs w:val="20"/>
        </w:rPr>
        <w:t>In our commercial business, we originate multifamily commercial real estate loans with the intent to sell them to GSEs. We elect the fair value option for such loans a</w:t>
      </w:r>
      <w:r>
        <w:rPr>
          <w:rFonts w:eastAsia="Times New Roman"/>
          <w:color w:val="000000"/>
          <w:sz w:val="20"/>
          <w:szCs w:val="20"/>
        </w:rPr>
        <w:t>s part of our management of interest rate risk in our multifamily agency business. These held for sale loans are valued based on market observable inputs and are therefore classified as Level 2. Unrealized gains and losses on these loans are recorded in ot</w:t>
      </w:r>
      <w:r>
        <w:rPr>
          <w:rFonts w:eastAsia="Times New Roman"/>
          <w:color w:val="000000"/>
          <w:sz w:val="20"/>
          <w:szCs w:val="20"/>
        </w:rPr>
        <w:t>her non-interest income in our consolidated statements of income.</w:t>
      </w:r>
    </w:p>
    <w:p w:rsidR="00000000" w:rsidRDefault="0094004B">
      <w:pPr>
        <w:divId w:val="1194877312"/>
        <w:rPr>
          <w:rFonts w:eastAsia="Times New Roman"/>
        </w:rPr>
      </w:pPr>
      <w:r>
        <w:rPr>
          <w:rFonts w:eastAsia="Times New Roman"/>
          <w:b/>
          <w:bCs/>
          <w:i/>
          <w:iCs/>
          <w:color w:val="000000"/>
          <w:sz w:val="20"/>
          <w:szCs w:val="20"/>
        </w:rPr>
        <w:t xml:space="preserve">Retained Interests in Securitizations </w:t>
      </w:r>
    </w:p>
    <w:p w:rsidR="00000000" w:rsidRDefault="0094004B">
      <w:pPr>
        <w:jc w:val="both"/>
        <w:divId w:val="168567809"/>
        <w:rPr>
          <w:rFonts w:eastAsia="Times New Roman"/>
        </w:rPr>
      </w:pPr>
      <w:r>
        <w:rPr>
          <w:rFonts w:eastAsia="Times New Roman"/>
          <w:color w:val="000000"/>
          <w:sz w:val="20"/>
          <w:szCs w:val="20"/>
        </w:rPr>
        <w:t>We have retained interests in various mortgage securitizations from previous acquisitions. Our retained interests primarily include interest-only bonds</w:t>
      </w:r>
      <w:r>
        <w:rPr>
          <w:rFonts w:eastAsia="Times New Roman"/>
          <w:color w:val="000000"/>
          <w:sz w:val="20"/>
          <w:szCs w:val="20"/>
        </w:rPr>
        <w:t xml:space="preserve"> and negative amortization bonds. We record these retained interests at fair value using market indications and valuation models to calculate the present value of future cash flows. Due to the use of significant unobservable inputs such as prepayment and d</w:t>
      </w:r>
      <w:r>
        <w:rPr>
          <w:rFonts w:eastAsia="Times New Roman"/>
          <w:color w:val="000000"/>
          <w:sz w:val="20"/>
          <w:szCs w:val="20"/>
        </w:rPr>
        <w:t>iscount rate assumptions, retained interests in securitizations are classified as Level 3 under the fair value hierarchy.</w:t>
      </w:r>
    </w:p>
    <w:p w:rsidR="00000000" w:rsidRDefault="0094004B">
      <w:pPr>
        <w:divId w:val="1288581055"/>
        <w:rPr>
          <w:rFonts w:eastAsia="Times New Roman"/>
        </w:rPr>
      </w:pPr>
      <w:r>
        <w:rPr>
          <w:rFonts w:eastAsia="Times New Roman"/>
          <w:b/>
          <w:bCs/>
          <w:i/>
          <w:iCs/>
          <w:color w:val="000000"/>
          <w:sz w:val="20"/>
          <w:szCs w:val="20"/>
        </w:rPr>
        <w:t>Deferred Compensation Plan Assets</w:t>
      </w:r>
    </w:p>
    <w:p w:rsidR="00000000" w:rsidRDefault="0094004B">
      <w:pPr>
        <w:jc w:val="both"/>
        <w:divId w:val="924723509"/>
        <w:rPr>
          <w:rFonts w:eastAsia="Times New Roman"/>
        </w:rPr>
      </w:pPr>
      <w:r>
        <w:rPr>
          <w:rFonts w:eastAsia="Times New Roman"/>
          <w:color w:val="000000"/>
          <w:sz w:val="20"/>
          <w:szCs w:val="20"/>
        </w:rPr>
        <w:t>We offer a voluntary non-qualified deferred compensation plan to eligible associates. In addition to</w:t>
      </w:r>
      <w:r>
        <w:rPr>
          <w:rFonts w:eastAsia="Times New Roman"/>
          <w:color w:val="000000"/>
          <w:sz w:val="20"/>
          <w:szCs w:val="20"/>
        </w:rPr>
        <w:t xml:space="preserve"> participant deferrals, we make contributions to the plan. Participants invest these contributions in a variety of publicly traded mutual funds. The plan assets, which consist of publicly traded mutual funds, are classified as Level 1.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195074449"/>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195074449"/>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195074449"/>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189</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215" style="width:0;height:1.5pt" o:hralign="center" o:hrstd="t" o:hr="t" fillcolor="#a0a0a0" stroked="f"/>
        </w:pict>
      </w:r>
    </w:p>
    <w:p w:rsidR="00000000" w:rsidRDefault="0094004B">
      <w:pPr>
        <w:jc w:val="both"/>
        <w:divId w:val="726225011"/>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726225011"/>
        <w:rPr>
          <w:rFonts w:eastAsia="Times New Roman"/>
        </w:rPr>
      </w:pPr>
    </w:p>
    <w:p w:rsidR="00000000" w:rsidRDefault="0094004B">
      <w:pPr>
        <w:jc w:val="center"/>
        <w:divId w:val="726225011"/>
        <w:rPr>
          <w:rFonts w:eastAsia="Times New Roman"/>
        </w:rPr>
      </w:pPr>
      <w:r>
        <w:rPr>
          <w:rFonts w:eastAsia="Times New Roman"/>
          <w:b/>
          <w:bCs/>
          <w:color w:val="000000"/>
          <w:sz w:val="20"/>
          <w:szCs w:val="20"/>
        </w:rPr>
        <w:t>CAPITAL ONE FINANCIAL CORPORATION</w:t>
      </w:r>
    </w:p>
    <w:p w:rsidR="00000000" w:rsidRDefault="0094004B">
      <w:pPr>
        <w:jc w:val="center"/>
        <w:divId w:val="726225011"/>
        <w:rPr>
          <w:rFonts w:eastAsia="Times New Roman"/>
        </w:rPr>
      </w:pPr>
      <w:r>
        <w:rPr>
          <w:rFonts w:eastAsia="Times New Roman"/>
          <w:b/>
          <w:bCs/>
          <w:color w:val="000000"/>
          <w:sz w:val="20"/>
          <w:szCs w:val="20"/>
        </w:rPr>
        <w:t>NOTES TO CONSOLIDATED FINANCIAL STATEMENTS</w:t>
      </w:r>
    </w:p>
    <w:p w:rsidR="00000000" w:rsidRDefault="0094004B">
      <w:pPr>
        <w:jc w:val="both"/>
        <w:divId w:val="1532382390"/>
        <w:rPr>
          <w:rFonts w:eastAsia="Times New Roman"/>
        </w:rPr>
      </w:pPr>
      <w:r>
        <w:rPr>
          <w:rFonts w:eastAsia="Times New Roman"/>
          <w:color w:val="000000"/>
          <w:sz w:val="20"/>
          <w:szCs w:val="20"/>
        </w:rPr>
        <w:t>The following table displays our assets and liabilities measured on our consolidated balance sheets at fair value on a recurring basis as of December 31, 2022 and 2021.</w:t>
      </w:r>
    </w:p>
    <w:p w:rsidR="00000000" w:rsidRDefault="0094004B">
      <w:pPr>
        <w:divId w:val="1947274728"/>
        <w:rPr>
          <w:rFonts w:eastAsia="Times New Roman"/>
        </w:rPr>
      </w:pPr>
      <w:r>
        <w:rPr>
          <w:rFonts w:eastAsia="Times New Roman"/>
          <w:b/>
          <w:bCs/>
          <w:color w:val="000000"/>
          <w:sz w:val="18"/>
          <w:szCs w:val="18"/>
        </w:rPr>
        <w:t>Table 16.1: Assets and Liabilities Measured at Fair Value on a Recurring Basis</w:t>
      </w:r>
    </w:p>
    <w:tbl>
      <w:tblPr>
        <w:tblW w:w="5000" w:type="pct"/>
        <w:tblCellMar>
          <w:top w:w="15" w:type="dxa"/>
          <w:left w:w="15" w:type="dxa"/>
          <w:bottom w:w="15" w:type="dxa"/>
          <w:right w:w="15" w:type="dxa"/>
        </w:tblCellMar>
        <w:tblLook w:val="04A0" w:firstRow="1" w:lastRow="0" w:firstColumn="1" w:lastColumn="0" w:noHBand="0" w:noVBand="1"/>
      </w:tblPr>
      <w:tblGrid>
        <w:gridCol w:w="39"/>
        <w:gridCol w:w="3627"/>
        <w:gridCol w:w="38"/>
        <w:gridCol w:w="36"/>
        <w:gridCol w:w="36"/>
        <w:gridCol w:w="36"/>
        <w:gridCol w:w="111"/>
        <w:gridCol w:w="611"/>
        <w:gridCol w:w="37"/>
        <w:gridCol w:w="37"/>
        <w:gridCol w:w="46"/>
        <w:gridCol w:w="37"/>
        <w:gridCol w:w="111"/>
        <w:gridCol w:w="611"/>
        <w:gridCol w:w="37"/>
        <w:gridCol w:w="37"/>
        <w:gridCol w:w="46"/>
        <w:gridCol w:w="37"/>
        <w:gridCol w:w="110"/>
        <w:gridCol w:w="610"/>
        <w:gridCol w:w="36"/>
        <w:gridCol w:w="36"/>
        <w:gridCol w:w="36"/>
        <w:gridCol w:w="36"/>
        <w:gridCol w:w="111"/>
        <w:gridCol w:w="931"/>
        <w:gridCol w:w="36"/>
        <w:gridCol w:w="36"/>
        <w:gridCol w:w="36"/>
        <w:gridCol w:w="36"/>
        <w:gridCol w:w="110"/>
        <w:gridCol w:w="540"/>
        <w:gridCol w:w="36"/>
      </w:tblGrid>
      <w:tr w:rsidR="00000000">
        <w:trPr>
          <w:divId w:val="1711420577"/>
        </w:trPr>
        <w:tc>
          <w:tcPr>
            <w:tcW w:w="50" w:type="pct"/>
            <w:vAlign w:val="center"/>
            <w:hideMark/>
          </w:tcPr>
          <w:p w:rsidR="00000000" w:rsidRDefault="0094004B">
            <w:pPr>
              <w:rPr>
                <w:rFonts w:eastAsia="Times New Roman"/>
              </w:rPr>
            </w:pPr>
          </w:p>
        </w:tc>
        <w:tc>
          <w:tcPr>
            <w:tcW w:w="256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4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4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4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52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4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711420577"/>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December 31, 2022</w:t>
            </w:r>
          </w:p>
        </w:tc>
      </w:tr>
      <w:tr w:rsidR="00000000">
        <w:trPr>
          <w:divId w:val="1711420577"/>
          <w:trHeight w:val="240"/>
        </w:trPr>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Fair Value Measurements Using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Netting Adjustment</w:t>
            </w:r>
            <w:r>
              <w:rPr>
                <w:rFonts w:eastAsia="Times New Roman"/>
                <w:b/>
                <w:bCs/>
                <w:color w:val="000000"/>
                <w:sz w:val="16"/>
                <w:szCs w:val="16"/>
              </w:rPr>
              <w:t>s</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711420577"/>
          <w:trHeight w:val="240"/>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Level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Level 3</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vMerge/>
            <w:tcBorders>
              <w:top w:val="single" w:sz="8" w:space="0" w:color="000000"/>
            </w:tcBorders>
            <w:vAlign w:val="center"/>
            <w:hideMark/>
          </w:tcPr>
          <w:p w:rsidR="00000000" w:rsidRDefault="009400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Total</w:t>
            </w:r>
          </w:p>
        </w:tc>
      </w:tr>
      <w:tr w:rsidR="00000000">
        <w:trPr>
          <w:divId w:val="171142057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Assets: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711420577"/>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Securities available for sale:</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711420577"/>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U.S. Treasury securities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5,041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5,041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711420577"/>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RMBS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62,353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236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62,589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711420577"/>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CMBS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7,728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142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7,870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711420577"/>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Other securities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186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1,233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1,419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711420577"/>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 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5,227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71,314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378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76,919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711420577"/>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Loans held for sale</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191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191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711420577"/>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Other assets: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711420577"/>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divId w:val="444887738"/>
              <w:rPr>
                <w:rFonts w:eastAsia="Times New Roman"/>
              </w:rPr>
            </w:pPr>
            <w:r>
              <w:rPr>
                <w:rFonts w:eastAsia="Times New Roman"/>
                <w:color w:val="000000"/>
                <w:sz w:val="18"/>
                <w:szCs w:val="18"/>
              </w:rPr>
              <w:t>Derivative asset</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474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2,545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79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(1,134)</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1,964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711420577"/>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divId w:val="1652178933"/>
              <w:rPr>
                <w:rFonts w:eastAsia="Times New Roman"/>
              </w:rPr>
            </w:pPr>
            <w:r>
              <w:rPr>
                <w:rFonts w:eastAsia="Times New Roman"/>
                <w:color w:val="000000"/>
                <w:sz w:val="18"/>
                <w:szCs w:val="18"/>
              </w:rPr>
              <w:t>Othe</w:t>
            </w:r>
            <w:r>
              <w:rPr>
                <w:rFonts w:eastAsia="Times New Roman"/>
                <w:color w:val="000000"/>
                <w:sz w:val="18"/>
                <w:szCs w:val="18"/>
              </w:rPr>
              <w:t>r</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464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503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711420577"/>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Total assets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6,165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74,053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493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(1,134)</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79,577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711420577"/>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Liabilities: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711420577"/>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Other liabilities: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711420577"/>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divId w:val="1172454302"/>
              <w:rPr>
                <w:rFonts w:eastAsia="Times New Roman"/>
              </w:rPr>
            </w:pPr>
            <w:r>
              <w:rPr>
                <w:rFonts w:eastAsia="Times New Roman"/>
                <w:color w:val="000000"/>
                <w:sz w:val="18"/>
                <w:szCs w:val="18"/>
              </w:rPr>
              <w:t>Derivative liabilitie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823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3,653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74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(1,235)</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3,315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711420577"/>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Total liabilities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823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3,653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74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(1,235)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3,315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4267"/>
        <w:gridCol w:w="144"/>
        <w:gridCol w:w="144"/>
        <w:gridCol w:w="144"/>
        <w:gridCol w:w="144"/>
        <w:gridCol w:w="144"/>
        <w:gridCol w:w="576"/>
        <w:gridCol w:w="144"/>
        <w:gridCol w:w="144"/>
        <w:gridCol w:w="144"/>
        <w:gridCol w:w="144"/>
        <w:gridCol w:w="144"/>
        <w:gridCol w:w="576"/>
        <w:gridCol w:w="144"/>
        <w:gridCol w:w="144"/>
        <w:gridCol w:w="144"/>
        <w:gridCol w:w="144"/>
        <w:gridCol w:w="144"/>
        <w:gridCol w:w="576"/>
        <w:gridCol w:w="144"/>
        <w:gridCol w:w="144"/>
        <w:gridCol w:w="144"/>
        <w:gridCol w:w="144"/>
        <w:gridCol w:w="144"/>
        <w:gridCol w:w="878"/>
        <w:gridCol w:w="144"/>
        <w:gridCol w:w="144"/>
        <w:gridCol w:w="144"/>
        <w:gridCol w:w="144"/>
        <w:gridCol w:w="144"/>
        <w:gridCol w:w="576"/>
        <w:gridCol w:w="144"/>
      </w:tblGrid>
      <w:tr w:rsidR="00000000">
        <w:tc>
          <w:tcPr>
            <w:tcW w:w="50" w:type="pct"/>
            <w:vAlign w:val="center"/>
            <w:hideMark/>
          </w:tcPr>
          <w:p w:rsidR="00000000" w:rsidRDefault="0094004B">
            <w:pPr>
              <w:rPr>
                <w:rFonts w:eastAsia="Times New Roman"/>
              </w:rPr>
            </w:pPr>
          </w:p>
        </w:tc>
        <w:tc>
          <w:tcPr>
            <w:tcW w:w="256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4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4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4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52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4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December 31, 2021</w:t>
            </w:r>
          </w:p>
        </w:tc>
      </w:tr>
      <w:tr w:rsidR="00000000">
        <w:trPr>
          <w:trHeight w:val="240"/>
        </w:trPr>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Fair Value Measurements Using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Netting Adjustment</w:t>
            </w:r>
            <w:r>
              <w:rPr>
                <w:rFonts w:eastAsia="Times New Roman"/>
                <w:b/>
                <w:bCs/>
                <w:color w:val="000000"/>
                <w:sz w:val="16"/>
                <w:szCs w:val="16"/>
              </w:rPr>
              <w:t>s</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trHeight w:val="240"/>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Level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Level 3</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vMerge/>
            <w:tcBorders>
              <w:top w:val="single" w:sz="8" w:space="0" w:color="000000"/>
            </w:tcBorders>
            <w:vAlign w:val="center"/>
            <w:hideMark/>
          </w:tcPr>
          <w:p w:rsidR="00000000" w:rsidRDefault="009400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Total</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Assets: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Securities available for sale:</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U.S. Treasury securities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9,442 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9,442 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RMBS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73,358 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258 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73,616 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CMBS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9,360 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9 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9,369 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Other securities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206 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2,628 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2,834 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 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9,648 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85,346 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267 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95,261 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Loans held for sale</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1,026 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1,026 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Other assets: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divId w:val="680745002"/>
              <w:rPr>
                <w:rFonts w:eastAsia="Times New Roman"/>
              </w:rPr>
            </w:pPr>
            <w:r>
              <w:rPr>
                <w:rFonts w:eastAsia="Times New Roman"/>
                <w:color w:val="000000"/>
                <w:sz w:val="18"/>
                <w:szCs w:val="18"/>
              </w:rPr>
              <w:t>Derivative asset</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406 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2,200 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84 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(542)</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2,148 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divId w:val="1713504568"/>
              <w:rPr>
                <w:rFonts w:eastAsia="Times New Roman"/>
              </w:rPr>
            </w:pPr>
            <w:r>
              <w:rPr>
                <w:rFonts w:eastAsia="Times New Roman"/>
                <w:color w:val="000000"/>
                <w:sz w:val="18"/>
                <w:szCs w:val="18"/>
              </w:rPr>
              <w:t>Othe</w:t>
            </w:r>
            <w:r>
              <w:rPr>
                <w:rFonts w:eastAsia="Times New Roman"/>
                <w:color w:val="000000"/>
                <w:sz w:val="18"/>
                <w:szCs w:val="18"/>
              </w:rPr>
              <w:t>r</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526 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6 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41 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573 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Total assets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10,580 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88,578 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392 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(542)</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99,008 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Liabilities: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Other liabilities: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divId w:val="1034041203"/>
              <w:rPr>
                <w:rFonts w:eastAsia="Times New Roman"/>
              </w:rPr>
            </w:pPr>
            <w:r>
              <w:rPr>
                <w:rFonts w:eastAsia="Times New Roman"/>
                <w:color w:val="000000"/>
                <w:sz w:val="18"/>
                <w:szCs w:val="18"/>
              </w:rPr>
              <w:t>Derivative liabilitie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838 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965 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65 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(544)</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1,324 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Total liabilities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838 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965 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65 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w:t>
            </w:r>
            <w:r>
              <w:rPr>
                <w:rFonts w:eastAsia="Times New Roman"/>
                <w:color w:val="000000"/>
                <w:sz w:val="18"/>
                <w:szCs w:val="18"/>
              </w:rPr>
              <w:t>544)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1,324 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bl>
    <w:p w:rsidR="00000000" w:rsidRDefault="0094004B">
      <w:pPr>
        <w:rPr>
          <w:rFonts w:eastAsia="Times New Roman"/>
        </w:rPr>
      </w:pPr>
      <w:r>
        <w:rPr>
          <w:rFonts w:eastAsia="Times New Roman"/>
          <w:color w:val="000000"/>
          <w:sz w:val="20"/>
          <w:szCs w:val="20"/>
        </w:rPr>
        <w:t>__________</w:t>
      </w:r>
    </w:p>
    <w:p w:rsidR="00000000" w:rsidRDefault="0094004B">
      <w:pPr>
        <w:ind w:hanging="360"/>
        <w:jc w:val="both"/>
        <w:divId w:val="1520972032"/>
        <w:rPr>
          <w:rFonts w:eastAsia="Times New Roman"/>
        </w:rPr>
      </w:pPr>
      <w:r>
        <w:rPr>
          <w:rFonts w:eastAsia="Times New Roman"/>
          <w:color w:val="000000"/>
          <w:sz w:val="10"/>
          <w:szCs w:val="10"/>
          <w:shd w:val="clear" w:color="auto" w:fill="FFFFFF"/>
        </w:rPr>
        <w:t>(1</w:t>
      </w:r>
      <w:r>
        <w:rPr>
          <w:rFonts w:eastAsia="Times New Roman"/>
          <w:color w:val="000000"/>
          <w:sz w:val="10"/>
          <w:szCs w:val="10"/>
          <w:shd w:val="clear" w:color="auto" w:fill="FFFFFF"/>
        </w:rPr>
        <w:t>)</w:t>
      </w:r>
      <w:r>
        <w:rPr>
          <w:rFonts w:eastAsia="Times New Roman"/>
          <w:color w:val="000000"/>
          <w:sz w:val="16"/>
          <w:szCs w:val="16"/>
          <w:shd w:val="clear" w:color="auto" w:fill="FFFFFF"/>
        </w:rPr>
        <w:t>Represents balance sheet netting of derivative asse</w:t>
      </w:r>
      <w:r>
        <w:rPr>
          <w:rFonts w:eastAsia="Times New Roman"/>
          <w:color w:val="000000"/>
          <w:sz w:val="16"/>
          <w:szCs w:val="16"/>
          <w:shd w:val="clear" w:color="auto" w:fill="FFFFFF"/>
        </w:rPr>
        <w:t>ts and liabilities, and related payables and receivables for cash collateral held or placed with the same counterparty. See “Note 9—Derivative Instruments and Hedging Activities” for additional information.</w:t>
      </w:r>
    </w:p>
    <w:p w:rsidR="00000000" w:rsidRDefault="0094004B">
      <w:pPr>
        <w:ind w:hanging="360"/>
        <w:jc w:val="both"/>
        <w:divId w:val="1873959187"/>
        <w:rPr>
          <w:rFonts w:eastAsia="Times New Roman"/>
        </w:rPr>
      </w:pPr>
      <w:r>
        <w:rPr>
          <w:rFonts w:eastAsia="Times New Roman"/>
          <w:color w:val="000000"/>
          <w:sz w:val="10"/>
          <w:szCs w:val="10"/>
          <w:shd w:val="clear" w:color="auto" w:fill="FFFFFF"/>
        </w:rPr>
        <w:t>(2</w:t>
      </w:r>
      <w:r>
        <w:rPr>
          <w:rFonts w:eastAsia="Times New Roman"/>
          <w:color w:val="000000"/>
          <w:sz w:val="10"/>
          <w:szCs w:val="10"/>
          <w:shd w:val="clear" w:color="auto" w:fill="FFFFFF"/>
        </w:rPr>
        <w:t>)</w:t>
      </w:r>
      <w:r>
        <w:rPr>
          <w:rFonts w:eastAsia="Times New Roman"/>
          <w:color w:val="000000"/>
          <w:sz w:val="16"/>
          <w:szCs w:val="16"/>
          <w:shd w:val="clear" w:color="auto" w:fill="FFFFFF"/>
        </w:rPr>
        <w:t xml:space="preserve">Does not reflect </w:t>
      </w:r>
      <w:r>
        <w:rPr>
          <w:rFonts w:eastAsia="Times New Roman"/>
          <w:color w:val="000000"/>
          <w:sz w:val="16"/>
          <w:szCs w:val="16"/>
        </w:rPr>
        <w:t>$4 million</w:t>
      </w:r>
      <w:r>
        <w:rPr>
          <w:rFonts w:eastAsia="Times New Roman"/>
          <w:color w:val="000000"/>
          <w:sz w:val="16"/>
          <w:szCs w:val="16"/>
          <w:shd w:val="clear" w:color="auto" w:fill="FFFFFF"/>
        </w:rPr>
        <w:t xml:space="preserve"> and $11 </w:t>
      </w:r>
      <w:r>
        <w:rPr>
          <w:rFonts w:eastAsia="Times New Roman"/>
          <w:color w:val="000000"/>
          <w:sz w:val="16"/>
          <w:szCs w:val="16"/>
          <w:shd w:val="clear" w:color="auto" w:fill="FFFFFF"/>
        </w:rPr>
        <w:t>million recognized as a net valuation allowance on derivative assets and liabilities for non-performance risk as of December 31, 2022 and 2021, respectively. Non-performance risk is included in the measurement of derivative assets and liabilities on our co</w:t>
      </w:r>
      <w:r>
        <w:rPr>
          <w:rFonts w:eastAsia="Times New Roman"/>
          <w:color w:val="000000"/>
          <w:sz w:val="16"/>
          <w:szCs w:val="16"/>
          <w:shd w:val="clear" w:color="auto" w:fill="FFFFFF"/>
        </w:rPr>
        <w:t>nsolidated balance sheets, and is recorded through non-interest income in the consolidated statements of income.</w:t>
      </w:r>
    </w:p>
    <w:p w:rsidR="00000000" w:rsidRDefault="0094004B">
      <w:pPr>
        <w:ind w:hanging="360"/>
        <w:jc w:val="both"/>
        <w:divId w:val="1406953550"/>
        <w:rPr>
          <w:rFonts w:eastAsia="Times New Roman"/>
        </w:rPr>
      </w:pPr>
      <w:r>
        <w:rPr>
          <w:rFonts w:eastAsia="Times New Roman"/>
          <w:color w:val="000000"/>
          <w:sz w:val="10"/>
          <w:szCs w:val="10"/>
          <w:shd w:val="clear" w:color="auto" w:fill="FFFFFF"/>
        </w:rPr>
        <w:t>(3</w:t>
      </w:r>
      <w:r>
        <w:rPr>
          <w:rFonts w:eastAsia="Times New Roman"/>
          <w:color w:val="000000"/>
          <w:sz w:val="10"/>
          <w:szCs w:val="10"/>
          <w:shd w:val="clear" w:color="auto" w:fill="FFFFFF"/>
        </w:rPr>
        <w:t>)</w:t>
      </w:r>
      <w:r>
        <w:rPr>
          <w:rFonts w:eastAsia="Times New Roman"/>
          <w:color w:val="000000"/>
          <w:sz w:val="16"/>
          <w:szCs w:val="16"/>
          <w:shd w:val="clear" w:color="auto" w:fill="FFFFFF"/>
        </w:rPr>
        <w:t>As of December 31, 2022 and 2021, other includes retained interests in securitizations o</w:t>
      </w:r>
      <w:r>
        <w:rPr>
          <w:rFonts w:eastAsia="Times New Roman"/>
          <w:color w:val="000000"/>
          <w:sz w:val="16"/>
          <w:szCs w:val="16"/>
        </w:rPr>
        <w:t>f $36 million</w:t>
      </w:r>
      <w:r>
        <w:rPr>
          <w:rFonts w:eastAsia="Times New Roman"/>
          <w:color w:val="000000"/>
          <w:sz w:val="16"/>
          <w:szCs w:val="16"/>
          <w:shd w:val="clear" w:color="auto" w:fill="FFFFFF"/>
        </w:rPr>
        <w:t xml:space="preserve"> and $41 million, deferred compensation</w:t>
      </w:r>
      <w:r>
        <w:rPr>
          <w:rFonts w:eastAsia="Times New Roman"/>
          <w:color w:val="000000"/>
          <w:sz w:val="16"/>
          <w:szCs w:val="16"/>
          <w:shd w:val="clear" w:color="auto" w:fill="FFFFFF"/>
        </w:rPr>
        <w:t xml:space="preserve"> plan assets of </w:t>
      </w:r>
      <w:r>
        <w:rPr>
          <w:rFonts w:eastAsia="Times New Roman"/>
          <w:color w:val="000000"/>
          <w:sz w:val="16"/>
          <w:szCs w:val="16"/>
        </w:rPr>
        <w:t>$453 million</w:t>
      </w:r>
      <w:r>
        <w:rPr>
          <w:rFonts w:eastAsia="Times New Roman"/>
          <w:color w:val="000000"/>
          <w:sz w:val="16"/>
          <w:szCs w:val="16"/>
          <w:shd w:val="clear" w:color="auto" w:fill="FFFFFF"/>
        </w:rPr>
        <w:t xml:space="preserve"> and $490 million, and equity securities of </w:t>
      </w:r>
      <w:r>
        <w:rPr>
          <w:rFonts w:eastAsia="Times New Roman"/>
          <w:color w:val="000000"/>
          <w:sz w:val="16"/>
          <w:szCs w:val="16"/>
        </w:rPr>
        <w:t>$14 million</w:t>
      </w:r>
      <w:r>
        <w:rPr>
          <w:rFonts w:eastAsia="Times New Roman"/>
          <w:color w:val="000000"/>
          <w:sz w:val="16"/>
          <w:szCs w:val="16"/>
          <w:shd w:val="clear" w:color="auto" w:fill="FFFFFF"/>
        </w:rPr>
        <w:t xml:space="preserve"> (including unrealiz</w:t>
      </w:r>
      <w:r>
        <w:rPr>
          <w:rFonts w:eastAsia="Times New Roman"/>
          <w:color w:val="000000"/>
          <w:sz w:val="16"/>
          <w:szCs w:val="16"/>
        </w:rPr>
        <w:t>ed losses of $23 million) and $42 million (including unrealized losses of $36 million), respectively.</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754283007"/>
          <w:jc w:val="center"/>
        </w:trPr>
        <w:tc>
          <w:tcPr>
            <w:tcW w:w="50" w:type="pct"/>
            <w:vAlign w:val="center"/>
            <w:hideMark/>
          </w:tcPr>
          <w:p w:rsidR="00000000" w:rsidRDefault="0094004B">
            <w:pPr>
              <w:ind w:hanging="360"/>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754283007"/>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754283007"/>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190</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216" style="width:0;height:1.5pt" o:hralign="center" o:hrstd="t" o:hr="t" fillcolor="#a0a0a0" stroked="f"/>
        </w:pict>
      </w:r>
    </w:p>
    <w:p w:rsidR="00000000" w:rsidRDefault="0094004B">
      <w:pPr>
        <w:jc w:val="both"/>
        <w:divId w:val="1163399338"/>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1163399338"/>
        <w:rPr>
          <w:rFonts w:eastAsia="Times New Roman"/>
        </w:rPr>
      </w:pPr>
    </w:p>
    <w:p w:rsidR="00000000" w:rsidRDefault="0094004B">
      <w:pPr>
        <w:jc w:val="center"/>
        <w:divId w:val="1163399338"/>
        <w:rPr>
          <w:rFonts w:eastAsia="Times New Roman"/>
        </w:rPr>
      </w:pPr>
      <w:r>
        <w:rPr>
          <w:rFonts w:eastAsia="Times New Roman"/>
          <w:b/>
          <w:bCs/>
          <w:color w:val="000000"/>
          <w:sz w:val="20"/>
          <w:szCs w:val="20"/>
        </w:rPr>
        <w:t>CAPITAL ONE FINANCIAL CORPORATION</w:t>
      </w:r>
    </w:p>
    <w:p w:rsidR="00000000" w:rsidRDefault="0094004B">
      <w:pPr>
        <w:jc w:val="center"/>
        <w:divId w:val="1163399338"/>
        <w:rPr>
          <w:rFonts w:eastAsia="Times New Roman"/>
        </w:rPr>
      </w:pPr>
      <w:r>
        <w:rPr>
          <w:rFonts w:eastAsia="Times New Roman"/>
          <w:b/>
          <w:bCs/>
          <w:color w:val="000000"/>
          <w:sz w:val="20"/>
          <w:szCs w:val="20"/>
        </w:rPr>
        <w:t>NOTES TO CONSOLIDATED FINANCIAL STATEMENTS</w:t>
      </w:r>
    </w:p>
    <w:p w:rsidR="00000000" w:rsidRDefault="0094004B">
      <w:pPr>
        <w:divId w:val="1324427958"/>
        <w:rPr>
          <w:rFonts w:eastAsia="Times New Roman"/>
        </w:rPr>
      </w:pPr>
      <w:r>
        <w:rPr>
          <w:rFonts w:eastAsia="Times New Roman"/>
          <w:b/>
          <w:bCs/>
          <w:color w:val="000000"/>
          <w:sz w:val="20"/>
          <w:szCs w:val="20"/>
        </w:rPr>
        <w:t>Level 3 Recurring Fair Value Rollforward</w:t>
      </w:r>
    </w:p>
    <w:p w:rsidR="00000000" w:rsidRDefault="0094004B">
      <w:pPr>
        <w:jc w:val="both"/>
        <w:divId w:val="570696380"/>
        <w:rPr>
          <w:rFonts w:eastAsia="Times New Roman"/>
        </w:rPr>
      </w:pPr>
      <w:r>
        <w:rPr>
          <w:rFonts w:eastAsia="Times New Roman"/>
          <w:color w:val="000000"/>
          <w:sz w:val="20"/>
          <w:szCs w:val="20"/>
        </w:rPr>
        <w:t>The table below present</w:t>
      </w:r>
      <w:r>
        <w:rPr>
          <w:rFonts w:eastAsia="Times New Roman"/>
          <w:color w:val="000000"/>
          <w:sz w:val="20"/>
          <w:szCs w:val="20"/>
        </w:rPr>
        <w:t>s a reconciliation for all assets and liabilities measured and recognized at fair value on a recurring basis using significant unobservable inputs (Level 3) for the years ended December 31, 2022, 2021 and 2020. Generally, transfers into Level 3 were primar</w:t>
      </w:r>
      <w:r>
        <w:rPr>
          <w:rFonts w:eastAsia="Times New Roman"/>
          <w:color w:val="000000"/>
          <w:sz w:val="20"/>
          <w:szCs w:val="20"/>
        </w:rPr>
        <w:t xml:space="preserve">ily driven by the usage of unobservable assumptions in the pricing of these financial instruments as evidenced by wider pricing variations among pricing vendors and transfers out of Level 3 were primarily driven by the usage of assumptions corroborated by </w:t>
      </w:r>
      <w:r>
        <w:rPr>
          <w:rFonts w:eastAsia="Times New Roman"/>
          <w:color w:val="000000"/>
          <w:sz w:val="20"/>
          <w:szCs w:val="20"/>
        </w:rPr>
        <w:t>market observable information as evidenced by tighter pricing among multiple pricing sources.</w:t>
      </w:r>
    </w:p>
    <w:p w:rsidR="00000000" w:rsidRDefault="0094004B">
      <w:pPr>
        <w:divId w:val="637564526"/>
        <w:rPr>
          <w:rFonts w:eastAsia="Times New Roman"/>
        </w:rPr>
      </w:pPr>
      <w:r>
        <w:rPr>
          <w:rFonts w:eastAsia="Times New Roman"/>
          <w:b/>
          <w:bCs/>
          <w:color w:val="000000"/>
          <w:sz w:val="18"/>
          <w:szCs w:val="18"/>
        </w:rPr>
        <w:t>Table 16.2: Level 3 Recurring Fair Value Rollforward</w:t>
      </w:r>
    </w:p>
    <w:tbl>
      <w:tblPr>
        <w:tblW w:w="5000" w:type="pct"/>
        <w:tblCellMar>
          <w:top w:w="15" w:type="dxa"/>
          <w:left w:w="15" w:type="dxa"/>
          <w:bottom w:w="15" w:type="dxa"/>
          <w:right w:w="15" w:type="dxa"/>
        </w:tblCellMar>
        <w:tblLook w:val="04A0" w:firstRow="1" w:lastRow="0" w:firstColumn="1" w:lastColumn="0" w:noHBand="0" w:noVBand="1"/>
      </w:tblPr>
      <w:tblGrid>
        <w:gridCol w:w="71"/>
        <w:gridCol w:w="1326"/>
        <w:gridCol w:w="36"/>
        <w:gridCol w:w="36"/>
        <w:gridCol w:w="36"/>
        <w:gridCol w:w="36"/>
        <w:gridCol w:w="60"/>
        <w:gridCol w:w="505"/>
        <w:gridCol w:w="36"/>
        <w:gridCol w:w="36"/>
        <w:gridCol w:w="36"/>
        <w:gridCol w:w="36"/>
        <w:gridCol w:w="60"/>
        <w:gridCol w:w="448"/>
        <w:gridCol w:w="36"/>
        <w:gridCol w:w="36"/>
        <w:gridCol w:w="36"/>
        <w:gridCol w:w="36"/>
        <w:gridCol w:w="60"/>
        <w:gridCol w:w="448"/>
        <w:gridCol w:w="36"/>
        <w:gridCol w:w="36"/>
        <w:gridCol w:w="36"/>
        <w:gridCol w:w="36"/>
        <w:gridCol w:w="60"/>
        <w:gridCol w:w="477"/>
        <w:gridCol w:w="36"/>
        <w:gridCol w:w="36"/>
        <w:gridCol w:w="36"/>
        <w:gridCol w:w="36"/>
        <w:gridCol w:w="60"/>
        <w:gridCol w:w="362"/>
        <w:gridCol w:w="36"/>
        <w:gridCol w:w="36"/>
        <w:gridCol w:w="36"/>
        <w:gridCol w:w="36"/>
        <w:gridCol w:w="60"/>
        <w:gridCol w:w="448"/>
        <w:gridCol w:w="36"/>
        <w:gridCol w:w="36"/>
        <w:gridCol w:w="36"/>
        <w:gridCol w:w="36"/>
        <w:gridCol w:w="60"/>
        <w:gridCol w:w="546"/>
        <w:gridCol w:w="36"/>
        <w:gridCol w:w="36"/>
        <w:gridCol w:w="36"/>
        <w:gridCol w:w="36"/>
        <w:gridCol w:w="60"/>
        <w:gridCol w:w="490"/>
        <w:gridCol w:w="36"/>
        <w:gridCol w:w="36"/>
        <w:gridCol w:w="36"/>
        <w:gridCol w:w="36"/>
        <w:gridCol w:w="60"/>
        <w:gridCol w:w="448"/>
        <w:gridCol w:w="36"/>
        <w:gridCol w:w="36"/>
        <w:gridCol w:w="36"/>
        <w:gridCol w:w="36"/>
        <w:gridCol w:w="60"/>
        <w:gridCol w:w="661"/>
        <w:gridCol w:w="36"/>
      </w:tblGrid>
      <w:tr w:rsidR="00000000">
        <w:trPr>
          <w:divId w:val="1402170209"/>
        </w:trPr>
        <w:tc>
          <w:tcPr>
            <w:tcW w:w="50" w:type="pct"/>
            <w:vAlign w:val="center"/>
            <w:hideMark/>
          </w:tcPr>
          <w:p w:rsidR="00000000" w:rsidRDefault="0094004B">
            <w:pPr>
              <w:rPr>
                <w:rFonts w:eastAsia="Times New Roman"/>
              </w:rPr>
            </w:pPr>
          </w:p>
        </w:tc>
        <w:tc>
          <w:tcPr>
            <w:tcW w:w="69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7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4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4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5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00"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4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9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6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4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5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402170209"/>
          <w:trHeight w:val="60"/>
        </w:trPr>
        <w:tc>
          <w:tcPr>
            <w:tcW w:w="0" w:type="auto"/>
            <w:gridSpan w:val="62"/>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1402170209"/>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1402170209"/>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1402170209"/>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2"/>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1402170209"/>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2"/>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1402170209"/>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2"/>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1402170209"/>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2"/>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1402170209"/>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2"/>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1402170209"/>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2"/>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1402170209"/>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2"/>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1402170209"/>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2"/>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1402170209"/>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2"/>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1402170209"/>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2"/>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1402170209"/>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2"/>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1157"/>
        <w:gridCol w:w="144"/>
        <w:gridCol w:w="144"/>
        <w:gridCol w:w="144"/>
        <w:gridCol w:w="144"/>
        <w:gridCol w:w="144"/>
        <w:gridCol w:w="453"/>
        <w:gridCol w:w="144"/>
        <w:gridCol w:w="144"/>
        <w:gridCol w:w="144"/>
        <w:gridCol w:w="144"/>
        <w:gridCol w:w="144"/>
        <w:gridCol w:w="405"/>
        <w:gridCol w:w="144"/>
        <w:gridCol w:w="144"/>
        <w:gridCol w:w="144"/>
        <w:gridCol w:w="144"/>
        <w:gridCol w:w="144"/>
        <w:gridCol w:w="405"/>
        <w:gridCol w:w="144"/>
        <w:gridCol w:w="144"/>
        <w:gridCol w:w="144"/>
        <w:gridCol w:w="144"/>
        <w:gridCol w:w="144"/>
        <w:gridCol w:w="430"/>
        <w:gridCol w:w="144"/>
        <w:gridCol w:w="144"/>
        <w:gridCol w:w="144"/>
        <w:gridCol w:w="144"/>
        <w:gridCol w:w="144"/>
        <w:gridCol w:w="332"/>
        <w:gridCol w:w="144"/>
        <w:gridCol w:w="144"/>
        <w:gridCol w:w="144"/>
        <w:gridCol w:w="144"/>
        <w:gridCol w:w="144"/>
        <w:gridCol w:w="405"/>
        <w:gridCol w:w="144"/>
        <w:gridCol w:w="144"/>
        <w:gridCol w:w="144"/>
        <w:gridCol w:w="144"/>
        <w:gridCol w:w="144"/>
        <w:gridCol w:w="490"/>
        <w:gridCol w:w="144"/>
        <w:gridCol w:w="144"/>
        <w:gridCol w:w="144"/>
        <w:gridCol w:w="144"/>
        <w:gridCol w:w="144"/>
        <w:gridCol w:w="441"/>
        <w:gridCol w:w="144"/>
        <w:gridCol w:w="144"/>
        <w:gridCol w:w="144"/>
        <w:gridCol w:w="144"/>
        <w:gridCol w:w="144"/>
        <w:gridCol w:w="405"/>
        <w:gridCol w:w="144"/>
        <w:gridCol w:w="144"/>
        <w:gridCol w:w="144"/>
        <w:gridCol w:w="144"/>
        <w:gridCol w:w="144"/>
        <w:gridCol w:w="588"/>
        <w:gridCol w:w="144"/>
      </w:tblGrid>
      <w:tr w:rsidR="00000000">
        <w:tc>
          <w:tcPr>
            <w:tcW w:w="50" w:type="pct"/>
            <w:vAlign w:val="center"/>
            <w:hideMark/>
          </w:tcPr>
          <w:p w:rsidR="00000000" w:rsidRDefault="0094004B">
            <w:pPr>
              <w:jc w:val="both"/>
              <w:rPr>
                <w:rFonts w:eastAsia="Times New Roman"/>
              </w:rPr>
            </w:pPr>
          </w:p>
        </w:tc>
        <w:tc>
          <w:tcPr>
            <w:tcW w:w="69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7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4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4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5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00"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4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9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6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4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5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56"/>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4"/>
                <w:szCs w:val="14"/>
              </w:rPr>
              <w:t>Fair Value Measurements Using Significant Unobservable Inputs (Level 3)</w:t>
            </w:r>
          </w:p>
        </w:tc>
        <w:tc>
          <w:tcPr>
            <w:tcW w:w="0" w:type="auto"/>
            <w:vAlign w:val="center"/>
            <w:hideMark/>
          </w:tcPr>
          <w:p w:rsidR="00000000" w:rsidRDefault="0094004B">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56"/>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4"/>
                <w:szCs w:val="14"/>
              </w:rPr>
              <w:t>Year Ended December 31, 2022</w:t>
            </w:r>
          </w:p>
        </w:tc>
        <w:tc>
          <w:tcPr>
            <w:tcW w:w="0" w:type="auto"/>
            <w:vAlign w:val="center"/>
            <w:hideMark/>
          </w:tcPr>
          <w:p w:rsidR="00000000" w:rsidRDefault="0094004B">
            <w:pPr>
              <w:spacing w:after="100"/>
              <w:rPr>
                <w:rFonts w:eastAsia="Times New Roman"/>
                <w:sz w:val="20"/>
                <w:szCs w:val="20"/>
              </w:rPr>
            </w:pPr>
          </w:p>
        </w:tc>
      </w:tr>
      <w:tr w:rsidR="00000000">
        <w:trPr>
          <w:trHeight w:val="300"/>
        </w:trPr>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2"/>
                <w:szCs w:val="12"/>
              </w:rPr>
              <w:t>Total Gains (Losses)</w:t>
            </w:r>
            <w:r>
              <w:rPr>
                <w:rFonts w:eastAsia="Times New Roman"/>
                <w:b/>
                <w:bCs/>
                <w:color w:val="000000"/>
                <w:sz w:val="12"/>
                <w:szCs w:val="12"/>
              </w:rPr>
              <w:br/>
              <w:t>(Realized/Unrealized)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tcBorders>
              <w:top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r>
              <w:rPr>
                <w:rFonts w:eastAsia="Times New Roman"/>
                <w:b/>
                <w:bCs/>
                <w:color w:val="000000"/>
                <w:sz w:val="12"/>
                <w:szCs w:val="12"/>
              </w:rPr>
              <w:t>Net Unrealized Gains (Losses) Included in Net Income Related to Assets and Liabilities Still Held as of December 31, 202</w:t>
            </w:r>
            <w:r>
              <w:rPr>
                <w:rFonts w:eastAsia="Times New Roman"/>
                <w:b/>
                <w:bCs/>
                <w:color w:val="000000"/>
                <w:sz w:val="12"/>
                <w:szCs w:val="12"/>
              </w:rPr>
              <w:t>2</w:t>
            </w:r>
            <w:r>
              <w:rPr>
                <w:rFonts w:eastAsia="Times New Roman"/>
                <w:b/>
                <w:bCs/>
                <w:color w:val="000000"/>
                <w:sz w:val="8"/>
                <w:szCs w:val="8"/>
              </w:rPr>
              <w:t>(1</w:t>
            </w:r>
            <w:r>
              <w:rPr>
                <w:rFonts w:eastAsia="Times New Roman"/>
                <w:b/>
                <w:bCs/>
                <w:color w:val="000000"/>
                <w:sz w:val="8"/>
                <w:szCs w:val="8"/>
              </w:rPr>
              <w:t>)</w:t>
            </w:r>
          </w:p>
          <w:p w:rsidR="00000000" w:rsidRDefault="0094004B">
            <w:pPr>
              <w:spacing w:after="100"/>
              <w:jc w:val="center"/>
              <w:rPr>
                <w:rFonts w:eastAsia="Times New Roman"/>
              </w:rPr>
            </w:pPr>
          </w:p>
        </w:tc>
      </w:tr>
      <w:tr w:rsidR="00000000">
        <w:trPr>
          <w:trHeight w:val="460"/>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4"/>
                <w:szCs w:val="14"/>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2"/>
                <w:szCs w:val="12"/>
              </w:rPr>
              <w:t>Balance, January 1, 2022</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2"/>
                <w:szCs w:val="12"/>
              </w:rPr>
              <w:t>Included</w:t>
            </w:r>
          </w:p>
          <w:p w:rsidR="00000000" w:rsidRDefault="0094004B">
            <w:pPr>
              <w:spacing w:after="100"/>
              <w:jc w:val="center"/>
              <w:rPr>
                <w:rFonts w:eastAsia="Times New Roman"/>
              </w:rPr>
            </w:pPr>
            <w:r>
              <w:rPr>
                <w:rFonts w:eastAsia="Times New Roman"/>
                <w:b/>
                <w:bCs/>
                <w:color w:val="000000"/>
                <w:sz w:val="12"/>
                <w:szCs w:val="12"/>
              </w:rPr>
              <w:t>in Net</w:t>
            </w:r>
          </w:p>
          <w:p w:rsidR="00000000" w:rsidRDefault="0094004B">
            <w:pPr>
              <w:spacing w:after="100"/>
              <w:jc w:val="center"/>
              <w:rPr>
                <w:rFonts w:eastAsia="Times New Roman"/>
              </w:rPr>
            </w:pPr>
            <w:r>
              <w:rPr>
                <w:rFonts w:eastAsia="Times New Roman"/>
                <w:b/>
                <w:bCs/>
                <w:color w:val="000000"/>
                <w:sz w:val="12"/>
                <w:szCs w:val="12"/>
              </w:rPr>
              <w:t>Incom</w:t>
            </w:r>
            <w:r>
              <w:rPr>
                <w:rFonts w:eastAsia="Times New Roman"/>
                <w:b/>
                <w:bCs/>
                <w:color w:val="000000"/>
                <w:sz w:val="12"/>
                <w:szCs w:val="12"/>
              </w:rPr>
              <w:t>e</w:t>
            </w:r>
            <w:r>
              <w:rPr>
                <w:rFonts w:eastAsia="Times New Roman"/>
                <w:b/>
                <w:bCs/>
                <w:color w:val="000000"/>
                <w:sz w:val="8"/>
                <w:szCs w:val="8"/>
              </w:rPr>
              <w:t>(1</w:t>
            </w:r>
            <w:r>
              <w:rPr>
                <w:rFonts w:eastAsia="Times New Roman"/>
                <w:b/>
                <w:bCs/>
                <w:color w:val="000000"/>
                <w:sz w:val="8"/>
                <w:szCs w:val="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2"/>
                <w:szCs w:val="12"/>
              </w:rPr>
              <w:t>Included in OCI</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2"/>
                <w:szCs w:val="12"/>
              </w:rPr>
              <w:t>Purchases</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2"/>
                <w:szCs w:val="12"/>
              </w:rPr>
              <w:t>Sales</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2"/>
                <w:szCs w:val="12"/>
              </w:rPr>
              <w:t>Issuances</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2"/>
                <w:szCs w:val="12"/>
              </w:rPr>
              <w:t>Settlements</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2"/>
                <w:szCs w:val="12"/>
              </w:rPr>
              <w:t>Transfers</w:t>
            </w:r>
            <w:r>
              <w:rPr>
                <w:rFonts w:eastAsia="Times New Roman"/>
                <w:b/>
                <w:bCs/>
                <w:color w:val="000000"/>
                <w:sz w:val="12"/>
                <w:szCs w:val="12"/>
              </w:rPr>
              <w:br/>
              <w:t>Into</w:t>
            </w:r>
            <w:r>
              <w:rPr>
                <w:rFonts w:eastAsia="Times New Roman"/>
                <w:b/>
                <w:bCs/>
                <w:color w:val="000000"/>
                <w:sz w:val="12"/>
                <w:szCs w:val="12"/>
              </w:rPr>
              <w:br/>
              <w:t>Level 3</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2"/>
                <w:szCs w:val="12"/>
              </w:rPr>
              <w:t>Transfers</w:t>
            </w:r>
            <w:r>
              <w:rPr>
                <w:rFonts w:eastAsia="Times New Roman"/>
                <w:b/>
                <w:bCs/>
                <w:color w:val="000000"/>
                <w:sz w:val="12"/>
                <w:szCs w:val="12"/>
              </w:rPr>
              <w:br/>
              <w:t>Out of</w:t>
            </w:r>
            <w:r>
              <w:rPr>
                <w:rFonts w:eastAsia="Times New Roman"/>
                <w:b/>
                <w:bCs/>
                <w:color w:val="000000"/>
                <w:sz w:val="12"/>
                <w:szCs w:val="12"/>
              </w:rPr>
              <w:br/>
              <w:t>Level 3</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2"/>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2"/>
                <w:szCs w:val="12"/>
              </w:rPr>
              <w:t>Balance, December 31, 2022</w:t>
            </w:r>
          </w:p>
        </w:tc>
        <w:tc>
          <w:tcPr>
            <w:tcW w:w="0" w:type="auto"/>
            <w:tcMar>
              <w:top w:w="0" w:type="dxa"/>
              <w:left w:w="20" w:type="dxa"/>
              <w:bottom w:w="0" w:type="dxa"/>
              <w:right w:w="20" w:type="dxa"/>
            </w:tcMar>
            <w:vAlign w:val="center"/>
            <w:hideMark/>
          </w:tcPr>
          <w:p w:rsidR="00000000" w:rsidRDefault="0094004B">
            <w:pPr>
              <w:spacing w:after="100"/>
              <w:jc w:val="center"/>
              <w:rPr>
                <w:rFonts w:eastAsia="Times New Roman"/>
              </w:rPr>
            </w:pP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divId w:val="252322650"/>
              <w:rPr>
                <w:rFonts w:eastAsia="Times New Roman"/>
              </w:rPr>
            </w:pPr>
            <w:r>
              <w:rPr>
                <w:rFonts w:eastAsia="Times New Roman"/>
                <w:color w:val="000000"/>
                <w:sz w:val="18"/>
                <w:szCs w:val="18"/>
              </w:rPr>
              <w:t>Securities available for sale</w:t>
            </w:r>
            <w:r>
              <w:rPr>
                <w:rFonts w:eastAsia="Times New Roman"/>
                <w:color w:val="000000"/>
                <w:sz w:val="18"/>
                <w:szCs w:val="18"/>
              </w:rPr>
              <w: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94004B">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RMBS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258 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(32)</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(60)</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123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(71)</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236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r>
              <w:rPr>
                <w:rFonts w:eastAsia="Times New Roman"/>
                <w:b/>
                <w:bCs/>
                <w:color w:val="000000"/>
                <w:sz w:val="18"/>
                <w:szCs w:val="18"/>
              </w:rPr>
              <w:t>$10</w:t>
            </w:r>
            <w:r>
              <w:rPr>
                <w:rFonts w:eastAsia="Times New Roman"/>
                <w:color w:val="000000"/>
                <w:sz w:val="18"/>
                <w:szCs w:val="18"/>
              </w:rPr>
              <w:t> </w:t>
            </w:r>
          </w:p>
        </w:tc>
      </w:tr>
      <w:tr w:rsidR="00000000">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CMBS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9 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(3)</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(15)</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190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(38)</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142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r>
              <w:rPr>
                <w:rFonts w:eastAsia="Times New Roman"/>
                <w:b/>
                <w:bCs/>
                <w:color w:val="000000"/>
                <w:sz w:val="18"/>
                <w:szCs w:val="18"/>
              </w:rPr>
              <w:t>(1)</w:t>
            </w:r>
          </w:p>
        </w:tc>
      </w:tr>
      <w:tr w:rsidR="00000000">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2"/>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 securities available for sale</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(35)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(75)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313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(109)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378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r>
              <w:rPr>
                <w:rFonts w:eastAsia="Times New Roman"/>
                <w:b/>
                <w:bCs/>
                <w:color w:val="000000"/>
                <w:sz w:val="18"/>
                <w:szCs w:val="18"/>
              </w:rPr>
              <w:t>9</w:t>
            </w:r>
            <w:r>
              <w:rPr>
                <w:rFonts w:eastAsia="Times New Roman"/>
                <w:color w:val="000000"/>
                <w:sz w:val="18"/>
                <w:szCs w:val="18"/>
              </w:rPr>
              <w:t> </w:t>
            </w:r>
          </w:p>
        </w:tc>
      </w:tr>
      <w:tr w:rsidR="00000000">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Other assets: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2"/>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Retained interests in securitizations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41 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(5)</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36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r>
              <w:rPr>
                <w:rFonts w:eastAsia="Times New Roman"/>
                <w:b/>
                <w:bCs/>
                <w:color w:val="000000"/>
                <w:sz w:val="18"/>
                <w:szCs w:val="18"/>
              </w:rPr>
              <w:t>(5)</w:t>
            </w:r>
          </w:p>
        </w:tc>
      </w:tr>
      <w:tr w:rsidR="00000000">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divId w:val="1462042717"/>
              <w:rPr>
                <w:rFonts w:eastAsia="Times New Roman"/>
              </w:rPr>
            </w:pPr>
            <w:r>
              <w:rPr>
                <w:rFonts w:eastAsia="Times New Roman"/>
                <w:color w:val="000000"/>
                <w:sz w:val="18"/>
                <w:szCs w:val="18"/>
              </w:rPr>
              <w:t>Net derivative assets (liabilities</w:t>
            </w:r>
            <w:r>
              <w:rPr>
                <w:rFonts w:eastAsia="Times New Roman"/>
                <w:color w:val="000000"/>
                <w:sz w:val="18"/>
                <w:szCs w:val="18"/>
              </w:rPr>
              <w:t>)</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19 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(65)</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36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w:t>
            </w:r>
            <w:r>
              <w:rPr>
                <w:rFonts w:eastAsia="Times New Roman"/>
                <w:b/>
                <w:bCs/>
                <w:color w:val="000000"/>
                <w:sz w:val="18"/>
                <w:szCs w:val="18"/>
              </w:rPr>
              <w:t>28)</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40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r>
              <w:rPr>
                <w:rFonts w:eastAsia="Times New Roman"/>
                <w:b/>
                <w:bCs/>
                <w:color w:val="000000"/>
                <w:sz w:val="18"/>
                <w:szCs w:val="18"/>
              </w:rPr>
              <w:t>(33)</w:t>
            </w:r>
          </w:p>
        </w:tc>
      </w:tr>
    </w:tbl>
    <w:p w:rsidR="00000000" w:rsidRDefault="0094004B">
      <w:pPr>
        <w:jc w:val="both"/>
        <w:divId w:val="91135319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87"/>
        <w:gridCol w:w="57"/>
        <w:gridCol w:w="1153"/>
        <w:gridCol w:w="38"/>
        <w:gridCol w:w="36"/>
        <w:gridCol w:w="36"/>
        <w:gridCol w:w="36"/>
        <w:gridCol w:w="111"/>
        <w:gridCol w:w="489"/>
        <w:gridCol w:w="36"/>
        <w:gridCol w:w="36"/>
        <w:gridCol w:w="36"/>
        <w:gridCol w:w="36"/>
        <w:gridCol w:w="111"/>
        <w:gridCol w:w="444"/>
        <w:gridCol w:w="37"/>
        <w:gridCol w:w="28"/>
        <w:gridCol w:w="9"/>
        <w:gridCol w:w="47"/>
        <w:gridCol w:w="36"/>
        <w:gridCol w:w="52"/>
        <w:gridCol w:w="58"/>
        <w:gridCol w:w="86"/>
        <w:gridCol w:w="357"/>
        <w:gridCol w:w="36"/>
        <w:gridCol w:w="36"/>
        <w:gridCol w:w="36"/>
        <w:gridCol w:w="36"/>
        <w:gridCol w:w="111"/>
        <w:gridCol w:w="462"/>
        <w:gridCol w:w="36"/>
        <w:gridCol w:w="36"/>
        <w:gridCol w:w="36"/>
        <w:gridCol w:w="36"/>
        <w:gridCol w:w="111"/>
        <w:gridCol w:w="236"/>
        <w:gridCol w:w="36"/>
        <w:gridCol w:w="36"/>
        <w:gridCol w:w="36"/>
        <w:gridCol w:w="36"/>
        <w:gridCol w:w="111"/>
        <w:gridCol w:w="430"/>
        <w:gridCol w:w="36"/>
        <w:gridCol w:w="36"/>
        <w:gridCol w:w="36"/>
        <w:gridCol w:w="36"/>
        <w:gridCol w:w="111"/>
        <w:gridCol w:w="171"/>
        <w:gridCol w:w="144"/>
        <w:gridCol w:w="144"/>
        <w:gridCol w:w="75"/>
        <w:gridCol w:w="36"/>
        <w:gridCol w:w="36"/>
        <w:gridCol w:w="36"/>
        <w:gridCol w:w="36"/>
        <w:gridCol w:w="111"/>
        <w:gridCol w:w="447"/>
        <w:gridCol w:w="36"/>
        <w:gridCol w:w="36"/>
        <w:gridCol w:w="36"/>
        <w:gridCol w:w="36"/>
        <w:gridCol w:w="110"/>
        <w:gridCol w:w="390"/>
        <w:gridCol w:w="36"/>
        <w:gridCol w:w="36"/>
        <w:gridCol w:w="36"/>
        <w:gridCol w:w="36"/>
        <w:gridCol w:w="111"/>
        <w:gridCol w:w="490"/>
        <w:gridCol w:w="510"/>
        <w:gridCol w:w="144"/>
        <w:gridCol w:w="137"/>
      </w:tblGrid>
      <w:tr w:rsidR="00000000">
        <w:trPr>
          <w:divId w:val="911353192"/>
        </w:trPr>
        <w:tc>
          <w:tcPr>
            <w:tcW w:w="50" w:type="pct"/>
            <w:vAlign w:val="center"/>
            <w:hideMark/>
          </w:tcPr>
          <w:p w:rsidR="00000000" w:rsidRDefault="0094004B">
            <w:pPr>
              <w:jc w:val="both"/>
              <w:rPr>
                <w:rFonts w:eastAsia="Times New Roman"/>
              </w:rPr>
            </w:pPr>
          </w:p>
        </w:tc>
        <w:tc>
          <w:tcPr>
            <w:tcW w:w="697" w:type="pct"/>
            <w:gridSpan w:val="2"/>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7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4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gridSpan w:val="2"/>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gridSpan w:val="2"/>
            <w:vAlign w:val="center"/>
            <w:hideMark/>
          </w:tcPr>
          <w:p w:rsidR="00000000" w:rsidRDefault="0094004B">
            <w:pPr>
              <w:spacing w:after="100"/>
              <w:rPr>
                <w:rFonts w:eastAsia="Times New Roman"/>
                <w:sz w:val="20"/>
                <w:szCs w:val="20"/>
              </w:rPr>
            </w:pPr>
          </w:p>
        </w:tc>
        <w:tc>
          <w:tcPr>
            <w:tcW w:w="244" w:type="pct"/>
            <w:gridSpan w:val="2"/>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5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00"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4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95" w:type="pct"/>
            <w:gridSpan w:val="4"/>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6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4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54" w:type="pct"/>
            <w:vAlign w:val="center"/>
            <w:hideMark/>
          </w:tcPr>
          <w:p w:rsidR="00000000" w:rsidRDefault="0094004B">
            <w:pPr>
              <w:spacing w:after="100"/>
              <w:rPr>
                <w:rFonts w:eastAsia="Times New Roman"/>
                <w:sz w:val="20"/>
                <w:szCs w:val="20"/>
              </w:rPr>
            </w:pPr>
          </w:p>
        </w:tc>
        <w:tc>
          <w:tcPr>
            <w:tcW w:w="5" w:type="pct"/>
            <w:gridSpan w:val="3"/>
            <w:vAlign w:val="center"/>
            <w:hideMark/>
          </w:tcPr>
          <w:p w:rsidR="00000000" w:rsidRDefault="0094004B">
            <w:pPr>
              <w:spacing w:after="100"/>
              <w:rPr>
                <w:rFonts w:eastAsia="Times New Roman"/>
                <w:sz w:val="20"/>
                <w:szCs w:val="20"/>
              </w:rPr>
            </w:pPr>
          </w:p>
        </w:tc>
      </w:tr>
      <w:tr w:rsidR="00000000">
        <w:trPr>
          <w:divId w:val="911353192"/>
        </w:trPr>
        <w:tc>
          <w:tcPr>
            <w:tcW w:w="0" w:type="auto"/>
            <w:gridSpan w:val="4"/>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62"/>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4"/>
                <w:szCs w:val="14"/>
              </w:rPr>
              <w:t>Fair Value Measurements Using Significant Unobservable Inputs (Level 3)</w:t>
            </w:r>
          </w:p>
        </w:tc>
        <w:tc>
          <w:tcPr>
            <w:tcW w:w="0" w:type="auto"/>
            <w:gridSpan w:val="3"/>
            <w:vAlign w:val="center"/>
            <w:hideMark/>
          </w:tcPr>
          <w:p w:rsidR="00000000" w:rsidRDefault="0094004B">
            <w:pPr>
              <w:spacing w:after="100"/>
              <w:rPr>
                <w:rFonts w:eastAsia="Times New Roman"/>
                <w:sz w:val="20"/>
                <w:szCs w:val="20"/>
              </w:rPr>
            </w:pPr>
          </w:p>
        </w:tc>
      </w:tr>
      <w:tr w:rsidR="00000000">
        <w:trPr>
          <w:divId w:val="911353192"/>
        </w:trPr>
        <w:tc>
          <w:tcPr>
            <w:tcW w:w="0" w:type="auto"/>
            <w:gridSpan w:val="4"/>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62"/>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4"/>
                <w:szCs w:val="14"/>
              </w:rPr>
              <w:t>Year Ended December 31, 2021</w:t>
            </w:r>
          </w:p>
        </w:tc>
        <w:tc>
          <w:tcPr>
            <w:tcW w:w="0" w:type="auto"/>
            <w:gridSpan w:val="3"/>
            <w:vAlign w:val="center"/>
            <w:hideMark/>
          </w:tcPr>
          <w:p w:rsidR="00000000" w:rsidRDefault="0094004B">
            <w:pPr>
              <w:spacing w:after="100"/>
              <w:rPr>
                <w:rFonts w:eastAsia="Times New Roman"/>
                <w:sz w:val="20"/>
                <w:szCs w:val="20"/>
              </w:rPr>
            </w:pPr>
          </w:p>
        </w:tc>
      </w:tr>
      <w:tr w:rsidR="00000000">
        <w:trPr>
          <w:divId w:val="911353192"/>
          <w:trHeight w:val="300"/>
        </w:trPr>
        <w:tc>
          <w:tcPr>
            <w:tcW w:w="0" w:type="auto"/>
            <w:gridSpan w:val="4"/>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12"/>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2"/>
                <w:szCs w:val="12"/>
              </w:rPr>
              <w:t>Total Gains (Losses)</w:t>
            </w:r>
            <w:r>
              <w:rPr>
                <w:rFonts w:eastAsia="Times New Roman"/>
                <w:b/>
                <w:bCs/>
                <w:color w:val="000000"/>
                <w:sz w:val="12"/>
                <w:szCs w:val="12"/>
              </w:rPr>
              <w:br/>
              <w:t>(Realized/Unrealized)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6"/>
            <w:tcBorders>
              <w:top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tcBorders>
              <w:top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r>
              <w:rPr>
                <w:rFonts w:eastAsia="Times New Roman"/>
                <w:b/>
                <w:bCs/>
                <w:color w:val="000000"/>
                <w:sz w:val="12"/>
                <w:szCs w:val="12"/>
              </w:rPr>
              <w:t>Net Unrealized Gains (Losses) Included in Net Income Related to Assets and Liabilities Still Held as of December 31, 202</w:t>
            </w:r>
            <w:r>
              <w:rPr>
                <w:rFonts w:eastAsia="Times New Roman"/>
                <w:b/>
                <w:bCs/>
                <w:color w:val="000000"/>
                <w:sz w:val="12"/>
                <w:szCs w:val="12"/>
              </w:rPr>
              <w:t>1</w:t>
            </w:r>
            <w:r>
              <w:rPr>
                <w:rFonts w:eastAsia="Times New Roman"/>
                <w:b/>
                <w:bCs/>
                <w:color w:val="000000"/>
                <w:sz w:val="8"/>
                <w:szCs w:val="8"/>
              </w:rPr>
              <w:t>(1</w:t>
            </w:r>
            <w:r>
              <w:rPr>
                <w:rFonts w:eastAsia="Times New Roman"/>
                <w:b/>
                <w:bCs/>
                <w:color w:val="000000"/>
                <w:sz w:val="8"/>
                <w:szCs w:val="8"/>
              </w:rPr>
              <w:t>)</w:t>
            </w:r>
          </w:p>
          <w:p w:rsidR="00000000" w:rsidRDefault="0094004B">
            <w:pPr>
              <w:spacing w:after="100"/>
              <w:jc w:val="center"/>
              <w:rPr>
                <w:rFonts w:eastAsia="Times New Roman"/>
              </w:rPr>
            </w:pPr>
          </w:p>
        </w:tc>
      </w:tr>
      <w:tr w:rsidR="00000000">
        <w:trPr>
          <w:divId w:val="911353192"/>
          <w:trHeight w:val="460"/>
        </w:trPr>
        <w:tc>
          <w:tcPr>
            <w:tcW w:w="0" w:type="auto"/>
            <w:gridSpan w:val="4"/>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4"/>
                <w:szCs w:val="14"/>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2"/>
                <w:szCs w:val="12"/>
              </w:rPr>
              <w:t>Balance, January 1, 2021</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2"/>
                <w:szCs w:val="12"/>
              </w:rPr>
              <w:t>Included</w:t>
            </w:r>
          </w:p>
          <w:p w:rsidR="00000000" w:rsidRDefault="0094004B">
            <w:pPr>
              <w:spacing w:after="100"/>
              <w:jc w:val="center"/>
              <w:rPr>
                <w:rFonts w:eastAsia="Times New Roman"/>
              </w:rPr>
            </w:pPr>
            <w:r>
              <w:rPr>
                <w:rFonts w:eastAsia="Times New Roman"/>
                <w:b/>
                <w:bCs/>
                <w:color w:val="000000"/>
                <w:sz w:val="12"/>
                <w:szCs w:val="12"/>
              </w:rPr>
              <w:t>in Net</w:t>
            </w:r>
          </w:p>
          <w:p w:rsidR="00000000" w:rsidRDefault="0094004B">
            <w:pPr>
              <w:spacing w:after="100"/>
              <w:jc w:val="center"/>
              <w:rPr>
                <w:rFonts w:eastAsia="Times New Roman"/>
              </w:rPr>
            </w:pPr>
            <w:r>
              <w:rPr>
                <w:rFonts w:eastAsia="Times New Roman"/>
                <w:b/>
                <w:bCs/>
                <w:color w:val="000000"/>
                <w:sz w:val="12"/>
                <w:szCs w:val="12"/>
              </w:rPr>
              <w:t>Incom</w:t>
            </w:r>
            <w:r>
              <w:rPr>
                <w:rFonts w:eastAsia="Times New Roman"/>
                <w:b/>
                <w:bCs/>
                <w:color w:val="000000"/>
                <w:sz w:val="12"/>
                <w:szCs w:val="12"/>
              </w:rPr>
              <w:t>e</w:t>
            </w:r>
            <w:r>
              <w:rPr>
                <w:rFonts w:eastAsia="Times New Roman"/>
                <w:b/>
                <w:bCs/>
                <w:color w:val="000000"/>
                <w:sz w:val="8"/>
                <w:szCs w:val="8"/>
              </w:rPr>
              <w:t>(1</w:t>
            </w:r>
            <w:r>
              <w:rPr>
                <w:rFonts w:eastAsia="Times New Roman"/>
                <w:b/>
                <w:bCs/>
                <w:color w:val="000000"/>
                <w:sz w:val="8"/>
                <w:szCs w:val="8"/>
              </w:rPr>
              <w:t>)</w:t>
            </w: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5"/>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2"/>
                <w:szCs w:val="12"/>
              </w:rPr>
              <w:t>Included in OCI</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2"/>
                <w:szCs w:val="12"/>
              </w:rPr>
              <w:t>Purchases</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2"/>
                <w:szCs w:val="12"/>
              </w:rPr>
              <w:t>Sales</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2"/>
                <w:szCs w:val="12"/>
              </w:rPr>
              <w:t>Issuances</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2"/>
                <w:szCs w:val="12"/>
              </w:rPr>
              <w:t>Settlements</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2"/>
                <w:szCs w:val="12"/>
              </w:rPr>
              <w:t>Transfers</w:t>
            </w:r>
            <w:r>
              <w:rPr>
                <w:rFonts w:eastAsia="Times New Roman"/>
                <w:b/>
                <w:bCs/>
                <w:color w:val="000000"/>
                <w:sz w:val="12"/>
                <w:szCs w:val="12"/>
              </w:rPr>
              <w:br/>
              <w:t>Into</w:t>
            </w:r>
            <w:r>
              <w:rPr>
                <w:rFonts w:eastAsia="Times New Roman"/>
                <w:b/>
                <w:bCs/>
                <w:color w:val="000000"/>
                <w:sz w:val="12"/>
                <w:szCs w:val="12"/>
              </w:rPr>
              <w:br/>
              <w:t>Level 3</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2"/>
                <w:szCs w:val="12"/>
              </w:rPr>
              <w:t>Transfers</w:t>
            </w:r>
            <w:r>
              <w:rPr>
                <w:rFonts w:eastAsia="Times New Roman"/>
                <w:b/>
                <w:bCs/>
                <w:color w:val="000000"/>
                <w:sz w:val="12"/>
                <w:szCs w:val="12"/>
              </w:rPr>
              <w:br/>
              <w:t>Out of</w:t>
            </w:r>
            <w:r>
              <w:rPr>
                <w:rFonts w:eastAsia="Times New Roman"/>
                <w:b/>
                <w:bCs/>
                <w:color w:val="000000"/>
                <w:sz w:val="12"/>
                <w:szCs w:val="12"/>
              </w:rPr>
              <w:br/>
              <w:t>Level 3</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2"/>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2"/>
                <w:szCs w:val="12"/>
              </w:rPr>
              <w:t>Balance, December 31, 2021</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r>
      <w:tr w:rsidR="00000000">
        <w:trPr>
          <w:divId w:val="911353192"/>
        </w:trPr>
        <w:tc>
          <w:tcPr>
            <w:tcW w:w="0" w:type="auto"/>
            <w:gridSpan w:val="4"/>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divId w:val="974335966"/>
              <w:rPr>
                <w:rFonts w:eastAsia="Times New Roman"/>
              </w:rPr>
            </w:pPr>
            <w:r>
              <w:rPr>
                <w:rFonts w:eastAsia="Times New Roman"/>
                <w:color w:val="000000"/>
                <w:sz w:val="18"/>
                <w:szCs w:val="18"/>
              </w:rPr>
              <w:t>Securities available for sale</w:t>
            </w:r>
            <w:r>
              <w:rPr>
                <w:rFonts w:eastAsia="Times New Roman"/>
                <w:color w:val="000000"/>
                <w:sz w:val="18"/>
                <w:szCs w:val="18"/>
              </w:rPr>
              <w: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5"/>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6"/>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94004B">
        <w:trPr>
          <w:divId w:val="911353192"/>
        </w:trPr>
        <w:tc>
          <w:tcPr>
            <w:tcW w:w="0" w:type="auto"/>
            <w:gridSpan w:val="4"/>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RMBS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328 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18 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5 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gridSpan w:val="4"/>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(91)</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106 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(108)</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258 </w:t>
            </w:r>
          </w:p>
        </w:tc>
        <w:tc>
          <w:tcPr>
            <w:tcW w:w="0" w:type="auto"/>
            <w:gridSpan w:val="3"/>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8"/>
                <w:szCs w:val="18"/>
              </w:rPr>
              <w:t>$15 </w:t>
            </w:r>
          </w:p>
        </w:tc>
      </w:tr>
      <w:tr w:rsidR="0094004B">
        <w:trPr>
          <w:divId w:val="911353192"/>
        </w:trPr>
        <w:tc>
          <w:tcPr>
            <w:tcW w:w="0" w:type="auto"/>
            <w:gridSpan w:val="4"/>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CMBS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111 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(7)</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(93)</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9 </w:t>
            </w:r>
          </w:p>
        </w:tc>
        <w:tc>
          <w:tcPr>
            <w:tcW w:w="0" w:type="auto"/>
            <w:gridSpan w:val="3"/>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r>
      <w:tr w:rsidR="00000000">
        <w:trPr>
          <w:divId w:val="911353192"/>
        </w:trPr>
        <w:tc>
          <w:tcPr>
            <w:tcW w:w="0" w:type="auto"/>
            <w:gridSpan w:val="4"/>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4"/>
            <w:vAlign w:val="center"/>
            <w:hideMark/>
          </w:tcPr>
          <w:p w:rsidR="00000000" w:rsidRDefault="0094004B">
            <w:pPr>
              <w:spacing w:after="100"/>
              <w:rPr>
                <w:rFonts w:eastAsia="Times New Roman"/>
                <w:sz w:val="20"/>
                <w:szCs w:val="20"/>
              </w:rPr>
            </w:pPr>
          </w:p>
        </w:tc>
        <w:tc>
          <w:tcPr>
            <w:tcW w:w="0" w:type="auto"/>
            <w:gridSpan w:val="5"/>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6"/>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2"/>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94004B">
        <w:trPr>
          <w:divId w:val="911353192"/>
        </w:trPr>
        <w:tc>
          <w:tcPr>
            <w:tcW w:w="0" w:type="auto"/>
            <w:gridSpan w:val="4"/>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 securities available for sale</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439 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4"/>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5"/>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(98)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(201)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267 </w:t>
            </w:r>
          </w:p>
        </w:tc>
        <w:tc>
          <w:tcPr>
            <w:tcW w:w="0" w:type="auto"/>
            <w:gridSpan w:val="3"/>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8"/>
                <w:szCs w:val="18"/>
              </w:rPr>
              <w:t>15 </w:t>
            </w:r>
          </w:p>
        </w:tc>
      </w:tr>
      <w:tr w:rsidR="00000000">
        <w:trPr>
          <w:divId w:val="911353192"/>
        </w:trPr>
        <w:tc>
          <w:tcPr>
            <w:tcW w:w="0" w:type="auto"/>
            <w:gridSpan w:val="4"/>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Other assets: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5"/>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6"/>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911353192"/>
        </w:trPr>
        <w:tc>
          <w:tcPr>
            <w:tcW w:w="0" w:type="auto"/>
            <w:gridSpan w:val="4"/>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4"/>
            <w:vAlign w:val="center"/>
            <w:hideMark/>
          </w:tcPr>
          <w:p w:rsidR="00000000" w:rsidRDefault="0094004B">
            <w:pPr>
              <w:spacing w:after="100"/>
              <w:rPr>
                <w:rFonts w:eastAsia="Times New Roman"/>
                <w:sz w:val="20"/>
                <w:szCs w:val="20"/>
              </w:rPr>
            </w:pPr>
          </w:p>
        </w:tc>
        <w:tc>
          <w:tcPr>
            <w:tcW w:w="0" w:type="auto"/>
            <w:gridSpan w:val="5"/>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6"/>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2"/>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94004B">
        <w:trPr>
          <w:divId w:val="911353192"/>
        </w:trPr>
        <w:tc>
          <w:tcPr>
            <w:tcW w:w="0" w:type="auto"/>
            <w:gridSpan w:val="4"/>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Retained interests in securitizations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55 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(14)</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41 </w:t>
            </w:r>
          </w:p>
        </w:tc>
        <w:tc>
          <w:tcPr>
            <w:tcW w:w="0" w:type="auto"/>
            <w:gridSpan w:val="3"/>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8"/>
                <w:szCs w:val="18"/>
              </w:rPr>
              <w:t>(14)</w:t>
            </w:r>
          </w:p>
        </w:tc>
      </w:tr>
      <w:tr w:rsidR="0094004B">
        <w:trPr>
          <w:divId w:val="911353192"/>
        </w:trPr>
        <w:tc>
          <w:tcPr>
            <w:tcW w:w="0" w:type="auto"/>
            <w:gridSpan w:val="4"/>
            <w:shd w:val="clear" w:color="auto" w:fill="CCEEFF"/>
            <w:tcMar>
              <w:top w:w="30" w:type="dxa"/>
              <w:left w:w="20" w:type="dxa"/>
              <w:bottom w:w="30" w:type="dxa"/>
              <w:right w:w="20" w:type="dxa"/>
            </w:tcMar>
            <w:vAlign w:val="center"/>
            <w:hideMark/>
          </w:tcPr>
          <w:p w:rsidR="00000000" w:rsidRDefault="0094004B">
            <w:pPr>
              <w:spacing w:after="100"/>
              <w:divId w:val="1614554248"/>
              <w:rPr>
                <w:rFonts w:eastAsia="Times New Roman"/>
              </w:rPr>
            </w:pPr>
            <w:r>
              <w:rPr>
                <w:rFonts w:eastAsia="Times New Roman"/>
                <w:color w:val="000000"/>
                <w:sz w:val="18"/>
                <w:szCs w:val="18"/>
              </w:rPr>
              <w:t>Net derivative assets (liabilities</w:t>
            </w:r>
            <w:r>
              <w:rPr>
                <w:rFonts w:eastAsia="Times New Roman"/>
                <w:color w:val="000000"/>
                <w:sz w:val="18"/>
                <w:szCs w:val="18"/>
              </w:rPr>
              <w:t>)</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31 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(43)</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68 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(37)</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6 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(6)</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19 </w:t>
            </w:r>
          </w:p>
        </w:tc>
        <w:tc>
          <w:tcPr>
            <w:tcW w:w="0" w:type="auto"/>
            <w:gridSpan w:val="3"/>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8"/>
                <w:szCs w:val="18"/>
              </w:rPr>
              <w:t>(20)</w:t>
            </w:r>
          </w:p>
        </w:tc>
      </w:tr>
      <w:tr w:rsidR="00000000">
        <w:tblPrEx>
          <w:tblW w:w="4992" w:type="pct"/>
          <w:jc w:val="center"/>
        </w:tblPrEx>
        <w:trPr>
          <w:gridAfter w:val="1"/>
          <w:jc w:val="center"/>
        </w:trPr>
        <w:tc>
          <w:tcPr>
            <w:tcW w:w="50" w:type="pct"/>
            <w:gridSpan w:val="2"/>
            <w:vAlign w:val="center"/>
            <w:hideMark/>
          </w:tcPr>
          <w:p w:rsidR="00000000" w:rsidRDefault="0094004B">
            <w:pPr>
              <w:jc w:val="both"/>
              <w:rPr>
                <w:rFonts w:eastAsia="Times New Roman"/>
              </w:rPr>
            </w:pPr>
          </w:p>
        </w:tc>
        <w:tc>
          <w:tcPr>
            <w:tcW w:w="1606" w:type="pct"/>
            <w:gridSpan w:val="15"/>
            <w:vAlign w:val="center"/>
            <w:hideMark/>
          </w:tcPr>
          <w:p w:rsidR="00000000" w:rsidRDefault="0094004B">
            <w:pPr>
              <w:spacing w:after="100"/>
              <w:rPr>
                <w:rFonts w:eastAsia="Times New Roman"/>
                <w:sz w:val="20"/>
                <w:szCs w:val="20"/>
              </w:rPr>
            </w:pPr>
          </w:p>
        </w:tc>
        <w:tc>
          <w:tcPr>
            <w:tcW w:w="5" w:type="pct"/>
            <w:gridSpan w:val="4"/>
            <w:vAlign w:val="center"/>
            <w:hideMark/>
          </w:tcPr>
          <w:p w:rsidR="00000000" w:rsidRDefault="0094004B">
            <w:pPr>
              <w:spacing w:after="100"/>
              <w:rPr>
                <w:rFonts w:eastAsia="Times New Roman"/>
                <w:sz w:val="20"/>
                <w:szCs w:val="20"/>
              </w:rPr>
            </w:pPr>
          </w:p>
        </w:tc>
        <w:tc>
          <w:tcPr>
            <w:tcW w:w="50" w:type="pct"/>
            <w:gridSpan w:val="2"/>
            <w:vAlign w:val="center"/>
            <w:hideMark/>
          </w:tcPr>
          <w:p w:rsidR="00000000" w:rsidRDefault="0094004B">
            <w:pPr>
              <w:spacing w:after="100"/>
              <w:rPr>
                <w:rFonts w:eastAsia="Times New Roman"/>
                <w:sz w:val="20"/>
                <w:szCs w:val="20"/>
              </w:rPr>
            </w:pPr>
          </w:p>
        </w:tc>
        <w:tc>
          <w:tcPr>
            <w:tcW w:w="1614" w:type="pct"/>
            <w:gridSpan w:val="25"/>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gridSpan w:val="20"/>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blPrEx>
          <w:tblW w:w="4992" w:type="pct"/>
          <w:jc w:val="center"/>
        </w:tblPrEx>
        <w:trPr>
          <w:gridAfter w:val="1"/>
          <w:trHeight w:val="300"/>
          <w:jc w:val="center"/>
        </w:trPr>
        <w:tc>
          <w:tcPr>
            <w:tcW w:w="0" w:type="auto"/>
            <w:gridSpan w:val="71"/>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blPrEx>
          <w:tblW w:w="4992" w:type="pct"/>
          <w:jc w:val="center"/>
        </w:tblPrEx>
        <w:trPr>
          <w:gridAfter w:val="1"/>
          <w:jc w:val="center"/>
        </w:trPr>
        <w:tc>
          <w:tcPr>
            <w:tcW w:w="0" w:type="auto"/>
            <w:gridSpan w:val="21"/>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8"/>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191</w:t>
            </w:r>
          </w:p>
        </w:tc>
        <w:tc>
          <w:tcPr>
            <w:tcW w:w="0" w:type="auto"/>
            <w:gridSpan w:val="22"/>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217" style="width:0;height:1.5pt" o:hralign="center" o:hrstd="t" o:hr="t" fillcolor="#a0a0a0" stroked="f"/>
        </w:pict>
      </w:r>
    </w:p>
    <w:p w:rsidR="00000000" w:rsidRDefault="0094004B">
      <w:pPr>
        <w:jc w:val="both"/>
        <w:divId w:val="934945789"/>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934945789"/>
        <w:rPr>
          <w:rFonts w:eastAsia="Times New Roman"/>
        </w:rPr>
      </w:pPr>
    </w:p>
    <w:p w:rsidR="00000000" w:rsidRDefault="0094004B">
      <w:pPr>
        <w:jc w:val="center"/>
        <w:divId w:val="934945789"/>
        <w:rPr>
          <w:rFonts w:eastAsia="Times New Roman"/>
        </w:rPr>
      </w:pPr>
      <w:r>
        <w:rPr>
          <w:rFonts w:eastAsia="Times New Roman"/>
          <w:b/>
          <w:bCs/>
          <w:color w:val="000000"/>
          <w:sz w:val="20"/>
          <w:szCs w:val="20"/>
        </w:rPr>
        <w:t>CAPITAL ONE FINANCIAL CORPORATION</w:t>
      </w:r>
    </w:p>
    <w:p w:rsidR="00000000" w:rsidRDefault="0094004B">
      <w:pPr>
        <w:jc w:val="center"/>
        <w:divId w:val="934945789"/>
        <w:rPr>
          <w:rFonts w:eastAsia="Times New Roman"/>
        </w:rPr>
      </w:pPr>
      <w:r>
        <w:rPr>
          <w:rFonts w:eastAsia="Times New Roman"/>
          <w:b/>
          <w:bCs/>
          <w:color w:val="000000"/>
          <w:sz w:val="20"/>
          <w:szCs w:val="20"/>
        </w:rPr>
        <w:t>NOTES TO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87"/>
        <w:gridCol w:w="1210"/>
        <w:gridCol w:w="38"/>
        <w:gridCol w:w="36"/>
        <w:gridCol w:w="36"/>
        <w:gridCol w:w="36"/>
        <w:gridCol w:w="111"/>
        <w:gridCol w:w="489"/>
        <w:gridCol w:w="36"/>
        <w:gridCol w:w="36"/>
        <w:gridCol w:w="36"/>
        <w:gridCol w:w="36"/>
        <w:gridCol w:w="111"/>
        <w:gridCol w:w="444"/>
        <w:gridCol w:w="37"/>
        <w:gridCol w:w="37"/>
        <w:gridCol w:w="47"/>
        <w:gridCol w:w="36"/>
        <w:gridCol w:w="110"/>
        <w:gridCol w:w="443"/>
        <w:gridCol w:w="36"/>
        <w:gridCol w:w="36"/>
        <w:gridCol w:w="36"/>
        <w:gridCol w:w="36"/>
        <w:gridCol w:w="111"/>
        <w:gridCol w:w="462"/>
        <w:gridCol w:w="36"/>
        <w:gridCol w:w="36"/>
        <w:gridCol w:w="36"/>
        <w:gridCol w:w="36"/>
        <w:gridCol w:w="111"/>
        <w:gridCol w:w="236"/>
        <w:gridCol w:w="36"/>
        <w:gridCol w:w="36"/>
        <w:gridCol w:w="36"/>
        <w:gridCol w:w="36"/>
        <w:gridCol w:w="111"/>
        <w:gridCol w:w="430"/>
        <w:gridCol w:w="36"/>
        <w:gridCol w:w="36"/>
        <w:gridCol w:w="36"/>
        <w:gridCol w:w="36"/>
        <w:gridCol w:w="111"/>
        <w:gridCol w:w="534"/>
        <w:gridCol w:w="36"/>
        <w:gridCol w:w="36"/>
        <w:gridCol w:w="36"/>
        <w:gridCol w:w="36"/>
        <w:gridCol w:w="111"/>
        <w:gridCol w:w="447"/>
        <w:gridCol w:w="36"/>
        <w:gridCol w:w="36"/>
        <w:gridCol w:w="36"/>
        <w:gridCol w:w="36"/>
        <w:gridCol w:w="110"/>
        <w:gridCol w:w="390"/>
        <w:gridCol w:w="36"/>
        <w:gridCol w:w="36"/>
        <w:gridCol w:w="36"/>
        <w:gridCol w:w="36"/>
        <w:gridCol w:w="111"/>
        <w:gridCol w:w="490"/>
        <w:gridCol w:w="791"/>
      </w:tblGrid>
      <w:tr w:rsidR="00000000">
        <w:trPr>
          <w:divId w:val="1899973957"/>
        </w:trPr>
        <w:tc>
          <w:tcPr>
            <w:tcW w:w="50" w:type="pct"/>
            <w:vAlign w:val="center"/>
            <w:hideMark/>
          </w:tcPr>
          <w:p w:rsidR="00000000" w:rsidRDefault="0094004B">
            <w:pPr>
              <w:jc w:val="center"/>
              <w:rPr>
                <w:rFonts w:eastAsia="Times New Roman"/>
              </w:rPr>
            </w:pPr>
          </w:p>
        </w:tc>
        <w:tc>
          <w:tcPr>
            <w:tcW w:w="69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7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4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4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5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00"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4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9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6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4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5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899973957"/>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56"/>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4"/>
                <w:szCs w:val="14"/>
              </w:rPr>
              <w:t>Fair Value Measurements Using Significant Unobservable Inputs (Level 3)</w:t>
            </w:r>
          </w:p>
        </w:tc>
        <w:tc>
          <w:tcPr>
            <w:tcW w:w="0" w:type="auto"/>
            <w:vAlign w:val="center"/>
            <w:hideMark/>
          </w:tcPr>
          <w:p w:rsidR="00000000" w:rsidRDefault="0094004B">
            <w:pPr>
              <w:spacing w:after="100"/>
              <w:rPr>
                <w:rFonts w:eastAsia="Times New Roman"/>
                <w:sz w:val="20"/>
                <w:szCs w:val="20"/>
              </w:rPr>
            </w:pPr>
          </w:p>
        </w:tc>
      </w:tr>
      <w:tr w:rsidR="00000000">
        <w:trPr>
          <w:divId w:val="1899973957"/>
        </w:trPr>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56"/>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4"/>
                <w:szCs w:val="14"/>
              </w:rPr>
              <w:t>Year Ended December 31, 2020</w:t>
            </w:r>
          </w:p>
        </w:tc>
        <w:tc>
          <w:tcPr>
            <w:tcW w:w="0" w:type="auto"/>
            <w:vAlign w:val="center"/>
            <w:hideMark/>
          </w:tcPr>
          <w:p w:rsidR="00000000" w:rsidRDefault="0094004B">
            <w:pPr>
              <w:spacing w:after="100"/>
              <w:rPr>
                <w:rFonts w:eastAsia="Times New Roman"/>
                <w:sz w:val="20"/>
                <w:szCs w:val="20"/>
              </w:rPr>
            </w:pPr>
          </w:p>
        </w:tc>
      </w:tr>
      <w:tr w:rsidR="00000000">
        <w:trPr>
          <w:divId w:val="1899973957"/>
          <w:trHeight w:val="300"/>
        </w:trPr>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2"/>
                <w:szCs w:val="12"/>
              </w:rPr>
              <w:t>Total Gains (Losses)</w:t>
            </w:r>
            <w:r>
              <w:rPr>
                <w:rFonts w:eastAsia="Times New Roman"/>
                <w:b/>
                <w:bCs/>
                <w:color w:val="000000"/>
                <w:sz w:val="12"/>
                <w:szCs w:val="12"/>
              </w:rPr>
              <w:br/>
              <w:t>(Realized/Unrealized)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tcBorders>
              <w:top w:val="single" w:sz="8" w:space="0" w:color="000000"/>
            </w:tcBorders>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r>
              <w:rPr>
                <w:rFonts w:eastAsia="Times New Roman"/>
                <w:b/>
                <w:bCs/>
                <w:color w:val="000000"/>
                <w:sz w:val="12"/>
                <w:szCs w:val="12"/>
              </w:rPr>
              <w:t>Net Unrealized Gains (Losses) Included in Net Income Related to Assets and Liabilities Still Held as of December 31, 202</w:t>
            </w:r>
            <w:r>
              <w:rPr>
                <w:rFonts w:eastAsia="Times New Roman"/>
                <w:b/>
                <w:bCs/>
                <w:color w:val="000000"/>
                <w:sz w:val="12"/>
                <w:szCs w:val="12"/>
              </w:rPr>
              <w:t>0</w:t>
            </w:r>
            <w:r>
              <w:rPr>
                <w:rFonts w:eastAsia="Times New Roman"/>
                <w:b/>
                <w:bCs/>
                <w:color w:val="000000"/>
                <w:sz w:val="8"/>
                <w:szCs w:val="8"/>
              </w:rPr>
              <w:t>(1</w:t>
            </w:r>
            <w:r>
              <w:rPr>
                <w:rFonts w:eastAsia="Times New Roman"/>
                <w:b/>
                <w:bCs/>
                <w:color w:val="000000"/>
                <w:sz w:val="8"/>
                <w:szCs w:val="8"/>
              </w:rPr>
              <w:t>)</w:t>
            </w:r>
          </w:p>
          <w:p w:rsidR="00000000" w:rsidRDefault="0094004B">
            <w:pPr>
              <w:spacing w:after="100"/>
              <w:jc w:val="center"/>
              <w:rPr>
                <w:rFonts w:eastAsia="Times New Roman"/>
              </w:rPr>
            </w:pPr>
          </w:p>
        </w:tc>
      </w:tr>
      <w:tr w:rsidR="00000000">
        <w:trPr>
          <w:divId w:val="1899973957"/>
          <w:trHeight w:val="460"/>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4"/>
                <w:szCs w:val="14"/>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2"/>
                <w:szCs w:val="12"/>
              </w:rPr>
              <w:t>Balance, January 1, 2020</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2"/>
                <w:szCs w:val="12"/>
              </w:rPr>
              <w:t>Included</w:t>
            </w:r>
          </w:p>
          <w:p w:rsidR="00000000" w:rsidRDefault="0094004B">
            <w:pPr>
              <w:spacing w:after="100"/>
              <w:jc w:val="center"/>
              <w:rPr>
                <w:rFonts w:eastAsia="Times New Roman"/>
              </w:rPr>
            </w:pPr>
            <w:r>
              <w:rPr>
                <w:rFonts w:eastAsia="Times New Roman"/>
                <w:b/>
                <w:bCs/>
                <w:color w:val="000000"/>
                <w:sz w:val="12"/>
                <w:szCs w:val="12"/>
              </w:rPr>
              <w:t>in Net</w:t>
            </w:r>
          </w:p>
          <w:p w:rsidR="00000000" w:rsidRDefault="0094004B">
            <w:pPr>
              <w:spacing w:after="100"/>
              <w:jc w:val="center"/>
              <w:rPr>
                <w:rFonts w:eastAsia="Times New Roman"/>
              </w:rPr>
            </w:pPr>
            <w:r>
              <w:rPr>
                <w:rFonts w:eastAsia="Times New Roman"/>
                <w:b/>
                <w:bCs/>
                <w:color w:val="000000"/>
                <w:sz w:val="12"/>
                <w:szCs w:val="12"/>
              </w:rPr>
              <w:t>Incom</w:t>
            </w:r>
            <w:r>
              <w:rPr>
                <w:rFonts w:eastAsia="Times New Roman"/>
                <w:b/>
                <w:bCs/>
                <w:color w:val="000000"/>
                <w:sz w:val="12"/>
                <w:szCs w:val="12"/>
              </w:rPr>
              <w:t>e</w:t>
            </w:r>
            <w:r>
              <w:rPr>
                <w:rFonts w:eastAsia="Times New Roman"/>
                <w:b/>
                <w:bCs/>
                <w:color w:val="000000"/>
                <w:sz w:val="8"/>
                <w:szCs w:val="8"/>
              </w:rPr>
              <w:t>(1</w:t>
            </w:r>
            <w:r>
              <w:rPr>
                <w:rFonts w:eastAsia="Times New Roman"/>
                <w:b/>
                <w:bCs/>
                <w:color w:val="000000"/>
                <w:sz w:val="8"/>
                <w:szCs w:val="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2"/>
                <w:szCs w:val="12"/>
              </w:rPr>
              <w:t>Included in OCI</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2"/>
                <w:szCs w:val="12"/>
              </w:rPr>
              <w:t>Purchases</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2"/>
                <w:szCs w:val="12"/>
              </w:rPr>
              <w:t>Sales</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2"/>
                <w:szCs w:val="12"/>
              </w:rPr>
              <w:t>Issuances</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2"/>
                <w:szCs w:val="12"/>
              </w:rPr>
              <w:t>Settlements</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2"/>
                <w:szCs w:val="12"/>
              </w:rPr>
              <w:t>Transfers</w:t>
            </w:r>
            <w:r>
              <w:rPr>
                <w:rFonts w:eastAsia="Times New Roman"/>
                <w:b/>
                <w:bCs/>
                <w:color w:val="000000"/>
                <w:sz w:val="12"/>
                <w:szCs w:val="12"/>
              </w:rPr>
              <w:br/>
              <w:t>Into</w:t>
            </w:r>
            <w:r>
              <w:rPr>
                <w:rFonts w:eastAsia="Times New Roman"/>
                <w:b/>
                <w:bCs/>
                <w:color w:val="000000"/>
                <w:sz w:val="12"/>
                <w:szCs w:val="12"/>
              </w:rPr>
              <w:br/>
              <w:t>Level 3</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2"/>
                <w:szCs w:val="12"/>
              </w:rPr>
              <w:t>Transfers</w:t>
            </w:r>
            <w:r>
              <w:rPr>
                <w:rFonts w:eastAsia="Times New Roman"/>
                <w:b/>
                <w:bCs/>
                <w:color w:val="000000"/>
                <w:sz w:val="12"/>
                <w:szCs w:val="12"/>
              </w:rPr>
              <w:br/>
              <w:t>Out of</w:t>
            </w:r>
            <w:r>
              <w:rPr>
                <w:rFonts w:eastAsia="Times New Roman"/>
                <w:b/>
                <w:bCs/>
                <w:color w:val="000000"/>
                <w:sz w:val="12"/>
                <w:szCs w:val="12"/>
              </w:rPr>
              <w:br/>
              <w:t>Level 3</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2"/>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2"/>
                <w:szCs w:val="12"/>
              </w:rPr>
              <w:t>Balance, December 31, 2020</w:t>
            </w:r>
          </w:p>
        </w:tc>
        <w:tc>
          <w:tcPr>
            <w:tcW w:w="0" w:type="auto"/>
            <w:tcMar>
              <w:top w:w="0" w:type="dxa"/>
              <w:left w:w="20" w:type="dxa"/>
              <w:bottom w:w="0" w:type="dxa"/>
              <w:right w:w="20" w:type="dxa"/>
            </w:tcMar>
            <w:vAlign w:val="center"/>
            <w:hideMark/>
          </w:tcPr>
          <w:p w:rsidR="00000000" w:rsidRDefault="0094004B">
            <w:pPr>
              <w:spacing w:after="100"/>
              <w:jc w:val="center"/>
              <w:rPr>
                <w:rFonts w:eastAsia="Times New Roman"/>
              </w:rPr>
            </w:pPr>
          </w:p>
        </w:tc>
      </w:tr>
      <w:tr w:rsidR="00000000">
        <w:trPr>
          <w:divId w:val="189997395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divId w:val="1155606837"/>
              <w:rPr>
                <w:rFonts w:eastAsia="Times New Roman"/>
              </w:rPr>
            </w:pPr>
            <w:r>
              <w:rPr>
                <w:rFonts w:eastAsia="Times New Roman"/>
                <w:color w:val="000000"/>
                <w:sz w:val="18"/>
                <w:szCs w:val="18"/>
              </w:rPr>
              <w:t>Securities available for sale</w:t>
            </w:r>
            <w:r>
              <w:rPr>
                <w:rFonts w:eastAsia="Times New Roman"/>
                <w:color w:val="000000"/>
                <w:sz w:val="18"/>
                <w:szCs w:val="18"/>
              </w:rPr>
              <w:t>:</w:t>
            </w:r>
            <w:r>
              <w:rPr>
                <w:rFonts w:eastAsia="Times New Roman"/>
                <w:color w:val="000000"/>
                <w:sz w:val="12"/>
                <w:szCs w:val="12"/>
              </w:rPr>
              <w:t>(2)(4</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94004B">
        <w:trPr>
          <w:divId w:val="1899973957"/>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RMBS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433 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22 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(19)</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(72)</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206 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(242)</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328 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8"/>
                <w:szCs w:val="18"/>
              </w:rPr>
              <w:t>$16 </w:t>
            </w:r>
          </w:p>
        </w:tc>
      </w:tr>
      <w:tr w:rsidR="0094004B">
        <w:trPr>
          <w:divId w:val="1899973957"/>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CMBS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13 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(9)</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(32)</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371 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(229)</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111 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r>
      <w:tr w:rsidR="00000000">
        <w:trPr>
          <w:divId w:val="1899973957"/>
        </w:trPr>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2"/>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94004B">
        <w:trPr>
          <w:divId w:val="1899973957"/>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 securities available for sale</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446 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(104)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577 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(471)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439 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8"/>
                <w:szCs w:val="18"/>
              </w:rPr>
              <w:t>16 </w:t>
            </w:r>
          </w:p>
        </w:tc>
      </w:tr>
      <w:tr w:rsidR="00000000">
        <w:trPr>
          <w:divId w:val="1899973957"/>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Other assets: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
            <w:tcBorders>
              <w:top w:val="double" w:sz="6"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899973957"/>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2"/>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94004B">
        <w:trPr>
          <w:divId w:val="1899973957"/>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Retained interests in securitizations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66 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(11)</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55 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8"/>
                <w:szCs w:val="18"/>
              </w:rPr>
              <w:t>(11)</w:t>
            </w:r>
          </w:p>
        </w:tc>
      </w:tr>
      <w:tr w:rsidR="0094004B">
        <w:trPr>
          <w:divId w:val="1899973957"/>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divId w:val="1574074600"/>
              <w:rPr>
                <w:rFonts w:eastAsia="Times New Roman"/>
              </w:rPr>
            </w:pPr>
            <w:r>
              <w:rPr>
                <w:rFonts w:eastAsia="Times New Roman"/>
                <w:color w:val="000000"/>
                <w:sz w:val="18"/>
                <w:szCs w:val="18"/>
              </w:rPr>
              <w:t>Net derivative assets (liabilities</w:t>
            </w:r>
            <w:r>
              <w:rPr>
                <w:rFonts w:eastAsia="Times New Roman"/>
                <w:color w:val="000000"/>
                <w:sz w:val="18"/>
                <w:szCs w:val="18"/>
              </w:rPr>
              <w:t>)</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26 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43 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(37)</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(11)</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31 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8"/>
                <w:szCs w:val="18"/>
              </w:rPr>
              <w:t>10 </w:t>
            </w:r>
          </w:p>
        </w:tc>
      </w:tr>
    </w:tbl>
    <w:p w:rsidR="00000000" w:rsidRDefault="0094004B">
      <w:pPr>
        <w:jc w:val="both"/>
        <w:divId w:val="1899973957"/>
        <w:rPr>
          <w:rFonts w:eastAsia="Times New Roman"/>
        </w:rPr>
      </w:pPr>
      <w:r>
        <w:rPr>
          <w:rFonts w:eastAsia="Times New Roman"/>
          <w:color w:val="000000"/>
          <w:sz w:val="20"/>
          <w:szCs w:val="20"/>
        </w:rPr>
        <w:t>_________</w:t>
      </w:r>
    </w:p>
    <w:p w:rsidR="00000000" w:rsidRDefault="0094004B">
      <w:pPr>
        <w:ind w:hanging="360"/>
        <w:jc w:val="both"/>
        <w:divId w:val="1818525532"/>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Realized gains (losses) on securities available for sale are included in net securities gains (losses) and retained interests in</w:t>
      </w:r>
      <w:r>
        <w:rPr>
          <w:rFonts w:eastAsia="Times New Roman"/>
          <w:color w:val="000000"/>
          <w:sz w:val="16"/>
          <w:szCs w:val="16"/>
        </w:rPr>
        <w:t xml:space="preserve"> securitizations are reported as a component of non-interest income in our consolidated statements of income. Gains (losses) on derivatives are included as a component of net interest income or non-interest income in our consolidated statements of income.</w:t>
      </w:r>
    </w:p>
    <w:p w:rsidR="00000000" w:rsidRDefault="0094004B">
      <w:pPr>
        <w:ind w:hanging="360"/>
        <w:jc w:val="both"/>
        <w:divId w:val="260332430"/>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Net unrealized losses included in other comprehensive income related to Level 3 securities available for sale still held as of December 31, 2022 were $57 million. Net unrealized losses included in other comprehensive income related to Level 3 securities</w:t>
      </w:r>
      <w:r>
        <w:rPr>
          <w:rFonts w:eastAsia="Times New Roman"/>
          <w:color w:val="000000"/>
          <w:sz w:val="16"/>
          <w:szCs w:val="16"/>
        </w:rPr>
        <w:t xml:space="preserve"> available for sale still held as of December 31, 2021 were $4 million. Net unrealized losses included in other comprehensive income related to Level 3 securities available for sale still held as of December 31, 2020 were $21 million.</w:t>
      </w:r>
    </w:p>
    <w:p w:rsidR="00000000" w:rsidRDefault="0094004B">
      <w:pPr>
        <w:ind w:hanging="360"/>
        <w:jc w:val="both"/>
        <w:divId w:val="105929460"/>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Includes derivativ</w:t>
      </w:r>
      <w:r>
        <w:rPr>
          <w:rFonts w:eastAsia="Times New Roman"/>
          <w:color w:val="000000"/>
          <w:sz w:val="16"/>
          <w:szCs w:val="16"/>
        </w:rPr>
        <w:t>e assets and liabilities of $79 million and $74 million, respectively, as of December 31, 2022 and $84 million and $65 million, respectively, as of December 31, 2021, and $141 million and $110 million, respectively, as of December 31, 2020.</w:t>
      </w:r>
    </w:p>
    <w:p w:rsidR="00000000" w:rsidRDefault="0094004B">
      <w:pPr>
        <w:ind w:hanging="360"/>
        <w:jc w:val="both"/>
        <w:divId w:val="1640725779"/>
        <w:rPr>
          <w:rFonts w:eastAsia="Times New Roman"/>
        </w:rPr>
      </w:pPr>
      <w:r>
        <w:rPr>
          <w:rFonts w:eastAsia="Times New Roman"/>
          <w:color w:val="000000"/>
          <w:sz w:val="10"/>
          <w:szCs w:val="10"/>
        </w:rPr>
        <w:t>(4</w:t>
      </w:r>
      <w:r>
        <w:rPr>
          <w:rFonts w:eastAsia="Times New Roman"/>
          <w:color w:val="000000"/>
          <w:sz w:val="10"/>
          <w:szCs w:val="10"/>
        </w:rPr>
        <w:t>)</w:t>
      </w:r>
      <w:r>
        <w:rPr>
          <w:rFonts w:eastAsia="Times New Roman"/>
          <w:color w:val="000000"/>
          <w:sz w:val="16"/>
          <w:szCs w:val="16"/>
        </w:rPr>
        <w:t>The fair val</w:t>
      </w:r>
      <w:r>
        <w:rPr>
          <w:rFonts w:eastAsia="Times New Roman"/>
          <w:color w:val="000000"/>
          <w:sz w:val="16"/>
          <w:szCs w:val="16"/>
        </w:rPr>
        <w:t>ue of RMBS as of January 1, 2020 includes a cumulative adjustment of $4 million from the adoption of the CECL standard.</w:t>
      </w:r>
    </w:p>
    <w:p w:rsidR="00000000" w:rsidRDefault="0094004B">
      <w:pPr>
        <w:jc w:val="both"/>
        <w:divId w:val="1955746106"/>
        <w:rPr>
          <w:rFonts w:eastAsia="Times New Roman"/>
        </w:rPr>
      </w:pPr>
      <w:r>
        <w:rPr>
          <w:rFonts w:eastAsia="Times New Roman"/>
          <w:b/>
          <w:bCs/>
          <w:color w:val="000000"/>
          <w:sz w:val="20"/>
          <w:szCs w:val="20"/>
        </w:rPr>
        <w:t>Significant Level 3 Fair Value Asset and Liability Inputs</w:t>
      </w:r>
    </w:p>
    <w:p w:rsidR="00000000" w:rsidRDefault="0094004B">
      <w:pPr>
        <w:jc w:val="both"/>
        <w:divId w:val="739593268"/>
        <w:rPr>
          <w:rFonts w:eastAsia="Times New Roman"/>
        </w:rPr>
      </w:pPr>
      <w:r>
        <w:rPr>
          <w:rFonts w:eastAsia="Times New Roman"/>
          <w:color w:val="000000"/>
          <w:sz w:val="20"/>
          <w:szCs w:val="20"/>
        </w:rPr>
        <w:t xml:space="preserve">Generally, uncertainties in fair value measurements of financial instruments, </w:t>
      </w:r>
      <w:r>
        <w:rPr>
          <w:rFonts w:eastAsia="Times New Roman"/>
          <w:color w:val="000000"/>
          <w:sz w:val="20"/>
          <w:szCs w:val="20"/>
        </w:rPr>
        <w:t>such as changes in unobservable inputs, may have a significant impact on fair value. Certain of these unobservable inputs will, in isolation, have a directionally consistent impact on the fair value of the instrument for a given change in that input. Alter</w:t>
      </w:r>
      <w:r>
        <w:rPr>
          <w:rFonts w:eastAsia="Times New Roman"/>
          <w:color w:val="000000"/>
          <w:sz w:val="20"/>
          <w:szCs w:val="20"/>
        </w:rPr>
        <w:t xml:space="preserve">natively, the fair value of the instrument may move in an opposite direction for a given change in another input. In general, an increase in the discount rate, default rates, loss severity or credit spreads, in isolation, would result in a decrease in the </w:t>
      </w:r>
      <w:r>
        <w:rPr>
          <w:rFonts w:eastAsia="Times New Roman"/>
          <w:color w:val="000000"/>
          <w:sz w:val="20"/>
          <w:szCs w:val="20"/>
        </w:rPr>
        <w:t xml:space="preserve">fair value measurement. In addition, an increase in default rates would generally be accompanied by a decrease in recovery rates, slower prepayment rates and an increase in </w:t>
      </w:r>
      <w:r>
        <w:rPr>
          <w:rFonts w:eastAsia="Times New Roman"/>
          <w:color w:val="000000"/>
          <w:sz w:val="20"/>
          <w:szCs w:val="20"/>
          <w:shd w:val="clear" w:color="auto" w:fill="FFFFFF"/>
        </w:rPr>
        <w:t>liquidity spreads, and would lead to a decrease in the fair value measurement.</w:t>
      </w:r>
    </w:p>
    <w:p w:rsidR="00000000" w:rsidRDefault="0094004B">
      <w:pPr>
        <w:jc w:val="both"/>
        <w:divId w:val="217132303"/>
        <w:rPr>
          <w:rFonts w:eastAsia="Times New Roman"/>
        </w:rPr>
      </w:pPr>
      <w:r>
        <w:rPr>
          <w:rFonts w:eastAsia="Times New Roman"/>
          <w:b/>
          <w:bCs/>
          <w:color w:val="000000"/>
          <w:sz w:val="20"/>
          <w:szCs w:val="20"/>
          <w:shd w:val="clear" w:color="auto" w:fill="FFFFFF"/>
        </w:rPr>
        <w:t>Techniques and Inputs for Level 3 Fair Value Measureme</w:t>
      </w:r>
      <w:r>
        <w:rPr>
          <w:rFonts w:eastAsia="Times New Roman"/>
          <w:b/>
          <w:bCs/>
          <w:color w:val="000000"/>
          <w:sz w:val="20"/>
          <w:szCs w:val="20"/>
        </w:rPr>
        <w:t>nts</w:t>
      </w:r>
    </w:p>
    <w:p w:rsidR="00000000" w:rsidRDefault="0094004B">
      <w:pPr>
        <w:jc w:val="both"/>
        <w:divId w:val="773746077"/>
        <w:rPr>
          <w:rFonts w:eastAsia="Times New Roman"/>
        </w:rPr>
      </w:pPr>
      <w:r>
        <w:rPr>
          <w:rFonts w:eastAsia="Times New Roman"/>
          <w:color w:val="000000"/>
          <w:sz w:val="20"/>
          <w:szCs w:val="20"/>
        </w:rPr>
        <w:t>The following table presents the significant unobservable inputs used to determine the fair values of our Level 3 financial instruments on a recurring basis. We utilize multiple vendor pricing servi</w:t>
      </w:r>
      <w:r>
        <w:rPr>
          <w:rFonts w:eastAsia="Times New Roman"/>
          <w:color w:val="000000"/>
          <w:sz w:val="20"/>
          <w:szCs w:val="20"/>
        </w:rPr>
        <w:t>ces to obtain fair value for our securities. Several of our vendor pricing services are only able to provide unobservable input information for a limited number of securities due to software licensing restrictions. Other vendor pricing services are able to</w:t>
      </w:r>
      <w:r>
        <w:rPr>
          <w:rFonts w:eastAsia="Times New Roman"/>
          <w:color w:val="000000"/>
          <w:sz w:val="20"/>
          <w:szCs w:val="20"/>
        </w:rPr>
        <w:t xml:space="preserve"> provide unobservable input information for all securities for which they provide a valuation. As a result, the unobservable input information for the securities available for sale presented below represents a composite summary of all information we are ab</w:t>
      </w:r>
      <w:r>
        <w:rPr>
          <w:rFonts w:eastAsia="Times New Roman"/>
          <w:color w:val="000000"/>
          <w:sz w:val="20"/>
          <w:szCs w:val="20"/>
        </w:rPr>
        <w:t>le to obtain. The unobservable input information for all other Level 3 financial instruments is based on the assumptions used in our internal valuation models.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463573713"/>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463573713"/>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463573713"/>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192</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218" style="width:0;height:1.5pt" o:hralign="center" o:hrstd="t" o:hr="t" fillcolor="#a0a0a0" stroked="f"/>
        </w:pict>
      </w:r>
    </w:p>
    <w:p w:rsidR="00000000" w:rsidRDefault="0094004B">
      <w:pPr>
        <w:jc w:val="both"/>
        <w:divId w:val="476535956"/>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476535956"/>
        <w:rPr>
          <w:rFonts w:eastAsia="Times New Roman"/>
        </w:rPr>
      </w:pPr>
    </w:p>
    <w:p w:rsidR="00000000" w:rsidRDefault="0094004B">
      <w:pPr>
        <w:jc w:val="center"/>
        <w:divId w:val="476535956"/>
        <w:rPr>
          <w:rFonts w:eastAsia="Times New Roman"/>
        </w:rPr>
      </w:pPr>
      <w:r>
        <w:rPr>
          <w:rFonts w:eastAsia="Times New Roman"/>
          <w:b/>
          <w:bCs/>
          <w:color w:val="000000"/>
          <w:sz w:val="20"/>
          <w:szCs w:val="20"/>
        </w:rPr>
        <w:t>CAPITAL ONE FINANCIAL CORPORATION</w:t>
      </w:r>
    </w:p>
    <w:p w:rsidR="00000000" w:rsidRDefault="0094004B">
      <w:pPr>
        <w:jc w:val="center"/>
        <w:divId w:val="476535956"/>
        <w:rPr>
          <w:rFonts w:eastAsia="Times New Roman"/>
        </w:rPr>
      </w:pPr>
      <w:r>
        <w:rPr>
          <w:rFonts w:eastAsia="Times New Roman"/>
          <w:b/>
          <w:bCs/>
          <w:color w:val="000000"/>
          <w:sz w:val="20"/>
          <w:szCs w:val="20"/>
        </w:rPr>
        <w:t>NOTES TO CONSOLIDATED FINANCIAL STATEMENTS</w:t>
      </w:r>
    </w:p>
    <w:p w:rsidR="00000000" w:rsidRDefault="0094004B">
      <w:pPr>
        <w:divId w:val="907303352"/>
        <w:rPr>
          <w:rFonts w:eastAsia="Times New Roman"/>
        </w:rPr>
      </w:pPr>
      <w:r>
        <w:rPr>
          <w:rFonts w:eastAsia="Times New Roman"/>
          <w:b/>
          <w:bCs/>
          <w:color w:val="000000"/>
          <w:sz w:val="18"/>
          <w:szCs w:val="18"/>
        </w:rPr>
        <w:t>Table 16.3: Quantitative Information about Level 3 Fair Value Me</w:t>
      </w:r>
      <w:r>
        <w:rPr>
          <w:rFonts w:eastAsia="Times New Roman"/>
          <w:b/>
          <w:bCs/>
          <w:color w:val="000000"/>
          <w:sz w:val="18"/>
          <w:szCs w:val="18"/>
        </w:rPr>
        <w:t>asurements</w:t>
      </w:r>
    </w:p>
    <w:tbl>
      <w:tblPr>
        <w:tblW w:w="4992" w:type="pct"/>
        <w:tblCellMar>
          <w:top w:w="15" w:type="dxa"/>
          <w:left w:w="15" w:type="dxa"/>
          <w:bottom w:w="15" w:type="dxa"/>
          <w:right w:w="15" w:type="dxa"/>
        </w:tblCellMar>
        <w:tblLook w:val="04A0" w:firstRow="1" w:lastRow="0" w:firstColumn="1" w:lastColumn="0" w:noHBand="0" w:noVBand="1"/>
      </w:tblPr>
      <w:tblGrid>
        <w:gridCol w:w="53"/>
        <w:gridCol w:w="1742"/>
        <w:gridCol w:w="38"/>
        <w:gridCol w:w="36"/>
        <w:gridCol w:w="36"/>
        <w:gridCol w:w="36"/>
        <w:gridCol w:w="111"/>
        <w:gridCol w:w="713"/>
        <w:gridCol w:w="37"/>
        <w:gridCol w:w="36"/>
        <w:gridCol w:w="36"/>
        <w:gridCol w:w="36"/>
        <w:gridCol w:w="70"/>
        <w:gridCol w:w="1215"/>
        <w:gridCol w:w="36"/>
        <w:gridCol w:w="36"/>
        <w:gridCol w:w="36"/>
        <w:gridCol w:w="36"/>
        <w:gridCol w:w="92"/>
        <w:gridCol w:w="1984"/>
        <w:gridCol w:w="36"/>
        <w:gridCol w:w="36"/>
        <w:gridCol w:w="36"/>
        <w:gridCol w:w="36"/>
        <w:gridCol w:w="37"/>
        <w:gridCol w:w="799"/>
        <w:gridCol w:w="36"/>
        <w:gridCol w:w="36"/>
        <w:gridCol w:w="36"/>
        <w:gridCol w:w="36"/>
        <w:gridCol w:w="85"/>
        <w:gridCol w:w="633"/>
        <w:gridCol w:w="36"/>
      </w:tblGrid>
      <w:tr w:rsidR="00000000">
        <w:trPr>
          <w:divId w:val="795761738"/>
        </w:trPr>
        <w:tc>
          <w:tcPr>
            <w:tcW w:w="50" w:type="pct"/>
            <w:vAlign w:val="center"/>
            <w:hideMark/>
          </w:tcPr>
          <w:p w:rsidR="00000000" w:rsidRDefault="0094004B">
            <w:pPr>
              <w:rPr>
                <w:rFonts w:eastAsia="Times New Roman"/>
              </w:rPr>
            </w:pPr>
          </w:p>
        </w:tc>
        <w:tc>
          <w:tcPr>
            <w:tcW w:w="1108"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501"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830"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07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58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7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795761738"/>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Quantitative Information about Level 3 Fair Value Measurements</w:t>
            </w:r>
          </w:p>
        </w:tc>
      </w:tr>
      <w:tr w:rsidR="00000000">
        <w:trPr>
          <w:divId w:val="795761738"/>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 xml:space="preserve">Fair Value at </w:t>
            </w:r>
            <w:r>
              <w:rPr>
                <w:rFonts w:eastAsia="Times New Roman"/>
                <w:b/>
                <w:bCs/>
                <w:color w:val="000000"/>
                <w:sz w:val="16"/>
                <w:szCs w:val="16"/>
              </w:rPr>
              <w:br/>
              <w:t xml:space="preserve">December 31, </w:t>
            </w:r>
            <w:r>
              <w:rPr>
                <w:rFonts w:eastAsia="Times New Roman"/>
                <w:b/>
                <w:bCs/>
                <w:color w:val="000000"/>
                <w:sz w:val="16"/>
                <w:szCs w:val="16"/>
              </w:rPr>
              <w:br/>
              <w:t>2022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Significant</w:t>
            </w:r>
            <w:r>
              <w:rPr>
                <w:rFonts w:eastAsia="Times New Roman"/>
                <w:b/>
                <w:bCs/>
                <w:color w:val="000000"/>
                <w:sz w:val="16"/>
                <w:szCs w:val="16"/>
              </w:rPr>
              <w:br/>
              <w:t>Valuation</w:t>
            </w:r>
            <w:r>
              <w:rPr>
                <w:rFonts w:eastAsia="Times New Roman"/>
                <w:b/>
                <w:bCs/>
                <w:color w:val="000000"/>
                <w:sz w:val="16"/>
                <w:szCs w:val="16"/>
              </w:rPr>
              <w:br/>
              <w:t>Techniques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Significant</w:t>
            </w:r>
            <w:r>
              <w:rPr>
                <w:rFonts w:eastAsia="Times New Roman"/>
                <w:b/>
                <w:bCs/>
                <w:color w:val="000000"/>
                <w:sz w:val="16"/>
                <w:szCs w:val="16"/>
              </w:rPr>
              <w:br/>
              <w:t>Unobservable</w:t>
            </w:r>
            <w:r>
              <w:rPr>
                <w:rFonts w:eastAsia="Times New Roman"/>
                <w:b/>
                <w:bCs/>
                <w:color w:val="000000"/>
                <w:sz w:val="16"/>
                <w:szCs w:val="16"/>
              </w:rPr>
              <w:br/>
              <w:t>Inputs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Range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Weighted</w:t>
            </w:r>
          </w:p>
          <w:p w:rsidR="00000000" w:rsidRDefault="0094004B">
            <w:pPr>
              <w:spacing w:after="100"/>
              <w:jc w:val="center"/>
              <w:rPr>
                <w:rFonts w:eastAsia="Times New Roman"/>
              </w:rPr>
            </w:pPr>
            <w:r>
              <w:rPr>
                <w:rFonts w:eastAsia="Times New Roman"/>
                <w:b/>
                <w:bCs/>
                <w:color w:val="000000"/>
                <w:sz w:val="16"/>
                <w:szCs w:val="16"/>
              </w:rPr>
              <w:t>Averag</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r>
      <w:tr w:rsidR="00000000">
        <w:trPr>
          <w:divId w:val="795761738"/>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795761738"/>
        </w:trPr>
        <w:tc>
          <w:tcPr>
            <w:tcW w:w="0" w:type="auto"/>
            <w:gridSpan w:val="3"/>
            <w:shd w:val="clear" w:color="auto" w:fill="FFFFFF"/>
            <w:tcMar>
              <w:top w:w="30" w:type="dxa"/>
              <w:left w:w="155" w:type="dxa"/>
              <w:bottom w:w="30" w:type="dxa"/>
              <w:right w:w="20" w:type="dxa"/>
            </w:tcMar>
            <w:hideMark/>
          </w:tcPr>
          <w:p w:rsidR="00000000" w:rsidRDefault="0094004B">
            <w:pPr>
              <w:spacing w:after="100"/>
              <w:rPr>
                <w:rFonts w:eastAsia="Times New Roman"/>
              </w:rPr>
            </w:pPr>
            <w:r>
              <w:rPr>
                <w:rFonts w:eastAsia="Times New Roman"/>
                <w:color w:val="000000"/>
                <w:sz w:val="18"/>
                <w:szCs w:val="18"/>
              </w:rPr>
              <w:t>RMBS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FFFFFF"/>
            <w:tcMar>
              <w:top w:w="30" w:type="dxa"/>
              <w:left w:w="20" w:type="dxa"/>
              <w:bottom w:w="30" w:type="dxa"/>
              <w:right w:w="0" w:type="dxa"/>
            </w:tcMa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hideMark/>
          </w:tcPr>
          <w:p w:rsidR="00000000" w:rsidRDefault="0094004B">
            <w:pPr>
              <w:spacing w:after="100"/>
              <w:jc w:val="right"/>
              <w:rPr>
                <w:rFonts w:eastAsia="Times New Roman"/>
              </w:rPr>
            </w:pPr>
            <w:r>
              <w:rPr>
                <w:rFonts w:eastAsia="Times New Roman"/>
                <w:b/>
                <w:bCs/>
                <w:color w:val="000000"/>
                <w:sz w:val="18"/>
                <w:szCs w:val="18"/>
              </w:rPr>
              <w:t>236</w:t>
            </w:r>
            <w:r>
              <w:rPr>
                <w:rFonts w:eastAsia="Times New Roman"/>
                <w:color w:val="000000"/>
                <w:sz w:val="18"/>
                <w:szCs w:val="18"/>
              </w:rPr>
              <w:t> </w:t>
            </w:r>
          </w:p>
        </w:tc>
        <w:tc>
          <w:tcPr>
            <w:tcW w:w="0" w:type="auto"/>
            <w:shd w:val="clear" w:color="auto" w:fill="FFFFFF"/>
            <w:tcMar>
              <w:top w:w="30" w:type="dxa"/>
              <w:left w:w="0" w:type="dxa"/>
              <w:bottom w:w="30" w:type="dxa"/>
              <w:right w:w="20" w:type="dxa"/>
            </w:tcMa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94004B">
            <w:pPr>
              <w:spacing w:after="100"/>
              <w:rPr>
                <w:rFonts w:eastAsia="Times New Roman"/>
              </w:rPr>
            </w:pPr>
            <w:r>
              <w:rPr>
                <w:rFonts w:eastAsia="Times New Roman"/>
                <w:color w:val="000000"/>
                <w:sz w:val="18"/>
                <w:szCs w:val="18"/>
              </w:rPr>
              <w:t>Discounted cash flows (vendor pricing)</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94004B">
            <w:pPr>
              <w:spacing w:after="100"/>
              <w:rPr>
                <w:rFonts w:eastAsia="Times New Roman"/>
              </w:rPr>
            </w:pPr>
            <w:r>
              <w:rPr>
                <w:rFonts w:eastAsia="Times New Roman"/>
                <w:color w:val="000000"/>
                <w:sz w:val="18"/>
                <w:szCs w:val="18"/>
              </w:rPr>
              <w:t>Yield</w:t>
            </w:r>
            <w:r>
              <w:rPr>
                <w:rFonts w:eastAsia="Times New Roman"/>
                <w:color w:val="000000"/>
                <w:sz w:val="18"/>
                <w:szCs w:val="18"/>
              </w:rPr>
              <w:br/>
              <w:t>Voluntary prepayment rate</w:t>
            </w:r>
            <w:r>
              <w:rPr>
                <w:rFonts w:eastAsia="Times New Roman"/>
                <w:color w:val="000000"/>
                <w:sz w:val="18"/>
                <w:szCs w:val="18"/>
              </w:rPr>
              <w:br/>
              <w:t>Default rate</w:t>
            </w:r>
            <w:r>
              <w:rPr>
                <w:rFonts w:eastAsia="Times New Roman"/>
                <w:color w:val="000000"/>
                <w:sz w:val="18"/>
                <w:szCs w:val="18"/>
              </w:rPr>
              <w:br/>
            </w:r>
            <w:r>
              <w:rPr>
                <w:rFonts w:eastAsia="Times New Roman"/>
                <w:color w:val="000000"/>
                <w:sz w:val="18"/>
                <w:szCs w:val="18"/>
              </w:rPr>
              <w:t>Loss severity</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94004B">
            <w:pPr>
              <w:spacing w:after="100"/>
              <w:divId w:val="2108191675"/>
              <w:rPr>
                <w:rFonts w:eastAsia="Times New Roman"/>
              </w:rPr>
            </w:pPr>
            <w:r>
              <w:rPr>
                <w:rFonts w:eastAsia="Times New Roman"/>
                <w:b/>
                <w:bCs/>
                <w:color w:val="000000"/>
                <w:sz w:val="18"/>
                <w:szCs w:val="18"/>
              </w:rPr>
              <w:t>3-12%</w:t>
            </w:r>
          </w:p>
          <w:p w:rsidR="00000000" w:rsidRDefault="0094004B">
            <w:pPr>
              <w:spacing w:after="100"/>
              <w:divId w:val="1856529581"/>
              <w:rPr>
                <w:rFonts w:eastAsia="Times New Roman"/>
              </w:rPr>
            </w:pPr>
            <w:r>
              <w:rPr>
                <w:rFonts w:eastAsia="Times New Roman"/>
                <w:b/>
                <w:bCs/>
                <w:color w:val="000000"/>
                <w:sz w:val="18"/>
                <w:szCs w:val="18"/>
              </w:rPr>
              <w:t>4-20%</w:t>
            </w:r>
          </w:p>
          <w:p w:rsidR="00000000" w:rsidRDefault="0094004B">
            <w:pPr>
              <w:spacing w:after="100"/>
              <w:divId w:val="1784225460"/>
              <w:rPr>
                <w:rFonts w:eastAsia="Times New Roman"/>
              </w:rPr>
            </w:pPr>
            <w:r>
              <w:rPr>
                <w:rFonts w:eastAsia="Times New Roman"/>
                <w:b/>
                <w:bCs/>
                <w:color w:val="000000"/>
                <w:sz w:val="18"/>
                <w:szCs w:val="18"/>
              </w:rPr>
              <w:t>0-11%</w:t>
            </w:r>
          </w:p>
          <w:p w:rsidR="00000000" w:rsidRDefault="0094004B">
            <w:pPr>
              <w:spacing w:after="100"/>
              <w:divId w:val="1865745395"/>
              <w:rPr>
                <w:rFonts w:eastAsia="Times New Roman"/>
              </w:rPr>
            </w:pPr>
            <w:r>
              <w:rPr>
                <w:rFonts w:eastAsia="Times New Roman"/>
                <w:b/>
                <w:bCs/>
                <w:color w:val="000000"/>
                <w:sz w:val="18"/>
                <w:szCs w:val="18"/>
              </w:rPr>
              <w:t>30-80%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94004B">
            <w:pPr>
              <w:spacing w:after="100"/>
              <w:divId w:val="2092923416"/>
              <w:rPr>
                <w:rFonts w:eastAsia="Times New Roman"/>
              </w:rPr>
            </w:pPr>
            <w:r>
              <w:rPr>
                <w:rFonts w:eastAsia="Times New Roman"/>
                <w:b/>
                <w:bCs/>
                <w:color w:val="000000"/>
                <w:sz w:val="18"/>
                <w:szCs w:val="18"/>
              </w:rPr>
              <w:t>7%</w:t>
            </w:r>
          </w:p>
          <w:p w:rsidR="00000000" w:rsidRDefault="0094004B">
            <w:pPr>
              <w:spacing w:after="100"/>
              <w:divId w:val="71631527"/>
              <w:rPr>
                <w:rFonts w:eastAsia="Times New Roman"/>
              </w:rPr>
            </w:pPr>
            <w:r>
              <w:rPr>
                <w:rFonts w:eastAsia="Times New Roman"/>
                <w:b/>
                <w:bCs/>
                <w:color w:val="000000"/>
                <w:sz w:val="18"/>
                <w:szCs w:val="18"/>
              </w:rPr>
              <w:t>8%</w:t>
            </w:r>
          </w:p>
          <w:p w:rsidR="00000000" w:rsidRDefault="0094004B">
            <w:pPr>
              <w:spacing w:after="100"/>
              <w:divId w:val="1288776454"/>
              <w:rPr>
                <w:rFonts w:eastAsia="Times New Roman"/>
              </w:rPr>
            </w:pPr>
            <w:r>
              <w:rPr>
                <w:rFonts w:eastAsia="Times New Roman"/>
                <w:b/>
                <w:bCs/>
                <w:color w:val="000000"/>
                <w:sz w:val="18"/>
                <w:szCs w:val="18"/>
              </w:rPr>
              <w:t>2%</w:t>
            </w:r>
          </w:p>
          <w:p w:rsidR="00000000" w:rsidRDefault="0094004B">
            <w:pPr>
              <w:spacing w:after="100"/>
              <w:divId w:val="140585237"/>
              <w:rPr>
                <w:rFonts w:eastAsia="Times New Roman"/>
              </w:rPr>
            </w:pPr>
            <w:r>
              <w:rPr>
                <w:rFonts w:eastAsia="Times New Roman"/>
                <w:b/>
                <w:bCs/>
                <w:color w:val="000000"/>
                <w:sz w:val="18"/>
                <w:szCs w:val="18"/>
              </w:rPr>
              <w:t>58%</w:t>
            </w:r>
          </w:p>
        </w:tc>
      </w:tr>
      <w:tr w:rsidR="00000000">
        <w:trPr>
          <w:divId w:val="795761738"/>
        </w:trPr>
        <w:tc>
          <w:tcPr>
            <w:tcW w:w="0" w:type="auto"/>
            <w:gridSpan w:val="3"/>
            <w:shd w:val="clear" w:color="auto" w:fill="CCEEFF"/>
            <w:tcMar>
              <w:top w:w="30" w:type="dxa"/>
              <w:left w:w="155" w:type="dxa"/>
              <w:bottom w:w="30" w:type="dxa"/>
              <w:right w:w="20" w:type="dxa"/>
            </w:tcMar>
            <w:hideMark/>
          </w:tcPr>
          <w:p w:rsidR="00000000" w:rsidRDefault="0094004B">
            <w:pPr>
              <w:spacing w:after="100"/>
              <w:rPr>
                <w:rFonts w:eastAsia="Times New Roman"/>
              </w:rPr>
            </w:pPr>
            <w:r>
              <w:rPr>
                <w:rFonts w:eastAsia="Times New Roman"/>
                <w:color w:val="000000"/>
                <w:sz w:val="18"/>
                <w:szCs w:val="18"/>
              </w:rPr>
              <w:t>CMBS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94004B">
            <w:pPr>
              <w:spacing w:after="100"/>
              <w:jc w:val="right"/>
              <w:rPr>
                <w:rFonts w:eastAsia="Times New Roman"/>
              </w:rPr>
            </w:pPr>
            <w:r>
              <w:rPr>
                <w:rFonts w:eastAsia="Times New Roman"/>
                <w:b/>
                <w:bCs/>
                <w:color w:val="000000"/>
                <w:sz w:val="18"/>
                <w:szCs w:val="18"/>
              </w:rPr>
              <w:t>142</w:t>
            </w:r>
            <w:r>
              <w:rPr>
                <w:rFonts w:eastAsia="Times New Roman"/>
                <w:color w:val="000000"/>
                <w:sz w:val="18"/>
                <w:szCs w:val="18"/>
              </w:rPr>
              <w:t> </w:t>
            </w:r>
          </w:p>
        </w:tc>
        <w:tc>
          <w:tcPr>
            <w:tcW w:w="0" w:type="auto"/>
            <w:shd w:val="clear" w:color="auto" w:fill="CCEEFF"/>
            <w:tcMar>
              <w:top w:w="30" w:type="dxa"/>
              <w:left w:w="0" w:type="dxa"/>
              <w:bottom w:w="30" w:type="dxa"/>
              <w:right w:w="20" w:type="dxa"/>
            </w:tcMa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94004B">
            <w:pPr>
              <w:spacing w:after="100"/>
              <w:rPr>
                <w:rFonts w:eastAsia="Times New Roman"/>
              </w:rPr>
            </w:pPr>
            <w:r>
              <w:rPr>
                <w:rFonts w:eastAsia="Times New Roman"/>
                <w:color w:val="000000"/>
                <w:sz w:val="18"/>
                <w:szCs w:val="18"/>
              </w:rPr>
              <w:t>Discounted cash flows (vendor pricing)</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94004B">
            <w:pPr>
              <w:spacing w:after="100"/>
              <w:rPr>
                <w:rFonts w:eastAsia="Times New Roman"/>
              </w:rPr>
            </w:pPr>
            <w:r>
              <w:rPr>
                <w:rFonts w:eastAsia="Times New Roman"/>
                <w:color w:val="000000"/>
                <w:sz w:val="18"/>
                <w:szCs w:val="18"/>
              </w:rPr>
              <w:t>Yield</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94004B">
            <w:pPr>
              <w:spacing w:after="100"/>
              <w:divId w:val="789738475"/>
              <w:rPr>
                <w:rFonts w:eastAsia="Times New Roman"/>
              </w:rPr>
            </w:pPr>
            <w:r>
              <w:rPr>
                <w:rFonts w:eastAsia="Times New Roman"/>
                <w:b/>
                <w:bCs/>
                <w:color w:val="000000"/>
                <w:sz w:val="18"/>
                <w:szCs w:val="18"/>
              </w:rPr>
              <w:t>4-5%</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94004B">
            <w:pPr>
              <w:spacing w:after="100"/>
              <w:divId w:val="555548821"/>
              <w:rPr>
                <w:rFonts w:eastAsia="Times New Roman"/>
              </w:rPr>
            </w:pPr>
            <w:r>
              <w:rPr>
                <w:rFonts w:eastAsia="Times New Roman"/>
                <w:b/>
                <w:bCs/>
                <w:color w:val="000000"/>
                <w:sz w:val="18"/>
                <w:szCs w:val="18"/>
              </w:rPr>
              <w:t>5%</w:t>
            </w:r>
          </w:p>
        </w:tc>
      </w:tr>
      <w:tr w:rsidR="00000000">
        <w:trPr>
          <w:divId w:val="795761738"/>
        </w:trPr>
        <w:tc>
          <w:tcPr>
            <w:tcW w:w="0" w:type="auto"/>
            <w:gridSpan w:val="3"/>
            <w:shd w:val="clear" w:color="auto" w:fill="FFFFFF"/>
            <w:tcMar>
              <w:top w:w="30" w:type="dxa"/>
              <w:left w:w="20" w:type="dxa"/>
              <w:bottom w:w="30" w:type="dxa"/>
              <w:right w:w="20" w:type="dxa"/>
            </w:tcMar>
            <w:hideMark/>
          </w:tcPr>
          <w:p w:rsidR="00000000" w:rsidRDefault="0094004B">
            <w:pPr>
              <w:spacing w:after="100"/>
              <w:rPr>
                <w:rFonts w:eastAsia="Times New Roman"/>
              </w:rPr>
            </w:pPr>
            <w:r>
              <w:rPr>
                <w:rFonts w:eastAsia="Times New Roman"/>
                <w:color w:val="000000"/>
                <w:sz w:val="18"/>
                <w:szCs w:val="18"/>
              </w:rPr>
              <w:t>Other assets: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795761738"/>
        </w:trPr>
        <w:tc>
          <w:tcPr>
            <w:tcW w:w="0" w:type="auto"/>
            <w:gridSpan w:val="3"/>
            <w:shd w:val="clear" w:color="auto" w:fill="CCEEFF"/>
            <w:tcMar>
              <w:top w:w="30" w:type="dxa"/>
              <w:left w:w="20" w:type="dxa"/>
              <w:bottom w:w="30" w:type="dxa"/>
              <w:right w:w="20" w:type="dxa"/>
            </w:tcMar>
            <w:hideMark/>
          </w:tcPr>
          <w:p w:rsidR="00000000" w:rsidRDefault="0094004B">
            <w:pPr>
              <w:spacing w:after="100"/>
              <w:divId w:val="1806435927"/>
              <w:rPr>
                <w:rFonts w:eastAsia="Times New Roman"/>
              </w:rPr>
            </w:pPr>
            <w:r>
              <w:rPr>
                <w:rFonts w:eastAsia="Times New Roman"/>
                <w:color w:val="000000"/>
                <w:sz w:val="18"/>
                <w:szCs w:val="18"/>
              </w:rPr>
              <w:t>Retained interests in securitization</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94004B">
            <w:pPr>
              <w:spacing w:after="100"/>
              <w:jc w:val="right"/>
              <w:rPr>
                <w:rFonts w:eastAsia="Times New Roman"/>
              </w:rPr>
            </w:pPr>
            <w:r>
              <w:rPr>
                <w:rFonts w:eastAsia="Times New Roman"/>
                <w:b/>
                <w:bCs/>
                <w:color w:val="000000"/>
                <w:sz w:val="18"/>
                <w:szCs w:val="18"/>
              </w:rPr>
              <w:t>36</w:t>
            </w:r>
            <w:r>
              <w:rPr>
                <w:rFonts w:eastAsia="Times New Roman"/>
                <w:color w:val="000000"/>
                <w:sz w:val="18"/>
                <w:szCs w:val="18"/>
              </w:rPr>
              <w:t> </w:t>
            </w:r>
          </w:p>
        </w:tc>
        <w:tc>
          <w:tcPr>
            <w:tcW w:w="0" w:type="auto"/>
            <w:shd w:val="clear" w:color="auto" w:fill="CCEEFF"/>
            <w:tcMar>
              <w:top w:w="30" w:type="dxa"/>
              <w:left w:w="0" w:type="dxa"/>
              <w:bottom w:w="30" w:type="dxa"/>
              <w:right w:w="20" w:type="dxa"/>
            </w:tcMa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94004B">
            <w:pPr>
              <w:spacing w:after="100"/>
              <w:rPr>
                <w:rFonts w:eastAsia="Times New Roman"/>
              </w:rPr>
            </w:pPr>
            <w:r>
              <w:rPr>
                <w:rFonts w:eastAsia="Times New Roman"/>
                <w:color w:val="000000"/>
                <w:sz w:val="18"/>
                <w:szCs w:val="18"/>
              </w:rPr>
              <w:t>Discounted cash flows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94004B">
            <w:pPr>
              <w:spacing w:after="100"/>
              <w:rPr>
                <w:rFonts w:eastAsia="Times New Roman"/>
              </w:rPr>
            </w:pPr>
            <w:r>
              <w:rPr>
                <w:rFonts w:eastAsia="Times New Roman"/>
                <w:color w:val="000000"/>
                <w:sz w:val="18"/>
                <w:szCs w:val="18"/>
              </w:rPr>
              <w:t>Life of receivables (months)</w:t>
            </w:r>
            <w:r>
              <w:rPr>
                <w:rFonts w:eastAsia="Times New Roman"/>
                <w:color w:val="000000"/>
                <w:sz w:val="18"/>
                <w:szCs w:val="18"/>
              </w:rPr>
              <w:br/>
              <w:t>Voluntary prepayment rate</w:t>
            </w:r>
            <w:r>
              <w:rPr>
                <w:rFonts w:eastAsia="Times New Roman"/>
                <w:color w:val="000000"/>
                <w:sz w:val="18"/>
                <w:szCs w:val="18"/>
              </w:rPr>
              <w:br/>
              <w:t>Discount rate</w:t>
            </w:r>
            <w:r>
              <w:rPr>
                <w:rFonts w:eastAsia="Times New Roman"/>
                <w:color w:val="000000"/>
                <w:sz w:val="18"/>
                <w:szCs w:val="18"/>
              </w:rPr>
              <w:br/>
              <w:t>Default rate</w:t>
            </w:r>
            <w:r>
              <w:rPr>
                <w:rFonts w:eastAsia="Times New Roman"/>
                <w:color w:val="000000"/>
                <w:sz w:val="18"/>
                <w:szCs w:val="18"/>
              </w:rPr>
              <w:br/>
              <w:t>Loss severity</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94004B">
            <w:pPr>
              <w:spacing w:after="100"/>
              <w:divId w:val="1413158199"/>
              <w:rPr>
                <w:rFonts w:eastAsia="Times New Roman"/>
              </w:rPr>
            </w:pPr>
            <w:r>
              <w:rPr>
                <w:rFonts w:eastAsia="Times New Roman"/>
                <w:b/>
                <w:bCs/>
                <w:color w:val="000000"/>
                <w:sz w:val="18"/>
                <w:szCs w:val="18"/>
              </w:rPr>
              <w:t>30-43</w:t>
            </w:r>
          </w:p>
          <w:p w:rsidR="00000000" w:rsidRDefault="0094004B">
            <w:pPr>
              <w:spacing w:after="100"/>
              <w:divId w:val="1824736955"/>
              <w:rPr>
                <w:rFonts w:eastAsia="Times New Roman"/>
              </w:rPr>
            </w:pPr>
            <w:r>
              <w:rPr>
                <w:rFonts w:eastAsia="Times New Roman"/>
                <w:b/>
                <w:bCs/>
                <w:color w:val="000000"/>
                <w:sz w:val="18"/>
                <w:szCs w:val="18"/>
              </w:rPr>
              <w:t>9-18%</w:t>
            </w:r>
          </w:p>
          <w:p w:rsidR="00000000" w:rsidRDefault="0094004B">
            <w:pPr>
              <w:spacing w:after="100"/>
              <w:divId w:val="316807372"/>
              <w:rPr>
                <w:rFonts w:eastAsia="Times New Roman"/>
              </w:rPr>
            </w:pPr>
            <w:r>
              <w:rPr>
                <w:rFonts w:eastAsia="Times New Roman"/>
                <w:b/>
                <w:bCs/>
                <w:color w:val="000000"/>
                <w:sz w:val="18"/>
                <w:szCs w:val="18"/>
              </w:rPr>
              <w:t>4-7%</w:t>
            </w:r>
          </w:p>
          <w:p w:rsidR="00000000" w:rsidRDefault="0094004B">
            <w:pPr>
              <w:spacing w:after="100"/>
              <w:divId w:val="1437015398"/>
              <w:rPr>
                <w:rFonts w:eastAsia="Times New Roman"/>
              </w:rPr>
            </w:pPr>
            <w:r>
              <w:rPr>
                <w:rFonts w:eastAsia="Times New Roman"/>
                <w:b/>
                <w:bCs/>
                <w:color w:val="000000"/>
                <w:sz w:val="18"/>
                <w:szCs w:val="18"/>
              </w:rPr>
              <w:t>1%</w:t>
            </w:r>
          </w:p>
          <w:p w:rsidR="00000000" w:rsidRDefault="0094004B">
            <w:pPr>
              <w:spacing w:after="100"/>
              <w:divId w:val="1742868792"/>
              <w:rPr>
                <w:rFonts w:eastAsia="Times New Roman"/>
              </w:rPr>
            </w:pPr>
            <w:r>
              <w:rPr>
                <w:rFonts w:eastAsia="Times New Roman"/>
                <w:b/>
                <w:bCs/>
                <w:color w:val="000000"/>
                <w:sz w:val="18"/>
                <w:szCs w:val="18"/>
              </w:rPr>
              <w:t>62-291%</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N/A</w:t>
            </w:r>
          </w:p>
        </w:tc>
      </w:tr>
      <w:tr w:rsidR="00000000">
        <w:trPr>
          <w:divId w:val="795761738"/>
        </w:trPr>
        <w:tc>
          <w:tcPr>
            <w:tcW w:w="0" w:type="auto"/>
            <w:gridSpan w:val="3"/>
            <w:shd w:val="clear" w:color="auto" w:fill="FFFFFF"/>
            <w:tcMar>
              <w:top w:w="30" w:type="dxa"/>
              <w:left w:w="20" w:type="dxa"/>
              <w:bottom w:w="30" w:type="dxa"/>
              <w:right w:w="20" w:type="dxa"/>
            </w:tcMar>
            <w:hideMark/>
          </w:tcPr>
          <w:p w:rsidR="00000000" w:rsidRDefault="0094004B">
            <w:pPr>
              <w:spacing w:after="100"/>
              <w:rPr>
                <w:rFonts w:eastAsia="Times New Roman"/>
              </w:rPr>
            </w:pPr>
            <w:r>
              <w:rPr>
                <w:rFonts w:eastAsia="Times New Roman"/>
                <w:color w:val="000000"/>
                <w:sz w:val="18"/>
                <w:szCs w:val="18"/>
              </w:rPr>
              <w:t>Net derivative assets (liabilities)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94004B">
            <w:pPr>
              <w:spacing w:after="100"/>
              <w:jc w:val="right"/>
              <w:rPr>
                <w:rFonts w:eastAsia="Times New Roman"/>
              </w:rPr>
            </w:pPr>
            <w:r>
              <w:rPr>
                <w:rFonts w:eastAsia="Times New Roman"/>
                <w:b/>
                <w:bCs/>
                <w:color w:val="000000"/>
                <w:sz w:val="18"/>
                <w:szCs w:val="18"/>
              </w:rPr>
              <w:t>5</w:t>
            </w:r>
            <w:r>
              <w:rPr>
                <w:rFonts w:eastAsia="Times New Roman"/>
                <w:color w:val="000000"/>
                <w:sz w:val="18"/>
                <w:szCs w:val="18"/>
              </w:rPr>
              <w:t> </w:t>
            </w:r>
          </w:p>
        </w:tc>
        <w:tc>
          <w:tcPr>
            <w:tcW w:w="0" w:type="auto"/>
            <w:shd w:val="clear" w:color="auto" w:fill="FFFFFF"/>
            <w:tcMar>
              <w:top w:w="30" w:type="dxa"/>
              <w:left w:w="0" w:type="dxa"/>
              <w:bottom w:w="30" w:type="dxa"/>
              <w:right w:w="20" w:type="dxa"/>
            </w:tcMa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94004B">
            <w:pPr>
              <w:spacing w:after="100"/>
              <w:rPr>
                <w:rFonts w:eastAsia="Times New Roman"/>
              </w:rPr>
            </w:pPr>
            <w:r>
              <w:rPr>
                <w:rFonts w:eastAsia="Times New Roman"/>
                <w:color w:val="000000"/>
                <w:sz w:val="18"/>
                <w:szCs w:val="18"/>
              </w:rPr>
              <w:t>Discounted cash flows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94004B">
            <w:pPr>
              <w:spacing w:after="100"/>
              <w:rPr>
                <w:rFonts w:eastAsia="Times New Roman"/>
              </w:rPr>
            </w:pPr>
            <w:r>
              <w:rPr>
                <w:rFonts w:eastAsia="Times New Roman"/>
                <w:color w:val="000000"/>
                <w:sz w:val="18"/>
                <w:szCs w:val="18"/>
              </w:rPr>
              <w:t>Swap rates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94004B">
            <w:pPr>
              <w:spacing w:after="100"/>
              <w:divId w:val="256406677"/>
              <w:rPr>
                <w:rFonts w:eastAsia="Times New Roman"/>
              </w:rPr>
            </w:pPr>
            <w:r>
              <w:rPr>
                <w:rFonts w:eastAsia="Times New Roman"/>
                <w:b/>
                <w:bCs/>
                <w:color w:val="000000"/>
                <w:sz w:val="18"/>
                <w:szCs w:val="18"/>
              </w:rPr>
              <w:t>3-4%</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94004B">
            <w:pPr>
              <w:spacing w:after="100"/>
              <w:rPr>
                <w:rFonts w:eastAsia="Times New Roman"/>
              </w:rPr>
            </w:pPr>
            <w:r>
              <w:rPr>
                <w:rFonts w:eastAsia="Times New Roman"/>
                <w:b/>
                <w:bCs/>
                <w:color w:val="000000"/>
                <w:sz w:val="18"/>
                <w:szCs w:val="18"/>
              </w:rPr>
              <w:t>4%</w:t>
            </w:r>
          </w:p>
        </w:tc>
      </w:tr>
    </w:tbl>
    <w:tbl>
      <w:tblPr>
        <w:tblW w:w="4992" w:type="pct"/>
        <w:tblCellMar>
          <w:top w:w="15" w:type="dxa"/>
          <w:left w:w="15" w:type="dxa"/>
          <w:bottom w:w="15" w:type="dxa"/>
          <w:right w:w="15" w:type="dxa"/>
        </w:tblCellMar>
        <w:tblLook w:val="04A0" w:firstRow="1" w:lastRow="0" w:firstColumn="1" w:lastColumn="0" w:noHBand="0" w:noVBand="1"/>
      </w:tblPr>
      <w:tblGrid>
        <w:gridCol w:w="144"/>
        <w:gridCol w:w="1837"/>
        <w:gridCol w:w="144"/>
        <w:gridCol w:w="144"/>
        <w:gridCol w:w="144"/>
        <w:gridCol w:w="144"/>
        <w:gridCol w:w="144"/>
        <w:gridCol w:w="830"/>
        <w:gridCol w:w="144"/>
        <w:gridCol w:w="144"/>
        <w:gridCol w:w="144"/>
        <w:gridCol w:w="144"/>
        <w:gridCol w:w="144"/>
        <w:gridCol w:w="1376"/>
        <w:gridCol w:w="144"/>
        <w:gridCol w:w="144"/>
        <w:gridCol w:w="144"/>
        <w:gridCol w:w="144"/>
        <w:gridCol w:w="144"/>
        <w:gridCol w:w="1789"/>
        <w:gridCol w:w="144"/>
        <w:gridCol w:w="144"/>
        <w:gridCol w:w="144"/>
        <w:gridCol w:w="144"/>
        <w:gridCol w:w="144"/>
        <w:gridCol w:w="976"/>
        <w:gridCol w:w="144"/>
        <w:gridCol w:w="144"/>
        <w:gridCol w:w="144"/>
        <w:gridCol w:w="144"/>
        <w:gridCol w:w="144"/>
        <w:gridCol w:w="625"/>
        <w:gridCol w:w="144"/>
      </w:tblGrid>
      <w:tr w:rsidR="00000000">
        <w:tc>
          <w:tcPr>
            <w:tcW w:w="50" w:type="pct"/>
            <w:vAlign w:val="center"/>
            <w:hideMark/>
          </w:tcPr>
          <w:p w:rsidR="00000000" w:rsidRDefault="0094004B">
            <w:pPr>
              <w:rPr>
                <w:rFonts w:eastAsia="Times New Roman"/>
              </w:rPr>
            </w:pPr>
          </w:p>
        </w:tc>
        <w:tc>
          <w:tcPr>
            <w:tcW w:w="1108"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501"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830"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07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58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7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Quantitative Information about Level 3 Fair Value Measurements</w:t>
            </w:r>
          </w:p>
        </w:tc>
      </w:tr>
      <w:tr w:rsidR="00000000">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 xml:space="preserve">Fair Value at </w:t>
            </w:r>
            <w:r>
              <w:rPr>
                <w:rFonts w:eastAsia="Times New Roman"/>
                <w:b/>
                <w:bCs/>
                <w:color w:val="000000"/>
                <w:sz w:val="16"/>
                <w:szCs w:val="16"/>
              </w:rPr>
              <w:br/>
              <w:t xml:space="preserve">December 31, </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Significant</w:t>
            </w:r>
            <w:r>
              <w:rPr>
                <w:rFonts w:eastAsia="Times New Roman"/>
                <w:b/>
                <w:bCs/>
                <w:color w:val="000000"/>
                <w:sz w:val="16"/>
                <w:szCs w:val="16"/>
              </w:rPr>
              <w:br/>
              <w:t>Valuation</w:t>
            </w:r>
            <w:r>
              <w:rPr>
                <w:rFonts w:eastAsia="Times New Roman"/>
                <w:b/>
                <w:bCs/>
                <w:color w:val="000000"/>
                <w:sz w:val="16"/>
                <w:szCs w:val="16"/>
              </w:rPr>
              <w:br/>
            </w:r>
            <w:r>
              <w:rPr>
                <w:rFonts w:eastAsia="Times New Roman"/>
                <w:b/>
                <w:bCs/>
                <w:color w:val="000000"/>
                <w:sz w:val="16"/>
                <w:szCs w:val="16"/>
              </w:rPr>
              <w:t>Techniques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Significant</w:t>
            </w:r>
            <w:r>
              <w:rPr>
                <w:rFonts w:eastAsia="Times New Roman"/>
                <w:b/>
                <w:bCs/>
                <w:color w:val="000000"/>
                <w:sz w:val="16"/>
                <w:szCs w:val="16"/>
              </w:rPr>
              <w:br/>
              <w:t>Unobservable</w:t>
            </w:r>
            <w:r>
              <w:rPr>
                <w:rFonts w:eastAsia="Times New Roman"/>
                <w:b/>
                <w:bCs/>
                <w:color w:val="000000"/>
                <w:sz w:val="16"/>
                <w:szCs w:val="16"/>
              </w:rPr>
              <w:br/>
              <w:t>Inputs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Range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Weighted</w:t>
            </w:r>
          </w:p>
          <w:p w:rsidR="00000000" w:rsidRDefault="0094004B">
            <w:pPr>
              <w:spacing w:after="100"/>
              <w:jc w:val="center"/>
              <w:rPr>
                <w:rFonts w:eastAsia="Times New Roman"/>
              </w:rPr>
            </w:pPr>
            <w:r>
              <w:rPr>
                <w:rFonts w:eastAsia="Times New Roman"/>
                <w:b/>
                <w:bCs/>
                <w:color w:val="000000"/>
                <w:sz w:val="16"/>
                <w:szCs w:val="16"/>
              </w:rPr>
              <w:t>Averag</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c>
          <w:tcPr>
            <w:tcW w:w="0" w:type="auto"/>
            <w:gridSpan w:val="3"/>
            <w:shd w:val="clear" w:color="auto" w:fill="FFFFFF"/>
            <w:tcMar>
              <w:top w:w="30" w:type="dxa"/>
              <w:left w:w="155" w:type="dxa"/>
              <w:bottom w:w="30" w:type="dxa"/>
              <w:right w:w="20" w:type="dxa"/>
            </w:tcMar>
            <w:hideMark/>
          </w:tcPr>
          <w:p w:rsidR="00000000" w:rsidRDefault="0094004B">
            <w:pPr>
              <w:spacing w:after="100"/>
              <w:rPr>
                <w:rFonts w:eastAsia="Times New Roman"/>
              </w:rPr>
            </w:pPr>
            <w:r>
              <w:rPr>
                <w:rFonts w:eastAsia="Times New Roman"/>
                <w:color w:val="000000"/>
                <w:sz w:val="18"/>
                <w:szCs w:val="18"/>
              </w:rPr>
              <w:t>RMBS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FFFFFF"/>
            <w:tcMar>
              <w:top w:w="30" w:type="dxa"/>
              <w:left w:w="20" w:type="dxa"/>
              <w:bottom w:w="30" w:type="dxa"/>
              <w:right w:w="0" w:type="dxa"/>
            </w:tcMa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hideMark/>
          </w:tcPr>
          <w:p w:rsidR="00000000" w:rsidRDefault="0094004B">
            <w:pPr>
              <w:spacing w:after="100"/>
              <w:jc w:val="right"/>
              <w:rPr>
                <w:rFonts w:eastAsia="Times New Roman"/>
              </w:rPr>
            </w:pPr>
            <w:r>
              <w:rPr>
                <w:rFonts w:eastAsia="Times New Roman"/>
                <w:color w:val="000000"/>
                <w:sz w:val="18"/>
                <w:szCs w:val="18"/>
              </w:rPr>
              <w:t>258 </w:t>
            </w:r>
          </w:p>
        </w:tc>
        <w:tc>
          <w:tcPr>
            <w:tcW w:w="0" w:type="auto"/>
            <w:shd w:val="clear" w:color="auto" w:fill="FFFFFF"/>
            <w:tcMar>
              <w:top w:w="30" w:type="dxa"/>
              <w:left w:w="0" w:type="dxa"/>
              <w:bottom w:w="30" w:type="dxa"/>
              <w:right w:w="20" w:type="dxa"/>
            </w:tcMa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94004B">
            <w:pPr>
              <w:spacing w:after="100"/>
              <w:rPr>
                <w:rFonts w:eastAsia="Times New Roman"/>
              </w:rPr>
            </w:pPr>
            <w:r>
              <w:rPr>
                <w:rFonts w:eastAsia="Times New Roman"/>
                <w:color w:val="000000"/>
                <w:sz w:val="18"/>
                <w:szCs w:val="18"/>
              </w:rPr>
              <w:t>Discounted cash flows (vendor pricing)</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Yield</w:t>
            </w:r>
            <w:r>
              <w:rPr>
                <w:rFonts w:eastAsia="Times New Roman"/>
                <w:color w:val="000000"/>
                <w:sz w:val="18"/>
                <w:szCs w:val="18"/>
              </w:rPr>
              <w:br/>
              <w:t>Voluntary </w:t>
            </w:r>
            <w:r>
              <w:rPr>
                <w:rFonts w:eastAsia="Times New Roman"/>
                <w:color w:val="000000"/>
                <w:sz w:val="18"/>
                <w:szCs w:val="18"/>
              </w:rPr>
              <w:t>prepayment rate</w:t>
            </w:r>
            <w:r>
              <w:rPr>
                <w:rFonts w:eastAsia="Times New Roman"/>
                <w:color w:val="000000"/>
                <w:sz w:val="18"/>
                <w:szCs w:val="18"/>
              </w:rPr>
              <w:br/>
              <w:t>Default rate</w:t>
            </w:r>
            <w:r>
              <w:rPr>
                <w:rFonts w:eastAsia="Times New Roman"/>
                <w:color w:val="000000"/>
                <w:sz w:val="18"/>
                <w:szCs w:val="18"/>
              </w:rPr>
              <w:br/>
              <w:t>Loss severity</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94004B">
            <w:pPr>
              <w:spacing w:after="100"/>
              <w:divId w:val="898440717"/>
              <w:rPr>
                <w:rFonts w:eastAsia="Times New Roman"/>
              </w:rPr>
            </w:pPr>
            <w:r>
              <w:rPr>
                <w:rFonts w:eastAsia="Times New Roman"/>
                <w:color w:val="000000"/>
                <w:sz w:val="18"/>
                <w:szCs w:val="18"/>
              </w:rPr>
              <w:t>0-21%</w:t>
            </w:r>
          </w:p>
          <w:p w:rsidR="00000000" w:rsidRDefault="0094004B">
            <w:pPr>
              <w:spacing w:after="100"/>
              <w:divId w:val="1633748792"/>
              <w:rPr>
                <w:rFonts w:eastAsia="Times New Roman"/>
              </w:rPr>
            </w:pPr>
            <w:r>
              <w:rPr>
                <w:rFonts w:eastAsia="Times New Roman"/>
                <w:color w:val="000000"/>
                <w:sz w:val="18"/>
                <w:szCs w:val="18"/>
              </w:rPr>
              <w:t>5-40%</w:t>
            </w:r>
          </w:p>
          <w:p w:rsidR="00000000" w:rsidRDefault="0094004B">
            <w:pPr>
              <w:spacing w:after="100"/>
              <w:divId w:val="1754467037"/>
              <w:rPr>
                <w:rFonts w:eastAsia="Times New Roman"/>
              </w:rPr>
            </w:pPr>
            <w:r>
              <w:rPr>
                <w:rFonts w:eastAsia="Times New Roman"/>
                <w:color w:val="000000"/>
                <w:sz w:val="18"/>
                <w:szCs w:val="18"/>
              </w:rPr>
              <w:t>1-11%</w:t>
            </w:r>
          </w:p>
          <w:p w:rsidR="00000000" w:rsidRDefault="0094004B">
            <w:pPr>
              <w:spacing w:after="100"/>
              <w:divId w:val="1578779757"/>
              <w:rPr>
                <w:rFonts w:eastAsia="Times New Roman"/>
              </w:rPr>
            </w:pPr>
            <w:r>
              <w:rPr>
                <w:rFonts w:eastAsia="Times New Roman"/>
                <w:color w:val="000000"/>
                <w:sz w:val="18"/>
                <w:szCs w:val="18"/>
              </w:rPr>
              <w:t>30-100%</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94004B">
            <w:pPr>
              <w:spacing w:after="100"/>
              <w:divId w:val="783159985"/>
              <w:rPr>
                <w:rFonts w:eastAsia="Times New Roman"/>
              </w:rPr>
            </w:pPr>
            <w:r>
              <w:rPr>
                <w:rFonts w:eastAsia="Times New Roman"/>
                <w:color w:val="000000"/>
                <w:sz w:val="18"/>
                <w:szCs w:val="18"/>
              </w:rPr>
              <w:t>3%</w:t>
            </w:r>
          </w:p>
          <w:p w:rsidR="00000000" w:rsidRDefault="0094004B">
            <w:pPr>
              <w:spacing w:after="100"/>
              <w:divId w:val="674501210"/>
              <w:rPr>
                <w:rFonts w:eastAsia="Times New Roman"/>
              </w:rPr>
            </w:pPr>
            <w:r>
              <w:rPr>
                <w:rFonts w:eastAsia="Times New Roman"/>
                <w:color w:val="000000"/>
                <w:sz w:val="18"/>
                <w:szCs w:val="18"/>
              </w:rPr>
              <w:t>11%</w:t>
            </w:r>
          </w:p>
          <w:p w:rsidR="00000000" w:rsidRDefault="0094004B">
            <w:pPr>
              <w:spacing w:after="100"/>
              <w:divId w:val="326129993"/>
              <w:rPr>
                <w:rFonts w:eastAsia="Times New Roman"/>
              </w:rPr>
            </w:pPr>
            <w:r>
              <w:rPr>
                <w:rFonts w:eastAsia="Times New Roman"/>
                <w:color w:val="000000"/>
                <w:sz w:val="18"/>
                <w:szCs w:val="18"/>
              </w:rPr>
              <w:t>2%</w:t>
            </w:r>
          </w:p>
          <w:p w:rsidR="00000000" w:rsidRDefault="0094004B">
            <w:pPr>
              <w:spacing w:after="100"/>
              <w:divId w:val="1960716502"/>
              <w:rPr>
                <w:rFonts w:eastAsia="Times New Roman"/>
              </w:rPr>
            </w:pPr>
            <w:r>
              <w:rPr>
                <w:rFonts w:eastAsia="Times New Roman"/>
                <w:color w:val="000000"/>
                <w:sz w:val="18"/>
                <w:szCs w:val="18"/>
              </w:rPr>
              <w:t>65%</w:t>
            </w:r>
          </w:p>
        </w:tc>
      </w:tr>
      <w:tr w:rsidR="00000000">
        <w:tc>
          <w:tcPr>
            <w:tcW w:w="0" w:type="auto"/>
            <w:gridSpan w:val="3"/>
            <w:shd w:val="clear" w:color="auto" w:fill="CCEEFF"/>
            <w:tcMar>
              <w:top w:w="30" w:type="dxa"/>
              <w:left w:w="155" w:type="dxa"/>
              <w:bottom w:w="30" w:type="dxa"/>
              <w:right w:w="20" w:type="dxa"/>
            </w:tcMar>
            <w:hideMark/>
          </w:tcPr>
          <w:p w:rsidR="00000000" w:rsidRDefault="0094004B">
            <w:pPr>
              <w:spacing w:after="100"/>
              <w:rPr>
                <w:rFonts w:eastAsia="Times New Roman"/>
              </w:rPr>
            </w:pPr>
            <w:r>
              <w:rPr>
                <w:rFonts w:eastAsia="Times New Roman"/>
                <w:color w:val="000000"/>
                <w:sz w:val="18"/>
                <w:szCs w:val="18"/>
              </w:rPr>
              <w:t>CMBS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94004B">
            <w:pPr>
              <w:spacing w:after="100"/>
              <w:jc w:val="right"/>
              <w:rPr>
                <w:rFonts w:eastAsia="Times New Roman"/>
              </w:rPr>
            </w:pPr>
            <w:r>
              <w:rPr>
                <w:rFonts w:eastAsia="Times New Roman"/>
                <w:color w:val="000000"/>
                <w:sz w:val="18"/>
                <w:szCs w:val="18"/>
              </w:rPr>
              <w:t>9 </w:t>
            </w:r>
          </w:p>
        </w:tc>
        <w:tc>
          <w:tcPr>
            <w:tcW w:w="0" w:type="auto"/>
            <w:shd w:val="clear" w:color="auto" w:fill="CCEEFF"/>
            <w:tcMar>
              <w:top w:w="30" w:type="dxa"/>
              <w:left w:w="0" w:type="dxa"/>
              <w:bottom w:w="30" w:type="dxa"/>
              <w:right w:w="20" w:type="dxa"/>
            </w:tcMa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94004B">
            <w:pPr>
              <w:spacing w:after="100"/>
              <w:rPr>
                <w:rFonts w:eastAsia="Times New Roman"/>
              </w:rPr>
            </w:pPr>
            <w:r>
              <w:rPr>
                <w:rFonts w:eastAsia="Times New Roman"/>
                <w:color w:val="000000"/>
                <w:sz w:val="18"/>
                <w:szCs w:val="18"/>
              </w:rPr>
              <w:t>Discounted cash flows (vendor pricing)</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Yield</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94004B">
            <w:pPr>
              <w:spacing w:after="100"/>
              <w:divId w:val="673608290"/>
              <w:rPr>
                <w:rFonts w:eastAsia="Times New Roman"/>
              </w:rPr>
            </w:pPr>
            <w:r>
              <w:rPr>
                <w:rFonts w:eastAsia="Times New Roman"/>
                <w:color w:val="000000"/>
                <w:sz w:val="18"/>
                <w:szCs w:val="18"/>
              </w:rPr>
              <w:t>1-2%</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94004B">
            <w:pPr>
              <w:spacing w:after="100"/>
              <w:rPr>
                <w:rFonts w:eastAsia="Times New Roman"/>
              </w:rPr>
            </w:pPr>
            <w:r>
              <w:rPr>
                <w:rFonts w:eastAsia="Times New Roman"/>
                <w:color w:val="000000"/>
                <w:sz w:val="18"/>
                <w:szCs w:val="18"/>
              </w:rPr>
              <w:t>1%</w:t>
            </w:r>
          </w:p>
        </w:tc>
      </w:tr>
      <w:tr w:rsidR="00000000">
        <w:tc>
          <w:tcPr>
            <w:tcW w:w="0" w:type="auto"/>
            <w:gridSpan w:val="3"/>
            <w:shd w:val="clear" w:color="auto" w:fill="FFFFFF"/>
            <w:tcMar>
              <w:top w:w="30" w:type="dxa"/>
              <w:left w:w="20" w:type="dxa"/>
              <w:bottom w:w="30" w:type="dxa"/>
              <w:right w:w="20" w:type="dxa"/>
            </w:tcMar>
            <w:hideMark/>
          </w:tcPr>
          <w:p w:rsidR="00000000" w:rsidRDefault="0094004B">
            <w:pPr>
              <w:spacing w:after="100"/>
              <w:rPr>
                <w:rFonts w:eastAsia="Times New Roman"/>
              </w:rPr>
            </w:pPr>
            <w:r>
              <w:rPr>
                <w:rFonts w:eastAsia="Times New Roman"/>
                <w:color w:val="000000"/>
                <w:sz w:val="18"/>
                <w:szCs w:val="18"/>
              </w:rPr>
              <w:t>Other assets: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hideMark/>
          </w:tcPr>
          <w:p w:rsidR="00000000" w:rsidRDefault="0094004B">
            <w:pPr>
              <w:spacing w:after="100"/>
              <w:divId w:val="1418213935"/>
              <w:rPr>
                <w:rFonts w:eastAsia="Times New Roman"/>
              </w:rPr>
            </w:pPr>
            <w:r>
              <w:rPr>
                <w:rFonts w:eastAsia="Times New Roman"/>
                <w:color w:val="000000"/>
                <w:sz w:val="18"/>
                <w:szCs w:val="18"/>
              </w:rPr>
              <w:t>Retained interests in securitization</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94004B">
            <w:pPr>
              <w:spacing w:after="100"/>
              <w:jc w:val="right"/>
              <w:rPr>
                <w:rFonts w:eastAsia="Times New Roman"/>
              </w:rPr>
            </w:pPr>
            <w:r>
              <w:rPr>
                <w:rFonts w:eastAsia="Times New Roman"/>
                <w:color w:val="000000"/>
                <w:sz w:val="18"/>
                <w:szCs w:val="18"/>
              </w:rPr>
              <w:t>41 </w:t>
            </w:r>
          </w:p>
        </w:tc>
        <w:tc>
          <w:tcPr>
            <w:tcW w:w="0" w:type="auto"/>
            <w:shd w:val="clear" w:color="auto" w:fill="CCEEFF"/>
            <w:tcMar>
              <w:top w:w="30" w:type="dxa"/>
              <w:left w:w="0" w:type="dxa"/>
              <w:bottom w:w="30" w:type="dxa"/>
              <w:right w:w="20" w:type="dxa"/>
            </w:tcMa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94004B">
            <w:pPr>
              <w:spacing w:after="100"/>
              <w:rPr>
                <w:rFonts w:eastAsia="Times New Roman"/>
              </w:rPr>
            </w:pPr>
            <w:r>
              <w:rPr>
                <w:rFonts w:eastAsia="Times New Roman"/>
                <w:color w:val="000000"/>
                <w:sz w:val="18"/>
                <w:szCs w:val="18"/>
              </w:rPr>
              <w:t>Discounted cash flows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Life of receivables (months)</w:t>
            </w:r>
            <w:r>
              <w:rPr>
                <w:rFonts w:eastAsia="Times New Roman"/>
                <w:color w:val="000000"/>
                <w:sz w:val="18"/>
                <w:szCs w:val="18"/>
              </w:rPr>
              <w:br/>
              <w:t>Voluntary prepayment rate</w:t>
            </w:r>
            <w:r>
              <w:rPr>
                <w:rFonts w:eastAsia="Times New Roman"/>
                <w:color w:val="000000"/>
                <w:sz w:val="18"/>
                <w:szCs w:val="18"/>
              </w:rPr>
              <w:br/>
              <w:t>Discount rate</w:t>
            </w:r>
            <w:r>
              <w:rPr>
                <w:rFonts w:eastAsia="Times New Roman"/>
                <w:color w:val="000000"/>
                <w:sz w:val="18"/>
                <w:szCs w:val="18"/>
              </w:rPr>
              <w:br/>
              <w:t>Default rate</w:t>
            </w:r>
            <w:r>
              <w:rPr>
                <w:rFonts w:eastAsia="Times New Roman"/>
                <w:color w:val="000000"/>
                <w:sz w:val="18"/>
                <w:szCs w:val="18"/>
              </w:rPr>
              <w:br/>
              <w:t>Loss severity</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94004B">
            <w:pPr>
              <w:spacing w:after="100"/>
              <w:divId w:val="1210724393"/>
              <w:rPr>
                <w:rFonts w:eastAsia="Times New Roman"/>
              </w:rPr>
            </w:pPr>
            <w:r>
              <w:rPr>
                <w:rFonts w:eastAsia="Times New Roman"/>
                <w:color w:val="000000"/>
                <w:sz w:val="18"/>
                <w:szCs w:val="18"/>
              </w:rPr>
              <w:t>29-36</w:t>
            </w:r>
          </w:p>
          <w:p w:rsidR="00000000" w:rsidRDefault="0094004B">
            <w:pPr>
              <w:spacing w:after="100"/>
              <w:divId w:val="500700123"/>
              <w:rPr>
                <w:rFonts w:eastAsia="Times New Roman"/>
              </w:rPr>
            </w:pPr>
            <w:r>
              <w:rPr>
                <w:rFonts w:eastAsia="Times New Roman"/>
                <w:color w:val="000000"/>
                <w:sz w:val="18"/>
                <w:szCs w:val="18"/>
              </w:rPr>
              <w:t>9-18%</w:t>
            </w:r>
          </w:p>
          <w:p w:rsidR="00000000" w:rsidRDefault="0094004B">
            <w:pPr>
              <w:spacing w:after="100"/>
              <w:divId w:val="900872278"/>
              <w:rPr>
                <w:rFonts w:eastAsia="Times New Roman"/>
              </w:rPr>
            </w:pPr>
            <w:r>
              <w:rPr>
                <w:rFonts w:eastAsia="Times New Roman"/>
                <w:color w:val="000000"/>
                <w:sz w:val="18"/>
                <w:szCs w:val="18"/>
              </w:rPr>
              <w:t>2-8%</w:t>
            </w:r>
          </w:p>
          <w:p w:rsidR="00000000" w:rsidRDefault="0094004B">
            <w:pPr>
              <w:spacing w:after="100"/>
              <w:divId w:val="1458985926"/>
              <w:rPr>
                <w:rFonts w:eastAsia="Times New Roman"/>
              </w:rPr>
            </w:pPr>
            <w:r>
              <w:rPr>
                <w:rFonts w:eastAsia="Times New Roman"/>
                <w:color w:val="000000"/>
                <w:sz w:val="18"/>
                <w:szCs w:val="18"/>
              </w:rPr>
              <w:t>3-4%</w:t>
            </w:r>
          </w:p>
          <w:p w:rsidR="00000000" w:rsidRDefault="0094004B">
            <w:pPr>
              <w:spacing w:after="100"/>
              <w:divId w:val="1707633019"/>
              <w:rPr>
                <w:rFonts w:eastAsia="Times New Roman"/>
              </w:rPr>
            </w:pPr>
            <w:r>
              <w:rPr>
                <w:rFonts w:eastAsia="Times New Roman"/>
                <w:color w:val="000000"/>
                <w:sz w:val="18"/>
                <w:szCs w:val="18"/>
              </w:rPr>
              <w:t>72-151%</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N/A</w:t>
            </w:r>
          </w:p>
        </w:tc>
      </w:tr>
      <w:tr w:rsidR="00000000">
        <w:tc>
          <w:tcPr>
            <w:tcW w:w="0" w:type="auto"/>
            <w:gridSpan w:val="3"/>
            <w:shd w:val="clear" w:color="auto" w:fill="FFFFFF"/>
            <w:tcMar>
              <w:top w:w="30" w:type="dxa"/>
              <w:left w:w="20" w:type="dxa"/>
              <w:bottom w:w="30" w:type="dxa"/>
              <w:right w:w="20" w:type="dxa"/>
            </w:tcMar>
            <w:hideMark/>
          </w:tcPr>
          <w:p w:rsidR="00000000" w:rsidRDefault="0094004B">
            <w:pPr>
              <w:spacing w:after="100"/>
              <w:rPr>
                <w:rFonts w:eastAsia="Times New Roman"/>
              </w:rPr>
            </w:pPr>
            <w:r>
              <w:rPr>
                <w:rFonts w:eastAsia="Times New Roman"/>
                <w:color w:val="000000"/>
                <w:sz w:val="18"/>
                <w:szCs w:val="18"/>
              </w:rPr>
              <w:t>Net derivative assets (liabilities)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94004B">
            <w:pPr>
              <w:spacing w:after="100"/>
              <w:jc w:val="right"/>
              <w:rPr>
                <w:rFonts w:eastAsia="Times New Roman"/>
              </w:rPr>
            </w:pPr>
            <w:r>
              <w:rPr>
                <w:rFonts w:eastAsia="Times New Roman"/>
                <w:color w:val="000000"/>
                <w:sz w:val="18"/>
                <w:szCs w:val="18"/>
              </w:rPr>
              <w:t>19 </w:t>
            </w:r>
          </w:p>
        </w:tc>
        <w:tc>
          <w:tcPr>
            <w:tcW w:w="0" w:type="auto"/>
            <w:shd w:val="clear" w:color="auto" w:fill="FFFFFF"/>
            <w:tcMar>
              <w:top w:w="30" w:type="dxa"/>
              <w:left w:w="0" w:type="dxa"/>
              <w:bottom w:w="30" w:type="dxa"/>
              <w:right w:w="20" w:type="dxa"/>
            </w:tcMa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94004B">
            <w:pPr>
              <w:spacing w:after="100"/>
              <w:rPr>
                <w:rFonts w:eastAsia="Times New Roman"/>
              </w:rPr>
            </w:pPr>
            <w:r>
              <w:rPr>
                <w:rFonts w:eastAsia="Times New Roman"/>
                <w:color w:val="000000"/>
                <w:sz w:val="18"/>
                <w:szCs w:val="18"/>
              </w:rPr>
              <w:t>Discounted cash flows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94004B">
            <w:pPr>
              <w:spacing w:after="100"/>
              <w:rPr>
                <w:rFonts w:eastAsia="Times New Roman"/>
              </w:rPr>
            </w:pPr>
            <w:r>
              <w:rPr>
                <w:rFonts w:eastAsia="Times New Roman"/>
                <w:color w:val="000000"/>
                <w:sz w:val="18"/>
                <w:szCs w:val="18"/>
              </w:rPr>
              <w:t>Swap rates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94004B">
            <w:pPr>
              <w:spacing w:after="100"/>
              <w:divId w:val="1223104325"/>
              <w:rPr>
                <w:rFonts w:eastAsia="Times New Roman"/>
              </w:rPr>
            </w:pPr>
            <w:r>
              <w:rPr>
                <w:rFonts w:eastAsia="Times New Roman"/>
                <w:color w:val="000000"/>
                <w:sz w:val="18"/>
                <w:szCs w:val="18"/>
              </w:rPr>
              <w:t>1-2%</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94004B">
            <w:pPr>
              <w:spacing w:after="100"/>
              <w:rPr>
                <w:rFonts w:eastAsia="Times New Roman"/>
              </w:rPr>
            </w:pPr>
            <w:r>
              <w:rPr>
                <w:rFonts w:eastAsia="Times New Roman"/>
                <w:color w:val="000000"/>
                <w:sz w:val="18"/>
                <w:szCs w:val="18"/>
              </w:rPr>
              <w:t>2%</w:t>
            </w:r>
          </w:p>
        </w:tc>
      </w:tr>
    </w:tbl>
    <w:p w:rsidR="00000000" w:rsidRDefault="0094004B">
      <w:pPr>
        <w:rPr>
          <w:rFonts w:eastAsia="Times New Roman"/>
        </w:rPr>
      </w:pPr>
      <w:r>
        <w:rPr>
          <w:rFonts w:eastAsia="Times New Roman"/>
          <w:color w:val="000000"/>
          <w:sz w:val="20"/>
          <w:szCs w:val="20"/>
        </w:rPr>
        <w:t>__________</w:t>
      </w:r>
    </w:p>
    <w:p w:rsidR="00000000" w:rsidRDefault="0094004B">
      <w:pPr>
        <w:ind w:hanging="360"/>
        <w:jc w:val="both"/>
        <w:divId w:val="62533016"/>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Weighted averages are calculated by using the product of the input multiplied by the relative fair value of the instruments.</w:t>
      </w:r>
    </w:p>
    <w:p w:rsidR="00000000" w:rsidRDefault="0094004B">
      <w:pPr>
        <w:ind w:hanging="360"/>
        <w:jc w:val="both"/>
        <w:divId w:val="660623476"/>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 xml:space="preserve">Due to the nature of the various mortgage securitization structures in which we have retained </w:t>
      </w:r>
      <w:r>
        <w:rPr>
          <w:rFonts w:eastAsia="Times New Roman"/>
          <w:color w:val="000000"/>
          <w:sz w:val="16"/>
          <w:szCs w:val="16"/>
        </w:rPr>
        <w:t>interests, it is not meaningful to present a consolidated weighted average for the significant unobservable inputs.</w:t>
      </w:r>
    </w:p>
    <w:p w:rsidR="00000000" w:rsidRDefault="0094004B">
      <w:pPr>
        <w:divId w:val="111022286"/>
        <w:rPr>
          <w:rFonts w:eastAsia="Times New Roman"/>
        </w:rPr>
      </w:pPr>
      <w:r>
        <w:rPr>
          <w:rFonts w:eastAsia="Times New Roman"/>
          <w:b/>
          <w:bCs/>
          <w:color w:val="000000"/>
          <w:sz w:val="20"/>
          <w:szCs w:val="20"/>
        </w:rPr>
        <w:t>Assets and Liabilities Measured at Fair Value on a Nonrecurring Basis</w:t>
      </w:r>
    </w:p>
    <w:p w:rsidR="00000000" w:rsidRDefault="0094004B">
      <w:pPr>
        <w:jc w:val="both"/>
        <w:divId w:val="935330477"/>
        <w:rPr>
          <w:rFonts w:eastAsia="Times New Roman"/>
        </w:rPr>
      </w:pPr>
      <w:r>
        <w:rPr>
          <w:rFonts w:eastAsia="Times New Roman"/>
          <w:color w:val="000000"/>
          <w:sz w:val="20"/>
          <w:szCs w:val="20"/>
        </w:rPr>
        <w:t xml:space="preserve">We are required to measure and recognize certain assets at fair value </w:t>
      </w:r>
      <w:r>
        <w:rPr>
          <w:rFonts w:eastAsia="Times New Roman"/>
          <w:color w:val="000000"/>
          <w:sz w:val="20"/>
          <w:szCs w:val="20"/>
        </w:rPr>
        <w:t>on a nonrecurring basis on the consolidated balance sheets. These assets are not measured at fair value on an ongoing basis but are subject to fair value adjustments in certain circumstances (for example, from the application of lower of cost or fair value</w:t>
      </w:r>
      <w:r>
        <w:rPr>
          <w:rFonts w:eastAsia="Times New Roman"/>
          <w:color w:val="000000"/>
          <w:sz w:val="20"/>
          <w:szCs w:val="20"/>
        </w:rPr>
        <w:t xml:space="preserve"> accounting or when we evaluate for impairment). The following describes the valuation techniques used in estimating the fair value of our financial assets and liabilities recorded at fair value on a nonrecurring basis.</w:t>
      </w:r>
    </w:p>
    <w:p w:rsidR="00000000" w:rsidRDefault="0094004B">
      <w:pPr>
        <w:divId w:val="886837903"/>
        <w:rPr>
          <w:rFonts w:eastAsia="Times New Roman"/>
        </w:rPr>
      </w:pPr>
      <w:r>
        <w:rPr>
          <w:rFonts w:eastAsia="Times New Roman"/>
          <w:b/>
          <w:bCs/>
          <w:i/>
          <w:iCs/>
          <w:color w:val="000000"/>
          <w:sz w:val="20"/>
          <w:szCs w:val="20"/>
        </w:rPr>
        <w:t>Net Loans Held for Investment</w:t>
      </w:r>
    </w:p>
    <w:p w:rsidR="00000000" w:rsidRDefault="0094004B">
      <w:pPr>
        <w:jc w:val="both"/>
        <w:divId w:val="2140613261"/>
        <w:rPr>
          <w:rFonts w:eastAsia="Times New Roman"/>
        </w:rPr>
      </w:pPr>
      <w:r>
        <w:rPr>
          <w:rFonts w:eastAsia="Times New Roman"/>
          <w:color w:val="000000"/>
          <w:sz w:val="20"/>
          <w:szCs w:val="20"/>
        </w:rPr>
        <w:t xml:space="preserve">Loans </w:t>
      </w:r>
      <w:r>
        <w:rPr>
          <w:rFonts w:eastAsia="Times New Roman"/>
          <w:color w:val="000000"/>
          <w:sz w:val="20"/>
          <w:szCs w:val="20"/>
        </w:rPr>
        <w:t>held for investment that are recorded at fair value on our consolidated balance sheets on a nonrecurring basis largely consist of impaired loans for which impairment is measured based upon the fair value of the underlying collateral. The fair value is dete</w:t>
      </w:r>
      <w:r>
        <w:rPr>
          <w:rFonts w:eastAsia="Times New Roman"/>
          <w:color w:val="000000"/>
          <w:sz w:val="20"/>
          <w:szCs w:val="20"/>
        </w:rPr>
        <w:t xml:space="preserve">rmined using appraisal values that are obtained from independent appraisers, broker pricing opinions or other available market information, adjusted for the estimated cost to sell. Due to the use of significant unobservable inputs, these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708724300"/>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708724300"/>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708724300"/>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193</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219" style="width:0;height:1.5pt" o:hralign="center" o:hrstd="t" o:hr="t" fillcolor="#a0a0a0" stroked="f"/>
        </w:pict>
      </w:r>
    </w:p>
    <w:p w:rsidR="00000000" w:rsidRDefault="0094004B">
      <w:pPr>
        <w:jc w:val="both"/>
        <w:divId w:val="167251880"/>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167251880"/>
        <w:rPr>
          <w:rFonts w:eastAsia="Times New Roman"/>
        </w:rPr>
      </w:pPr>
    </w:p>
    <w:p w:rsidR="00000000" w:rsidRDefault="0094004B">
      <w:pPr>
        <w:jc w:val="center"/>
        <w:divId w:val="167251880"/>
        <w:rPr>
          <w:rFonts w:eastAsia="Times New Roman"/>
        </w:rPr>
      </w:pPr>
      <w:r>
        <w:rPr>
          <w:rFonts w:eastAsia="Times New Roman"/>
          <w:b/>
          <w:bCs/>
          <w:color w:val="000000"/>
          <w:sz w:val="20"/>
          <w:szCs w:val="20"/>
        </w:rPr>
        <w:t>CAPITAL ONE FINANCIAL CORPORATION</w:t>
      </w:r>
    </w:p>
    <w:p w:rsidR="00000000" w:rsidRDefault="0094004B">
      <w:pPr>
        <w:jc w:val="center"/>
        <w:divId w:val="167251880"/>
        <w:rPr>
          <w:rFonts w:eastAsia="Times New Roman"/>
        </w:rPr>
      </w:pPr>
      <w:r>
        <w:rPr>
          <w:rFonts w:eastAsia="Times New Roman"/>
          <w:b/>
          <w:bCs/>
          <w:color w:val="000000"/>
          <w:sz w:val="20"/>
          <w:szCs w:val="20"/>
        </w:rPr>
        <w:t>NOTES TO CONSOLIDATED FINANCIAL STATEMENTS</w:t>
      </w:r>
    </w:p>
    <w:p w:rsidR="00000000" w:rsidRDefault="0094004B">
      <w:pPr>
        <w:jc w:val="both"/>
        <w:divId w:val="1056663250"/>
        <w:rPr>
          <w:rFonts w:eastAsia="Times New Roman"/>
        </w:rPr>
      </w:pPr>
      <w:r>
        <w:rPr>
          <w:rFonts w:eastAsia="Times New Roman"/>
          <w:color w:val="000000"/>
          <w:sz w:val="20"/>
          <w:szCs w:val="20"/>
        </w:rPr>
        <w:t>loans are classified as Level 3 under the fair value hierarchy. Fair value adjustments for individually impaired collateralized loans held for investment are recorded in provision for credit losses in the consolidated statements of income.</w:t>
      </w:r>
    </w:p>
    <w:p w:rsidR="00000000" w:rsidRDefault="0094004B">
      <w:pPr>
        <w:divId w:val="474758599"/>
        <w:rPr>
          <w:rFonts w:eastAsia="Times New Roman"/>
        </w:rPr>
      </w:pPr>
      <w:r>
        <w:rPr>
          <w:rFonts w:eastAsia="Times New Roman"/>
          <w:b/>
          <w:bCs/>
          <w:i/>
          <w:iCs/>
          <w:color w:val="000000"/>
          <w:sz w:val="20"/>
          <w:szCs w:val="20"/>
        </w:rPr>
        <w:t>Loans Held for S</w:t>
      </w:r>
      <w:r>
        <w:rPr>
          <w:rFonts w:eastAsia="Times New Roman"/>
          <w:b/>
          <w:bCs/>
          <w:i/>
          <w:iCs/>
          <w:color w:val="000000"/>
          <w:sz w:val="20"/>
          <w:szCs w:val="20"/>
        </w:rPr>
        <w:t>ale</w:t>
      </w:r>
    </w:p>
    <w:p w:rsidR="00000000" w:rsidRDefault="0094004B">
      <w:pPr>
        <w:jc w:val="both"/>
        <w:divId w:val="624384575"/>
        <w:rPr>
          <w:rFonts w:eastAsia="Times New Roman"/>
        </w:rPr>
      </w:pPr>
      <w:r>
        <w:rPr>
          <w:rFonts w:eastAsia="Times New Roman"/>
          <w:color w:val="000000"/>
          <w:sz w:val="20"/>
          <w:szCs w:val="20"/>
        </w:rPr>
        <w:t>Loans held for sale for which we have not elected the fair value option are carried at the lower of aggregate cost, net of deferred fees and deferred origination costs, or fair value. These loans held for sale are valued based on market observable inpu</w:t>
      </w:r>
      <w:r>
        <w:rPr>
          <w:rFonts w:eastAsia="Times New Roman"/>
          <w:color w:val="000000"/>
          <w:sz w:val="20"/>
          <w:szCs w:val="20"/>
        </w:rPr>
        <w:t xml:space="preserve">ts and are therefore classified as Level 2. Fair value adjustments to these loans are recorded in other non-interest income in our consolidated statements of income. </w:t>
      </w:r>
    </w:p>
    <w:p w:rsidR="00000000" w:rsidRDefault="0094004B">
      <w:pPr>
        <w:divId w:val="1131900398"/>
        <w:rPr>
          <w:rFonts w:eastAsia="Times New Roman"/>
        </w:rPr>
      </w:pPr>
      <w:r>
        <w:rPr>
          <w:rFonts w:eastAsia="Times New Roman"/>
          <w:b/>
          <w:bCs/>
          <w:i/>
          <w:iCs/>
          <w:color w:val="000000"/>
          <w:sz w:val="20"/>
          <w:szCs w:val="20"/>
        </w:rPr>
        <w:t>Other Assets</w:t>
      </w:r>
    </w:p>
    <w:p w:rsidR="00000000" w:rsidRDefault="0094004B">
      <w:pPr>
        <w:jc w:val="both"/>
        <w:divId w:val="1885218483"/>
        <w:rPr>
          <w:rFonts w:eastAsia="Times New Roman"/>
        </w:rPr>
      </w:pPr>
      <w:r>
        <w:rPr>
          <w:rFonts w:eastAsia="Times New Roman"/>
          <w:color w:val="000000"/>
          <w:sz w:val="20"/>
          <w:szCs w:val="20"/>
        </w:rPr>
        <w:t xml:space="preserve">Other assets subject to nonrecurring fair value measurements include equity </w:t>
      </w:r>
      <w:r>
        <w:rPr>
          <w:rFonts w:eastAsia="Times New Roman"/>
          <w:color w:val="000000"/>
          <w:sz w:val="20"/>
          <w:szCs w:val="20"/>
        </w:rPr>
        <w:t>investments accounted for under the measurement alternative, other repossessed assets and long-lived assets held for sale. The assets held for sale are carried at the lower of the carrying amount or fair value less costs to sell. The fair value is determin</w:t>
      </w:r>
      <w:r>
        <w:rPr>
          <w:rFonts w:eastAsia="Times New Roman"/>
          <w:color w:val="000000"/>
          <w:sz w:val="20"/>
          <w:szCs w:val="20"/>
        </w:rPr>
        <w:t>ed based on the appraisal value, listing price of the property or collateral provided by independent appraisers, and is adjusted for the estimated costs to sell. Due to the use of significant unobservable inputs, these assets are classified as Level 3 unde</w:t>
      </w:r>
      <w:r>
        <w:rPr>
          <w:rFonts w:eastAsia="Times New Roman"/>
          <w:color w:val="000000"/>
          <w:sz w:val="20"/>
          <w:szCs w:val="20"/>
        </w:rPr>
        <w:t>r the fair value hierarchy. Fair value adjustments for these assets are recorded in other non-interest expense in the consolidated statements of income.</w:t>
      </w:r>
    </w:p>
    <w:p w:rsidR="00000000" w:rsidRDefault="0094004B">
      <w:pPr>
        <w:jc w:val="both"/>
        <w:divId w:val="742144009"/>
        <w:rPr>
          <w:rFonts w:eastAsia="Times New Roman"/>
        </w:rPr>
      </w:pPr>
      <w:r>
        <w:rPr>
          <w:rFonts w:eastAsia="Times New Roman"/>
          <w:color w:val="000000"/>
          <w:sz w:val="20"/>
          <w:szCs w:val="20"/>
        </w:rPr>
        <w:t xml:space="preserve">The following table presents the carrying value of the assets measured at fair value on a nonrecurring </w:t>
      </w:r>
      <w:r>
        <w:rPr>
          <w:rFonts w:eastAsia="Times New Roman"/>
          <w:color w:val="000000"/>
          <w:sz w:val="20"/>
          <w:szCs w:val="20"/>
        </w:rPr>
        <w:t>basis and still held as of December 31, 2022 and 2021, and for which a nonrecurring fair value measurement was recorded during the year then ended.</w:t>
      </w:r>
    </w:p>
    <w:p w:rsidR="00000000" w:rsidRDefault="0094004B">
      <w:pPr>
        <w:divId w:val="1065954814"/>
        <w:rPr>
          <w:rFonts w:eastAsia="Times New Roman"/>
        </w:rPr>
      </w:pPr>
      <w:r>
        <w:rPr>
          <w:rFonts w:eastAsia="Times New Roman"/>
          <w:b/>
          <w:bCs/>
          <w:color w:val="000000"/>
          <w:sz w:val="18"/>
          <w:szCs w:val="18"/>
        </w:rPr>
        <w:t>Table 16.4: Nonrecurring Fair Value Measurements</w:t>
      </w:r>
    </w:p>
    <w:tbl>
      <w:tblPr>
        <w:tblW w:w="4985" w:type="pct"/>
        <w:tblCellMar>
          <w:top w:w="15" w:type="dxa"/>
          <w:left w:w="15" w:type="dxa"/>
          <w:bottom w:w="15" w:type="dxa"/>
          <w:right w:w="15" w:type="dxa"/>
        </w:tblCellMar>
        <w:tblLook w:val="04A0" w:firstRow="1" w:lastRow="0" w:firstColumn="1" w:lastColumn="0" w:noHBand="0" w:noVBand="1"/>
      </w:tblPr>
      <w:tblGrid>
        <w:gridCol w:w="38"/>
        <w:gridCol w:w="5871"/>
        <w:gridCol w:w="37"/>
        <w:gridCol w:w="36"/>
        <w:gridCol w:w="36"/>
        <w:gridCol w:w="36"/>
        <w:gridCol w:w="111"/>
        <w:gridCol w:w="622"/>
        <w:gridCol w:w="37"/>
        <w:gridCol w:w="37"/>
        <w:gridCol w:w="48"/>
        <w:gridCol w:w="36"/>
        <w:gridCol w:w="110"/>
        <w:gridCol w:w="621"/>
        <w:gridCol w:w="36"/>
        <w:gridCol w:w="36"/>
        <w:gridCol w:w="36"/>
        <w:gridCol w:w="36"/>
        <w:gridCol w:w="110"/>
        <w:gridCol w:w="315"/>
        <w:gridCol w:w="36"/>
      </w:tblGrid>
      <w:tr w:rsidR="00000000">
        <w:trPr>
          <w:divId w:val="1101295491"/>
        </w:trPr>
        <w:tc>
          <w:tcPr>
            <w:tcW w:w="50" w:type="pct"/>
            <w:vAlign w:val="center"/>
            <w:hideMark/>
          </w:tcPr>
          <w:p w:rsidR="00000000" w:rsidRDefault="0094004B">
            <w:pPr>
              <w:rPr>
                <w:rFonts w:eastAsia="Times New Roman"/>
              </w:rPr>
            </w:pPr>
          </w:p>
        </w:tc>
        <w:tc>
          <w:tcPr>
            <w:tcW w:w="366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3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3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3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101295491"/>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December 31, 2022</w:t>
            </w:r>
          </w:p>
        </w:tc>
      </w:tr>
      <w:tr w:rsidR="00000000">
        <w:trPr>
          <w:divId w:val="1101295491"/>
          <w:trHeight w:val="360"/>
        </w:trPr>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Estimated Fair Value Hierarchy</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Total</w:t>
            </w:r>
          </w:p>
        </w:tc>
      </w:tr>
      <w:tr w:rsidR="00000000">
        <w:trPr>
          <w:divId w:val="1101295491"/>
          <w:trHeight w:val="240"/>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Level 3</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vMerge/>
            <w:tcBorders>
              <w:top w:val="single" w:sz="8" w:space="0" w:color="000000"/>
              <w:bottom w:val="single" w:sz="8" w:space="0" w:color="000000"/>
            </w:tcBorders>
            <w:vAlign w:val="center"/>
            <w:hideMark/>
          </w:tcPr>
          <w:p w:rsidR="00000000" w:rsidRDefault="0094004B">
            <w:pPr>
              <w:spacing w:after="100"/>
              <w:rPr>
                <w:rFonts w:eastAsia="Times New Roman"/>
              </w:rPr>
            </w:pPr>
          </w:p>
        </w:tc>
      </w:tr>
      <w:tr w:rsidR="00000000">
        <w:trPr>
          <w:divId w:val="1101295491"/>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284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284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101295491"/>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Loans held for sale</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101295491"/>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divId w:val="2051490525"/>
              <w:rPr>
                <w:rFonts w:eastAsia="Times New Roman"/>
              </w:rPr>
            </w:pPr>
            <w:r>
              <w:rPr>
                <w:rFonts w:eastAsia="Times New Roman"/>
                <w:color w:val="000000"/>
                <w:sz w:val="18"/>
                <w:szCs w:val="18"/>
              </w:rPr>
              <w:t>Other asset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220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220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101295491"/>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504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515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bl>
    <w:tbl>
      <w:tblPr>
        <w:tblW w:w="4985" w:type="pct"/>
        <w:tblCellMar>
          <w:top w:w="15" w:type="dxa"/>
          <w:left w:w="15" w:type="dxa"/>
          <w:bottom w:w="15" w:type="dxa"/>
          <w:right w:w="15" w:type="dxa"/>
        </w:tblCellMar>
        <w:tblLook w:val="04A0" w:firstRow="1" w:lastRow="0" w:firstColumn="1" w:lastColumn="0" w:noHBand="0" w:noVBand="1"/>
      </w:tblPr>
      <w:tblGrid>
        <w:gridCol w:w="144"/>
        <w:gridCol w:w="6076"/>
        <w:gridCol w:w="144"/>
        <w:gridCol w:w="144"/>
        <w:gridCol w:w="144"/>
        <w:gridCol w:w="144"/>
        <w:gridCol w:w="144"/>
        <w:gridCol w:w="551"/>
        <w:gridCol w:w="144"/>
        <w:gridCol w:w="144"/>
        <w:gridCol w:w="144"/>
        <w:gridCol w:w="144"/>
        <w:gridCol w:w="144"/>
        <w:gridCol w:w="551"/>
        <w:gridCol w:w="144"/>
        <w:gridCol w:w="144"/>
        <w:gridCol w:w="144"/>
        <w:gridCol w:w="144"/>
        <w:gridCol w:w="144"/>
        <w:gridCol w:w="551"/>
        <w:gridCol w:w="144"/>
      </w:tblGrid>
      <w:tr w:rsidR="00000000">
        <w:tc>
          <w:tcPr>
            <w:tcW w:w="50" w:type="pct"/>
            <w:vAlign w:val="center"/>
            <w:hideMark/>
          </w:tcPr>
          <w:p w:rsidR="00000000" w:rsidRDefault="0094004B">
            <w:pPr>
              <w:rPr>
                <w:rFonts w:eastAsia="Times New Roman"/>
              </w:rPr>
            </w:pPr>
          </w:p>
        </w:tc>
        <w:tc>
          <w:tcPr>
            <w:tcW w:w="366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3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3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3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December 31, 2021</w:t>
            </w:r>
          </w:p>
        </w:tc>
      </w:tr>
      <w:tr w:rsidR="00000000">
        <w:trPr>
          <w:trHeight w:val="400"/>
        </w:trPr>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Estimated Fair Value Hierarchy</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Total</w:t>
            </w:r>
          </w:p>
        </w:tc>
      </w:tr>
      <w:tr w:rsidR="00000000">
        <w:trPr>
          <w:trHeight w:val="240"/>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Level 3</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vMerge/>
            <w:tcBorders>
              <w:top w:val="single" w:sz="8" w:space="0" w:color="000000"/>
              <w:bottom w:val="single" w:sz="8" w:space="0" w:color="000000"/>
            </w:tcBorders>
            <w:vAlign w:val="center"/>
            <w:hideMark/>
          </w:tcPr>
          <w:p w:rsidR="00000000" w:rsidRDefault="0094004B">
            <w:pPr>
              <w:spacing w:after="100"/>
              <w:rPr>
                <w:rFonts w:eastAsia="Times New Roman"/>
              </w:rPr>
            </w:pP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194 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194 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Loans held for sale</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118 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118 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divId w:val="423452728"/>
              <w:rPr>
                <w:rFonts w:eastAsia="Times New Roman"/>
              </w:rPr>
            </w:pPr>
            <w:r>
              <w:rPr>
                <w:rFonts w:eastAsia="Times New Roman"/>
                <w:color w:val="000000"/>
                <w:sz w:val="18"/>
                <w:szCs w:val="18"/>
              </w:rPr>
              <w:t>Other asset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325 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325 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118 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519 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637 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bl>
    <w:p w:rsidR="00000000" w:rsidRDefault="0094004B">
      <w:pPr>
        <w:rPr>
          <w:rFonts w:eastAsia="Times New Roman"/>
        </w:rPr>
      </w:pPr>
      <w:r>
        <w:rPr>
          <w:rFonts w:eastAsia="Times New Roman"/>
          <w:color w:val="000000"/>
          <w:sz w:val="20"/>
          <w:szCs w:val="20"/>
        </w:rPr>
        <w:t>__________</w:t>
      </w:r>
    </w:p>
    <w:p w:rsidR="00000000" w:rsidRDefault="0094004B">
      <w:pPr>
        <w:ind w:hanging="360"/>
        <w:jc w:val="both"/>
        <w:divId w:val="1102069222"/>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As of December 31, 2022, other assets included investments accounted for under measurement alternative of $4 million, cost method investments of $3 million, repossessed assets of $55 million and long-lived assets held for sale and right-of-use assets total</w:t>
      </w:r>
      <w:r>
        <w:rPr>
          <w:rFonts w:eastAsia="Times New Roman"/>
          <w:color w:val="000000"/>
          <w:sz w:val="16"/>
          <w:szCs w:val="16"/>
        </w:rPr>
        <w:t>ing $158 million. As of December 31, 2021, other assets included equity method investments of $50 million, investments accounted for under measurement alternative of $29 million, repossessed assets of $40 million and long-lived assets held for sale and rig</w:t>
      </w:r>
      <w:r>
        <w:rPr>
          <w:rFonts w:eastAsia="Times New Roman"/>
          <w:color w:val="000000"/>
          <w:sz w:val="16"/>
          <w:szCs w:val="16"/>
        </w:rPr>
        <w:t>ht-of-use assets totaling $206 million.</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890337963"/>
          <w:jc w:val="center"/>
        </w:trPr>
        <w:tc>
          <w:tcPr>
            <w:tcW w:w="50" w:type="pct"/>
            <w:vAlign w:val="center"/>
            <w:hideMark/>
          </w:tcPr>
          <w:p w:rsidR="00000000" w:rsidRDefault="0094004B">
            <w:pPr>
              <w:ind w:hanging="360"/>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890337963"/>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890337963"/>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194</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220" style="width:0;height:1.5pt" o:hralign="center" o:hrstd="t" o:hr="t" fillcolor="#a0a0a0" stroked="f"/>
        </w:pict>
      </w:r>
    </w:p>
    <w:p w:rsidR="00000000" w:rsidRDefault="0094004B">
      <w:pPr>
        <w:jc w:val="both"/>
        <w:divId w:val="328336323"/>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328336323"/>
        <w:rPr>
          <w:rFonts w:eastAsia="Times New Roman"/>
        </w:rPr>
      </w:pPr>
    </w:p>
    <w:p w:rsidR="00000000" w:rsidRDefault="0094004B">
      <w:pPr>
        <w:jc w:val="center"/>
        <w:divId w:val="328336323"/>
        <w:rPr>
          <w:rFonts w:eastAsia="Times New Roman"/>
        </w:rPr>
      </w:pPr>
      <w:r>
        <w:rPr>
          <w:rFonts w:eastAsia="Times New Roman"/>
          <w:b/>
          <w:bCs/>
          <w:color w:val="000000"/>
          <w:sz w:val="20"/>
          <w:szCs w:val="20"/>
        </w:rPr>
        <w:t>CAPITAL ONE FINANCIAL CORPORATION</w:t>
      </w:r>
    </w:p>
    <w:p w:rsidR="00000000" w:rsidRDefault="0094004B">
      <w:pPr>
        <w:jc w:val="center"/>
        <w:divId w:val="328336323"/>
        <w:rPr>
          <w:rFonts w:eastAsia="Times New Roman"/>
        </w:rPr>
      </w:pPr>
      <w:r>
        <w:rPr>
          <w:rFonts w:eastAsia="Times New Roman"/>
          <w:b/>
          <w:bCs/>
          <w:color w:val="000000"/>
          <w:sz w:val="20"/>
          <w:szCs w:val="20"/>
        </w:rPr>
        <w:t>NOTES TO CONSOLIDATED FINANCIAL STATEMENTS</w:t>
      </w:r>
    </w:p>
    <w:p w:rsidR="00000000" w:rsidRDefault="0094004B">
      <w:pPr>
        <w:jc w:val="both"/>
        <w:divId w:val="1287158187"/>
        <w:rPr>
          <w:rFonts w:eastAsia="Times New Roman"/>
        </w:rPr>
      </w:pPr>
      <w:r>
        <w:rPr>
          <w:rFonts w:eastAsia="Times New Roman"/>
          <w:color w:val="000000"/>
          <w:sz w:val="20"/>
          <w:szCs w:val="20"/>
        </w:rPr>
        <w:t>In the above table, loans held for investment are generally valu</w:t>
      </w:r>
      <w:r>
        <w:rPr>
          <w:rFonts w:eastAsia="Times New Roman"/>
          <w:color w:val="000000"/>
          <w:sz w:val="20"/>
          <w:szCs w:val="20"/>
        </w:rPr>
        <w:t xml:space="preserve">ed based in part on the estimated fair value of the underlying collateral and the non-recoverable rate, which is considered to be a significant unobservable input. </w:t>
      </w:r>
      <w:r>
        <w:rPr>
          <w:rFonts w:eastAsia="Times New Roman"/>
          <w:color w:val="000000"/>
          <w:sz w:val="20"/>
          <w:szCs w:val="20"/>
          <w:shd w:val="clear" w:color="auto" w:fill="FFFFFF"/>
        </w:rPr>
        <w:t>The non-recoverable rate ranged fro</w:t>
      </w:r>
      <w:r>
        <w:rPr>
          <w:rFonts w:eastAsia="Times New Roman"/>
          <w:color w:val="000000"/>
          <w:sz w:val="20"/>
          <w:szCs w:val="20"/>
        </w:rPr>
        <w:t>m 0% to 43%, with a weighted average of 20%, a</w:t>
      </w:r>
      <w:r>
        <w:rPr>
          <w:rFonts w:eastAsia="Times New Roman"/>
          <w:color w:val="000000"/>
          <w:sz w:val="20"/>
          <w:szCs w:val="20"/>
          <w:shd w:val="clear" w:color="auto" w:fill="FFFFFF"/>
        </w:rPr>
        <w:t xml:space="preserve">nd from </w:t>
      </w:r>
      <w:r>
        <w:rPr>
          <w:rFonts w:eastAsia="Times New Roman"/>
          <w:color w:val="000000"/>
          <w:sz w:val="20"/>
          <w:szCs w:val="20"/>
        </w:rPr>
        <w:t>0%</w:t>
      </w:r>
      <w:r>
        <w:rPr>
          <w:rFonts w:eastAsia="Times New Roman"/>
          <w:color w:val="000000"/>
          <w:sz w:val="20"/>
          <w:szCs w:val="20"/>
          <w:shd w:val="clear" w:color="auto" w:fill="FFFFFF"/>
        </w:rPr>
        <w:t xml:space="preserve"> </w:t>
      </w:r>
      <w:r>
        <w:rPr>
          <w:rFonts w:eastAsia="Times New Roman"/>
          <w:color w:val="000000"/>
          <w:sz w:val="20"/>
          <w:szCs w:val="20"/>
          <w:shd w:val="clear" w:color="auto" w:fill="FFFFFF"/>
        </w:rPr>
        <w:t xml:space="preserve">to 100%, with a weighted average of 13%, as of December 31, 2022 and 2021, respectively. </w:t>
      </w:r>
      <w:r>
        <w:rPr>
          <w:rFonts w:eastAsia="Times New Roman"/>
          <w:color w:val="000000"/>
          <w:sz w:val="20"/>
          <w:szCs w:val="20"/>
        </w:rPr>
        <w:t>The weighted average non-recoverable rate is calculated based on the estimated market value of the underlying collateral. The significant unobservable inputs and relat</w:t>
      </w:r>
      <w:r>
        <w:rPr>
          <w:rFonts w:eastAsia="Times New Roman"/>
          <w:color w:val="000000"/>
          <w:sz w:val="20"/>
          <w:szCs w:val="20"/>
        </w:rPr>
        <w:t>ed quantitative information related to fair value of the other assets are not meaningful to disclose as they vary significantly across properties and collateral.</w:t>
      </w:r>
    </w:p>
    <w:p w:rsidR="00000000" w:rsidRDefault="0094004B">
      <w:pPr>
        <w:jc w:val="both"/>
        <w:divId w:val="921641541"/>
        <w:rPr>
          <w:rFonts w:eastAsia="Times New Roman"/>
        </w:rPr>
      </w:pPr>
      <w:r>
        <w:rPr>
          <w:rFonts w:eastAsia="Times New Roman"/>
          <w:color w:val="000000"/>
          <w:sz w:val="20"/>
          <w:szCs w:val="20"/>
        </w:rPr>
        <w:t>The following table presents total nonrecurring fair value measurements for the period, includ</w:t>
      </w:r>
      <w:r>
        <w:rPr>
          <w:rFonts w:eastAsia="Times New Roman"/>
          <w:color w:val="000000"/>
          <w:sz w:val="20"/>
          <w:szCs w:val="20"/>
        </w:rPr>
        <w:t>ed in earnings, attributable to the change in fair value relating to assets that are still held at December 31, 2022 and 2021.</w:t>
      </w:r>
    </w:p>
    <w:p w:rsidR="00000000" w:rsidRDefault="0094004B">
      <w:pPr>
        <w:divId w:val="1079062645"/>
        <w:rPr>
          <w:rFonts w:eastAsia="Times New Roman"/>
        </w:rPr>
      </w:pPr>
      <w:r>
        <w:rPr>
          <w:rFonts w:eastAsia="Times New Roman"/>
          <w:b/>
          <w:bCs/>
          <w:color w:val="000000"/>
          <w:sz w:val="18"/>
          <w:szCs w:val="18"/>
        </w:rPr>
        <w:t>Table 16.5: Nonrecurring Fair Value Measurements Included in Earnings</w:t>
      </w:r>
    </w:p>
    <w:tbl>
      <w:tblPr>
        <w:tblW w:w="5000" w:type="pct"/>
        <w:tblCellMar>
          <w:top w:w="15" w:type="dxa"/>
          <w:left w:w="15" w:type="dxa"/>
          <w:bottom w:w="15" w:type="dxa"/>
          <w:right w:w="15" w:type="dxa"/>
        </w:tblCellMar>
        <w:tblLook w:val="04A0" w:firstRow="1" w:lastRow="0" w:firstColumn="1" w:lastColumn="0" w:noHBand="0" w:noVBand="1"/>
      </w:tblPr>
      <w:tblGrid>
        <w:gridCol w:w="42"/>
        <w:gridCol w:w="5843"/>
        <w:gridCol w:w="37"/>
        <w:gridCol w:w="36"/>
        <w:gridCol w:w="36"/>
        <w:gridCol w:w="36"/>
        <w:gridCol w:w="110"/>
        <w:gridCol w:w="938"/>
        <w:gridCol w:w="36"/>
        <w:gridCol w:w="36"/>
        <w:gridCol w:w="36"/>
        <w:gridCol w:w="36"/>
        <w:gridCol w:w="110"/>
        <w:gridCol w:w="938"/>
        <w:gridCol w:w="36"/>
      </w:tblGrid>
      <w:tr w:rsidR="00000000">
        <w:trPr>
          <w:divId w:val="870073597"/>
        </w:trPr>
        <w:tc>
          <w:tcPr>
            <w:tcW w:w="50" w:type="pct"/>
            <w:vAlign w:val="center"/>
            <w:hideMark/>
          </w:tcPr>
          <w:p w:rsidR="00000000" w:rsidRDefault="0094004B">
            <w:pPr>
              <w:rPr>
                <w:rFonts w:eastAsia="Times New Roman"/>
              </w:rPr>
            </w:pPr>
          </w:p>
        </w:tc>
        <w:tc>
          <w:tcPr>
            <w:tcW w:w="3541"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610"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610"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870073597"/>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Total Gains (Losses)</w:t>
            </w:r>
          </w:p>
        </w:tc>
      </w:tr>
      <w:tr w:rsidR="00000000">
        <w:trPr>
          <w:divId w:val="870073597"/>
        </w:trPr>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Year Ended December 31,</w:t>
            </w:r>
          </w:p>
        </w:tc>
      </w:tr>
      <w:tr w:rsidR="00000000">
        <w:trPr>
          <w:divId w:val="870073597"/>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2021</w:t>
            </w:r>
          </w:p>
        </w:tc>
      </w:tr>
      <w:tr w:rsidR="00000000">
        <w:trPr>
          <w:divId w:val="87007359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870073597"/>
        </w:trPr>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870073597"/>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divId w:val="470293346"/>
              <w:rPr>
                <w:rFonts w:eastAsia="Times New Roman"/>
              </w:rPr>
            </w:pPr>
            <w:r>
              <w:rPr>
                <w:rFonts w:eastAsia="Times New Roman"/>
                <w:color w:val="000000"/>
                <w:sz w:val="18"/>
                <w:szCs w:val="18"/>
              </w:rPr>
              <w:t>Other asset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(38)</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(72)</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870073597"/>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(70)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bl>
    <w:p w:rsidR="00000000" w:rsidRDefault="0094004B">
      <w:pPr>
        <w:divId w:val="870073597"/>
        <w:rPr>
          <w:rFonts w:eastAsia="Times New Roman"/>
        </w:rPr>
      </w:pPr>
      <w:r>
        <w:rPr>
          <w:rFonts w:eastAsia="Times New Roman"/>
          <w:color w:val="000000"/>
          <w:sz w:val="20"/>
          <w:szCs w:val="20"/>
        </w:rPr>
        <w:t>__________</w:t>
      </w:r>
    </w:p>
    <w:p w:rsidR="00000000" w:rsidRDefault="0094004B">
      <w:pPr>
        <w:ind w:hanging="360"/>
        <w:jc w:val="both"/>
        <w:divId w:val="1230574033"/>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Other assets include fair value adjustments related to repossessed assets, long-lived assets held for sale and right-of-use assets, and equity investments accounted for under the </w:t>
      </w:r>
      <w:r>
        <w:rPr>
          <w:rFonts w:eastAsia="Times New Roman"/>
          <w:color w:val="000000"/>
          <w:sz w:val="16"/>
          <w:szCs w:val="16"/>
          <w:shd w:val="clear" w:color="auto" w:fill="FFFFFF"/>
        </w:rPr>
        <w:t>measurement alternative.</w:t>
      </w:r>
    </w:p>
    <w:p w:rsidR="00000000" w:rsidRDefault="0094004B">
      <w:pPr>
        <w:divId w:val="405760206"/>
        <w:rPr>
          <w:rFonts w:eastAsia="Times New Roman"/>
        </w:rPr>
      </w:pPr>
      <w:r>
        <w:rPr>
          <w:rFonts w:eastAsia="Times New Roman"/>
          <w:b/>
          <w:bCs/>
          <w:color w:val="000000"/>
          <w:sz w:val="20"/>
          <w:szCs w:val="20"/>
        </w:rPr>
        <w:t>Fair Value of Financial Instruments</w:t>
      </w:r>
    </w:p>
    <w:p w:rsidR="00000000" w:rsidRDefault="0094004B">
      <w:pPr>
        <w:jc w:val="both"/>
        <w:divId w:val="1259293818"/>
        <w:rPr>
          <w:rFonts w:eastAsia="Times New Roman"/>
        </w:rPr>
      </w:pPr>
      <w:r>
        <w:rPr>
          <w:rFonts w:eastAsia="Times New Roman"/>
          <w:color w:val="000000"/>
          <w:sz w:val="20"/>
          <w:szCs w:val="20"/>
        </w:rPr>
        <w:t xml:space="preserve">The following table presents the carrying value and estimated fair value, including the level within the fair value hierarchy, of our financial instruments that are not measured at fair value on a recurring basis on our </w:t>
      </w:r>
      <w:r>
        <w:rPr>
          <w:rFonts w:eastAsia="Times New Roman"/>
          <w:color w:val="000000"/>
          <w:sz w:val="20"/>
          <w:szCs w:val="20"/>
        </w:rPr>
        <w:t>consolidated balance sheets as of December 31, 2022 and 2021.</w:t>
      </w:r>
    </w:p>
    <w:p w:rsidR="00000000" w:rsidRDefault="0094004B">
      <w:pPr>
        <w:divId w:val="187258295"/>
        <w:rPr>
          <w:rFonts w:eastAsia="Times New Roman"/>
        </w:rPr>
      </w:pPr>
      <w:r>
        <w:rPr>
          <w:rFonts w:eastAsia="Times New Roman"/>
          <w:b/>
          <w:bCs/>
          <w:color w:val="000000"/>
          <w:sz w:val="18"/>
          <w:szCs w:val="18"/>
        </w:rPr>
        <w:t>Table 16.6: Fair Value of Financial Instruments</w:t>
      </w:r>
      <w:r>
        <w:rPr>
          <w:rFonts w:eastAsia="Times New Roman"/>
          <w:color w:val="000000"/>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40"/>
        <w:gridCol w:w="4234"/>
        <w:gridCol w:w="39"/>
        <w:gridCol w:w="36"/>
        <w:gridCol w:w="36"/>
        <w:gridCol w:w="36"/>
        <w:gridCol w:w="110"/>
        <w:gridCol w:w="540"/>
        <w:gridCol w:w="36"/>
        <w:gridCol w:w="36"/>
        <w:gridCol w:w="36"/>
        <w:gridCol w:w="36"/>
        <w:gridCol w:w="111"/>
        <w:gridCol w:w="633"/>
        <w:gridCol w:w="36"/>
        <w:gridCol w:w="36"/>
        <w:gridCol w:w="36"/>
        <w:gridCol w:w="36"/>
        <w:gridCol w:w="110"/>
        <w:gridCol w:w="450"/>
        <w:gridCol w:w="36"/>
        <w:gridCol w:w="36"/>
        <w:gridCol w:w="36"/>
        <w:gridCol w:w="36"/>
        <w:gridCol w:w="110"/>
        <w:gridCol w:w="540"/>
        <w:gridCol w:w="36"/>
        <w:gridCol w:w="36"/>
        <w:gridCol w:w="36"/>
        <w:gridCol w:w="36"/>
        <w:gridCol w:w="112"/>
        <w:gridCol w:w="557"/>
        <w:gridCol w:w="36"/>
      </w:tblGrid>
      <w:tr w:rsidR="00000000">
        <w:trPr>
          <w:divId w:val="1309625739"/>
        </w:trPr>
        <w:tc>
          <w:tcPr>
            <w:tcW w:w="50" w:type="pct"/>
            <w:vAlign w:val="center"/>
            <w:hideMark/>
          </w:tcPr>
          <w:p w:rsidR="00000000" w:rsidRDefault="0094004B">
            <w:pPr>
              <w:rPr>
                <w:rFonts w:eastAsia="Times New Roman"/>
              </w:rPr>
            </w:pPr>
          </w:p>
        </w:tc>
        <w:tc>
          <w:tcPr>
            <w:tcW w:w="291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1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4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0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0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0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309625739"/>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7"/>
            <w:tcBorders>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December 31, 2022</w:t>
            </w:r>
          </w:p>
        </w:tc>
      </w:tr>
      <w:tr w:rsidR="00000000">
        <w:trPr>
          <w:divId w:val="1309625739"/>
          <w:trHeight w:val="360"/>
        </w:trPr>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Carrying</w:t>
            </w:r>
            <w:r>
              <w:rPr>
                <w:rFonts w:eastAsia="Times New Roman"/>
                <w:b/>
                <w:bCs/>
                <w:color w:val="000000"/>
                <w:sz w:val="16"/>
                <w:szCs w:val="16"/>
              </w:rPr>
              <w:br/>
              <w:t>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Estimated</w:t>
            </w:r>
            <w:r>
              <w:rPr>
                <w:rFonts w:eastAsia="Times New Roman"/>
                <w:b/>
                <w:bCs/>
                <w:color w:val="000000"/>
                <w:sz w:val="16"/>
                <w:szCs w:val="16"/>
              </w:rPr>
              <w:b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Estimated Fair Value Hierarchy</w:t>
            </w:r>
          </w:p>
        </w:tc>
      </w:tr>
      <w:tr w:rsidR="00000000">
        <w:trPr>
          <w:divId w:val="1309625739"/>
          <w:trHeight w:val="240"/>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vMerge/>
            <w:tcBorders>
              <w:top w:val="single" w:sz="8" w:space="0" w:color="000000"/>
            </w:tcBorders>
            <w:vAlign w:val="center"/>
            <w:hideMark/>
          </w:tcPr>
          <w:p w:rsidR="00000000" w:rsidRDefault="009400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vMerge/>
            <w:tcBorders>
              <w:top w:val="single" w:sz="8" w:space="0" w:color="000000"/>
            </w:tcBorders>
            <w:vAlign w:val="center"/>
            <w:hideMark/>
          </w:tcPr>
          <w:p w:rsidR="00000000" w:rsidRDefault="009400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Level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Level 3</w:t>
            </w:r>
          </w:p>
        </w:tc>
      </w:tr>
      <w:tr w:rsidR="00000000">
        <w:trPr>
          <w:divId w:val="1309625739"/>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Financial assets: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309625739"/>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Cash and cash equivalents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30,856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30,856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5,193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25,663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309625739"/>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Restricted cash for securitization investors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400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400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400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309625739"/>
        </w:trPr>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309625739"/>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Net loans held for investment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299,091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302,920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302,920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309625739"/>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Loans held for sale</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309625739"/>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Interest receivable</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2,104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2,104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2,104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309625739"/>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divId w:val="1695498964"/>
              <w:rPr>
                <w:rFonts w:eastAsia="Times New Roman"/>
              </w:rPr>
            </w:pPr>
            <w:r>
              <w:rPr>
                <w:rFonts w:eastAsia="Times New Roman"/>
                <w:color w:val="000000"/>
                <w:sz w:val="18"/>
                <w:szCs w:val="18"/>
              </w:rPr>
              <w:t>Other investment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1,326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1,326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1,326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309625739"/>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Financial liabilities: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309625739"/>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Deposits with defined maturities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45,858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45,531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45,531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309625739"/>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Securitized debt obligations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16,973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16,918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16,918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309625739"/>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Senior and subordinated notes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30,826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30,744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30,744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309625739"/>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Federal funds purchased and securities loaned or sold under agreements to repurchase</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883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883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883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1309625739"/>
        </w:trPr>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309625739"/>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Interest payable</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527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527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527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94004B">
            <w:pPr>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195</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221" style="width:0;height:1.5pt" o:hralign="center" o:hrstd="t" o:hr="t" fillcolor="#a0a0a0" stroked="f"/>
        </w:pict>
      </w:r>
    </w:p>
    <w:p w:rsidR="00000000" w:rsidRDefault="0094004B">
      <w:pPr>
        <w:jc w:val="both"/>
        <w:divId w:val="1689140428"/>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1689140428"/>
        <w:rPr>
          <w:rFonts w:eastAsia="Times New Roman"/>
        </w:rPr>
      </w:pPr>
    </w:p>
    <w:p w:rsidR="00000000" w:rsidRDefault="0094004B">
      <w:pPr>
        <w:jc w:val="center"/>
        <w:divId w:val="1689140428"/>
        <w:rPr>
          <w:rFonts w:eastAsia="Times New Roman"/>
        </w:rPr>
      </w:pPr>
      <w:r>
        <w:rPr>
          <w:rFonts w:eastAsia="Times New Roman"/>
          <w:b/>
          <w:bCs/>
          <w:color w:val="000000"/>
          <w:sz w:val="20"/>
          <w:szCs w:val="20"/>
        </w:rPr>
        <w:t>CAPITAL ONE FINANCIAL CORPORATION</w:t>
      </w:r>
    </w:p>
    <w:p w:rsidR="00000000" w:rsidRDefault="0094004B">
      <w:pPr>
        <w:jc w:val="center"/>
        <w:divId w:val="1689140428"/>
        <w:rPr>
          <w:rFonts w:eastAsia="Times New Roman"/>
        </w:rPr>
      </w:pPr>
      <w:r>
        <w:rPr>
          <w:rFonts w:eastAsia="Times New Roman"/>
          <w:b/>
          <w:bCs/>
          <w:color w:val="000000"/>
          <w:sz w:val="20"/>
          <w:szCs w:val="20"/>
        </w:rPr>
        <w:t>NOTES TO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40"/>
        <w:gridCol w:w="4236"/>
        <w:gridCol w:w="39"/>
        <w:gridCol w:w="36"/>
        <w:gridCol w:w="36"/>
        <w:gridCol w:w="36"/>
        <w:gridCol w:w="110"/>
        <w:gridCol w:w="540"/>
        <w:gridCol w:w="36"/>
        <w:gridCol w:w="36"/>
        <w:gridCol w:w="36"/>
        <w:gridCol w:w="36"/>
        <w:gridCol w:w="111"/>
        <w:gridCol w:w="631"/>
        <w:gridCol w:w="36"/>
        <w:gridCol w:w="36"/>
        <w:gridCol w:w="36"/>
        <w:gridCol w:w="36"/>
        <w:gridCol w:w="110"/>
        <w:gridCol w:w="450"/>
        <w:gridCol w:w="36"/>
        <w:gridCol w:w="36"/>
        <w:gridCol w:w="36"/>
        <w:gridCol w:w="36"/>
        <w:gridCol w:w="110"/>
        <w:gridCol w:w="540"/>
        <w:gridCol w:w="36"/>
        <w:gridCol w:w="36"/>
        <w:gridCol w:w="36"/>
        <w:gridCol w:w="36"/>
        <w:gridCol w:w="112"/>
        <w:gridCol w:w="557"/>
        <w:gridCol w:w="36"/>
      </w:tblGrid>
      <w:tr w:rsidR="00000000">
        <w:trPr>
          <w:divId w:val="716708881"/>
        </w:trPr>
        <w:tc>
          <w:tcPr>
            <w:tcW w:w="50" w:type="pct"/>
            <w:vAlign w:val="center"/>
            <w:hideMark/>
          </w:tcPr>
          <w:p w:rsidR="00000000" w:rsidRDefault="0094004B">
            <w:pPr>
              <w:jc w:val="center"/>
              <w:rPr>
                <w:rFonts w:eastAsia="Times New Roman"/>
              </w:rPr>
            </w:pPr>
          </w:p>
        </w:tc>
        <w:tc>
          <w:tcPr>
            <w:tcW w:w="290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3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3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0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0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0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716708881"/>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4"/>
                <w:szCs w:val="14"/>
              </w:rPr>
              <w:t> </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7"/>
            <w:tcBorders>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December 31, 2021</w:t>
            </w:r>
          </w:p>
        </w:tc>
      </w:tr>
      <w:tr w:rsidR="00000000">
        <w:trPr>
          <w:divId w:val="716708881"/>
          <w:trHeight w:val="360"/>
        </w:trPr>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Carrying</w:t>
            </w:r>
            <w:r>
              <w:rPr>
                <w:rFonts w:eastAsia="Times New Roman"/>
                <w:b/>
                <w:bCs/>
                <w:color w:val="000000"/>
                <w:sz w:val="16"/>
                <w:szCs w:val="16"/>
              </w:rPr>
              <w:br/>
              <w:t>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Estimated</w:t>
            </w:r>
            <w:r>
              <w:rPr>
                <w:rFonts w:eastAsia="Times New Roman"/>
                <w:b/>
                <w:bCs/>
                <w:color w:val="000000"/>
                <w:sz w:val="16"/>
                <w:szCs w:val="16"/>
              </w:rPr>
              <w:b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Estimated Fair Value Hierarchy</w:t>
            </w:r>
          </w:p>
        </w:tc>
      </w:tr>
      <w:tr w:rsidR="00000000">
        <w:trPr>
          <w:divId w:val="716708881"/>
          <w:trHeight w:val="240"/>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vMerge/>
            <w:tcBorders>
              <w:top w:val="single" w:sz="8" w:space="0" w:color="000000"/>
            </w:tcBorders>
            <w:vAlign w:val="center"/>
            <w:hideMark/>
          </w:tcPr>
          <w:p w:rsidR="00000000" w:rsidRDefault="009400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vMerge/>
            <w:tcBorders>
              <w:top w:val="single" w:sz="8" w:space="0" w:color="000000"/>
            </w:tcBorders>
            <w:vAlign w:val="center"/>
            <w:hideMark/>
          </w:tcPr>
          <w:p w:rsidR="00000000" w:rsidRDefault="009400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Level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Level 3</w:t>
            </w:r>
          </w:p>
        </w:tc>
      </w:tr>
      <w:tr w:rsidR="00000000">
        <w:trPr>
          <w:divId w:val="716708881"/>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Financial assets: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716708881"/>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Cash and cash equivalents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21,746 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21,746 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4,164 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17,582 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716708881"/>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Restricted cash for securitization investors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308 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308 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308 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716708881"/>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Net loans held for investment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265,910 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270,508 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270,508 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716708881"/>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Loans held for sale</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4,862 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5,091 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5,091 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716708881"/>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Interest receivable</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1,460 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1,460 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1,460 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716708881"/>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divId w:val="70473746"/>
              <w:rPr>
                <w:rFonts w:eastAsia="Times New Roman"/>
              </w:rPr>
            </w:pPr>
            <w:r>
              <w:rPr>
                <w:rFonts w:eastAsia="Times New Roman"/>
                <w:color w:val="000000"/>
                <w:sz w:val="18"/>
                <w:szCs w:val="18"/>
              </w:rPr>
              <w:t>Other investment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1,344 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1,344 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1,344 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716708881"/>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Financial liabilities: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716708881"/>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Deposits with defined maturities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17,923 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18,062 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18,062 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716708881"/>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Securitized debt obligations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14,994 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15,122 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15,122 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716708881"/>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Senior and subordinated notes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27,219 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27,842 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27,842 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716708881"/>
        </w:trPr>
        <w:tc>
          <w:tcPr>
            <w:tcW w:w="0" w:type="auto"/>
            <w:gridSpan w:val="3"/>
            <w:shd w:val="clear" w:color="auto" w:fill="FFFFFF"/>
            <w:tcMar>
              <w:top w:w="30" w:type="dxa"/>
              <w:left w:w="245"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Federal funds purchased and securities loaned or sold under agreements to repurchase</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820 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820 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820 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716708881"/>
        </w:trPr>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716708881"/>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Interest payable</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281 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281 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281 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bl>
    <w:p w:rsidR="00000000" w:rsidRDefault="0094004B">
      <w:pPr>
        <w:divId w:val="716708881"/>
        <w:rPr>
          <w:rFonts w:eastAsia="Times New Roman"/>
        </w:rPr>
      </w:pPr>
      <w:r>
        <w:rPr>
          <w:rFonts w:eastAsia="Times New Roman"/>
          <w:color w:val="000000"/>
          <w:sz w:val="20"/>
          <w:szCs w:val="20"/>
        </w:rPr>
        <w:t>__________</w:t>
      </w:r>
    </w:p>
    <w:p w:rsidR="00000000" w:rsidRDefault="0094004B">
      <w:pPr>
        <w:ind w:hanging="360"/>
        <w:jc w:val="both"/>
        <w:divId w:val="1480999814"/>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Other investments include FHLB and Federal Reserve stock. These investments are included in other assets on our consolidated balance sh</w:t>
      </w:r>
      <w:r>
        <w:rPr>
          <w:rFonts w:eastAsia="Times New Roman"/>
          <w:color w:val="000000"/>
          <w:sz w:val="16"/>
          <w:szCs w:val="16"/>
        </w:rPr>
        <w:t>eets.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464741630"/>
          <w:jc w:val="center"/>
        </w:trPr>
        <w:tc>
          <w:tcPr>
            <w:tcW w:w="50" w:type="pct"/>
            <w:vAlign w:val="center"/>
            <w:hideMark/>
          </w:tcPr>
          <w:p w:rsidR="00000000" w:rsidRDefault="0094004B">
            <w:pPr>
              <w:ind w:hanging="360"/>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464741630"/>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464741630"/>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196</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222" style="width:0;height:1.5pt" o:hralign="center" o:hrstd="t" o:hr="t" fillcolor="#a0a0a0" stroked="f"/>
        </w:pict>
      </w:r>
    </w:p>
    <w:p w:rsidR="00000000" w:rsidRDefault="0094004B">
      <w:pPr>
        <w:jc w:val="both"/>
        <w:divId w:val="1802772150"/>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1802772150"/>
        <w:rPr>
          <w:rFonts w:eastAsia="Times New Roman"/>
        </w:rPr>
      </w:pPr>
    </w:p>
    <w:p w:rsidR="00000000" w:rsidRDefault="0094004B">
      <w:pPr>
        <w:jc w:val="center"/>
        <w:divId w:val="1802772150"/>
        <w:rPr>
          <w:rFonts w:eastAsia="Times New Roman"/>
        </w:rPr>
      </w:pPr>
      <w:r>
        <w:rPr>
          <w:rFonts w:eastAsia="Times New Roman"/>
          <w:b/>
          <w:bCs/>
          <w:color w:val="000000"/>
          <w:sz w:val="20"/>
          <w:szCs w:val="20"/>
        </w:rPr>
        <w:t>CAPITAL ONE FINANCIAL CORPORATION</w:t>
      </w:r>
    </w:p>
    <w:p w:rsidR="00000000" w:rsidRDefault="0094004B">
      <w:pPr>
        <w:jc w:val="center"/>
        <w:divId w:val="1802772150"/>
        <w:rPr>
          <w:rFonts w:eastAsia="Times New Roman"/>
        </w:rPr>
      </w:pPr>
      <w:r>
        <w:rPr>
          <w:rFonts w:eastAsia="Times New Roman"/>
          <w:b/>
          <w:bCs/>
          <w:color w:val="000000"/>
          <w:sz w:val="20"/>
          <w:szCs w:val="20"/>
        </w:rPr>
        <w:t>NOTES TO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2097530"/>
        </w:trPr>
        <w:tc>
          <w:tcPr>
            <w:tcW w:w="50" w:type="pct"/>
            <w:vAlign w:val="center"/>
            <w:hideMark/>
          </w:tcPr>
          <w:p w:rsidR="00000000" w:rsidRDefault="0094004B">
            <w:pPr>
              <w:jc w:val="center"/>
              <w:rPr>
                <w:rFonts w:eastAsia="Times New Roman"/>
              </w:rPr>
            </w:pPr>
          </w:p>
        </w:tc>
        <w:tc>
          <w:tcPr>
            <w:tcW w:w="494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2097530"/>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20"/>
                <w:szCs w:val="20"/>
              </w:rPr>
              <w:t>NOTE 17—</w:t>
            </w:r>
            <w:r>
              <w:rPr>
                <w:rFonts w:eastAsia="Times New Roman"/>
                <w:b/>
                <w:bCs/>
                <w:color w:val="000000"/>
                <w:sz w:val="20"/>
                <w:szCs w:val="20"/>
              </w:rPr>
              <w:t>BUSINESS SEGMENTS AND REVENUE FROM CONTRACTS WITH CUSTOMERS</w:t>
            </w:r>
          </w:p>
        </w:tc>
      </w:tr>
    </w:tbl>
    <w:p w:rsidR="00000000" w:rsidRDefault="0094004B">
      <w:pPr>
        <w:jc w:val="both"/>
        <w:divId w:val="967203581"/>
        <w:rPr>
          <w:rFonts w:eastAsia="Times New Roman"/>
        </w:rPr>
      </w:pPr>
      <w:r>
        <w:rPr>
          <w:rFonts w:eastAsia="Times New Roman"/>
          <w:color w:val="000000"/>
          <w:sz w:val="20"/>
          <w:szCs w:val="20"/>
        </w:rPr>
        <w:t>Our principal operations are organized into three major business segments, which are defined primarily based on the products and services provided or the types of customers served: Credit Card</w:t>
      </w:r>
      <w:r>
        <w:rPr>
          <w:rFonts w:eastAsia="Times New Roman"/>
          <w:color w:val="000000"/>
          <w:sz w:val="20"/>
          <w:szCs w:val="20"/>
        </w:rPr>
        <w:t>, Consumer Banking and Commercial Banking. The operations of acquired businesses have been integrated into or managed as a part of our existing business segments. Certain activities that are not part of a segment, such as management of our corporate invest</w:t>
      </w:r>
      <w:r>
        <w:rPr>
          <w:rFonts w:eastAsia="Times New Roman"/>
          <w:color w:val="000000"/>
          <w:sz w:val="20"/>
          <w:szCs w:val="20"/>
        </w:rPr>
        <w:t>ment portfolio, asset/liability management by our centralized Corporate Treasury group and residual tax expense or benefit to arrive at the consolidated effective tax rate that is not assessed to our primary business segments, are included in the Other cat</w:t>
      </w:r>
      <w:r>
        <w:rPr>
          <w:rFonts w:eastAsia="Times New Roman"/>
          <w:color w:val="000000"/>
          <w:sz w:val="20"/>
          <w:szCs w:val="20"/>
        </w:rPr>
        <w:t>egory.</w:t>
      </w:r>
    </w:p>
    <w:p w:rsidR="00000000" w:rsidRDefault="0094004B">
      <w:pPr>
        <w:ind w:hanging="360"/>
        <w:jc w:val="both"/>
        <w:divId w:val="963190581"/>
        <w:rPr>
          <w:rFonts w:eastAsia="Times New Roman"/>
        </w:rPr>
      </w:pPr>
      <w:r>
        <w:rPr>
          <w:rFonts w:eastAsia="Times New Roman"/>
          <w:color w:val="000000"/>
          <w:sz w:val="20"/>
          <w:szCs w:val="20"/>
        </w:rPr>
        <w:t>•</w:t>
      </w:r>
      <w:r>
        <w:rPr>
          <w:rFonts w:eastAsia="Times New Roman"/>
          <w:i/>
          <w:iCs/>
          <w:color w:val="000000"/>
          <w:sz w:val="20"/>
          <w:szCs w:val="20"/>
        </w:rPr>
        <w:t>Credit Card:</w:t>
      </w:r>
      <w:r>
        <w:rPr>
          <w:rFonts w:eastAsia="Times New Roman"/>
          <w:color w:val="000000"/>
          <w:sz w:val="20"/>
          <w:szCs w:val="20"/>
        </w:rPr>
        <w:t xml:space="preserve"> Consists of our domestic consumer and small business card lending, and international card businesses in the United Kingdom and Canada. </w:t>
      </w:r>
    </w:p>
    <w:p w:rsidR="00000000" w:rsidRDefault="0094004B">
      <w:pPr>
        <w:ind w:hanging="360"/>
        <w:jc w:val="both"/>
        <w:divId w:val="1448508086"/>
        <w:rPr>
          <w:rFonts w:eastAsia="Times New Roman"/>
        </w:rPr>
      </w:pPr>
      <w:r>
        <w:rPr>
          <w:rFonts w:eastAsia="Times New Roman"/>
          <w:color w:val="000000"/>
          <w:sz w:val="20"/>
          <w:szCs w:val="20"/>
        </w:rPr>
        <w:t>•</w:t>
      </w:r>
      <w:r>
        <w:rPr>
          <w:rFonts w:eastAsia="Times New Roman"/>
          <w:i/>
          <w:iCs/>
          <w:color w:val="000000"/>
          <w:sz w:val="20"/>
          <w:szCs w:val="20"/>
        </w:rPr>
        <w:t>Consumer Banking:</w:t>
      </w:r>
      <w:r>
        <w:rPr>
          <w:rFonts w:eastAsia="Times New Roman"/>
          <w:color w:val="000000"/>
          <w:sz w:val="20"/>
          <w:szCs w:val="20"/>
        </w:rPr>
        <w:t xml:space="preserve"> </w:t>
      </w:r>
      <w:r>
        <w:rPr>
          <w:rFonts w:eastAsia="Times New Roman"/>
          <w:color w:val="000000"/>
          <w:sz w:val="20"/>
          <w:szCs w:val="20"/>
        </w:rPr>
        <w:t xml:space="preserve">Consists of our deposit gathering and lending activities for consumers and small businesses, and national auto lending. </w:t>
      </w:r>
    </w:p>
    <w:p w:rsidR="00000000" w:rsidRDefault="0094004B">
      <w:pPr>
        <w:ind w:hanging="360"/>
        <w:jc w:val="both"/>
        <w:divId w:val="1108157718"/>
        <w:rPr>
          <w:rFonts w:eastAsia="Times New Roman"/>
        </w:rPr>
      </w:pPr>
      <w:r>
        <w:rPr>
          <w:rFonts w:eastAsia="Times New Roman"/>
          <w:color w:val="000000"/>
          <w:sz w:val="20"/>
          <w:szCs w:val="20"/>
        </w:rPr>
        <w:t>•</w:t>
      </w:r>
      <w:r>
        <w:rPr>
          <w:rFonts w:eastAsia="Times New Roman"/>
          <w:i/>
          <w:iCs/>
          <w:color w:val="000000"/>
          <w:sz w:val="20"/>
          <w:szCs w:val="20"/>
        </w:rPr>
        <w:t>Commercial Banking:</w:t>
      </w:r>
      <w:r>
        <w:rPr>
          <w:rFonts w:eastAsia="Times New Roman"/>
          <w:color w:val="000000"/>
          <w:sz w:val="20"/>
          <w:szCs w:val="20"/>
        </w:rPr>
        <w:t xml:space="preserve"> Consists of our lending, deposit gathering, capital markets and treasury management services to commercial real es</w:t>
      </w:r>
      <w:r>
        <w:rPr>
          <w:rFonts w:eastAsia="Times New Roman"/>
          <w:color w:val="000000"/>
          <w:sz w:val="20"/>
          <w:szCs w:val="20"/>
        </w:rPr>
        <w:t>tate and commercial and industrial customers. Our customers typically include companies with annual revenues between $20 million and $2 billion.</w:t>
      </w:r>
    </w:p>
    <w:p w:rsidR="00000000" w:rsidRDefault="0094004B">
      <w:pPr>
        <w:ind w:hanging="360"/>
        <w:jc w:val="both"/>
        <w:divId w:val="1076512179"/>
        <w:rPr>
          <w:rFonts w:eastAsia="Times New Roman"/>
        </w:rPr>
      </w:pPr>
      <w:r>
        <w:rPr>
          <w:rFonts w:eastAsia="Times New Roman"/>
          <w:i/>
          <w:iCs/>
          <w:color w:val="000000"/>
          <w:sz w:val="20"/>
          <w:szCs w:val="20"/>
        </w:rPr>
        <w:t>•Other category:</w:t>
      </w:r>
      <w:r>
        <w:rPr>
          <w:rFonts w:eastAsia="Times New Roman"/>
          <w:color w:val="000000"/>
          <w:sz w:val="20"/>
          <w:szCs w:val="20"/>
        </w:rPr>
        <w:t xml:space="preserve"> Includes the residual impact of the allocation of our centralized Corporate Treasury group act</w:t>
      </w:r>
      <w:r>
        <w:rPr>
          <w:rFonts w:eastAsia="Times New Roman"/>
          <w:color w:val="000000"/>
          <w:sz w:val="20"/>
          <w:szCs w:val="20"/>
        </w:rPr>
        <w:t>ivities, such as management of our corporate investment portfolio, asset/liability management and oversight of our funds transfer pricing process, to our business segments. Accordingly, net gains and losses on our investment securities portfolio and certai</w:t>
      </w:r>
      <w:r>
        <w:rPr>
          <w:rFonts w:eastAsia="Times New Roman"/>
          <w:color w:val="000000"/>
          <w:sz w:val="20"/>
          <w:szCs w:val="20"/>
        </w:rPr>
        <w:t>n trading activities are included in the Other category. Other category also includes foreign exchange-rate fluctuations on foreign currency-denominated transactions; unallocated corporate expenses that do not directly support the operations of the busines</w:t>
      </w:r>
      <w:r>
        <w:rPr>
          <w:rFonts w:eastAsia="Times New Roman"/>
          <w:color w:val="000000"/>
          <w:sz w:val="20"/>
          <w:szCs w:val="20"/>
        </w:rPr>
        <w:t>s segments or for which the business segments are not considered financially accountable in evaluating their performance, such as certain restructuring charges; certain material items that are non-recurring in nature; offsets related to certain line-item r</w:t>
      </w:r>
      <w:r>
        <w:rPr>
          <w:rFonts w:eastAsia="Times New Roman"/>
          <w:color w:val="000000"/>
          <w:sz w:val="20"/>
          <w:szCs w:val="20"/>
        </w:rPr>
        <w:t xml:space="preserve">eclassifications; and residual tax expense or benefit to arrive at the consolidated effective tax rate that is not assessed to our primary business segments. </w:t>
      </w:r>
    </w:p>
    <w:p w:rsidR="00000000" w:rsidRDefault="0094004B">
      <w:pPr>
        <w:divId w:val="2025744259"/>
        <w:rPr>
          <w:rFonts w:eastAsia="Times New Roman"/>
        </w:rPr>
      </w:pPr>
      <w:r>
        <w:rPr>
          <w:rFonts w:eastAsia="Times New Roman"/>
          <w:b/>
          <w:bCs/>
          <w:color w:val="000000"/>
          <w:sz w:val="20"/>
          <w:szCs w:val="20"/>
        </w:rPr>
        <w:t>Basis of Presentation</w:t>
      </w:r>
    </w:p>
    <w:p w:rsidR="00000000" w:rsidRDefault="0094004B">
      <w:pPr>
        <w:jc w:val="both"/>
        <w:divId w:val="586616572"/>
        <w:rPr>
          <w:rFonts w:eastAsia="Times New Roman"/>
        </w:rPr>
      </w:pPr>
      <w:r>
        <w:rPr>
          <w:rFonts w:eastAsia="Times New Roman"/>
          <w:color w:val="000000"/>
          <w:sz w:val="20"/>
          <w:szCs w:val="20"/>
        </w:rPr>
        <w:t>We report the results of each of our business segments on a continuing oper</w:t>
      </w:r>
      <w:r>
        <w:rPr>
          <w:rFonts w:eastAsia="Times New Roman"/>
          <w:color w:val="000000"/>
          <w:sz w:val="20"/>
          <w:szCs w:val="20"/>
        </w:rPr>
        <w:t xml:space="preserve">ations basis. The results of our individual businesses reflect the manner in which management evaluates performance and makes decisions about funding our operations and allocating resources. </w:t>
      </w:r>
    </w:p>
    <w:p w:rsidR="00000000" w:rsidRDefault="0094004B">
      <w:pPr>
        <w:divId w:val="1718238755"/>
        <w:rPr>
          <w:rFonts w:eastAsia="Times New Roman"/>
        </w:rPr>
      </w:pPr>
      <w:r>
        <w:rPr>
          <w:rFonts w:eastAsia="Times New Roman"/>
          <w:b/>
          <w:bCs/>
          <w:color w:val="000000"/>
          <w:sz w:val="20"/>
          <w:szCs w:val="20"/>
        </w:rPr>
        <w:t>Business Segment Reporting Methodology</w:t>
      </w:r>
    </w:p>
    <w:p w:rsidR="00000000" w:rsidRDefault="0094004B">
      <w:pPr>
        <w:jc w:val="both"/>
        <w:divId w:val="1720088353"/>
        <w:rPr>
          <w:rFonts w:eastAsia="Times New Roman"/>
        </w:rPr>
      </w:pPr>
      <w:r>
        <w:rPr>
          <w:rFonts w:eastAsia="Times New Roman"/>
          <w:color w:val="000000"/>
          <w:sz w:val="20"/>
          <w:szCs w:val="20"/>
        </w:rPr>
        <w:t>The results of our busine</w:t>
      </w:r>
      <w:r>
        <w:rPr>
          <w:rFonts w:eastAsia="Times New Roman"/>
          <w:color w:val="000000"/>
          <w:sz w:val="20"/>
          <w:szCs w:val="20"/>
        </w:rPr>
        <w:t>ss segments are intended to present each segment as if it were a stand-alone business. Our internal management and reporting process used to derive our segment results employs various allocation methodologies, including funds transfer pricing, to assign ce</w:t>
      </w:r>
      <w:r>
        <w:rPr>
          <w:rFonts w:eastAsia="Times New Roman"/>
          <w:color w:val="000000"/>
          <w:sz w:val="20"/>
          <w:szCs w:val="20"/>
        </w:rPr>
        <w:t xml:space="preserve">rtain balance sheet assets, deposits and other liabilities and their related revenue and expenses directly or indirectly attributable to each business segment. Our funds transfer pricing process managed by our centralized Corporate Treasury group provides </w:t>
      </w:r>
      <w:r>
        <w:rPr>
          <w:rFonts w:eastAsia="Times New Roman"/>
          <w:color w:val="000000"/>
          <w:sz w:val="20"/>
          <w:szCs w:val="20"/>
        </w:rPr>
        <w:t>a funds credit for sources of funds, such as deposits generated by our Consumer Banking and Commercial Banking businesses, and a charge for the use of funds by each segment. The allocation is unique to each business segment and acquired business and is bas</w:t>
      </w:r>
      <w:r>
        <w:rPr>
          <w:rFonts w:eastAsia="Times New Roman"/>
          <w:color w:val="000000"/>
          <w:sz w:val="20"/>
          <w:szCs w:val="20"/>
        </w:rPr>
        <w:t>ed on the composition of assets and liabilities. The funds transfer pricing process considers the interest rate and liquidity risk characteristics of assets and liabilities and off-balance sheet products. Periodically the methodology and assumptions utiliz</w:t>
      </w:r>
      <w:r>
        <w:rPr>
          <w:rFonts w:eastAsia="Times New Roman"/>
          <w:color w:val="000000"/>
          <w:sz w:val="20"/>
          <w:szCs w:val="20"/>
        </w:rPr>
        <w:t>ed in the funds transfer pricing process are adjusted to reflect economic conditions and other factors, which may impact the allocation of net interest income to the business segments. Due to the integrated nature of our business segments, estimates and ju</w:t>
      </w:r>
      <w:r>
        <w:rPr>
          <w:rFonts w:eastAsia="Times New Roman"/>
          <w:color w:val="000000"/>
          <w:sz w:val="20"/>
          <w:szCs w:val="20"/>
        </w:rPr>
        <w:t>dgments have been made in allocating certain revenue and expense items. Transactions between segments are based on specific criteria or approximate market rate. We regularly assess the assumptions, methodologies and reporting classifications used for segme</w:t>
      </w:r>
      <w:r>
        <w:rPr>
          <w:rFonts w:eastAsia="Times New Roman"/>
          <w:color w:val="000000"/>
          <w:sz w:val="20"/>
          <w:szCs w:val="20"/>
        </w:rPr>
        <w:t>nt reporting, which may result in the implementation of refinements or changes in future periods.</w:t>
      </w:r>
    </w:p>
    <w:p w:rsidR="00000000" w:rsidRDefault="0094004B">
      <w:pPr>
        <w:jc w:val="both"/>
        <w:divId w:val="1568028988"/>
        <w:rPr>
          <w:rFonts w:eastAsia="Times New Roman"/>
        </w:rPr>
      </w:pPr>
      <w:r>
        <w:rPr>
          <w:rFonts w:eastAsia="Times New Roman"/>
          <w:color w:val="000000"/>
          <w:sz w:val="20"/>
          <w:szCs w:val="20"/>
        </w:rPr>
        <w:t>The following is additional information on the principles and methodologies used in preparing our business segment results.</w:t>
      </w:r>
    </w:p>
    <w:p w:rsidR="00000000" w:rsidRDefault="0094004B">
      <w:pPr>
        <w:ind w:hanging="360"/>
        <w:jc w:val="both"/>
        <w:divId w:val="1165054678"/>
        <w:rPr>
          <w:rFonts w:eastAsia="Times New Roman"/>
        </w:rPr>
      </w:pPr>
      <w:r>
        <w:rPr>
          <w:rFonts w:eastAsia="Times New Roman"/>
          <w:i/>
          <w:iCs/>
          <w:color w:val="000000"/>
          <w:sz w:val="20"/>
          <w:szCs w:val="20"/>
        </w:rPr>
        <w:t>•Net interest income:</w:t>
      </w:r>
      <w:r>
        <w:rPr>
          <w:rFonts w:eastAsia="Times New Roman"/>
          <w:color w:val="000000"/>
          <w:sz w:val="20"/>
          <w:szCs w:val="20"/>
        </w:rPr>
        <w:t xml:space="preserve"> Interest inc</w:t>
      </w:r>
      <w:r>
        <w:rPr>
          <w:rFonts w:eastAsia="Times New Roman"/>
          <w:color w:val="000000"/>
          <w:sz w:val="20"/>
          <w:szCs w:val="20"/>
        </w:rPr>
        <w:t xml:space="preserve">ome from loans held for investment and interest expense from deposits and other interest-bearing liabilities are reflected within each applicable business segment. Because funding and asset/liability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469129261"/>
          <w:jc w:val="center"/>
        </w:trPr>
        <w:tc>
          <w:tcPr>
            <w:tcW w:w="50" w:type="pct"/>
            <w:vAlign w:val="center"/>
            <w:hideMark/>
          </w:tcPr>
          <w:p w:rsidR="00000000" w:rsidRDefault="0094004B">
            <w:pPr>
              <w:ind w:hanging="360"/>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469129261"/>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469129261"/>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197</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223" style="width:0;height:1.5pt" o:hralign="center" o:hrstd="t" o:hr="t" fillcolor="#a0a0a0" stroked="f"/>
        </w:pict>
      </w:r>
    </w:p>
    <w:p w:rsidR="00000000" w:rsidRDefault="0094004B">
      <w:pPr>
        <w:jc w:val="both"/>
        <w:divId w:val="1368677168"/>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1368677168"/>
        <w:rPr>
          <w:rFonts w:eastAsia="Times New Roman"/>
        </w:rPr>
      </w:pPr>
    </w:p>
    <w:p w:rsidR="00000000" w:rsidRDefault="0094004B">
      <w:pPr>
        <w:jc w:val="center"/>
        <w:divId w:val="1368677168"/>
        <w:rPr>
          <w:rFonts w:eastAsia="Times New Roman"/>
        </w:rPr>
      </w:pPr>
      <w:r>
        <w:rPr>
          <w:rFonts w:eastAsia="Times New Roman"/>
          <w:b/>
          <w:bCs/>
          <w:color w:val="000000"/>
          <w:sz w:val="20"/>
          <w:szCs w:val="20"/>
        </w:rPr>
        <w:t>CAPITAL ONE FINANCIAL CORPORATION</w:t>
      </w:r>
    </w:p>
    <w:p w:rsidR="00000000" w:rsidRDefault="0094004B">
      <w:pPr>
        <w:jc w:val="center"/>
        <w:divId w:val="1368677168"/>
        <w:rPr>
          <w:rFonts w:eastAsia="Times New Roman"/>
        </w:rPr>
      </w:pPr>
      <w:r>
        <w:rPr>
          <w:rFonts w:eastAsia="Times New Roman"/>
          <w:b/>
          <w:bCs/>
          <w:color w:val="000000"/>
          <w:sz w:val="20"/>
          <w:szCs w:val="20"/>
        </w:rPr>
        <w:t>NOTES TO CONSOLIDATED FINANCIAL STATEMENTS</w:t>
      </w:r>
    </w:p>
    <w:p w:rsidR="00000000" w:rsidRDefault="0094004B">
      <w:pPr>
        <w:jc w:val="both"/>
        <w:divId w:val="1595868561"/>
        <w:rPr>
          <w:rFonts w:eastAsia="Times New Roman"/>
        </w:rPr>
      </w:pPr>
      <w:r>
        <w:rPr>
          <w:rFonts w:eastAsia="Times New Roman"/>
          <w:color w:val="000000"/>
          <w:sz w:val="20"/>
          <w:szCs w:val="20"/>
        </w:rPr>
        <w:t>management are managed centrally by our Corporate Treasury group</w:t>
      </w:r>
      <w:r>
        <w:rPr>
          <w:rFonts w:eastAsia="Times New Roman"/>
          <w:color w:val="000000"/>
          <w:sz w:val="20"/>
          <w:szCs w:val="20"/>
        </w:rPr>
        <w:t>, net interest income for our business segments also includes the results of a funds transfer pricing process that is intended to allocate a cost of funds used or credit for funds provided to all business segment assets and liabilities, respectively, using</w:t>
      </w:r>
      <w:r>
        <w:rPr>
          <w:rFonts w:eastAsia="Times New Roman"/>
          <w:color w:val="000000"/>
          <w:sz w:val="20"/>
          <w:szCs w:val="20"/>
        </w:rPr>
        <w:t xml:space="preserve"> a matched funding concept. The taxable-equivalent benefit of tax-exempt products is also allocated to each business unit with a corresponding increase in income tax expense.</w:t>
      </w:r>
    </w:p>
    <w:p w:rsidR="00000000" w:rsidRDefault="0094004B">
      <w:pPr>
        <w:ind w:hanging="360"/>
        <w:jc w:val="both"/>
        <w:divId w:val="299921220"/>
        <w:rPr>
          <w:rFonts w:eastAsia="Times New Roman"/>
        </w:rPr>
      </w:pPr>
      <w:r>
        <w:rPr>
          <w:rFonts w:eastAsia="Times New Roman"/>
          <w:i/>
          <w:iCs/>
          <w:color w:val="000000"/>
          <w:sz w:val="20"/>
          <w:szCs w:val="20"/>
        </w:rPr>
        <w:t>•Non-interest income:</w:t>
      </w:r>
      <w:r>
        <w:rPr>
          <w:rFonts w:eastAsia="Times New Roman"/>
          <w:color w:val="000000"/>
          <w:sz w:val="20"/>
          <w:szCs w:val="20"/>
        </w:rPr>
        <w:t xml:space="preserve"> </w:t>
      </w:r>
      <w:r>
        <w:rPr>
          <w:rFonts w:eastAsia="Times New Roman"/>
          <w:color w:val="000000"/>
          <w:sz w:val="20"/>
          <w:szCs w:val="20"/>
        </w:rPr>
        <w:t>Non-interest fees and other revenue associated with loans or customers managed by each business segment and other direct revenues are accounted for within each business segment.</w:t>
      </w:r>
    </w:p>
    <w:p w:rsidR="00000000" w:rsidRDefault="0094004B">
      <w:pPr>
        <w:ind w:hanging="360"/>
        <w:jc w:val="both"/>
        <w:divId w:val="994258411"/>
        <w:rPr>
          <w:rFonts w:eastAsia="Times New Roman"/>
        </w:rPr>
      </w:pPr>
      <w:r>
        <w:rPr>
          <w:rFonts w:eastAsia="Times New Roman"/>
          <w:i/>
          <w:iCs/>
          <w:color w:val="000000"/>
          <w:sz w:val="20"/>
          <w:szCs w:val="20"/>
        </w:rPr>
        <w:t>•Provision for credit losses:</w:t>
      </w:r>
      <w:r>
        <w:rPr>
          <w:rFonts w:eastAsia="Times New Roman"/>
          <w:color w:val="000000"/>
          <w:sz w:val="20"/>
          <w:szCs w:val="20"/>
        </w:rPr>
        <w:t xml:space="preserve"> The provision for credit losses is directly attr</w:t>
      </w:r>
      <w:r>
        <w:rPr>
          <w:rFonts w:eastAsia="Times New Roman"/>
          <w:color w:val="000000"/>
          <w:sz w:val="20"/>
          <w:szCs w:val="20"/>
        </w:rPr>
        <w:t>ibutable to the business segment in accordance with the loans each business segment manages.</w:t>
      </w:r>
    </w:p>
    <w:p w:rsidR="00000000" w:rsidRDefault="0094004B">
      <w:pPr>
        <w:ind w:hanging="360"/>
        <w:jc w:val="both"/>
        <w:divId w:val="503786922"/>
        <w:rPr>
          <w:rFonts w:eastAsia="Times New Roman"/>
        </w:rPr>
      </w:pPr>
      <w:r>
        <w:rPr>
          <w:rFonts w:eastAsia="Times New Roman"/>
          <w:i/>
          <w:iCs/>
          <w:color w:val="000000"/>
          <w:sz w:val="20"/>
          <w:szCs w:val="20"/>
        </w:rPr>
        <w:t>•Non-interest expense:</w:t>
      </w:r>
      <w:r>
        <w:rPr>
          <w:rFonts w:eastAsia="Times New Roman"/>
          <w:color w:val="000000"/>
          <w:sz w:val="20"/>
          <w:szCs w:val="20"/>
        </w:rPr>
        <w:t xml:space="preserve"> Non-interest expenses directly managed and incurred by a business segment are accounted for within each business segment. We allocate certai</w:t>
      </w:r>
      <w:r>
        <w:rPr>
          <w:rFonts w:eastAsia="Times New Roman"/>
          <w:color w:val="000000"/>
          <w:sz w:val="20"/>
          <w:szCs w:val="20"/>
        </w:rPr>
        <w:t>n non-interest expenses indirectly incurred by business segments, such as corporate support functions, to each business segment based on various factors, including the actual cost of the services from the service providers, the utilization of the services,</w:t>
      </w:r>
      <w:r>
        <w:rPr>
          <w:rFonts w:eastAsia="Times New Roman"/>
          <w:color w:val="000000"/>
          <w:sz w:val="20"/>
          <w:szCs w:val="20"/>
        </w:rPr>
        <w:t xml:space="preserve"> the number of employees or other relevant factors.</w:t>
      </w:r>
    </w:p>
    <w:p w:rsidR="00000000" w:rsidRDefault="0094004B">
      <w:pPr>
        <w:ind w:hanging="360"/>
        <w:jc w:val="both"/>
        <w:divId w:val="1992099524"/>
        <w:rPr>
          <w:rFonts w:eastAsia="Times New Roman"/>
        </w:rPr>
      </w:pPr>
      <w:r>
        <w:rPr>
          <w:rFonts w:eastAsia="Times New Roman"/>
          <w:i/>
          <w:iCs/>
          <w:color w:val="000000"/>
          <w:sz w:val="20"/>
          <w:szCs w:val="20"/>
        </w:rPr>
        <w:t>•Goodwill and other intangible assets:</w:t>
      </w:r>
      <w:r>
        <w:rPr>
          <w:rFonts w:eastAsia="Times New Roman"/>
          <w:color w:val="000000"/>
          <w:sz w:val="20"/>
          <w:szCs w:val="20"/>
        </w:rPr>
        <w:t xml:space="preserve"> Goodwill and other intangible assets are assigned to one or more segments at acquisition. Intangible amortization is included in the results of the applicable segmen</w:t>
      </w:r>
      <w:r>
        <w:rPr>
          <w:rFonts w:eastAsia="Times New Roman"/>
          <w:color w:val="000000"/>
          <w:sz w:val="20"/>
          <w:szCs w:val="20"/>
        </w:rPr>
        <w:t>t.</w:t>
      </w:r>
    </w:p>
    <w:p w:rsidR="00000000" w:rsidRDefault="0094004B">
      <w:pPr>
        <w:ind w:hanging="360"/>
        <w:jc w:val="both"/>
        <w:divId w:val="485903283"/>
        <w:rPr>
          <w:rFonts w:eastAsia="Times New Roman"/>
        </w:rPr>
      </w:pPr>
      <w:r>
        <w:rPr>
          <w:rFonts w:eastAsia="Times New Roman"/>
          <w:i/>
          <w:iCs/>
          <w:color w:val="000000"/>
          <w:sz w:val="20"/>
          <w:szCs w:val="20"/>
        </w:rPr>
        <w:t>•Income taxes:</w:t>
      </w:r>
      <w:r>
        <w:rPr>
          <w:rFonts w:eastAsia="Times New Roman"/>
          <w:color w:val="000000"/>
          <w:sz w:val="20"/>
          <w:szCs w:val="20"/>
        </w:rPr>
        <w:t xml:space="preserve"> </w:t>
      </w:r>
      <w:r>
        <w:rPr>
          <w:rFonts w:eastAsia="Times New Roman"/>
          <w:color w:val="000000"/>
          <w:sz w:val="20"/>
          <w:szCs w:val="20"/>
        </w:rPr>
        <w:t>Income taxes are assessed for each business segment based on a standard tax rate with the residual tax expense or benefit to arrive at the consolidated effective tax rate included in the Other category.</w:t>
      </w:r>
    </w:p>
    <w:p w:rsidR="00000000" w:rsidRDefault="0094004B">
      <w:pPr>
        <w:ind w:hanging="360"/>
        <w:jc w:val="both"/>
        <w:divId w:val="561915378"/>
        <w:rPr>
          <w:rFonts w:eastAsia="Times New Roman"/>
        </w:rPr>
      </w:pPr>
      <w:r>
        <w:rPr>
          <w:rFonts w:eastAsia="Times New Roman"/>
          <w:i/>
          <w:iCs/>
          <w:color w:val="000000"/>
          <w:sz w:val="20"/>
          <w:szCs w:val="20"/>
        </w:rPr>
        <w:t>•Loans held for investment:</w:t>
      </w:r>
      <w:r>
        <w:rPr>
          <w:rFonts w:eastAsia="Times New Roman"/>
          <w:color w:val="000000"/>
          <w:sz w:val="20"/>
          <w:szCs w:val="20"/>
        </w:rPr>
        <w:t xml:space="preserve"> Loans are reported within</w:t>
      </w:r>
      <w:r>
        <w:rPr>
          <w:rFonts w:eastAsia="Times New Roman"/>
          <w:color w:val="000000"/>
          <w:sz w:val="20"/>
          <w:szCs w:val="20"/>
        </w:rPr>
        <w:t xml:space="preserve"> each business segment based on product or customer type served by that business segment.</w:t>
      </w:r>
    </w:p>
    <w:p w:rsidR="00000000" w:rsidRDefault="0094004B">
      <w:pPr>
        <w:ind w:hanging="360"/>
        <w:jc w:val="both"/>
        <w:divId w:val="1135567416"/>
        <w:rPr>
          <w:rFonts w:eastAsia="Times New Roman"/>
        </w:rPr>
      </w:pPr>
      <w:r>
        <w:rPr>
          <w:rFonts w:eastAsia="Times New Roman"/>
          <w:color w:val="000000"/>
          <w:sz w:val="20"/>
          <w:szCs w:val="20"/>
        </w:rPr>
        <w:t>•</w:t>
      </w:r>
      <w:r>
        <w:rPr>
          <w:rFonts w:eastAsia="Times New Roman"/>
          <w:i/>
          <w:iCs/>
          <w:color w:val="000000"/>
          <w:sz w:val="20"/>
          <w:szCs w:val="20"/>
        </w:rPr>
        <w:t>Deposits:</w:t>
      </w:r>
      <w:r>
        <w:rPr>
          <w:rFonts w:eastAsia="Times New Roman"/>
          <w:color w:val="000000"/>
          <w:sz w:val="20"/>
          <w:szCs w:val="20"/>
        </w:rPr>
        <w:t xml:space="preserve"> Deposits are reported within each business segment based on product or customer type served by that business segment.</w:t>
      </w:r>
    </w:p>
    <w:p w:rsidR="00000000" w:rsidRDefault="0094004B">
      <w:pPr>
        <w:divId w:val="545682049"/>
        <w:rPr>
          <w:rFonts w:eastAsia="Times New Roman"/>
        </w:rPr>
      </w:pPr>
      <w:r>
        <w:rPr>
          <w:rFonts w:eastAsia="Times New Roman"/>
          <w:b/>
          <w:bCs/>
          <w:color w:val="000000"/>
          <w:sz w:val="20"/>
          <w:szCs w:val="20"/>
        </w:rPr>
        <w:t>Segment Results and Reconciliation</w:t>
      </w:r>
    </w:p>
    <w:p w:rsidR="00000000" w:rsidRDefault="0094004B">
      <w:pPr>
        <w:jc w:val="both"/>
        <w:divId w:val="1738162873"/>
        <w:rPr>
          <w:rFonts w:eastAsia="Times New Roman"/>
        </w:rPr>
      </w:pPr>
      <w:r>
        <w:rPr>
          <w:rFonts w:eastAsia="Times New Roman"/>
          <w:color w:val="000000"/>
          <w:sz w:val="20"/>
          <w:szCs w:val="20"/>
        </w:rPr>
        <w:t>We</w:t>
      </w:r>
      <w:r>
        <w:rPr>
          <w:rFonts w:eastAsia="Times New Roman"/>
          <w:color w:val="000000"/>
          <w:sz w:val="20"/>
          <w:szCs w:val="20"/>
        </w:rPr>
        <w:t xml:space="preserve"> may periodically change our business segments or reclassify business segment results based on modifications to our management reporting methodologies or changes in organizational alignment. The following table presents our business segment results for the</w:t>
      </w:r>
      <w:r>
        <w:rPr>
          <w:rFonts w:eastAsia="Times New Roman"/>
          <w:color w:val="000000"/>
          <w:sz w:val="20"/>
          <w:szCs w:val="20"/>
        </w:rPr>
        <w:t xml:space="preserve"> years ended December 31, 2022, 2021 and 2020, selected balance sheet data as of December 31, 2022 and 2021, and a reconciliation of our total business segment results to our reported consolidated income from continuing operations, loans held for investmen</w:t>
      </w:r>
      <w:r>
        <w:rPr>
          <w:rFonts w:eastAsia="Times New Roman"/>
          <w:color w:val="000000"/>
          <w:sz w:val="20"/>
          <w:szCs w:val="20"/>
        </w:rPr>
        <w:t>t and deposits.</w:t>
      </w:r>
    </w:p>
    <w:p w:rsidR="00000000" w:rsidRDefault="0094004B">
      <w:pPr>
        <w:divId w:val="331757025"/>
        <w:rPr>
          <w:rFonts w:eastAsia="Times New Roman"/>
        </w:rPr>
      </w:pPr>
      <w:r>
        <w:rPr>
          <w:rFonts w:eastAsia="Times New Roman"/>
          <w:b/>
          <w:bCs/>
          <w:color w:val="000000"/>
          <w:sz w:val="18"/>
          <w:szCs w:val="18"/>
        </w:rPr>
        <w:t>Table 17.1: Segment Results and Reconciliation</w:t>
      </w:r>
    </w:p>
    <w:tbl>
      <w:tblPr>
        <w:tblW w:w="4992" w:type="pct"/>
        <w:tblCellMar>
          <w:top w:w="15" w:type="dxa"/>
          <w:left w:w="15" w:type="dxa"/>
          <w:bottom w:w="15" w:type="dxa"/>
          <w:right w:w="15" w:type="dxa"/>
        </w:tblCellMar>
        <w:tblLook w:val="04A0" w:firstRow="1" w:lastRow="0" w:firstColumn="1" w:lastColumn="0" w:noHBand="0" w:noVBand="1"/>
      </w:tblPr>
      <w:tblGrid>
        <w:gridCol w:w="56"/>
        <w:gridCol w:w="3760"/>
        <w:gridCol w:w="36"/>
        <w:gridCol w:w="36"/>
        <w:gridCol w:w="36"/>
        <w:gridCol w:w="36"/>
        <w:gridCol w:w="36"/>
        <w:gridCol w:w="709"/>
        <w:gridCol w:w="36"/>
        <w:gridCol w:w="36"/>
        <w:gridCol w:w="36"/>
        <w:gridCol w:w="36"/>
        <w:gridCol w:w="38"/>
        <w:gridCol w:w="697"/>
        <w:gridCol w:w="36"/>
        <w:gridCol w:w="36"/>
        <w:gridCol w:w="36"/>
        <w:gridCol w:w="36"/>
        <w:gridCol w:w="38"/>
        <w:gridCol w:w="759"/>
        <w:gridCol w:w="36"/>
        <w:gridCol w:w="36"/>
        <w:gridCol w:w="36"/>
        <w:gridCol w:w="36"/>
        <w:gridCol w:w="38"/>
        <w:gridCol w:w="659"/>
        <w:gridCol w:w="36"/>
        <w:gridCol w:w="36"/>
        <w:gridCol w:w="36"/>
        <w:gridCol w:w="36"/>
        <w:gridCol w:w="38"/>
        <w:gridCol w:w="709"/>
        <w:gridCol w:w="36"/>
      </w:tblGrid>
      <w:tr w:rsidR="00000000">
        <w:trPr>
          <w:divId w:val="331757025"/>
        </w:trPr>
        <w:tc>
          <w:tcPr>
            <w:tcW w:w="50" w:type="pct"/>
            <w:vAlign w:val="center"/>
            <w:hideMark/>
          </w:tcPr>
          <w:p w:rsidR="00000000" w:rsidRDefault="0094004B">
            <w:pPr>
              <w:rPr>
                <w:rFonts w:eastAsia="Times New Roman"/>
              </w:rPr>
            </w:pPr>
          </w:p>
        </w:tc>
        <w:tc>
          <w:tcPr>
            <w:tcW w:w="2280"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4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3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7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1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4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331757025"/>
          <w:trHeight w:val="60"/>
        </w:trPr>
        <w:tc>
          <w:tcPr>
            <w:tcW w:w="0" w:type="auto"/>
            <w:gridSpan w:val="33"/>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331757025"/>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331757025"/>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331757025"/>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331757025"/>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331757025"/>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331757025"/>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331757025"/>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331757025"/>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331757025"/>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331757025"/>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331757025"/>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331757025"/>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bl>
    <w:tbl>
      <w:tblPr>
        <w:tblW w:w="4992" w:type="pct"/>
        <w:tblCellMar>
          <w:top w:w="15" w:type="dxa"/>
          <w:left w:w="15" w:type="dxa"/>
          <w:bottom w:w="15" w:type="dxa"/>
          <w:right w:w="15" w:type="dxa"/>
        </w:tblCellMar>
        <w:tblLook w:val="04A0" w:firstRow="1" w:lastRow="0" w:firstColumn="1" w:lastColumn="0" w:noHBand="0" w:noVBand="1"/>
      </w:tblPr>
      <w:tblGrid>
        <w:gridCol w:w="144"/>
        <w:gridCol w:w="3781"/>
        <w:gridCol w:w="144"/>
        <w:gridCol w:w="144"/>
        <w:gridCol w:w="144"/>
        <w:gridCol w:w="144"/>
        <w:gridCol w:w="144"/>
        <w:gridCol w:w="733"/>
        <w:gridCol w:w="144"/>
        <w:gridCol w:w="144"/>
        <w:gridCol w:w="144"/>
        <w:gridCol w:w="144"/>
        <w:gridCol w:w="144"/>
        <w:gridCol w:w="721"/>
        <w:gridCol w:w="144"/>
        <w:gridCol w:w="144"/>
        <w:gridCol w:w="144"/>
        <w:gridCol w:w="144"/>
        <w:gridCol w:w="144"/>
        <w:gridCol w:w="782"/>
        <w:gridCol w:w="144"/>
        <w:gridCol w:w="144"/>
        <w:gridCol w:w="144"/>
        <w:gridCol w:w="144"/>
        <w:gridCol w:w="144"/>
        <w:gridCol w:w="684"/>
        <w:gridCol w:w="144"/>
        <w:gridCol w:w="144"/>
        <w:gridCol w:w="144"/>
        <w:gridCol w:w="144"/>
        <w:gridCol w:w="144"/>
        <w:gridCol w:w="733"/>
        <w:gridCol w:w="144"/>
      </w:tblGrid>
      <w:tr w:rsidR="00000000">
        <w:tc>
          <w:tcPr>
            <w:tcW w:w="50" w:type="pct"/>
            <w:vAlign w:val="center"/>
            <w:hideMark/>
          </w:tcPr>
          <w:p w:rsidR="00000000" w:rsidRDefault="0094004B">
            <w:pPr>
              <w:rPr>
                <w:rFonts w:eastAsia="Times New Roman"/>
              </w:rPr>
            </w:pPr>
          </w:p>
        </w:tc>
        <w:tc>
          <w:tcPr>
            <w:tcW w:w="2280"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4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3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7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1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4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Year Ended December 31, 2022</w:t>
            </w:r>
          </w:p>
        </w:tc>
      </w:tr>
      <w:tr w:rsidR="00000000">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Commercial Bankin</w:t>
            </w:r>
            <w:r>
              <w:rPr>
                <w:rFonts w:eastAsia="Times New Roman"/>
                <w:b/>
                <w:bCs/>
                <w:color w:val="000000"/>
                <w:sz w:val="16"/>
                <w:szCs w:val="16"/>
              </w:rPr>
              <w:t>g</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Othe</w:t>
            </w:r>
            <w:r>
              <w:rPr>
                <w:rFonts w:eastAsia="Times New Roman"/>
                <w:b/>
                <w:bCs/>
                <w:color w:val="000000"/>
                <w:sz w:val="16"/>
                <w:szCs w:val="16"/>
              </w:rPr>
              <w:t>r</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Consolidated Total</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Net interest income (loss)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16,584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8,965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2,461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(896)</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27,114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Non-interest income (loss)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5,771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469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1,129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(233)</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7,136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divId w:val="587928432"/>
              <w:rPr>
                <w:rFonts w:eastAsia="Times New Roman"/>
              </w:rPr>
            </w:pPr>
            <w:r>
              <w:rPr>
                <w:rFonts w:eastAsia="Times New Roman"/>
                <w:color w:val="000000"/>
                <w:sz w:val="18"/>
                <w:szCs w:val="18"/>
              </w:rPr>
              <w:t>Total net revenue (loss</w:t>
            </w:r>
            <w:r>
              <w:rPr>
                <w:rFonts w:eastAsia="Times New Roman"/>
                <w:color w:val="000000"/>
                <w:sz w:val="18"/>
                <w:szCs w:val="18"/>
              </w:rPr>
              <w: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22,355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9,434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3,590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(1,129)</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34,250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Provision (benefit) for credit losses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4,265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1,173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415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(6)</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5,847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Non-interest expense</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11,627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5,312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2,070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154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19,163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Income (loss) from continuing operations before income taxes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6,463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2,949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1,105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(1,277)</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9,240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Income tax provision (benefit)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1,536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699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262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(617)</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1,880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Income (loss) from continuing operations, net of tax</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4,927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2,250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843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(660)</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7,360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137,730</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79,925</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94,676</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312,331</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Deposits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270,592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40,808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21,592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332,992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bl>
    <w:p w:rsidR="00000000" w:rsidRDefault="0094004B">
      <w:pPr>
        <w:jc w:val="both"/>
        <w:divId w:val="650525520"/>
        <w:rPr>
          <w:rFonts w:eastAsia="Times New Roman"/>
          <w:vanish/>
        </w:rPr>
      </w:pPr>
    </w:p>
    <w:tbl>
      <w:tblPr>
        <w:tblW w:w="4992" w:type="pct"/>
        <w:tblCellMar>
          <w:top w:w="15" w:type="dxa"/>
          <w:left w:w="15" w:type="dxa"/>
          <w:bottom w:w="15" w:type="dxa"/>
          <w:right w:w="15" w:type="dxa"/>
        </w:tblCellMar>
        <w:tblLook w:val="04A0" w:firstRow="1" w:lastRow="0" w:firstColumn="1" w:lastColumn="0" w:noHBand="0" w:noVBand="1"/>
      </w:tblPr>
      <w:tblGrid>
        <w:gridCol w:w="56"/>
        <w:gridCol w:w="3760"/>
        <w:gridCol w:w="36"/>
        <w:gridCol w:w="36"/>
        <w:gridCol w:w="36"/>
        <w:gridCol w:w="36"/>
        <w:gridCol w:w="36"/>
        <w:gridCol w:w="709"/>
        <w:gridCol w:w="36"/>
        <w:gridCol w:w="36"/>
        <w:gridCol w:w="36"/>
        <w:gridCol w:w="36"/>
        <w:gridCol w:w="38"/>
        <w:gridCol w:w="697"/>
        <w:gridCol w:w="36"/>
        <w:gridCol w:w="36"/>
        <w:gridCol w:w="36"/>
        <w:gridCol w:w="36"/>
        <w:gridCol w:w="38"/>
        <w:gridCol w:w="759"/>
        <w:gridCol w:w="36"/>
        <w:gridCol w:w="36"/>
        <w:gridCol w:w="36"/>
        <w:gridCol w:w="36"/>
        <w:gridCol w:w="38"/>
        <w:gridCol w:w="659"/>
        <w:gridCol w:w="36"/>
        <w:gridCol w:w="36"/>
        <w:gridCol w:w="36"/>
        <w:gridCol w:w="36"/>
        <w:gridCol w:w="38"/>
        <w:gridCol w:w="709"/>
        <w:gridCol w:w="36"/>
      </w:tblGrid>
      <w:tr w:rsidR="00000000">
        <w:trPr>
          <w:divId w:val="650525520"/>
        </w:trPr>
        <w:tc>
          <w:tcPr>
            <w:tcW w:w="50" w:type="pct"/>
            <w:vAlign w:val="center"/>
            <w:hideMark/>
          </w:tcPr>
          <w:p w:rsidR="00000000" w:rsidRDefault="0094004B">
            <w:pPr>
              <w:rPr>
                <w:rFonts w:eastAsia="Times New Roman"/>
              </w:rPr>
            </w:pPr>
          </w:p>
        </w:tc>
        <w:tc>
          <w:tcPr>
            <w:tcW w:w="2280"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4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3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7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1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4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650525520"/>
          <w:trHeight w:val="60"/>
        </w:trPr>
        <w:tc>
          <w:tcPr>
            <w:tcW w:w="0" w:type="auto"/>
            <w:gridSpan w:val="33"/>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650525520"/>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650525520"/>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650525520"/>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650525520"/>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650525520"/>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650525520"/>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650525520"/>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650525520"/>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650525520"/>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650525520"/>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650525520"/>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650525520"/>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bl>
    <w:p w:rsidR="00000000" w:rsidRDefault="0094004B">
      <w:pPr>
        <w:jc w:val="both"/>
        <w:divId w:val="650525520"/>
        <w:rPr>
          <w:rFonts w:eastAsia="Times New Roman"/>
        </w:rPr>
      </w:pPr>
      <w:r>
        <w:rPr>
          <w:rFonts w:eastAsia="Times New Roman"/>
          <w:color w:val="000000"/>
          <w:sz w:val="20"/>
          <w:szCs w:val="20"/>
        </w:rPr>
        <w:t>                                                                                                                                                              </w:t>
      </w:r>
      <w:r>
        <w:rPr>
          <w:rFonts w:eastAsia="Times New Roman"/>
          <w:color w:val="000000"/>
          <w:sz w:val="20"/>
          <w:szCs w:val="20"/>
        </w:rPr>
        <w:t>                                                                                                                                                                                                                                                                </w:t>
      </w:r>
      <w:r>
        <w:rPr>
          <w:rFonts w:eastAsia="Times New Roman"/>
          <w:color w:val="000000"/>
          <w:sz w:val="20"/>
          <w:szCs w:val="20"/>
        </w:rPr>
        <w:t>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2095931431"/>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2095931431"/>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2095931431"/>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198</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224" style="width:0;height:1.5pt" o:hralign="center" o:hrstd="t" o:hr="t" fillcolor="#a0a0a0" stroked="f"/>
        </w:pict>
      </w:r>
    </w:p>
    <w:p w:rsidR="00000000" w:rsidRDefault="0094004B">
      <w:pPr>
        <w:jc w:val="both"/>
        <w:divId w:val="643433543"/>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643433543"/>
        <w:rPr>
          <w:rFonts w:eastAsia="Times New Roman"/>
        </w:rPr>
      </w:pPr>
    </w:p>
    <w:p w:rsidR="00000000" w:rsidRDefault="0094004B">
      <w:pPr>
        <w:jc w:val="center"/>
        <w:divId w:val="643433543"/>
        <w:rPr>
          <w:rFonts w:eastAsia="Times New Roman"/>
        </w:rPr>
      </w:pPr>
      <w:r>
        <w:rPr>
          <w:rFonts w:eastAsia="Times New Roman"/>
          <w:b/>
          <w:bCs/>
          <w:color w:val="000000"/>
          <w:sz w:val="20"/>
          <w:szCs w:val="20"/>
        </w:rPr>
        <w:t>CAPITAL ONE FINANCIAL CORPORATION</w:t>
      </w:r>
    </w:p>
    <w:p w:rsidR="00000000" w:rsidRDefault="0094004B">
      <w:pPr>
        <w:jc w:val="center"/>
        <w:divId w:val="643433543"/>
        <w:rPr>
          <w:rFonts w:eastAsia="Times New Roman"/>
        </w:rPr>
      </w:pPr>
      <w:r>
        <w:rPr>
          <w:rFonts w:eastAsia="Times New Roman"/>
          <w:b/>
          <w:bCs/>
          <w:color w:val="000000"/>
          <w:sz w:val="20"/>
          <w:szCs w:val="20"/>
        </w:rPr>
        <w:t>NOTES TO CONSOLIDATED FINANCIAL STATEMENTS</w:t>
      </w:r>
    </w:p>
    <w:tbl>
      <w:tblPr>
        <w:tblW w:w="4992" w:type="pct"/>
        <w:tblCellMar>
          <w:top w:w="15" w:type="dxa"/>
          <w:left w:w="15" w:type="dxa"/>
          <w:bottom w:w="15" w:type="dxa"/>
          <w:right w:w="15" w:type="dxa"/>
        </w:tblCellMar>
        <w:tblLook w:val="04A0" w:firstRow="1" w:lastRow="0" w:firstColumn="1" w:lastColumn="0" w:noHBand="0" w:noVBand="1"/>
      </w:tblPr>
      <w:tblGrid>
        <w:gridCol w:w="38"/>
        <w:gridCol w:w="3520"/>
        <w:gridCol w:w="37"/>
        <w:gridCol w:w="36"/>
        <w:gridCol w:w="36"/>
        <w:gridCol w:w="36"/>
        <w:gridCol w:w="110"/>
        <w:gridCol w:w="630"/>
        <w:gridCol w:w="36"/>
        <w:gridCol w:w="36"/>
        <w:gridCol w:w="36"/>
        <w:gridCol w:w="36"/>
        <w:gridCol w:w="111"/>
        <w:gridCol w:w="668"/>
        <w:gridCol w:w="36"/>
        <w:gridCol w:w="36"/>
        <w:gridCol w:w="36"/>
        <w:gridCol w:w="36"/>
        <w:gridCol w:w="111"/>
        <w:gridCol w:w="793"/>
        <w:gridCol w:w="36"/>
        <w:gridCol w:w="36"/>
        <w:gridCol w:w="36"/>
        <w:gridCol w:w="36"/>
        <w:gridCol w:w="111"/>
        <w:gridCol w:w="499"/>
        <w:gridCol w:w="36"/>
        <w:gridCol w:w="36"/>
        <w:gridCol w:w="36"/>
        <w:gridCol w:w="36"/>
        <w:gridCol w:w="111"/>
        <w:gridCol w:w="834"/>
        <w:gridCol w:w="36"/>
      </w:tblGrid>
      <w:tr w:rsidR="00000000">
        <w:trPr>
          <w:divId w:val="648439646"/>
        </w:trPr>
        <w:tc>
          <w:tcPr>
            <w:tcW w:w="50" w:type="pct"/>
            <w:vAlign w:val="center"/>
            <w:hideMark/>
          </w:tcPr>
          <w:p w:rsidR="00000000" w:rsidRDefault="0094004B">
            <w:pPr>
              <w:jc w:val="center"/>
              <w:rPr>
                <w:rFonts w:eastAsia="Times New Roman"/>
              </w:rPr>
            </w:pPr>
          </w:p>
        </w:tc>
        <w:tc>
          <w:tcPr>
            <w:tcW w:w="2280"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4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3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7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1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4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648439646"/>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Year Ended December 31, 2021</w:t>
            </w:r>
          </w:p>
        </w:tc>
      </w:tr>
      <w:tr w:rsidR="00000000">
        <w:trPr>
          <w:divId w:val="648439646"/>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Commercial Bankin</w:t>
            </w:r>
            <w:r>
              <w:rPr>
                <w:rFonts w:eastAsia="Times New Roman"/>
                <w:b/>
                <w:bCs/>
                <w:color w:val="000000"/>
                <w:sz w:val="16"/>
                <w:szCs w:val="16"/>
              </w:rPr>
              <w:t>g</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Othe</w:t>
            </w:r>
            <w:r>
              <w:rPr>
                <w:rFonts w:eastAsia="Times New Roman"/>
                <w:b/>
                <w:bCs/>
                <w:color w:val="000000"/>
                <w:sz w:val="16"/>
                <w:szCs w:val="16"/>
              </w:rPr>
              <w:t>r</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Consolidated Total</w:t>
            </w:r>
          </w:p>
        </w:tc>
      </w:tr>
      <w:tr w:rsidR="00000000">
        <w:trPr>
          <w:divId w:val="648439646"/>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Net interest income (loss)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14,074 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8,448 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2,153 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(504)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24,171 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648439646"/>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Non-interest income (loss)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4,806 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554 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1,148 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(244)</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6,264 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648439646"/>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divId w:val="355542228"/>
              <w:rPr>
                <w:rFonts w:eastAsia="Times New Roman"/>
              </w:rPr>
            </w:pPr>
            <w:r>
              <w:rPr>
                <w:rFonts w:eastAsia="Times New Roman"/>
                <w:color w:val="000000"/>
                <w:sz w:val="18"/>
                <w:szCs w:val="18"/>
              </w:rPr>
              <w:t>Total net revenue (loss</w:t>
            </w:r>
            <w:r>
              <w:rPr>
                <w:rFonts w:eastAsia="Times New Roman"/>
                <w:color w:val="000000"/>
                <w:sz w:val="18"/>
                <w:szCs w:val="18"/>
              </w:rPr>
              <w: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18,880 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9,002 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3,301 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(748)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30,435 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648439646"/>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Benefit for credit losses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(902)</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(521)</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(519)</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(1,944)</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648439646"/>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Non-interest expense</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9,621 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4,711 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1,815 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423 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16,570 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648439646"/>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Income (loss) from continuing operations before income taxes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10,161 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4,812 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2,005 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(1,169)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15,809 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648439646"/>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Income tax provision (benefit)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2,403 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1,136 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473 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(597)</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3,415 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648439646"/>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Income (loss) from continuing operations, net of tax</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7,758 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3,676 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1,532 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(572)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12,394 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648439646"/>
        </w:trPr>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114,772 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77,646 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84,922 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277,340 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648439646"/>
        </w:trPr>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Deposits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256,407 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44,809 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9,764 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310,980 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bl>
    <w:tbl>
      <w:tblPr>
        <w:tblW w:w="4992" w:type="pct"/>
        <w:tblCellMar>
          <w:top w:w="15" w:type="dxa"/>
          <w:left w:w="15" w:type="dxa"/>
          <w:bottom w:w="15" w:type="dxa"/>
          <w:right w:w="15" w:type="dxa"/>
        </w:tblCellMar>
        <w:tblLook w:val="04A0" w:firstRow="1" w:lastRow="0" w:firstColumn="1" w:lastColumn="0" w:noHBand="0" w:noVBand="1"/>
      </w:tblPr>
      <w:tblGrid>
        <w:gridCol w:w="144"/>
        <w:gridCol w:w="3781"/>
        <w:gridCol w:w="144"/>
        <w:gridCol w:w="144"/>
        <w:gridCol w:w="144"/>
        <w:gridCol w:w="144"/>
        <w:gridCol w:w="144"/>
        <w:gridCol w:w="733"/>
        <w:gridCol w:w="144"/>
        <w:gridCol w:w="144"/>
        <w:gridCol w:w="144"/>
        <w:gridCol w:w="144"/>
        <w:gridCol w:w="144"/>
        <w:gridCol w:w="721"/>
        <w:gridCol w:w="144"/>
        <w:gridCol w:w="144"/>
        <w:gridCol w:w="144"/>
        <w:gridCol w:w="144"/>
        <w:gridCol w:w="144"/>
        <w:gridCol w:w="782"/>
        <w:gridCol w:w="144"/>
        <w:gridCol w:w="144"/>
        <w:gridCol w:w="144"/>
        <w:gridCol w:w="144"/>
        <w:gridCol w:w="144"/>
        <w:gridCol w:w="684"/>
        <w:gridCol w:w="144"/>
        <w:gridCol w:w="144"/>
        <w:gridCol w:w="144"/>
        <w:gridCol w:w="144"/>
        <w:gridCol w:w="144"/>
        <w:gridCol w:w="733"/>
        <w:gridCol w:w="144"/>
      </w:tblGrid>
      <w:tr w:rsidR="00000000">
        <w:tc>
          <w:tcPr>
            <w:tcW w:w="50" w:type="pct"/>
            <w:vAlign w:val="center"/>
            <w:hideMark/>
          </w:tcPr>
          <w:p w:rsidR="00000000" w:rsidRDefault="0094004B">
            <w:pPr>
              <w:jc w:val="both"/>
              <w:rPr>
                <w:rFonts w:eastAsia="Times New Roman"/>
              </w:rPr>
            </w:pPr>
          </w:p>
        </w:tc>
        <w:tc>
          <w:tcPr>
            <w:tcW w:w="2280"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4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3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7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1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4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Year Ended December 31, 2020</w:t>
            </w:r>
          </w:p>
        </w:tc>
      </w:tr>
      <w:tr w:rsidR="00000000">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Commercial Bankin</w:t>
            </w:r>
            <w:r>
              <w:rPr>
                <w:rFonts w:eastAsia="Times New Roman"/>
                <w:b/>
                <w:bCs/>
                <w:color w:val="000000"/>
                <w:sz w:val="16"/>
                <w:szCs w:val="16"/>
              </w:rPr>
              <w:t>g</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Othe</w:t>
            </w:r>
            <w:r>
              <w:rPr>
                <w:rFonts w:eastAsia="Times New Roman"/>
                <w:b/>
                <w:bCs/>
                <w:color w:val="000000"/>
                <w:sz w:val="16"/>
                <w:szCs w:val="16"/>
              </w:rPr>
              <w:t>r</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Consolidated Total</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Net interest income (loss)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13,776 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7,238 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2,048 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(149)</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22,913 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Non-interest income</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3,823 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466 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923 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398 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5,610 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divId w:val="713308420"/>
              <w:rPr>
                <w:rFonts w:eastAsia="Times New Roman"/>
              </w:rPr>
            </w:pPr>
            <w:r>
              <w:rPr>
                <w:rFonts w:eastAsia="Times New Roman"/>
                <w:color w:val="000000"/>
                <w:sz w:val="18"/>
                <w:szCs w:val="18"/>
              </w:rPr>
              <w:t>Total net revenu</w:t>
            </w:r>
            <w:r>
              <w:rPr>
                <w:rFonts w:eastAsia="Times New Roman"/>
                <w:color w:val="000000"/>
                <w:sz w:val="18"/>
                <w:szCs w:val="18"/>
              </w:rPr>
              <w:t>e</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17,599 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7,704 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2,971 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249 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28,523 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Provision for credit losses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7,327 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1,753 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1,181 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10,264 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Non-interest expense</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8,491 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4,159 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1,706 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700 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15,056 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Income (loss) from continuing operations before income taxes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1,781 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1,792 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84 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(454)</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3,203 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Income tax provision (benefit)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420 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425 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19 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(378)</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486 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Income (loss) from continuing operations, net of tax</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1,361 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1,367 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65 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(76)</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2,717 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106,956 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68,888 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75,780 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251,624 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Deposits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249,815 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39,590 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16,037 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305,442 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bl>
    <w:p w:rsidR="00000000" w:rsidRDefault="0094004B">
      <w:pPr>
        <w:jc w:val="both"/>
        <w:rPr>
          <w:rFonts w:eastAsia="Times New Roman"/>
        </w:rPr>
      </w:pPr>
      <w:r>
        <w:rPr>
          <w:rFonts w:eastAsia="Times New Roman"/>
          <w:color w:val="000000"/>
          <w:sz w:val="20"/>
          <w:szCs w:val="20"/>
        </w:rPr>
        <w:t>__________</w:t>
      </w:r>
    </w:p>
    <w:p w:rsidR="00000000" w:rsidRDefault="0094004B">
      <w:pPr>
        <w:ind w:hanging="360"/>
        <w:jc w:val="both"/>
        <w:divId w:val="2069188820"/>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Some of </w:t>
      </w:r>
      <w:r>
        <w:rPr>
          <w:rFonts w:eastAsia="Times New Roman"/>
          <w:color w:val="000000"/>
          <w:sz w:val="16"/>
          <w:szCs w:val="16"/>
        </w:rPr>
        <w:t>our commercial investments generate tax-exempt income, tax credits or other tax benefits. Accordingly, we present our Commercial Banking revenue and yields on a taxable-equivalent basis, calculated using the federal statutory tax rate of 21% and state taxe</w:t>
      </w:r>
      <w:r>
        <w:rPr>
          <w:rFonts w:eastAsia="Times New Roman"/>
          <w:color w:val="000000"/>
          <w:sz w:val="16"/>
          <w:szCs w:val="16"/>
        </w:rPr>
        <w:t>s where applicable, with offsetting reductions to the Other category.</w:t>
      </w:r>
    </w:p>
    <w:p w:rsidR="00000000" w:rsidRDefault="0094004B">
      <w:pPr>
        <w:ind w:hanging="360"/>
        <w:jc w:val="both"/>
        <w:divId w:val="1882399611"/>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Total net revenue was reduced by $946 million, $629 million and $1.1 billion for the years ended December 31, 2022, 2021 and 2020, respectively, for credit card finance charges and fe</w:t>
      </w:r>
      <w:r>
        <w:rPr>
          <w:rFonts w:eastAsia="Times New Roman"/>
          <w:color w:val="000000"/>
          <w:sz w:val="16"/>
          <w:szCs w:val="16"/>
        </w:rPr>
        <w:t>es charged off as uncollectible.</w:t>
      </w:r>
    </w:p>
    <w:p w:rsidR="00000000" w:rsidRDefault="0094004B">
      <w:pPr>
        <w:divId w:val="824737565"/>
        <w:rPr>
          <w:rFonts w:eastAsia="Times New Roman"/>
        </w:rPr>
      </w:pPr>
      <w:r>
        <w:rPr>
          <w:rFonts w:eastAsia="Times New Roman"/>
          <w:b/>
          <w:bCs/>
          <w:color w:val="000000"/>
          <w:sz w:val="20"/>
          <w:szCs w:val="20"/>
        </w:rPr>
        <w:t>Revenue from Contracts with Customers</w:t>
      </w:r>
    </w:p>
    <w:p w:rsidR="00000000" w:rsidRDefault="0094004B">
      <w:pPr>
        <w:jc w:val="both"/>
        <w:rPr>
          <w:rFonts w:eastAsia="Times New Roman"/>
        </w:rPr>
      </w:pPr>
      <w:r>
        <w:rPr>
          <w:rFonts w:eastAsia="Times New Roman"/>
          <w:color w:val="000000"/>
          <w:sz w:val="20"/>
          <w:szCs w:val="20"/>
        </w:rPr>
        <w:t>The majority of our revenue from contracts with customers consists of interchange fees, service charges and other customer-related fees, and other contract revenue. Interchange fees are</w:t>
      </w:r>
      <w:r>
        <w:rPr>
          <w:rFonts w:eastAsia="Times New Roman"/>
          <w:color w:val="000000"/>
          <w:sz w:val="20"/>
          <w:szCs w:val="20"/>
        </w:rPr>
        <w:t xml:space="preserve"> primarily from our Credit Card business and are recognized upon settlement with the interchange networks, net of rewards earned by customers. Service charges and other customer-related fees within our Consumer Banking business are primarily related to fee</w:t>
      </w:r>
      <w:r>
        <w:rPr>
          <w:rFonts w:eastAsia="Times New Roman"/>
          <w:color w:val="000000"/>
          <w:sz w:val="20"/>
          <w:szCs w:val="20"/>
        </w:rPr>
        <w:t>s earned on consumer deposit accounts for account maintenance and various transaction-based services such as automated teller machine (“ATM”) usage. Service charges and other customer-related fees within our Commercial Banking business are mostly related t</w:t>
      </w:r>
      <w:r>
        <w:rPr>
          <w:rFonts w:eastAsia="Times New Roman"/>
          <w:color w:val="000000"/>
          <w:sz w:val="20"/>
          <w:szCs w:val="20"/>
        </w:rPr>
        <w:t>o fees earned on treasury management and capital markets services. Other contract revenue in our Credit Card business consists primarily of revenue from our partnership arrangements. Other contract revenue in our Consumer Banking business consists primaril</w:t>
      </w:r>
      <w:r>
        <w:rPr>
          <w:rFonts w:eastAsia="Times New Roman"/>
          <w:color w:val="000000"/>
          <w:sz w:val="20"/>
          <w:szCs w:val="20"/>
        </w:rPr>
        <w:t>y of revenue earned on certain marketing and promotional events from our auto dealers. Revenue from contracts with customers is included in non-interest income in our consolidated statements of income.</w:t>
      </w:r>
    </w:p>
    <w:p w:rsidR="00000000" w:rsidRDefault="0094004B">
      <w:pPr>
        <w:jc w:val="both"/>
        <w:rPr>
          <w:rFonts w:eastAsia="Times New Roman"/>
        </w:rPr>
      </w:pPr>
    </w:p>
    <w:p w:rsidR="00000000" w:rsidRDefault="0094004B">
      <w:pPr>
        <w:jc w:val="both"/>
        <w:rPr>
          <w:rFonts w:eastAsia="Times New Roman"/>
        </w:rPr>
      </w:pPr>
    </w:p>
    <w:p w:rsidR="00000000" w:rsidRDefault="0094004B">
      <w:pPr>
        <w:jc w:val="both"/>
        <w:rPr>
          <w:rFonts w:eastAsia="Times New Roman"/>
        </w:rPr>
      </w:pPr>
    </w:p>
    <w:p w:rsidR="00000000" w:rsidRDefault="0094004B">
      <w:pPr>
        <w:jc w:val="both"/>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615793480"/>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615793480"/>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615793480"/>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199</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225" style="width:0;height:1.5pt" o:hralign="center" o:hrstd="t" o:hr="t" fillcolor="#a0a0a0" stroked="f"/>
        </w:pict>
      </w:r>
    </w:p>
    <w:p w:rsidR="00000000" w:rsidRDefault="0094004B">
      <w:pPr>
        <w:jc w:val="both"/>
        <w:divId w:val="1355955310"/>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1355955310"/>
        <w:rPr>
          <w:rFonts w:eastAsia="Times New Roman"/>
        </w:rPr>
      </w:pPr>
    </w:p>
    <w:p w:rsidR="00000000" w:rsidRDefault="0094004B">
      <w:pPr>
        <w:jc w:val="center"/>
        <w:divId w:val="1355955310"/>
        <w:rPr>
          <w:rFonts w:eastAsia="Times New Roman"/>
        </w:rPr>
      </w:pPr>
      <w:r>
        <w:rPr>
          <w:rFonts w:eastAsia="Times New Roman"/>
          <w:b/>
          <w:bCs/>
          <w:color w:val="000000"/>
          <w:sz w:val="20"/>
          <w:szCs w:val="20"/>
        </w:rPr>
        <w:t>CAPITAL ONE FINANCIAL CORPORATION</w:t>
      </w:r>
    </w:p>
    <w:p w:rsidR="00000000" w:rsidRDefault="0094004B">
      <w:pPr>
        <w:jc w:val="center"/>
        <w:divId w:val="1355955310"/>
        <w:rPr>
          <w:rFonts w:eastAsia="Times New Roman"/>
        </w:rPr>
      </w:pPr>
      <w:r>
        <w:rPr>
          <w:rFonts w:eastAsia="Times New Roman"/>
          <w:b/>
          <w:bCs/>
          <w:color w:val="000000"/>
          <w:sz w:val="20"/>
          <w:szCs w:val="20"/>
        </w:rPr>
        <w:t>NOTES TO CONSOLIDATED FINANCIAL STATEMENTS</w:t>
      </w:r>
    </w:p>
    <w:p w:rsidR="00000000" w:rsidRDefault="0094004B">
      <w:pPr>
        <w:jc w:val="both"/>
        <w:rPr>
          <w:rFonts w:eastAsia="Times New Roman"/>
        </w:rPr>
      </w:pPr>
      <w:r>
        <w:rPr>
          <w:rFonts w:eastAsia="Times New Roman"/>
          <w:color w:val="000000"/>
          <w:sz w:val="20"/>
          <w:szCs w:val="20"/>
        </w:rPr>
        <w:t>The following table presents revenue from contracts with customers and a reconciliation to non-interest income by business segment for the years ended December 31, 2022, 2021 and 2020.</w:t>
      </w:r>
    </w:p>
    <w:p w:rsidR="00000000" w:rsidRDefault="0094004B">
      <w:pPr>
        <w:divId w:val="1516725510"/>
        <w:rPr>
          <w:rFonts w:eastAsia="Times New Roman"/>
        </w:rPr>
      </w:pPr>
      <w:r>
        <w:rPr>
          <w:rFonts w:eastAsia="Times New Roman"/>
          <w:b/>
          <w:bCs/>
          <w:color w:val="000000"/>
          <w:sz w:val="18"/>
          <w:szCs w:val="18"/>
        </w:rPr>
        <w:t>Table 17.2: Revenue from Con</w:t>
      </w:r>
      <w:r>
        <w:rPr>
          <w:rFonts w:eastAsia="Times New Roman"/>
          <w:b/>
          <w:bCs/>
          <w:color w:val="000000"/>
          <w:sz w:val="18"/>
          <w:szCs w:val="18"/>
        </w:rPr>
        <w:t>tracts with Customers and Reconciliation to Segment Results</w:t>
      </w:r>
    </w:p>
    <w:tbl>
      <w:tblPr>
        <w:tblW w:w="5000" w:type="pct"/>
        <w:tblCellMar>
          <w:top w:w="15" w:type="dxa"/>
          <w:left w:w="15" w:type="dxa"/>
          <w:bottom w:w="15" w:type="dxa"/>
          <w:right w:w="15" w:type="dxa"/>
        </w:tblCellMar>
        <w:tblLook w:val="04A0" w:firstRow="1" w:lastRow="0" w:firstColumn="1" w:lastColumn="0" w:noHBand="0" w:noVBand="1"/>
      </w:tblPr>
      <w:tblGrid>
        <w:gridCol w:w="56"/>
        <w:gridCol w:w="3772"/>
        <w:gridCol w:w="36"/>
        <w:gridCol w:w="36"/>
        <w:gridCol w:w="36"/>
        <w:gridCol w:w="36"/>
        <w:gridCol w:w="36"/>
        <w:gridCol w:w="697"/>
        <w:gridCol w:w="36"/>
        <w:gridCol w:w="36"/>
        <w:gridCol w:w="36"/>
        <w:gridCol w:w="36"/>
        <w:gridCol w:w="38"/>
        <w:gridCol w:w="697"/>
        <w:gridCol w:w="36"/>
        <w:gridCol w:w="36"/>
        <w:gridCol w:w="36"/>
        <w:gridCol w:w="36"/>
        <w:gridCol w:w="38"/>
        <w:gridCol w:w="697"/>
        <w:gridCol w:w="36"/>
        <w:gridCol w:w="36"/>
        <w:gridCol w:w="36"/>
        <w:gridCol w:w="36"/>
        <w:gridCol w:w="38"/>
        <w:gridCol w:w="697"/>
        <w:gridCol w:w="36"/>
        <w:gridCol w:w="36"/>
        <w:gridCol w:w="36"/>
        <w:gridCol w:w="36"/>
        <w:gridCol w:w="38"/>
        <w:gridCol w:w="746"/>
        <w:gridCol w:w="36"/>
      </w:tblGrid>
      <w:tr w:rsidR="00000000">
        <w:trPr>
          <w:divId w:val="836306876"/>
        </w:trPr>
        <w:tc>
          <w:tcPr>
            <w:tcW w:w="50" w:type="pct"/>
            <w:vAlign w:val="center"/>
            <w:hideMark/>
          </w:tcPr>
          <w:p w:rsidR="00000000" w:rsidRDefault="0094004B">
            <w:pPr>
              <w:rPr>
                <w:rFonts w:eastAsia="Times New Roman"/>
              </w:rPr>
            </w:pPr>
          </w:p>
        </w:tc>
        <w:tc>
          <w:tcPr>
            <w:tcW w:w="228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3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3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3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3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6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836306876"/>
          <w:trHeight w:val="60"/>
        </w:trPr>
        <w:tc>
          <w:tcPr>
            <w:tcW w:w="0" w:type="auto"/>
            <w:gridSpan w:val="33"/>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836306876"/>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rPr>
          <w:divId w:val="836306876"/>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836306876"/>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836306876"/>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836306876"/>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836306876"/>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836306876"/>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836306876"/>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836306876"/>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3794"/>
        <w:gridCol w:w="144"/>
        <w:gridCol w:w="144"/>
        <w:gridCol w:w="144"/>
        <w:gridCol w:w="144"/>
        <w:gridCol w:w="144"/>
        <w:gridCol w:w="720"/>
        <w:gridCol w:w="144"/>
        <w:gridCol w:w="144"/>
        <w:gridCol w:w="144"/>
        <w:gridCol w:w="144"/>
        <w:gridCol w:w="144"/>
        <w:gridCol w:w="720"/>
        <w:gridCol w:w="144"/>
        <w:gridCol w:w="144"/>
        <w:gridCol w:w="144"/>
        <w:gridCol w:w="144"/>
        <w:gridCol w:w="144"/>
        <w:gridCol w:w="720"/>
        <w:gridCol w:w="144"/>
        <w:gridCol w:w="144"/>
        <w:gridCol w:w="144"/>
        <w:gridCol w:w="144"/>
        <w:gridCol w:w="144"/>
        <w:gridCol w:w="720"/>
        <w:gridCol w:w="144"/>
        <w:gridCol w:w="144"/>
        <w:gridCol w:w="144"/>
        <w:gridCol w:w="144"/>
        <w:gridCol w:w="144"/>
        <w:gridCol w:w="770"/>
        <w:gridCol w:w="144"/>
      </w:tblGrid>
      <w:tr w:rsidR="00000000">
        <w:tc>
          <w:tcPr>
            <w:tcW w:w="50" w:type="pct"/>
            <w:vAlign w:val="center"/>
            <w:hideMark/>
          </w:tcPr>
          <w:p w:rsidR="00000000" w:rsidRDefault="0094004B">
            <w:pPr>
              <w:jc w:val="both"/>
              <w:rPr>
                <w:rFonts w:eastAsia="Times New Roman"/>
              </w:rPr>
            </w:pPr>
          </w:p>
        </w:tc>
        <w:tc>
          <w:tcPr>
            <w:tcW w:w="228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3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3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3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3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6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Year Ended December 31, 2022</w:t>
            </w:r>
          </w:p>
        </w:tc>
      </w:tr>
      <w:tr w:rsidR="00000000">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Commercial Bankin</w:t>
            </w:r>
            <w:r>
              <w:rPr>
                <w:rFonts w:eastAsia="Times New Roman"/>
                <w:b/>
                <w:bCs/>
                <w:color w:val="000000"/>
                <w:sz w:val="16"/>
                <w:szCs w:val="16"/>
              </w:rPr>
              <w:t>g</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Othe</w:t>
            </w:r>
            <w:r>
              <w:rPr>
                <w:rFonts w:eastAsia="Times New Roman"/>
                <w:b/>
                <w:bCs/>
                <w:color w:val="000000"/>
                <w:sz w:val="16"/>
                <w:szCs w:val="16"/>
              </w:rPr>
              <w:t>r</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Consolidated Total</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Contract revenue:</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divId w:val="986664022"/>
              <w:rPr>
                <w:rFonts w:eastAsia="Times New Roman"/>
              </w:rPr>
            </w:pPr>
            <w:r>
              <w:rPr>
                <w:rFonts w:eastAsia="Times New Roman"/>
                <w:color w:val="000000"/>
                <w:sz w:val="18"/>
                <w:szCs w:val="18"/>
              </w:rPr>
              <w:t>Interchange fees, ne</w:t>
            </w:r>
            <w:r>
              <w:rPr>
                <w:rFonts w:eastAsia="Times New Roman"/>
                <w:color w:val="000000"/>
                <w:sz w:val="18"/>
                <w:szCs w:val="18"/>
              </w:rPr>
              <w:t>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4,178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320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109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4,606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Service charges and other customer-related fees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91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236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327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395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74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484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Total contract revenue (loss)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4,573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485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361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5,417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Revenue (reduction) from other sources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1,198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(16)</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768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(231)</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1,719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Total non-interest income (loss)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5,771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469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1,129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(233)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7,136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bl>
    <w:p w:rsidR="00000000" w:rsidRDefault="0094004B">
      <w:pPr>
        <w:jc w:val="both"/>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3"/>
        <w:gridCol w:w="2817"/>
        <w:gridCol w:w="36"/>
        <w:gridCol w:w="36"/>
        <w:gridCol w:w="36"/>
        <w:gridCol w:w="36"/>
        <w:gridCol w:w="43"/>
        <w:gridCol w:w="614"/>
        <w:gridCol w:w="36"/>
        <w:gridCol w:w="36"/>
        <w:gridCol w:w="36"/>
        <w:gridCol w:w="36"/>
        <w:gridCol w:w="44"/>
        <w:gridCol w:w="1006"/>
        <w:gridCol w:w="36"/>
        <w:gridCol w:w="36"/>
        <w:gridCol w:w="36"/>
        <w:gridCol w:w="36"/>
        <w:gridCol w:w="44"/>
        <w:gridCol w:w="1338"/>
        <w:gridCol w:w="36"/>
        <w:gridCol w:w="36"/>
        <w:gridCol w:w="36"/>
        <w:gridCol w:w="36"/>
        <w:gridCol w:w="44"/>
        <w:gridCol w:w="519"/>
        <w:gridCol w:w="36"/>
        <w:gridCol w:w="36"/>
        <w:gridCol w:w="36"/>
        <w:gridCol w:w="36"/>
        <w:gridCol w:w="44"/>
        <w:gridCol w:w="994"/>
        <w:gridCol w:w="36"/>
      </w:tblGrid>
      <w:tr w:rsidR="00000000">
        <w:tc>
          <w:tcPr>
            <w:tcW w:w="50" w:type="pct"/>
            <w:vAlign w:val="center"/>
            <w:hideMark/>
          </w:tcPr>
          <w:p w:rsidR="00000000" w:rsidRDefault="0094004B">
            <w:pPr>
              <w:jc w:val="both"/>
              <w:rPr>
                <w:rFonts w:eastAsia="Times New Roman"/>
              </w:rPr>
            </w:pPr>
          </w:p>
        </w:tc>
        <w:tc>
          <w:tcPr>
            <w:tcW w:w="1718"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18"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9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18"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628"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18"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828"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18"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3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18"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621"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trHeight w:val="60"/>
        </w:trPr>
        <w:tc>
          <w:tcPr>
            <w:tcW w:w="0" w:type="auto"/>
            <w:gridSpan w:val="33"/>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c>
          <w:tcPr>
            <w:tcW w:w="0" w:type="auto"/>
            <w:vAlign w:val="center"/>
            <w:hideMark/>
          </w:tcPr>
          <w:p w:rsidR="00000000" w:rsidRDefault="0094004B">
            <w:pPr>
              <w:spacing w:after="100"/>
              <w:rPr>
                <w:rFonts w:eastAsia="Times New Roman"/>
                <w:sz w:val="20"/>
                <w:szCs w:val="20"/>
              </w:rPr>
            </w:pPr>
          </w:p>
        </w:tc>
      </w:tr>
      <w:tr w:rsidR="00000000">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bl>
    <w:p w:rsidR="00000000" w:rsidRDefault="0094004B">
      <w:pPr>
        <w:jc w:val="both"/>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3637"/>
        <w:gridCol w:w="38"/>
        <w:gridCol w:w="36"/>
        <w:gridCol w:w="36"/>
        <w:gridCol w:w="36"/>
        <w:gridCol w:w="110"/>
        <w:gridCol w:w="524"/>
        <w:gridCol w:w="36"/>
        <w:gridCol w:w="36"/>
        <w:gridCol w:w="36"/>
        <w:gridCol w:w="36"/>
        <w:gridCol w:w="111"/>
        <w:gridCol w:w="668"/>
        <w:gridCol w:w="36"/>
        <w:gridCol w:w="36"/>
        <w:gridCol w:w="36"/>
        <w:gridCol w:w="36"/>
        <w:gridCol w:w="111"/>
        <w:gridCol w:w="785"/>
        <w:gridCol w:w="36"/>
        <w:gridCol w:w="36"/>
        <w:gridCol w:w="36"/>
        <w:gridCol w:w="36"/>
        <w:gridCol w:w="111"/>
        <w:gridCol w:w="503"/>
        <w:gridCol w:w="36"/>
        <w:gridCol w:w="36"/>
        <w:gridCol w:w="36"/>
        <w:gridCol w:w="36"/>
        <w:gridCol w:w="111"/>
        <w:gridCol w:w="838"/>
        <w:gridCol w:w="36"/>
      </w:tblGrid>
      <w:tr w:rsidR="00000000">
        <w:tc>
          <w:tcPr>
            <w:tcW w:w="50" w:type="pct"/>
            <w:vAlign w:val="center"/>
            <w:hideMark/>
          </w:tcPr>
          <w:p w:rsidR="00000000" w:rsidRDefault="0094004B">
            <w:pPr>
              <w:jc w:val="both"/>
              <w:rPr>
                <w:rFonts w:eastAsia="Times New Roman"/>
              </w:rPr>
            </w:pPr>
          </w:p>
        </w:tc>
        <w:tc>
          <w:tcPr>
            <w:tcW w:w="228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3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3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3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3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6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Year Ended December 31, 2021</w:t>
            </w:r>
          </w:p>
        </w:tc>
      </w:tr>
      <w:tr w:rsidR="00000000">
        <w:tc>
          <w:tcPr>
            <w:tcW w:w="0" w:type="auto"/>
            <w:gridSpan w:val="3"/>
            <w:tcBorders>
              <w:bottom w:val="single" w:sz="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Commercial Bankin</w:t>
            </w:r>
            <w:r>
              <w:rPr>
                <w:rFonts w:eastAsia="Times New Roman"/>
                <w:b/>
                <w:bCs/>
                <w:color w:val="000000"/>
                <w:sz w:val="16"/>
                <w:szCs w:val="16"/>
              </w:rPr>
              <w:t>g</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Othe</w:t>
            </w:r>
            <w:r>
              <w:rPr>
                <w:rFonts w:eastAsia="Times New Roman"/>
                <w:b/>
                <w:bCs/>
                <w:color w:val="000000"/>
                <w:sz w:val="16"/>
                <w:szCs w:val="16"/>
              </w:rPr>
              <w:t>r</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Consolidated Total</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Contract revenue:</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divId w:val="1932421857"/>
              <w:rPr>
                <w:rFonts w:eastAsia="Times New Roman"/>
              </w:rPr>
            </w:pPr>
            <w:r>
              <w:rPr>
                <w:rFonts w:eastAsia="Times New Roman"/>
                <w:color w:val="000000"/>
                <w:sz w:val="18"/>
                <w:szCs w:val="18"/>
              </w:rPr>
              <w:t>Interchange fees, ne</w:t>
            </w:r>
            <w:r>
              <w:rPr>
                <w:rFonts w:eastAsia="Times New Roman"/>
                <w:color w:val="000000"/>
                <w:sz w:val="18"/>
                <w:szCs w:val="18"/>
              </w:rPr>
              <w:t>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3,497 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267 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96 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3,860 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Service charges and other customer-related fees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171 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287 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457 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383 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75 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5 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463 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 contract revenue (loss)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3,880 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513 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388 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4,780 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Revenue (reduction) from other sources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926 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41 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760 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(243)</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1,484 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 non-interest income (loss)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4,806 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554 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1,148 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(244)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6,264 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bl>
    <w:p w:rsidR="00000000" w:rsidRDefault="0094004B">
      <w:pPr>
        <w:jc w:val="both"/>
        <w:divId w:val="108063795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3637"/>
        <w:gridCol w:w="38"/>
        <w:gridCol w:w="36"/>
        <w:gridCol w:w="36"/>
        <w:gridCol w:w="36"/>
        <w:gridCol w:w="110"/>
        <w:gridCol w:w="524"/>
        <w:gridCol w:w="36"/>
        <w:gridCol w:w="36"/>
        <w:gridCol w:w="36"/>
        <w:gridCol w:w="36"/>
        <w:gridCol w:w="111"/>
        <w:gridCol w:w="668"/>
        <w:gridCol w:w="36"/>
        <w:gridCol w:w="36"/>
        <w:gridCol w:w="36"/>
        <w:gridCol w:w="36"/>
        <w:gridCol w:w="111"/>
        <w:gridCol w:w="785"/>
        <w:gridCol w:w="36"/>
        <w:gridCol w:w="36"/>
        <w:gridCol w:w="36"/>
        <w:gridCol w:w="36"/>
        <w:gridCol w:w="111"/>
        <w:gridCol w:w="503"/>
        <w:gridCol w:w="36"/>
        <w:gridCol w:w="36"/>
        <w:gridCol w:w="36"/>
        <w:gridCol w:w="36"/>
        <w:gridCol w:w="111"/>
        <w:gridCol w:w="838"/>
        <w:gridCol w:w="36"/>
      </w:tblGrid>
      <w:tr w:rsidR="00000000">
        <w:trPr>
          <w:divId w:val="1080637959"/>
        </w:trPr>
        <w:tc>
          <w:tcPr>
            <w:tcW w:w="50" w:type="pct"/>
            <w:vAlign w:val="center"/>
            <w:hideMark/>
          </w:tcPr>
          <w:p w:rsidR="00000000" w:rsidRDefault="0094004B">
            <w:pPr>
              <w:jc w:val="both"/>
              <w:rPr>
                <w:rFonts w:eastAsia="Times New Roman"/>
              </w:rPr>
            </w:pPr>
          </w:p>
        </w:tc>
        <w:tc>
          <w:tcPr>
            <w:tcW w:w="228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3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3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3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3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6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080637959"/>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Year Ended December 31, 2020</w:t>
            </w:r>
          </w:p>
        </w:tc>
      </w:tr>
      <w:tr w:rsidR="00000000">
        <w:trPr>
          <w:divId w:val="1080637959"/>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Commercial Bankin</w:t>
            </w:r>
            <w:r>
              <w:rPr>
                <w:rFonts w:eastAsia="Times New Roman"/>
                <w:b/>
                <w:bCs/>
                <w:color w:val="000000"/>
                <w:sz w:val="16"/>
                <w:szCs w:val="16"/>
              </w:rPr>
              <w:t>g</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Othe</w:t>
            </w:r>
            <w:r>
              <w:rPr>
                <w:rFonts w:eastAsia="Times New Roman"/>
                <w:b/>
                <w:bCs/>
                <w:color w:val="000000"/>
                <w:sz w:val="16"/>
                <w:szCs w:val="16"/>
              </w:rPr>
              <w:t>r</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Consolidated Total</w:t>
            </w:r>
          </w:p>
        </w:tc>
      </w:tr>
      <w:tr w:rsidR="00000000">
        <w:trPr>
          <w:divId w:val="1080637959"/>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Contract revenue:</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080637959"/>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divId w:val="729422929"/>
              <w:rPr>
                <w:rFonts w:eastAsia="Times New Roman"/>
              </w:rPr>
            </w:pPr>
            <w:r>
              <w:rPr>
                <w:rFonts w:eastAsia="Times New Roman"/>
                <w:color w:val="000000"/>
                <w:sz w:val="18"/>
                <w:szCs w:val="18"/>
              </w:rPr>
              <w:t>Interchange fees, ne</w:t>
            </w:r>
            <w:r>
              <w:rPr>
                <w:rFonts w:eastAsia="Times New Roman"/>
                <w:color w:val="000000"/>
                <w:sz w:val="18"/>
                <w:szCs w:val="18"/>
              </w:rPr>
              <w:t>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2,747 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209 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63 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3,017 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080637959"/>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Service charges and other customer-related fees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188 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175 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362 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080637959"/>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315 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39 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358 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080637959"/>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 contract revenue (loss)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3,062 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436 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242 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3,737 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080637959"/>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Revenue from other sources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761 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681 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401 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1,873 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080637959"/>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 non-interest income</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3,823 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466 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923 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398 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5,610 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bl>
    <w:p w:rsidR="00000000" w:rsidRDefault="0094004B">
      <w:pPr>
        <w:jc w:val="both"/>
        <w:divId w:val="1080637959"/>
        <w:rPr>
          <w:rFonts w:eastAsia="Times New Roman"/>
        </w:rPr>
      </w:pPr>
      <w:r>
        <w:rPr>
          <w:rFonts w:eastAsia="Times New Roman"/>
          <w:color w:val="000000"/>
          <w:sz w:val="20"/>
          <w:szCs w:val="20"/>
        </w:rPr>
        <w:t>__________</w:t>
      </w:r>
    </w:p>
    <w:p w:rsidR="00000000" w:rsidRDefault="0094004B">
      <w:pPr>
        <w:ind w:hanging="360"/>
        <w:jc w:val="both"/>
        <w:divId w:val="1155606912"/>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Some of our commercial investments generate tax-exempt income, tax credits or other tax benefits. Accordingly, we present our Commercial Banking revenue and yields on a taxable-equivalent basis, calculated using the federal statutory tax ra</w:t>
      </w:r>
      <w:r>
        <w:rPr>
          <w:rFonts w:eastAsia="Times New Roman"/>
          <w:color w:val="000000"/>
          <w:sz w:val="16"/>
          <w:szCs w:val="16"/>
        </w:rPr>
        <w:t>te of 21% and state taxes where applicable, with offsetting reductions to the Other category.</w:t>
      </w:r>
    </w:p>
    <w:p w:rsidR="00000000" w:rsidRDefault="0094004B">
      <w:pPr>
        <w:ind w:hanging="360"/>
        <w:jc w:val="both"/>
        <w:divId w:val="636647541"/>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Interchange fees are presented net of customer reward expenses of $7.6 billion, $6.4 billion and $4.9 billion for the years ended December 31, 2022, 2021 and 2</w:t>
      </w:r>
      <w:r>
        <w:rPr>
          <w:rFonts w:eastAsia="Times New Roman"/>
          <w:color w:val="000000"/>
          <w:sz w:val="16"/>
          <w:szCs w:val="16"/>
        </w:rPr>
        <w:t>020, respectively.</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604845672"/>
          <w:jc w:val="center"/>
        </w:trPr>
        <w:tc>
          <w:tcPr>
            <w:tcW w:w="50" w:type="pct"/>
            <w:vAlign w:val="center"/>
            <w:hideMark/>
          </w:tcPr>
          <w:p w:rsidR="00000000" w:rsidRDefault="0094004B">
            <w:pPr>
              <w:ind w:hanging="360"/>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604845672"/>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604845672"/>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200</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226" style="width:0;height:1.5pt" o:hralign="center" o:hrstd="t" o:hr="t" fillcolor="#a0a0a0" stroked="f"/>
        </w:pict>
      </w:r>
    </w:p>
    <w:p w:rsidR="00000000" w:rsidRDefault="0094004B">
      <w:pPr>
        <w:jc w:val="both"/>
        <w:divId w:val="525170352"/>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525170352"/>
        <w:rPr>
          <w:rFonts w:eastAsia="Times New Roman"/>
        </w:rPr>
      </w:pPr>
    </w:p>
    <w:p w:rsidR="00000000" w:rsidRDefault="0094004B">
      <w:pPr>
        <w:jc w:val="center"/>
        <w:divId w:val="525170352"/>
        <w:rPr>
          <w:rFonts w:eastAsia="Times New Roman"/>
        </w:rPr>
      </w:pPr>
      <w:r>
        <w:rPr>
          <w:rFonts w:eastAsia="Times New Roman"/>
          <w:b/>
          <w:bCs/>
          <w:color w:val="000000"/>
          <w:sz w:val="20"/>
          <w:szCs w:val="20"/>
        </w:rPr>
        <w:t>CAPITAL ONE FINANCIAL CORPORATION</w:t>
      </w:r>
    </w:p>
    <w:p w:rsidR="00000000" w:rsidRDefault="0094004B">
      <w:pPr>
        <w:jc w:val="center"/>
        <w:divId w:val="525170352"/>
        <w:rPr>
          <w:rFonts w:eastAsia="Times New Roman"/>
        </w:rPr>
      </w:pPr>
      <w:r>
        <w:rPr>
          <w:rFonts w:eastAsia="Times New Roman"/>
          <w:b/>
          <w:bCs/>
          <w:color w:val="000000"/>
          <w:sz w:val="20"/>
          <w:szCs w:val="20"/>
        </w:rPr>
        <w:t>NOTES TO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036661861"/>
        </w:trPr>
        <w:tc>
          <w:tcPr>
            <w:tcW w:w="50" w:type="pct"/>
            <w:vAlign w:val="center"/>
            <w:hideMark/>
          </w:tcPr>
          <w:p w:rsidR="00000000" w:rsidRDefault="0094004B">
            <w:pPr>
              <w:jc w:val="center"/>
              <w:rPr>
                <w:rFonts w:eastAsia="Times New Roman"/>
              </w:rPr>
            </w:pPr>
          </w:p>
        </w:tc>
        <w:tc>
          <w:tcPr>
            <w:tcW w:w="494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036661861"/>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20"/>
                <w:szCs w:val="20"/>
              </w:rPr>
              <w:t>NOTE 18—</w:t>
            </w:r>
            <w:r>
              <w:rPr>
                <w:rFonts w:eastAsia="Times New Roman"/>
                <w:b/>
                <w:bCs/>
                <w:color w:val="000000"/>
                <w:sz w:val="20"/>
                <w:szCs w:val="20"/>
              </w:rPr>
              <w:t>COMMITMENTS, CONTINGENCIES, GUARANTEES AND OTHERS</w:t>
            </w:r>
          </w:p>
        </w:tc>
      </w:tr>
    </w:tbl>
    <w:p w:rsidR="00000000" w:rsidRDefault="0094004B">
      <w:pPr>
        <w:divId w:val="455105928"/>
        <w:rPr>
          <w:rFonts w:eastAsia="Times New Roman"/>
        </w:rPr>
      </w:pPr>
      <w:r>
        <w:rPr>
          <w:rFonts w:eastAsia="Times New Roman"/>
          <w:b/>
          <w:bCs/>
          <w:color w:val="000000"/>
          <w:sz w:val="20"/>
          <w:szCs w:val="20"/>
        </w:rPr>
        <w:t>Commitments to Lend</w:t>
      </w:r>
    </w:p>
    <w:p w:rsidR="00000000" w:rsidRDefault="0094004B">
      <w:pPr>
        <w:jc w:val="both"/>
        <w:divId w:val="1426415768"/>
        <w:rPr>
          <w:rFonts w:eastAsia="Times New Roman"/>
        </w:rPr>
      </w:pPr>
      <w:r>
        <w:rPr>
          <w:rFonts w:eastAsia="Times New Roman"/>
          <w:color w:val="000000"/>
          <w:sz w:val="20"/>
          <w:szCs w:val="20"/>
        </w:rPr>
        <w:t>Our unfunded lending commitments primarily consist of credit card lines, loan commitments to customers of both our Commercial Banking and Consumer Banking businesses, as well as standby and commercial letters of credit. These commitments, other than credit</w:t>
      </w:r>
      <w:r>
        <w:rPr>
          <w:rFonts w:eastAsia="Times New Roman"/>
          <w:color w:val="000000"/>
          <w:sz w:val="20"/>
          <w:szCs w:val="20"/>
        </w:rPr>
        <w:t xml:space="preserve"> card lines and certain other unconditionally cancellable lines of credit, are legally binding conditional agreements that have fixed expirations or termination dates and specified interest rates and purposes. The contractual amount of these commitments re</w:t>
      </w:r>
      <w:r>
        <w:rPr>
          <w:rFonts w:eastAsia="Times New Roman"/>
          <w:color w:val="000000"/>
          <w:sz w:val="20"/>
          <w:szCs w:val="20"/>
        </w:rPr>
        <w:t>presents the maximum possible credit risk to us should the counterparty draw upon the commitment. We generally manage the potential risk of unfunded lending commitments by limiting the total amount of arrangements, monitoring the size and maturity structur</w:t>
      </w:r>
      <w:r>
        <w:rPr>
          <w:rFonts w:eastAsia="Times New Roman"/>
          <w:color w:val="000000"/>
          <w:sz w:val="20"/>
          <w:szCs w:val="20"/>
        </w:rPr>
        <w:t>e of these portfolios and applying the same credit standards for all of our credit activities.</w:t>
      </w:r>
    </w:p>
    <w:p w:rsidR="00000000" w:rsidRDefault="0094004B">
      <w:pPr>
        <w:jc w:val="both"/>
        <w:divId w:val="1173029068"/>
        <w:rPr>
          <w:rFonts w:eastAsia="Times New Roman"/>
        </w:rPr>
      </w:pPr>
      <w:r>
        <w:rPr>
          <w:rFonts w:eastAsia="Times New Roman"/>
          <w:color w:val="000000"/>
          <w:sz w:val="20"/>
          <w:szCs w:val="20"/>
        </w:rPr>
        <w:t xml:space="preserve">For unused credit card lines, we have not experienced and do not anticipate that all of our customers will access their entire available line at any given point </w:t>
      </w:r>
      <w:r>
        <w:rPr>
          <w:rFonts w:eastAsia="Times New Roman"/>
          <w:color w:val="000000"/>
          <w:sz w:val="20"/>
          <w:szCs w:val="20"/>
        </w:rPr>
        <w:t xml:space="preserve">in time. Commitments to extend credit other than credit card lines generally require customers to maintain certain credit standards. Collateral requirements and loan-to-value (“LTV”) ratios are the same as those for funded transactions and are established </w:t>
      </w:r>
      <w:r>
        <w:rPr>
          <w:rFonts w:eastAsia="Times New Roman"/>
          <w:color w:val="000000"/>
          <w:sz w:val="20"/>
          <w:szCs w:val="20"/>
        </w:rPr>
        <w:t>based on management’s credit assessment of the customer. These commitments may expire without being drawn upon; therefore, the total commitment amount does not necessarily represent future funding requirements.</w:t>
      </w:r>
    </w:p>
    <w:p w:rsidR="00000000" w:rsidRDefault="0094004B">
      <w:pPr>
        <w:jc w:val="both"/>
        <w:divId w:val="411202057"/>
        <w:rPr>
          <w:rFonts w:eastAsia="Times New Roman"/>
        </w:rPr>
      </w:pPr>
      <w:r>
        <w:rPr>
          <w:rFonts w:eastAsia="Times New Roman"/>
          <w:color w:val="000000"/>
          <w:sz w:val="20"/>
          <w:szCs w:val="20"/>
        </w:rPr>
        <w:t>We also issue letters of credit, such as fina</w:t>
      </w:r>
      <w:r>
        <w:rPr>
          <w:rFonts w:eastAsia="Times New Roman"/>
          <w:color w:val="000000"/>
          <w:sz w:val="20"/>
          <w:szCs w:val="20"/>
        </w:rPr>
        <w:t>ncial standby, performance standby and commercial letters of credit, to meet the financing needs of our customers. Standby letters of credit are conditional commitments issued by us to guarantee the performance of a customer to a third party in a borrowing</w:t>
      </w:r>
      <w:r>
        <w:rPr>
          <w:rFonts w:eastAsia="Times New Roman"/>
          <w:color w:val="000000"/>
          <w:sz w:val="20"/>
          <w:szCs w:val="20"/>
        </w:rPr>
        <w:t xml:space="preserve"> arrangement. Commercial letters of credit are short-term commitments issued primarily to facilitate trade finance activities for customers and are generally collateralized by the goods being shipped to the customer. These collateral requirements are simil</w:t>
      </w:r>
      <w:r>
        <w:rPr>
          <w:rFonts w:eastAsia="Times New Roman"/>
          <w:color w:val="000000"/>
          <w:sz w:val="20"/>
          <w:szCs w:val="20"/>
        </w:rPr>
        <w:t>ar to those for funded transactions and are established based on management’s credit assessment of the customer. Management conducts regular reviews of all outstanding letters of credit and the results of these reviews are considered in assessing the adequ</w:t>
      </w:r>
      <w:r>
        <w:rPr>
          <w:rFonts w:eastAsia="Times New Roman"/>
          <w:color w:val="000000"/>
          <w:sz w:val="20"/>
          <w:szCs w:val="20"/>
        </w:rPr>
        <w:t>acy of reserves for unfunded lending commitments.</w:t>
      </w:r>
    </w:p>
    <w:p w:rsidR="00000000" w:rsidRDefault="0094004B">
      <w:pPr>
        <w:jc w:val="both"/>
        <w:divId w:val="1802066425"/>
        <w:rPr>
          <w:rFonts w:eastAsia="Times New Roman"/>
        </w:rPr>
      </w:pPr>
      <w:r>
        <w:rPr>
          <w:rFonts w:eastAsia="Times New Roman"/>
          <w:color w:val="000000"/>
          <w:sz w:val="20"/>
          <w:szCs w:val="20"/>
        </w:rPr>
        <w:t>The following table presents the contractual amount and carrying value of our unfunded lending commitments as of December 31, 2022 and 2021. The carrying value represents our reserve and deferred revenue on</w:t>
      </w:r>
      <w:r>
        <w:rPr>
          <w:rFonts w:eastAsia="Times New Roman"/>
          <w:color w:val="000000"/>
          <w:sz w:val="20"/>
          <w:szCs w:val="20"/>
        </w:rPr>
        <w:t xml:space="preserve"> legally binding commitments.</w:t>
      </w:r>
    </w:p>
    <w:p w:rsidR="00000000" w:rsidRDefault="0094004B">
      <w:pPr>
        <w:divId w:val="1246845745"/>
        <w:rPr>
          <w:rFonts w:eastAsia="Times New Roman"/>
        </w:rPr>
      </w:pPr>
      <w:r>
        <w:rPr>
          <w:rFonts w:eastAsia="Times New Roman"/>
          <w:b/>
          <w:bCs/>
          <w:color w:val="000000"/>
          <w:sz w:val="18"/>
          <w:szCs w:val="18"/>
        </w:rPr>
        <w:t>Table 18.1: Unfunded Lending Commitments</w:t>
      </w:r>
    </w:p>
    <w:tbl>
      <w:tblPr>
        <w:tblW w:w="5000" w:type="pct"/>
        <w:tblCellMar>
          <w:top w:w="15" w:type="dxa"/>
          <w:left w:w="15" w:type="dxa"/>
          <w:bottom w:w="15" w:type="dxa"/>
          <w:right w:w="15" w:type="dxa"/>
        </w:tblCellMar>
        <w:tblLook w:val="04A0" w:firstRow="1" w:lastRow="0" w:firstColumn="1" w:lastColumn="0" w:noHBand="0" w:noVBand="1"/>
      </w:tblPr>
      <w:tblGrid>
        <w:gridCol w:w="38"/>
        <w:gridCol w:w="4306"/>
        <w:gridCol w:w="37"/>
        <w:gridCol w:w="36"/>
        <w:gridCol w:w="36"/>
        <w:gridCol w:w="36"/>
        <w:gridCol w:w="110"/>
        <w:gridCol w:w="741"/>
        <w:gridCol w:w="36"/>
        <w:gridCol w:w="36"/>
        <w:gridCol w:w="36"/>
        <w:gridCol w:w="36"/>
        <w:gridCol w:w="110"/>
        <w:gridCol w:w="722"/>
        <w:gridCol w:w="36"/>
        <w:gridCol w:w="36"/>
        <w:gridCol w:w="36"/>
        <w:gridCol w:w="36"/>
        <w:gridCol w:w="111"/>
        <w:gridCol w:w="722"/>
        <w:gridCol w:w="36"/>
        <w:gridCol w:w="36"/>
        <w:gridCol w:w="36"/>
        <w:gridCol w:w="36"/>
        <w:gridCol w:w="111"/>
        <w:gridCol w:w="722"/>
        <w:gridCol w:w="36"/>
      </w:tblGrid>
      <w:tr w:rsidR="00000000">
        <w:trPr>
          <w:divId w:val="2078239824"/>
        </w:trPr>
        <w:tc>
          <w:tcPr>
            <w:tcW w:w="50" w:type="pct"/>
            <w:vAlign w:val="center"/>
            <w:hideMark/>
          </w:tcPr>
          <w:p w:rsidR="00000000" w:rsidRDefault="0094004B">
            <w:pPr>
              <w:rPr>
                <w:rFonts w:eastAsia="Times New Roman"/>
              </w:rPr>
            </w:pPr>
          </w:p>
        </w:tc>
        <w:tc>
          <w:tcPr>
            <w:tcW w:w="262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19"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78"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9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9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9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2078239824"/>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9"/>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b/>
                <w:bCs/>
                <w:color w:val="000000"/>
                <w:sz w:val="16"/>
                <w:szCs w:val="16"/>
              </w:rPr>
              <w:t>Contractual Amount</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9"/>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b/>
                <w:bCs/>
                <w:color w:val="000000"/>
                <w:sz w:val="16"/>
                <w:szCs w:val="16"/>
              </w:rPr>
              <w:t>Carrying Value</w:t>
            </w:r>
          </w:p>
        </w:tc>
      </w:tr>
      <w:tr w:rsidR="00000000">
        <w:trPr>
          <w:divId w:val="2078239824"/>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December 31,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December 31, 2021</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December 31,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December 31, 2021</w:t>
            </w:r>
          </w:p>
        </w:tc>
      </w:tr>
      <w:tr w:rsidR="00000000">
        <w:trPr>
          <w:divId w:val="207823982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Credit card lines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359,507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368,508 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jc w:val="right"/>
              <w:rPr>
                <w:rFonts w:eastAsia="Times New Roman"/>
              </w:rPr>
            </w:pPr>
            <w:r>
              <w:rPr>
                <w:rFonts w:eastAsia="Times New Roman"/>
                <w:b/>
                <w:bCs/>
                <w:color w:val="000000"/>
                <w:sz w:val="18"/>
                <w:szCs w:val="18"/>
              </w:rPr>
              <w:t>N/A</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jc w:val="right"/>
              <w:rPr>
                <w:rFonts w:eastAsia="Times New Roman"/>
              </w:rPr>
            </w:pPr>
            <w:r>
              <w:rPr>
                <w:rFonts w:eastAsia="Times New Roman"/>
                <w:color w:val="000000"/>
                <w:sz w:val="18"/>
                <w:szCs w:val="18"/>
              </w:rPr>
              <w:t>N/A</w:t>
            </w:r>
          </w:p>
        </w:tc>
      </w:tr>
      <w:tr w:rsidR="00000000">
        <w:trPr>
          <w:divId w:val="2078239824"/>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divId w:val="189997624"/>
              <w:rPr>
                <w:rFonts w:eastAsia="Times New Roman"/>
              </w:rPr>
            </w:pPr>
            <w:r>
              <w:rPr>
                <w:rFonts w:eastAsia="Times New Roman"/>
                <w:color w:val="000000"/>
                <w:sz w:val="18"/>
                <w:szCs w:val="18"/>
              </w:rPr>
              <w:t>Other loan commitment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48,405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44,572 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176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125 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2078239824"/>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divId w:val="1495754762"/>
              <w:rPr>
                <w:rFonts w:eastAsia="Times New Roman"/>
              </w:rPr>
            </w:pPr>
            <w:r>
              <w:rPr>
                <w:rFonts w:eastAsia="Times New Roman"/>
                <w:color w:val="000000"/>
                <w:sz w:val="18"/>
                <w:szCs w:val="18"/>
              </w:rPr>
              <w:t>Standby letters of credit and commercial letters of credi</w:t>
            </w:r>
            <w:r>
              <w:rPr>
                <w:rFonts w:eastAsia="Times New Roman"/>
                <w:color w:val="000000"/>
                <w:sz w:val="18"/>
                <w:szCs w:val="18"/>
              </w:rPr>
              <w:t>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1,402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1,419 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24 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2078239824"/>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Total unfunded lending commitments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409,314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414,499 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204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149 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bl>
    <w:p w:rsidR="00000000" w:rsidRDefault="0094004B">
      <w:pPr>
        <w:divId w:val="2078239824"/>
        <w:rPr>
          <w:rFonts w:eastAsia="Times New Roman"/>
        </w:rPr>
      </w:pPr>
      <w:r>
        <w:rPr>
          <w:rFonts w:eastAsia="Times New Roman"/>
          <w:color w:val="000000"/>
          <w:sz w:val="20"/>
          <w:szCs w:val="20"/>
        </w:rPr>
        <w:t>__________</w:t>
      </w:r>
    </w:p>
    <w:p w:rsidR="00000000" w:rsidRDefault="0094004B">
      <w:pPr>
        <w:ind w:hanging="360"/>
        <w:jc w:val="both"/>
        <w:divId w:val="1541551275"/>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Includes $4.4 billion and $3.9 </w:t>
      </w:r>
      <w:r>
        <w:rPr>
          <w:rFonts w:eastAsia="Times New Roman"/>
          <w:color w:val="000000"/>
          <w:sz w:val="16"/>
          <w:szCs w:val="16"/>
        </w:rPr>
        <w:t>billion of advised lines of credit as of December 31, 2022 and 2021, respectively.</w:t>
      </w:r>
    </w:p>
    <w:p w:rsidR="00000000" w:rsidRDefault="0094004B">
      <w:pPr>
        <w:ind w:hanging="360"/>
        <w:jc w:val="both"/>
        <w:divId w:val="590938792"/>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These financial guarantees have expiration dates that range from 2022 to 2027 as of December 31, 2022.</w:t>
      </w:r>
    </w:p>
    <w:p w:rsidR="00000000" w:rsidRDefault="0094004B">
      <w:pPr>
        <w:divId w:val="1973631937"/>
        <w:rPr>
          <w:rFonts w:eastAsia="Times New Roman"/>
        </w:rPr>
      </w:pPr>
      <w:r>
        <w:rPr>
          <w:rFonts w:eastAsia="Times New Roman"/>
          <w:b/>
          <w:bCs/>
          <w:color w:val="000000"/>
          <w:sz w:val="20"/>
          <w:szCs w:val="20"/>
        </w:rPr>
        <w:t>Loss Sharing Agreements</w:t>
      </w:r>
    </w:p>
    <w:p w:rsidR="00000000" w:rsidRDefault="0094004B">
      <w:pPr>
        <w:jc w:val="both"/>
        <w:divId w:val="1813476902"/>
        <w:rPr>
          <w:rFonts w:eastAsia="Times New Roman"/>
        </w:rPr>
      </w:pPr>
      <w:r>
        <w:rPr>
          <w:rFonts w:eastAsia="Times New Roman"/>
          <w:color w:val="000000"/>
          <w:sz w:val="20"/>
          <w:szCs w:val="20"/>
        </w:rPr>
        <w:t xml:space="preserve">Within our Commercial Banking business, we originate multifamily commercial real estate loans with the intent to sell them to the GSEs. We enter into loss sharing agreements with the GSEs upon the sale of these originated loans. Beginning January 1, 2020, </w:t>
      </w:r>
      <w:r>
        <w:rPr>
          <w:rFonts w:eastAsia="Times New Roman"/>
          <w:color w:val="000000"/>
          <w:sz w:val="20"/>
          <w:szCs w:val="20"/>
        </w:rPr>
        <w:t xml:space="preserve">we elected the fair value option on new loss sharing agreements entered into. Unrealized gains and losses are recorded in other non-interest income in our consolidated statements of income. For those loss sharing agreements entered into as of and prior to </w:t>
      </w:r>
      <w:r>
        <w:rPr>
          <w:rFonts w:eastAsia="Times New Roman"/>
          <w:color w:val="000000"/>
          <w:sz w:val="20"/>
          <w:szCs w:val="20"/>
        </w:rPr>
        <w:t>December 31, 2019, we amortize the liability recorded at inception into non-interest income as we are released from risk of having to make a payment and record our estimate of expected credit losses each period in provision for credit losses in our consoli</w:t>
      </w:r>
      <w:r>
        <w:rPr>
          <w:rFonts w:eastAsia="Times New Roman"/>
          <w:color w:val="000000"/>
          <w:sz w:val="20"/>
          <w:szCs w:val="20"/>
        </w:rPr>
        <w:t>dated statements of income. The liability recognized on our consolidated balance sheets for these loss sharing agreements was $82 million and $90 million as of December 31, 2022 and 2021, respectively. See “Note 4—Allowance for Credit Losses and Reserve fo</w:t>
      </w:r>
      <w:r>
        <w:rPr>
          <w:rFonts w:eastAsia="Times New Roman"/>
          <w:color w:val="000000"/>
          <w:sz w:val="20"/>
          <w:szCs w:val="20"/>
        </w:rPr>
        <w:t>r Unfunded Lending Commitments” for more information related to our credit card partnership loss sharing arrangements.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276181057"/>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276181057"/>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276181057"/>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201</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227" style="width:0;height:1.5pt" o:hralign="center" o:hrstd="t" o:hr="t" fillcolor="#a0a0a0" stroked="f"/>
        </w:pict>
      </w:r>
    </w:p>
    <w:p w:rsidR="00000000" w:rsidRDefault="0094004B">
      <w:pPr>
        <w:jc w:val="both"/>
        <w:divId w:val="600531167"/>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600531167"/>
        <w:rPr>
          <w:rFonts w:eastAsia="Times New Roman"/>
        </w:rPr>
      </w:pPr>
    </w:p>
    <w:p w:rsidR="00000000" w:rsidRDefault="0094004B">
      <w:pPr>
        <w:jc w:val="center"/>
        <w:divId w:val="600531167"/>
        <w:rPr>
          <w:rFonts w:eastAsia="Times New Roman"/>
        </w:rPr>
      </w:pPr>
      <w:r>
        <w:rPr>
          <w:rFonts w:eastAsia="Times New Roman"/>
          <w:b/>
          <w:bCs/>
          <w:color w:val="000000"/>
          <w:sz w:val="20"/>
          <w:szCs w:val="20"/>
        </w:rPr>
        <w:t>CAPITAL ONE FINANCIAL CORPORATION</w:t>
      </w:r>
    </w:p>
    <w:p w:rsidR="00000000" w:rsidRDefault="0094004B">
      <w:pPr>
        <w:jc w:val="center"/>
        <w:divId w:val="600531167"/>
        <w:rPr>
          <w:rFonts w:eastAsia="Times New Roman"/>
        </w:rPr>
      </w:pPr>
      <w:r>
        <w:rPr>
          <w:rFonts w:eastAsia="Times New Roman"/>
          <w:b/>
          <w:bCs/>
          <w:color w:val="000000"/>
          <w:sz w:val="20"/>
          <w:szCs w:val="20"/>
        </w:rPr>
        <w:t>NOTES TO CONSOLIDATED FINANCIAL STATEMENTS</w:t>
      </w:r>
    </w:p>
    <w:p w:rsidR="00000000" w:rsidRDefault="0094004B">
      <w:pPr>
        <w:jc w:val="both"/>
        <w:divId w:val="1670254312"/>
        <w:rPr>
          <w:rFonts w:eastAsia="Times New Roman"/>
        </w:rPr>
      </w:pPr>
      <w:r>
        <w:rPr>
          <w:rFonts w:eastAsia="Times New Roman"/>
          <w:b/>
          <w:bCs/>
          <w:color w:val="000000"/>
          <w:sz w:val="20"/>
          <w:szCs w:val="20"/>
        </w:rPr>
        <w:t>Litigation</w:t>
      </w:r>
    </w:p>
    <w:p w:rsidR="00000000" w:rsidRDefault="0094004B">
      <w:pPr>
        <w:jc w:val="both"/>
        <w:divId w:val="1843086822"/>
        <w:rPr>
          <w:rFonts w:eastAsia="Times New Roman"/>
        </w:rPr>
      </w:pPr>
      <w:r>
        <w:rPr>
          <w:rFonts w:eastAsia="Times New Roman"/>
          <w:color w:val="000000"/>
          <w:sz w:val="20"/>
          <w:szCs w:val="20"/>
        </w:rPr>
        <w:t>In accordance with the current accounting standards f</w:t>
      </w:r>
      <w:r>
        <w:rPr>
          <w:rFonts w:eastAsia="Times New Roman"/>
          <w:color w:val="000000"/>
          <w:sz w:val="20"/>
          <w:szCs w:val="20"/>
        </w:rPr>
        <w:t>or loss contingencies, we establish reserves for litigation-related matters that arise from the ordinary course of our business activities when it is probable that a loss associated with a claim or proceeding has been incurred and the amount of the loss ca</w:t>
      </w:r>
      <w:r>
        <w:rPr>
          <w:rFonts w:eastAsia="Times New Roman"/>
          <w:color w:val="000000"/>
          <w:sz w:val="20"/>
          <w:szCs w:val="20"/>
        </w:rPr>
        <w:t>n be reasonably estimated. None of the amounts we currently have recorded individually or in the aggregate are considered to be material to our financial condition. Litigation claims and proceedings of all types are subject to many uncertain factors that g</w:t>
      </w:r>
      <w:r>
        <w:rPr>
          <w:rFonts w:eastAsia="Times New Roman"/>
          <w:color w:val="000000"/>
          <w:sz w:val="20"/>
          <w:szCs w:val="20"/>
        </w:rPr>
        <w:t>enerally cannot be predicted with assurance. Below we provide a description of potentially material legal proceedings and claims.</w:t>
      </w:r>
    </w:p>
    <w:p w:rsidR="00000000" w:rsidRDefault="0094004B">
      <w:pPr>
        <w:jc w:val="both"/>
        <w:divId w:val="935482534"/>
        <w:rPr>
          <w:rFonts w:eastAsia="Times New Roman"/>
        </w:rPr>
      </w:pPr>
      <w:r>
        <w:rPr>
          <w:rFonts w:eastAsia="Times New Roman"/>
          <w:color w:val="000000"/>
          <w:sz w:val="20"/>
          <w:szCs w:val="20"/>
        </w:rPr>
        <w:t>For some of the matters disclosed below, we are able to estimate reasonably possible losses above existing reserves, and for o</w:t>
      </w:r>
      <w:r>
        <w:rPr>
          <w:rFonts w:eastAsia="Times New Roman"/>
          <w:color w:val="000000"/>
          <w:sz w:val="20"/>
          <w:szCs w:val="20"/>
        </w:rPr>
        <w:t>ther disclosed matters, such an estimate is not possible at this time. For those matters below where an estimate is possible, management currently estimates the reasonably possible future losses beyond our reserves as of December 31, 2022 are approximately</w:t>
      </w:r>
      <w:r>
        <w:rPr>
          <w:rFonts w:eastAsia="Times New Roman"/>
          <w:color w:val="000000"/>
          <w:sz w:val="20"/>
          <w:szCs w:val="20"/>
        </w:rPr>
        <w:t xml:space="preserve"> $200 million. Our reserve and reasonably possible loss estimates involve considerable judgment and reflect that there is still significant uncertainty regarding numerous factors that may impact the ultimate loss levels. Notwithstanding, our attempt to est</w:t>
      </w:r>
      <w:r>
        <w:rPr>
          <w:rFonts w:eastAsia="Times New Roman"/>
          <w:color w:val="000000"/>
          <w:sz w:val="20"/>
          <w:szCs w:val="20"/>
        </w:rPr>
        <w:t>imate a reasonably possible range of loss beyond our current accrual levels for some litigation matters based on current information, it is possible that actual future losses will exceed both the current accrual level and the range of reasonably possible l</w:t>
      </w:r>
      <w:r>
        <w:rPr>
          <w:rFonts w:eastAsia="Times New Roman"/>
          <w:color w:val="000000"/>
          <w:sz w:val="20"/>
          <w:szCs w:val="20"/>
        </w:rPr>
        <w:t>osses disclosed here. Given the inherent uncertainties involved in these matters, especially those involving governmental agencies, and the very large or indeterminate damages sought in some of these matters, there is significant uncertainty as to the ulti</w:t>
      </w:r>
      <w:r>
        <w:rPr>
          <w:rFonts w:eastAsia="Times New Roman"/>
          <w:color w:val="000000"/>
          <w:sz w:val="20"/>
          <w:szCs w:val="20"/>
        </w:rPr>
        <w:t>mate liability we may incur from these litigation matters and an adverse outcome in one or more of these matters could be material to our results of operations or cash flows for any particular reporting period.</w:t>
      </w:r>
    </w:p>
    <w:p w:rsidR="00000000" w:rsidRDefault="0094004B">
      <w:pPr>
        <w:divId w:val="129445657"/>
        <w:rPr>
          <w:rFonts w:eastAsia="Times New Roman"/>
        </w:rPr>
      </w:pPr>
      <w:r>
        <w:rPr>
          <w:rFonts w:eastAsia="Times New Roman"/>
          <w:b/>
          <w:bCs/>
          <w:i/>
          <w:iCs/>
          <w:color w:val="000000"/>
          <w:sz w:val="20"/>
          <w:szCs w:val="20"/>
        </w:rPr>
        <w:t>Interchange</w:t>
      </w:r>
    </w:p>
    <w:p w:rsidR="00000000" w:rsidRDefault="0094004B">
      <w:pPr>
        <w:jc w:val="both"/>
        <w:divId w:val="1475483200"/>
        <w:rPr>
          <w:rFonts w:eastAsia="Times New Roman"/>
        </w:rPr>
      </w:pPr>
      <w:r>
        <w:rPr>
          <w:rFonts w:eastAsia="Times New Roman"/>
          <w:color w:val="000000"/>
          <w:sz w:val="20"/>
          <w:szCs w:val="20"/>
        </w:rPr>
        <w:t>In 2005, a putative class of reta</w:t>
      </w:r>
      <w:r>
        <w:rPr>
          <w:rFonts w:eastAsia="Times New Roman"/>
          <w:color w:val="000000"/>
          <w:sz w:val="20"/>
          <w:szCs w:val="20"/>
        </w:rPr>
        <w:t>il merchants filed antitrust lawsuits against MasterCard and Visa and several issuing banks, including Capital One, seeking both injunctive relief and monetary damages for an alleged conspiracy by defendants to fix the level of interchange fees. Other merc</w:t>
      </w:r>
      <w:r>
        <w:rPr>
          <w:rFonts w:eastAsia="Times New Roman"/>
          <w:color w:val="000000"/>
          <w:sz w:val="20"/>
          <w:szCs w:val="20"/>
        </w:rPr>
        <w:t xml:space="preserve">hants have asserted similar claims in separate lawsuits, and while these separate cases did not name any issuing banks, Visa, MasterCard and issuers, including Capital One, have entered settlement and judgment sharing agreements allocating the liabilities </w:t>
      </w:r>
      <w:r>
        <w:rPr>
          <w:rFonts w:eastAsia="Times New Roman"/>
          <w:color w:val="000000"/>
          <w:sz w:val="20"/>
          <w:szCs w:val="20"/>
        </w:rPr>
        <w:t>of any judgment or settlement arising from all interchange-related cases.</w:t>
      </w:r>
    </w:p>
    <w:p w:rsidR="00000000" w:rsidRDefault="0094004B">
      <w:pPr>
        <w:jc w:val="both"/>
        <w:divId w:val="577978696"/>
        <w:rPr>
          <w:rFonts w:eastAsia="Times New Roman"/>
        </w:rPr>
      </w:pPr>
      <w:r>
        <w:rPr>
          <w:rFonts w:eastAsia="Times New Roman"/>
          <w:color w:val="000000"/>
          <w:sz w:val="20"/>
          <w:szCs w:val="20"/>
        </w:rPr>
        <w:t>The lawsuits were consolidated before the U.S. District Court for the Eastern District of New York for certain purposes and were settled in 2012. The class settlement, however, was i</w:t>
      </w:r>
      <w:r>
        <w:rPr>
          <w:rFonts w:eastAsia="Times New Roman"/>
          <w:color w:val="000000"/>
          <w:sz w:val="20"/>
          <w:szCs w:val="20"/>
        </w:rPr>
        <w:t xml:space="preserve">nvalidated by the United States Court of Appeals for the Second Circuit in June 2016, and the suit was bifurcated into separate class actions seeking injunctive and monetary relief, respectively. In addition, numerous merchant groups opted out of the 2012 </w:t>
      </w:r>
      <w:r>
        <w:rPr>
          <w:rFonts w:eastAsia="Times New Roman"/>
          <w:color w:val="000000"/>
          <w:sz w:val="20"/>
          <w:szCs w:val="20"/>
        </w:rPr>
        <w:t>settlement and have pursued their own claims. The claims by the injunctive relief class have not been resolved, but the settlement of $5.5 billion for the monetary damages class received final approval from the trial court, and has been appealed to the U.S</w:t>
      </w:r>
      <w:r>
        <w:rPr>
          <w:rFonts w:eastAsia="Times New Roman"/>
          <w:color w:val="000000"/>
          <w:sz w:val="20"/>
          <w:szCs w:val="20"/>
        </w:rPr>
        <w:t>. Court of Appeals for the Second Circuit. Visa and MasterCard have also settled a number of the opt-out cases, which required non-material payments from issuing banks, including Capital One. Visa created a litigation escrow account following its initial p</w:t>
      </w:r>
      <w:r>
        <w:rPr>
          <w:rFonts w:eastAsia="Times New Roman"/>
          <w:color w:val="000000"/>
          <w:sz w:val="20"/>
          <w:szCs w:val="20"/>
        </w:rPr>
        <w:t>ublic offering of stock in 2008 that funds settlements for its member banks, and any settlements related to MasterCard-allocated losses have either already been paid or are reflected in our reserves.</w:t>
      </w:r>
    </w:p>
    <w:p w:rsidR="00000000" w:rsidRDefault="0094004B">
      <w:pPr>
        <w:jc w:val="both"/>
        <w:divId w:val="360056549"/>
        <w:rPr>
          <w:rFonts w:eastAsia="Times New Roman"/>
        </w:rPr>
      </w:pPr>
      <w:r>
        <w:rPr>
          <w:rFonts w:eastAsia="Times New Roman"/>
          <w:b/>
          <w:bCs/>
          <w:i/>
          <w:iCs/>
          <w:color w:val="000000"/>
          <w:sz w:val="20"/>
          <w:szCs w:val="20"/>
        </w:rPr>
        <w:t>Cybersecurity Incident</w:t>
      </w:r>
    </w:p>
    <w:p w:rsidR="00000000" w:rsidRDefault="0094004B">
      <w:pPr>
        <w:jc w:val="both"/>
        <w:divId w:val="390887433"/>
        <w:rPr>
          <w:rFonts w:eastAsia="Times New Roman"/>
        </w:rPr>
      </w:pPr>
      <w:r>
        <w:rPr>
          <w:rFonts w:eastAsia="Times New Roman"/>
          <w:color w:val="000000"/>
          <w:sz w:val="20"/>
          <w:szCs w:val="20"/>
        </w:rPr>
        <w:t>On July 29, 2019, we announced th</w:t>
      </w:r>
      <w:r>
        <w:rPr>
          <w:rFonts w:eastAsia="Times New Roman"/>
          <w:color w:val="000000"/>
          <w:sz w:val="20"/>
          <w:szCs w:val="20"/>
        </w:rPr>
        <w:t>at on March 22 and 23, 2019 an outside individual gained unauthorized access to our systems. This individual obtained certain types of personal information relating to people who had applied for our credit card products and to our credit card customers (th</w:t>
      </w:r>
      <w:r>
        <w:rPr>
          <w:rFonts w:eastAsia="Times New Roman"/>
          <w:color w:val="000000"/>
          <w:sz w:val="20"/>
          <w:szCs w:val="20"/>
        </w:rPr>
        <w:t xml:space="preserve">e “Cybersecurity Incident”). As a result of the Cybersecurity Incident, we are subject to numerous legal proceedings and other inquiries and could be the subject of additional proceedings and inquiries in the future. </w:t>
      </w:r>
    </w:p>
    <w:p w:rsidR="00000000" w:rsidRDefault="0094004B">
      <w:pPr>
        <w:jc w:val="both"/>
        <w:divId w:val="461969098"/>
        <w:rPr>
          <w:rFonts w:eastAsia="Times New Roman"/>
        </w:rPr>
      </w:pPr>
      <w:r>
        <w:rPr>
          <w:rFonts w:eastAsia="Times New Roman"/>
          <w:i/>
          <w:iCs/>
          <w:color w:val="000000"/>
          <w:sz w:val="20"/>
          <w:szCs w:val="20"/>
        </w:rPr>
        <w:t>Consumer class actions</w:t>
      </w:r>
      <w:r>
        <w:rPr>
          <w:rFonts w:eastAsia="Times New Roman"/>
          <w:color w:val="000000"/>
          <w:sz w:val="20"/>
          <w:szCs w:val="20"/>
        </w:rPr>
        <w:t xml:space="preserve">. We were named </w:t>
      </w:r>
      <w:r>
        <w:rPr>
          <w:rFonts w:eastAsia="Times New Roman"/>
          <w:color w:val="000000"/>
          <w:sz w:val="20"/>
          <w:szCs w:val="20"/>
        </w:rPr>
        <w:t xml:space="preserve">as a defendant in approximately 75 putative consumer class action cases (primarily in U.S. courts with cases also in Canadian courts) alleging harm from the Cybersecurity Incident and seeking various remedies, including monetary and injunctive relief. The </w:t>
      </w:r>
      <w:r>
        <w:rPr>
          <w:rFonts w:eastAsia="Times New Roman"/>
          <w:color w:val="000000"/>
          <w:sz w:val="20"/>
          <w:szCs w:val="20"/>
        </w:rPr>
        <w:t>lawsuits allege breach of contract, negligence, violations of various privacy laws and a variety of other legal causes of action. The U.S. consumer class actions were consolidated for pretrial proceedings before a multi-district litigation (“MDL”) panel in</w:t>
      </w:r>
      <w:r>
        <w:rPr>
          <w:rFonts w:eastAsia="Times New Roman"/>
          <w:color w:val="000000"/>
          <w:sz w:val="20"/>
          <w:szCs w:val="20"/>
        </w:rPr>
        <w:t xml:space="preserve"> the U.S. District Court for the Eastern District of Virginia, Alexandria Division. In the fourth quarter of 2021, the parties agreed to a settlement of the U.S. consumer class action cases for an amount within existing reserves. The MDL court approved the</w:t>
      </w:r>
      <w:r>
        <w:rPr>
          <w:rFonts w:eastAsia="Times New Roman"/>
          <w:color w:val="000000"/>
          <w:sz w:val="20"/>
          <w:szCs w:val="20"/>
        </w:rPr>
        <w:t xml:space="preserve"> settlement in September 2022, and the approval became final in the fourth quarter of 2022. The balance of the settlement was paid after the court approval became final in the fourth quarter of 2022, and the U.S. consumer class action is now concluded. Cap</w:t>
      </w:r>
      <w:r>
        <w:rPr>
          <w:rFonts w:eastAsia="Times New Roman"/>
          <w:color w:val="000000"/>
          <w:sz w:val="20"/>
          <w:szCs w:val="20"/>
        </w:rPr>
        <w:t xml:space="preserve">ital One maintained cyber insurance that covered this settlement. In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879050459"/>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879050459"/>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879050459"/>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202</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228" style="width:0;height:1.5pt" o:hralign="center" o:hrstd="t" o:hr="t" fillcolor="#a0a0a0" stroked="f"/>
        </w:pict>
      </w:r>
    </w:p>
    <w:p w:rsidR="00000000" w:rsidRDefault="0094004B">
      <w:pPr>
        <w:jc w:val="both"/>
        <w:divId w:val="2053990738"/>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2053990738"/>
        <w:rPr>
          <w:rFonts w:eastAsia="Times New Roman"/>
        </w:rPr>
      </w:pPr>
    </w:p>
    <w:p w:rsidR="00000000" w:rsidRDefault="0094004B">
      <w:pPr>
        <w:jc w:val="center"/>
        <w:divId w:val="2053990738"/>
        <w:rPr>
          <w:rFonts w:eastAsia="Times New Roman"/>
        </w:rPr>
      </w:pPr>
      <w:r>
        <w:rPr>
          <w:rFonts w:eastAsia="Times New Roman"/>
          <w:b/>
          <w:bCs/>
          <w:color w:val="000000"/>
          <w:sz w:val="20"/>
          <w:szCs w:val="20"/>
        </w:rPr>
        <w:t>CAPITAL ONE FINANCIAL CORPORATION</w:t>
      </w:r>
    </w:p>
    <w:p w:rsidR="00000000" w:rsidRDefault="0094004B">
      <w:pPr>
        <w:jc w:val="center"/>
        <w:divId w:val="2053990738"/>
        <w:rPr>
          <w:rFonts w:eastAsia="Times New Roman"/>
        </w:rPr>
      </w:pPr>
      <w:r>
        <w:rPr>
          <w:rFonts w:eastAsia="Times New Roman"/>
          <w:b/>
          <w:bCs/>
          <w:color w:val="000000"/>
          <w:sz w:val="20"/>
          <w:szCs w:val="20"/>
        </w:rPr>
        <w:t>NOTES TO CONSOLIDATED FINANCIAL STATEMENTS</w:t>
      </w:r>
    </w:p>
    <w:p w:rsidR="00000000" w:rsidRDefault="0094004B">
      <w:pPr>
        <w:jc w:val="both"/>
        <w:divId w:val="330909181"/>
        <w:rPr>
          <w:rFonts w:eastAsia="Times New Roman"/>
        </w:rPr>
      </w:pPr>
      <w:r>
        <w:rPr>
          <w:rFonts w:eastAsia="Times New Roman"/>
          <w:color w:val="000000"/>
          <w:sz w:val="20"/>
          <w:szCs w:val="20"/>
        </w:rPr>
        <w:t>Canada, a trial court in British Columbia preliminarily certified a class of all impacted Canadian consumers except those in Quebec in the second quarter of 2022, which would allow the case to proceed with discovery on a classwide basis under Canadian law.</w:t>
      </w:r>
      <w:r>
        <w:rPr>
          <w:rFonts w:eastAsia="Times New Roman"/>
          <w:color w:val="000000"/>
          <w:sz w:val="20"/>
          <w:szCs w:val="20"/>
        </w:rPr>
        <w:t xml:space="preserve"> The preliminary certification decision has been appealed.</w:t>
      </w:r>
    </w:p>
    <w:p w:rsidR="00000000" w:rsidRDefault="0094004B">
      <w:pPr>
        <w:jc w:val="both"/>
        <w:divId w:val="601373744"/>
        <w:rPr>
          <w:rFonts w:eastAsia="Times New Roman"/>
        </w:rPr>
      </w:pPr>
      <w:r>
        <w:rPr>
          <w:rFonts w:eastAsia="Times New Roman"/>
          <w:i/>
          <w:iCs/>
          <w:color w:val="000000"/>
          <w:sz w:val="20"/>
          <w:szCs w:val="20"/>
        </w:rPr>
        <w:t>Securities class action</w:t>
      </w:r>
      <w:r>
        <w:rPr>
          <w:rFonts w:eastAsia="Times New Roman"/>
          <w:color w:val="000000"/>
          <w:sz w:val="20"/>
          <w:szCs w:val="20"/>
        </w:rPr>
        <w:t>. The Company and certain officers were also named as defendants in a putative class action pending in the MDL alleging violations of certain federal securities laws in conne</w:t>
      </w:r>
      <w:r>
        <w:rPr>
          <w:rFonts w:eastAsia="Times New Roman"/>
          <w:color w:val="000000"/>
          <w:sz w:val="20"/>
          <w:szCs w:val="20"/>
        </w:rPr>
        <w:t>ction with statements and alleged omissions in securities filings relating to our information security standards and practices. The complaint sought certification of a class of all persons who purchased or otherwise acquired Capital One securities from Jul</w:t>
      </w:r>
      <w:r>
        <w:rPr>
          <w:rFonts w:eastAsia="Times New Roman"/>
          <w:color w:val="000000"/>
          <w:sz w:val="20"/>
          <w:szCs w:val="20"/>
        </w:rPr>
        <w:t>y 23, 2015 to July 29, 2019, as well as unspecified monetary damages, costs and other relief. The MDL court granted the Company’s motion to dismiss in September 2022, and the dismissal became final in the fourth quarter of 2022. The securities class action</w:t>
      </w:r>
      <w:r>
        <w:rPr>
          <w:rFonts w:eastAsia="Times New Roman"/>
          <w:color w:val="000000"/>
          <w:sz w:val="20"/>
          <w:szCs w:val="20"/>
        </w:rPr>
        <w:t xml:space="preserve"> is now concluded. </w:t>
      </w:r>
    </w:p>
    <w:p w:rsidR="00000000" w:rsidRDefault="0094004B">
      <w:pPr>
        <w:jc w:val="both"/>
        <w:divId w:val="185952176"/>
        <w:rPr>
          <w:rFonts w:eastAsia="Times New Roman"/>
        </w:rPr>
      </w:pPr>
      <w:r>
        <w:rPr>
          <w:rFonts w:eastAsia="Times New Roman"/>
          <w:i/>
          <w:iCs/>
          <w:color w:val="000000"/>
          <w:sz w:val="20"/>
          <w:szCs w:val="20"/>
        </w:rPr>
        <w:t>Governmental inquiries</w:t>
      </w:r>
      <w:r>
        <w:rPr>
          <w:rFonts w:eastAsia="Times New Roman"/>
          <w:color w:val="000000"/>
          <w:sz w:val="20"/>
          <w:szCs w:val="20"/>
        </w:rPr>
        <w:t>. We have received inquiries and requests for information relating to the Cybersecurity Incident from Congress, federal regulators, relevant Canadian regulators, the Department of Justice, and the offices of approx</w:t>
      </w:r>
      <w:r>
        <w:rPr>
          <w:rFonts w:eastAsia="Times New Roman"/>
          <w:color w:val="000000"/>
          <w:sz w:val="20"/>
          <w:szCs w:val="20"/>
        </w:rPr>
        <w:t xml:space="preserve">imately fourteen state Attorneys General. We have cooperated with these offices and responded to their inquiries. </w:t>
      </w:r>
    </w:p>
    <w:p w:rsidR="00000000" w:rsidRDefault="0094004B">
      <w:pPr>
        <w:jc w:val="both"/>
        <w:divId w:val="1665236566"/>
        <w:rPr>
          <w:rFonts w:eastAsia="Times New Roman"/>
        </w:rPr>
      </w:pPr>
      <w:r>
        <w:rPr>
          <w:rFonts w:eastAsia="Times New Roman"/>
          <w:color w:val="000000"/>
          <w:sz w:val="20"/>
          <w:szCs w:val="20"/>
        </w:rPr>
        <w:t>In August 2020, we entered into consent orders with the Federal Reserve and OCC resulting from regulatory reviews of the Cybersecurity Incide</w:t>
      </w:r>
      <w:r>
        <w:rPr>
          <w:rFonts w:eastAsia="Times New Roman"/>
          <w:color w:val="000000"/>
          <w:sz w:val="20"/>
          <w:szCs w:val="20"/>
        </w:rPr>
        <w:t xml:space="preserve">nt and relating to ongoing enhancements of our cybersecurity and operational risk management processes. We paid an $80 million penalty to the U.S. Treasury as part of the OCC agreement. The Federal Reserve agreement did not contain a monetary penalty. The </w:t>
      </w:r>
      <w:r>
        <w:rPr>
          <w:rFonts w:eastAsia="Times New Roman"/>
          <w:color w:val="000000"/>
          <w:sz w:val="20"/>
          <w:szCs w:val="20"/>
        </w:rPr>
        <w:t>OCC lifted its consent order on August 31, 2022.</w:t>
      </w:r>
    </w:p>
    <w:p w:rsidR="00000000" w:rsidRDefault="0094004B">
      <w:pPr>
        <w:divId w:val="1763337316"/>
        <w:rPr>
          <w:rFonts w:eastAsia="Times New Roman"/>
        </w:rPr>
      </w:pPr>
      <w:r>
        <w:rPr>
          <w:rFonts w:eastAsia="Times New Roman"/>
          <w:b/>
          <w:bCs/>
          <w:i/>
          <w:iCs/>
          <w:color w:val="000000"/>
          <w:sz w:val="20"/>
          <w:szCs w:val="20"/>
        </w:rPr>
        <w:t>U.K. PPI Litigation</w:t>
      </w:r>
    </w:p>
    <w:p w:rsidR="00000000" w:rsidRDefault="0094004B">
      <w:pPr>
        <w:jc w:val="both"/>
        <w:divId w:val="123546874"/>
        <w:rPr>
          <w:rFonts w:eastAsia="Times New Roman"/>
        </w:rPr>
      </w:pPr>
      <w:r>
        <w:rPr>
          <w:rFonts w:eastAsia="Times New Roman"/>
          <w:color w:val="000000"/>
          <w:sz w:val="20"/>
          <w:szCs w:val="20"/>
        </w:rPr>
        <w:t>In the U.K., we previously sold payment protection insurance (“PPI”). For several years leading up to the claims submission deadline of August 29, 2019 (as set by the U.K. Financial Condu</w:t>
      </w:r>
      <w:r>
        <w:rPr>
          <w:rFonts w:eastAsia="Times New Roman"/>
          <w:color w:val="000000"/>
          <w:sz w:val="20"/>
          <w:szCs w:val="20"/>
        </w:rPr>
        <w:t>ct Authority), we received customer complaints and regulatory claims relating to PPI. COEP has materially resolved the PPI complaints and regulatory claims received prior to the deadline. Some of the claimants in the U.K. PPI regulatory claims process have</w:t>
      </w:r>
      <w:r>
        <w:rPr>
          <w:rFonts w:eastAsia="Times New Roman"/>
          <w:color w:val="000000"/>
          <w:sz w:val="20"/>
          <w:szCs w:val="20"/>
        </w:rPr>
        <w:t xml:space="preserve"> subsequently initiated legal proceedings, seeking additional redress. We are responding to these proceedings as we receive them.</w:t>
      </w:r>
    </w:p>
    <w:p w:rsidR="00000000" w:rsidRDefault="0094004B">
      <w:pPr>
        <w:jc w:val="both"/>
        <w:divId w:val="17974076"/>
        <w:rPr>
          <w:rFonts w:eastAsia="Times New Roman"/>
        </w:rPr>
      </w:pPr>
      <w:r>
        <w:rPr>
          <w:rFonts w:eastAsia="Times New Roman"/>
          <w:b/>
          <w:bCs/>
          <w:i/>
          <w:iCs/>
          <w:color w:val="000000"/>
          <w:sz w:val="20"/>
          <w:szCs w:val="20"/>
        </w:rPr>
        <w:t>Other Pending and Threatened Litigation</w:t>
      </w:r>
    </w:p>
    <w:p w:rsidR="00000000" w:rsidRDefault="0094004B">
      <w:pPr>
        <w:jc w:val="both"/>
        <w:divId w:val="28725639"/>
        <w:rPr>
          <w:rFonts w:eastAsia="Times New Roman"/>
        </w:rPr>
      </w:pPr>
      <w:r>
        <w:rPr>
          <w:rFonts w:eastAsia="Times New Roman"/>
          <w:color w:val="000000"/>
          <w:sz w:val="20"/>
          <w:szCs w:val="20"/>
        </w:rPr>
        <w:t>In addition, we are commonly subject to various pending and threatened legal actions r</w:t>
      </w:r>
      <w:r>
        <w:rPr>
          <w:rFonts w:eastAsia="Times New Roman"/>
          <w:color w:val="000000"/>
          <w:sz w:val="20"/>
          <w:szCs w:val="20"/>
        </w:rPr>
        <w:t>elating to the conduct of our normal business activities. In the opinion of management, the ultimate aggregate liability, if any, arising out of all such other pending or threatened legal actions is not expected to be material to our consolidated financial</w:t>
      </w:r>
      <w:r>
        <w:rPr>
          <w:rFonts w:eastAsia="Times New Roman"/>
          <w:color w:val="000000"/>
          <w:sz w:val="20"/>
          <w:szCs w:val="20"/>
        </w:rPr>
        <w:t xml:space="preserve"> position or our results of operations.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302538296"/>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302538296"/>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302538296"/>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203</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229" style="width:0;height:1.5pt" o:hralign="center" o:hrstd="t" o:hr="t" fillcolor="#a0a0a0" stroked="f"/>
        </w:pict>
      </w:r>
    </w:p>
    <w:p w:rsidR="00000000" w:rsidRDefault="0094004B">
      <w:pPr>
        <w:jc w:val="both"/>
        <w:divId w:val="171071199"/>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171071199"/>
        <w:rPr>
          <w:rFonts w:eastAsia="Times New Roman"/>
        </w:rPr>
      </w:pPr>
    </w:p>
    <w:p w:rsidR="00000000" w:rsidRDefault="0094004B">
      <w:pPr>
        <w:jc w:val="center"/>
        <w:divId w:val="171071199"/>
        <w:rPr>
          <w:rFonts w:eastAsia="Times New Roman"/>
        </w:rPr>
      </w:pPr>
      <w:r>
        <w:rPr>
          <w:rFonts w:eastAsia="Times New Roman"/>
          <w:b/>
          <w:bCs/>
          <w:color w:val="000000"/>
          <w:sz w:val="20"/>
          <w:szCs w:val="20"/>
        </w:rPr>
        <w:t>CAPITAL ONE FINANCIAL CORPORATION</w:t>
      </w:r>
    </w:p>
    <w:p w:rsidR="00000000" w:rsidRDefault="0094004B">
      <w:pPr>
        <w:jc w:val="center"/>
        <w:divId w:val="171071199"/>
        <w:rPr>
          <w:rFonts w:eastAsia="Times New Roman"/>
        </w:rPr>
      </w:pPr>
      <w:r>
        <w:rPr>
          <w:rFonts w:eastAsia="Times New Roman"/>
          <w:b/>
          <w:bCs/>
          <w:color w:val="000000"/>
          <w:sz w:val="20"/>
          <w:szCs w:val="20"/>
        </w:rPr>
        <w:t>NOTES TO CONSOLIDATED FINANCIAL STATEMENTS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803225728"/>
          <w:jc w:val="center"/>
        </w:trPr>
        <w:tc>
          <w:tcPr>
            <w:tcW w:w="50" w:type="pct"/>
            <w:vAlign w:val="center"/>
            <w:hideMark/>
          </w:tcPr>
          <w:p w:rsidR="00000000" w:rsidRDefault="0094004B">
            <w:pPr>
              <w:jc w:val="center"/>
              <w:rPr>
                <w:rFonts w:eastAsia="Times New Roman"/>
              </w:rPr>
            </w:pPr>
          </w:p>
        </w:tc>
        <w:tc>
          <w:tcPr>
            <w:tcW w:w="494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803225728"/>
          <w:jc w:val="center"/>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20"/>
                <w:szCs w:val="20"/>
              </w:rPr>
              <w:t>NOTE 19—</w:t>
            </w:r>
            <w:r>
              <w:rPr>
                <w:rFonts w:eastAsia="Times New Roman"/>
                <w:b/>
                <w:bCs/>
                <w:color w:val="000000"/>
                <w:sz w:val="20"/>
                <w:szCs w:val="20"/>
              </w:rPr>
              <w:t>CAPITAL ONE FINANCIAL CORPORATION (PARENT COMPANY ONLY)</w:t>
            </w:r>
          </w:p>
        </w:tc>
      </w:tr>
    </w:tbl>
    <w:p w:rsidR="00000000" w:rsidRDefault="0094004B">
      <w:pPr>
        <w:divId w:val="1647052745"/>
        <w:rPr>
          <w:rFonts w:eastAsia="Times New Roman"/>
        </w:rPr>
      </w:pPr>
      <w:r>
        <w:rPr>
          <w:rFonts w:eastAsia="Times New Roman"/>
          <w:b/>
          <w:bCs/>
          <w:color w:val="000000"/>
          <w:sz w:val="20"/>
          <w:szCs w:val="20"/>
        </w:rPr>
        <w:t>Financial Information</w:t>
      </w:r>
    </w:p>
    <w:p w:rsidR="00000000" w:rsidRDefault="0094004B">
      <w:pPr>
        <w:jc w:val="both"/>
        <w:divId w:val="891379882"/>
        <w:rPr>
          <w:rFonts w:eastAsia="Times New Roman"/>
        </w:rPr>
      </w:pPr>
      <w:r>
        <w:rPr>
          <w:rFonts w:eastAsia="Times New Roman"/>
          <w:color w:val="000000"/>
          <w:sz w:val="20"/>
          <w:szCs w:val="20"/>
        </w:rPr>
        <w:t>The following parent company only financial statements are prepared in accordance with Regulation S-X of the U.S. Securities and Exchange Commission (“SEC”).</w:t>
      </w:r>
    </w:p>
    <w:p w:rsidR="00000000" w:rsidRDefault="0094004B">
      <w:pPr>
        <w:divId w:val="1838571302"/>
        <w:rPr>
          <w:rFonts w:eastAsia="Times New Roman"/>
        </w:rPr>
      </w:pPr>
      <w:r>
        <w:rPr>
          <w:rFonts w:eastAsia="Times New Roman"/>
          <w:b/>
          <w:bCs/>
          <w:color w:val="000000"/>
          <w:sz w:val="18"/>
          <w:szCs w:val="18"/>
        </w:rPr>
        <w:t>Table 19.1: Pare</w:t>
      </w:r>
      <w:r>
        <w:rPr>
          <w:rFonts w:eastAsia="Times New Roman"/>
          <w:b/>
          <w:bCs/>
          <w:color w:val="000000"/>
          <w:sz w:val="18"/>
          <w:szCs w:val="18"/>
        </w:rPr>
        <w:t>nt Company Statements of Income</w:t>
      </w:r>
    </w:p>
    <w:tbl>
      <w:tblPr>
        <w:tblW w:w="5000" w:type="pct"/>
        <w:tblCellMar>
          <w:top w:w="15" w:type="dxa"/>
          <w:left w:w="15" w:type="dxa"/>
          <w:bottom w:w="15" w:type="dxa"/>
          <w:right w:w="15" w:type="dxa"/>
        </w:tblCellMar>
        <w:tblLook w:val="04A0" w:firstRow="1" w:lastRow="0" w:firstColumn="1" w:lastColumn="0" w:noHBand="0" w:noVBand="1"/>
      </w:tblPr>
      <w:tblGrid>
        <w:gridCol w:w="41"/>
        <w:gridCol w:w="6038"/>
        <w:gridCol w:w="40"/>
        <w:gridCol w:w="36"/>
        <w:gridCol w:w="36"/>
        <w:gridCol w:w="36"/>
        <w:gridCol w:w="110"/>
        <w:gridCol w:w="525"/>
        <w:gridCol w:w="36"/>
        <w:gridCol w:w="36"/>
        <w:gridCol w:w="36"/>
        <w:gridCol w:w="36"/>
        <w:gridCol w:w="110"/>
        <w:gridCol w:w="450"/>
        <w:gridCol w:w="36"/>
        <w:gridCol w:w="36"/>
        <w:gridCol w:w="36"/>
        <w:gridCol w:w="36"/>
        <w:gridCol w:w="110"/>
        <w:gridCol w:w="450"/>
        <w:gridCol w:w="36"/>
      </w:tblGrid>
      <w:tr w:rsidR="00000000">
        <w:trPr>
          <w:divId w:val="2124879155"/>
        </w:trPr>
        <w:tc>
          <w:tcPr>
            <w:tcW w:w="50" w:type="pct"/>
            <w:vAlign w:val="center"/>
            <w:hideMark/>
          </w:tcPr>
          <w:p w:rsidR="00000000" w:rsidRDefault="0094004B">
            <w:pPr>
              <w:rPr>
                <w:rFonts w:eastAsia="Times New Roman"/>
              </w:rPr>
            </w:pPr>
          </w:p>
        </w:tc>
        <w:tc>
          <w:tcPr>
            <w:tcW w:w="371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1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1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18"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2124879155"/>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Year Ended December 31,</w:t>
            </w:r>
          </w:p>
        </w:tc>
      </w:tr>
      <w:tr w:rsidR="00000000">
        <w:trPr>
          <w:divId w:val="2124879155"/>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2020</w:t>
            </w:r>
          </w:p>
        </w:tc>
      </w:tr>
      <w:tr w:rsidR="00000000">
        <w:trPr>
          <w:divId w:val="212487915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Interest income</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595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151 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186 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2124879155"/>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Interest expense</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969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392 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510 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2124879155"/>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Benefit for Credit Losses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2124879155"/>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Dividends from subsidiaries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4,352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13,970 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3,003 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2124879155"/>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Non-interest income (loss)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(15)</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(26)</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(127)</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2124879155"/>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Non-interest expense</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36 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33 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2124879155"/>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Income before income taxes and equity in undistributed earnings of subsidiaries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3,929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13,668 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2,519 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2124879155"/>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Income tax benefit</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(181)</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(82)</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(93)</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2124879155"/>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Equity in undistributed earnings of subsidiaries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3,250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(1,360)</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102 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2124879155"/>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Net income</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7,360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12,390 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2,714 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2124879155"/>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Other comprehensive income (loss), net of tax</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(10,290)</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(3,120)</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2,346 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2124879155"/>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Comprehensive income</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(2,930)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9,270 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5,060 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bl>
    <w:p w:rsidR="00000000" w:rsidRDefault="0094004B">
      <w:pPr>
        <w:divId w:val="1091240021"/>
        <w:rPr>
          <w:rFonts w:eastAsia="Times New Roman"/>
        </w:rPr>
      </w:pPr>
      <w:r>
        <w:rPr>
          <w:rFonts w:eastAsia="Times New Roman"/>
          <w:b/>
          <w:bCs/>
          <w:color w:val="000000"/>
          <w:sz w:val="18"/>
          <w:szCs w:val="18"/>
        </w:rPr>
        <w:t>Table 19.2: Parent Company Balance Sheets</w:t>
      </w:r>
    </w:p>
    <w:tbl>
      <w:tblPr>
        <w:tblW w:w="5000" w:type="pct"/>
        <w:tblCellMar>
          <w:top w:w="15" w:type="dxa"/>
          <w:left w:w="15" w:type="dxa"/>
          <w:bottom w:w="15" w:type="dxa"/>
          <w:right w:w="15" w:type="dxa"/>
        </w:tblCellMar>
        <w:tblLook w:val="04A0" w:firstRow="1" w:lastRow="0" w:firstColumn="1" w:lastColumn="0" w:noHBand="0" w:noVBand="1"/>
      </w:tblPr>
      <w:tblGrid>
        <w:gridCol w:w="41"/>
        <w:gridCol w:w="6317"/>
        <w:gridCol w:w="39"/>
        <w:gridCol w:w="36"/>
        <w:gridCol w:w="36"/>
        <w:gridCol w:w="36"/>
        <w:gridCol w:w="111"/>
        <w:gridCol w:w="694"/>
        <w:gridCol w:w="36"/>
        <w:gridCol w:w="36"/>
        <w:gridCol w:w="36"/>
        <w:gridCol w:w="36"/>
        <w:gridCol w:w="111"/>
        <w:gridCol w:w="705"/>
        <w:gridCol w:w="36"/>
      </w:tblGrid>
      <w:tr w:rsidR="00000000">
        <w:trPr>
          <w:divId w:val="1945070181"/>
        </w:trPr>
        <w:tc>
          <w:tcPr>
            <w:tcW w:w="50" w:type="pct"/>
            <w:vAlign w:val="center"/>
            <w:hideMark/>
          </w:tcPr>
          <w:p w:rsidR="00000000" w:rsidRDefault="0094004B">
            <w:pPr>
              <w:rPr>
                <w:rFonts w:eastAsia="Times New Roman"/>
              </w:rPr>
            </w:pPr>
          </w:p>
        </w:tc>
        <w:tc>
          <w:tcPr>
            <w:tcW w:w="38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6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71"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945070181"/>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December 31, 2022</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December 31, 2021</w:t>
            </w:r>
          </w:p>
        </w:tc>
      </w:tr>
      <w:tr w:rsidR="00000000">
        <w:trPr>
          <w:divId w:val="1945070181"/>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Assets: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945070181"/>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Cash and cash equivalents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22,006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16,910 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945070181"/>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Investments in subsidiaries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50,523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57,600 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945070181"/>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Loans to subsidiaries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6,710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7,849 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945070181"/>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395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513 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945070181"/>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Other assets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2,281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1,330 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945070181"/>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Total assets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81,915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84,202 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945070181"/>
          <w:trHeight w:val="240"/>
        </w:trPr>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945070181"/>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Liabilities: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945070181"/>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Senior and subordinated notes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28,970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23,017 </w:t>
            </w:r>
          </w:p>
        </w:tc>
        <w:tc>
          <w:tcPr>
            <w:tcW w:w="0" w:type="auto"/>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945070181"/>
        </w:trPr>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1945070181"/>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Accrued expenses and other liabilities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363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156 </w:t>
            </w:r>
          </w:p>
        </w:tc>
        <w:tc>
          <w:tcPr>
            <w:tcW w:w="0" w:type="auto"/>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945070181"/>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Total liabilities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29,333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23,173 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945070181"/>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Total stockholders’ equity</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52,582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61,029 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004B">
            <w:pPr>
              <w:spacing w:after="100"/>
              <w:jc w:val="right"/>
              <w:rPr>
                <w:rFonts w:eastAsia="Times New Roman"/>
              </w:rPr>
            </w:pPr>
          </w:p>
        </w:tc>
      </w:tr>
      <w:tr w:rsidR="00000000">
        <w:trPr>
          <w:divId w:val="1945070181"/>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Total liabilities and stockholders’ equity</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b/>
                <w:bCs/>
                <w:color w:val="000000"/>
                <w:sz w:val="18"/>
                <w:szCs w:val="18"/>
              </w:rPr>
              <w:t>81,915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94004B">
            <w:pPr>
              <w:spacing w:after="100"/>
              <w:jc w:val="right"/>
              <w:rPr>
                <w:rFonts w:eastAsia="Times New Roman"/>
              </w:rPr>
            </w:pPr>
            <w:r>
              <w:rPr>
                <w:rFonts w:eastAsia="Times New Roman"/>
                <w:color w:val="000000"/>
                <w:sz w:val="18"/>
                <w:szCs w:val="18"/>
              </w:rPr>
              <w:t>84,202 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94004B">
            <w:pPr>
              <w:spacing w:after="100"/>
              <w:jc w:val="right"/>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94004B">
            <w:pPr>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204</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230" style="width:0;height:1.5pt" o:hralign="center" o:hrstd="t" o:hr="t" fillcolor="#a0a0a0" stroked="f"/>
        </w:pict>
      </w:r>
    </w:p>
    <w:p w:rsidR="00000000" w:rsidRDefault="0094004B">
      <w:pPr>
        <w:jc w:val="both"/>
        <w:divId w:val="1062871873"/>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1062871873"/>
        <w:rPr>
          <w:rFonts w:eastAsia="Times New Roman"/>
        </w:rPr>
      </w:pPr>
    </w:p>
    <w:p w:rsidR="00000000" w:rsidRDefault="0094004B">
      <w:pPr>
        <w:jc w:val="center"/>
        <w:divId w:val="1062871873"/>
        <w:rPr>
          <w:rFonts w:eastAsia="Times New Roman"/>
        </w:rPr>
      </w:pPr>
      <w:r>
        <w:rPr>
          <w:rFonts w:eastAsia="Times New Roman"/>
          <w:b/>
          <w:bCs/>
          <w:color w:val="000000"/>
          <w:sz w:val="20"/>
          <w:szCs w:val="20"/>
        </w:rPr>
        <w:t>CAPITAL ONE FINANCIAL CORPORATION</w:t>
      </w:r>
    </w:p>
    <w:p w:rsidR="00000000" w:rsidRDefault="0094004B">
      <w:pPr>
        <w:jc w:val="center"/>
        <w:divId w:val="1062871873"/>
        <w:rPr>
          <w:rFonts w:eastAsia="Times New Roman"/>
        </w:rPr>
      </w:pPr>
      <w:r>
        <w:rPr>
          <w:rFonts w:eastAsia="Times New Roman"/>
          <w:b/>
          <w:bCs/>
          <w:color w:val="000000"/>
          <w:sz w:val="20"/>
          <w:szCs w:val="20"/>
        </w:rPr>
        <w:t>NOTES TO CONSOLIDATED FINANCIAL STATEMENTS</w:t>
      </w:r>
    </w:p>
    <w:p w:rsidR="00000000" w:rsidRDefault="0094004B">
      <w:pPr>
        <w:divId w:val="2019502012"/>
        <w:rPr>
          <w:rFonts w:eastAsia="Times New Roman"/>
        </w:rPr>
      </w:pPr>
      <w:r>
        <w:rPr>
          <w:rFonts w:eastAsia="Times New Roman"/>
          <w:b/>
          <w:bCs/>
          <w:color w:val="000000"/>
          <w:sz w:val="18"/>
          <w:szCs w:val="18"/>
        </w:rPr>
        <w:t>Table 19.3: Parent Company Statements of Cash Flows</w:t>
      </w:r>
    </w:p>
    <w:tbl>
      <w:tblPr>
        <w:tblW w:w="4992" w:type="pct"/>
        <w:tblCellMar>
          <w:top w:w="15" w:type="dxa"/>
          <w:left w:w="15" w:type="dxa"/>
          <w:bottom w:w="15" w:type="dxa"/>
          <w:right w:w="15" w:type="dxa"/>
        </w:tblCellMar>
        <w:tblLook w:val="04A0" w:firstRow="1" w:lastRow="0" w:firstColumn="1" w:lastColumn="0" w:noHBand="0" w:noVBand="1"/>
      </w:tblPr>
      <w:tblGrid>
        <w:gridCol w:w="40"/>
        <w:gridCol w:w="5832"/>
        <w:gridCol w:w="39"/>
        <w:gridCol w:w="36"/>
        <w:gridCol w:w="36"/>
        <w:gridCol w:w="36"/>
        <w:gridCol w:w="110"/>
        <w:gridCol w:w="540"/>
        <w:gridCol w:w="36"/>
        <w:gridCol w:w="36"/>
        <w:gridCol w:w="36"/>
        <w:gridCol w:w="36"/>
        <w:gridCol w:w="110"/>
        <w:gridCol w:w="540"/>
        <w:gridCol w:w="36"/>
        <w:gridCol w:w="36"/>
        <w:gridCol w:w="36"/>
        <w:gridCol w:w="36"/>
        <w:gridCol w:w="110"/>
        <w:gridCol w:w="540"/>
        <w:gridCol w:w="36"/>
      </w:tblGrid>
      <w:tr w:rsidR="00000000">
        <w:trPr>
          <w:divId w:val="396829063"/>
        </w:trPr>
        <w:tc>
          <w:tcPr>
            <w:tcW w:w="50" w:type="pct"/>
            <w:vAlign w:val="center"/>
            <w:hideMark/>
          </w:tcPr>
          <w:p w:rsidR="00000000" w:rsidRDefault="0094004B">
            <w:pPr>
              <w:rPr>
                <w:rFonts w:eastAsia="Times New Roman"/>
              </w:rPr>
            </w:pPr>
          </w:p>
        </w:tc>
        <w:tc>
          <w:tcPr>
            <w:tcW w:w="369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2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2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32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396829063"/>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Year Ended December 31,</w:t>
            </w:r>
          </w:p>
        </w:tc>
      </w:tr>
      <w:tr w:rsidR="00000000">
        <w:trPr>
          <w:divId w:val="396829063"/>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b/>
                <w:bCs/>
                <w:color w:val="000000"/>
                <w:sz w:val="16"/>
                <w:szCs w:val="16"/>
              </w:rPr>
              <w:t>2020</w:t>
            </w:r>
          </w:p>
        </w:tc>
      </w:tr>
      <w:tr w:rsidR="00000000">
        <w:trPr>
          <w:divId w:val="396829063"/>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Operating activities: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396829063"/>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Net income</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7,360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12,390 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2,714 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396829063"/>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Adjustments to reconcile net income to net cash from operating activities: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396829063"/>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Equity in undistributed earnings of subsidiaries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(3,250)</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1,360 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(102)</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396829063"/>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Other operating activities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(2,429)</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(4,523)</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1,217 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396829063"/>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Net cash from operating activities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1,681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9,227 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3,829 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396829063"/>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Investing activities: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396829063"/>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Changes in investments in subsidiaries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3,521 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(217)</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396829063"/>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Proceeds from paydowns and maturities of 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96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141 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117 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396829063"/>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Purchases of securities available for sale</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(10)</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396829063"/>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Changes in loans to subsidiaries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1,139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(1,925)</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(2,019)</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396829063"/>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Net cash from investing activities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1,225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1,737 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(2,119)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396829063"/>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Financing activities: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396829063"/>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Borrowings: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396829063"/>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396829063"/>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Issuance of senior and subordinated notes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9,271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4,487 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1,991 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396829063"/>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Maturities and paydowns of senior and subordinated notes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(1,250)</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(2,750)</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(2,900)</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396829063"/>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Common stock:</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396829063"/>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Net proceeds from issuances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276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253 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241 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396829063"/>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Dividends paid</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(950)</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(1,148)</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(460)</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396829063"/>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Preferred stock:</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396829063"/>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Net proceeds from issuances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2,052 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1,330 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396829063"/>
        </w:trPr>
        <w:tc>
          <w:tcPr>
            <w:tcW w:w="0" w:type="auto"/>
            <w:gridSpan w:val="3"/>
            <w:shd w:val="clear" w:color="auto" w:fill="FFFF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Dividends paid</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(228)</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(274)</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(280)</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396829063"/>
        </w:trPr>
        <w:tc>
          <w:tcPr>
            <w:tcW w:w="0" w:type="auto"/>
            <w:gridSpan w:val="3"/>
            <w:shd w:val="clear" w:color="auto" w:fill="CCEEFF"/>
            <w:tcMar>
              <w:top w:w="30" w:type="dxa"/>
              <w:left w:w="245"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Redemptions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(2,100)</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(1,375)</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396829063"/>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Purchases of treasury stock</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(4,948)</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w:t>
            </w:r>
            <w:r>
              <w:rPr>
                <w:rFonts w:eastAsia="Times New Roman"/>
                <w:color w:val="000000"/>
                <w:sz w:val="18"/>
                <w:szCs w:val="18"/>
              </w:rPr>
              <w:t>7,605)</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(393)</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396829063"/>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Proceeds from share-based payment activities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55 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62 </w:t>
            </w:r>
          </w:p>
        </w:tc>
        <w:tc>
          <w:tcPr>
            <w:tcW w:w="0" w:type="auto"/>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396829063"/>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b/>
                <w:bCs/>
                <w:color w:val="000000"/>
                <w:sz w:val="18"/>
                <w:szCs w:val="18"/>
              </w:rPr>
              <w:t>Net cash from financing activities</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2,190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(7,030)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(1,784)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396829063"/>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Changes in cash and cash equivalents</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5,096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3,934 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(74)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396829063"/>
        </w:trPr>
        <w:tc>
          <w:tcPr>
            <w:tcW w:w="0" w:type="auto"/>
            <w:gridSpan w:val="3"/>
            <w:shd w:val="clear" w:color="auto" w:fill="FFFF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Cash and cash equivalents, beginning of the period</w:t>
            </w: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16,910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12,976 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13,050 </w:t>
            </w:r>
          </w:p>
        </w:tc>
        <w:tc>
          <w:tcPr>
            <w:tcW w:w="0" w:type="auto"/>
            <w:shd w:val="clear" w:color="auto" w:fill="FFFF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396829063"/>
        </w:trPr>
        <w:tc>
          <w:tcPr>
            <w:tcW w:w="0" w:type="auto"/>
            <w:gridSpan w:val="3"/>
            <w:shd w:val="clear" w:color="auto" w:fill="CCEEFF"/>
            <w:tcMar>
              <w:top w:w="30" w:type="dxa"/>
              <w:left w:w="20" w:type="dxa"/>
              <w:bottom w:w="30" w:type="dxa"/>
              <w:right w:w="20" w:type="dxa"/>
            </w:tcMar>
            <w:vAlign w:val="center"/>
            <w:hideMark/>
          </w:tcPr>
          <w:p w:rsidR="00000000" w:rsidRDefault="0094004B">
            <w:pPr>
              <w:spacing w:after="100"/>
              <w:rPr>
                <w:rFonts w:eastAsia="Times New Roman"/>
              </w:rPr>
            </w:pPr>
            <w:r>
              <w:rPr>
                <w:rFonts w:eastAsia="Times New Roman"/>
                <w:color w:val="000000"/>
                <w:sz w:val="18"/>
                <w:szCs w:val="18"/>
              </w:rPr>
              <w:t>Cash and cash equivalents, end of the period</w:t>
            </w: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b/>
                <w:bCs/>
                <w:color w:val="000000"/>
                <w:sz w:val="18"/>
                <w:szCs w:val="18"/>
              </w:rPr>
              <w:t>22,006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16,910 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004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00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004B">
            <w:pPr>
              <w:spacing w:after="100"/>
              <w:jc w:val="right"/>
              <w:rPr>
                <w:rFonts w:eastAsia="Times New Roman"/>
              </w:rPr>
            </w:pPr>
            <w:r>
              <w:rPr>
                <w:rFonts w:eastAsia="Times New Roman"/>
                <w:color w:val="000000"/>
                <w:sz w:val="18"/>
                <w:szCs w:val="18"/>
              </w:rPr>
              <w:t>12,976 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004B">
            <w:pPr>
              <w:spacing w:after="100"/>
              <w:jc w:val="right"/>
              <w:rPr>
                <w:rFonts w:eastAsia="Times New Roman"/>
              </w:rPr>
            </w:pPr>
          </w:p>
        </w:tc>
      </w:tr>
      <w:tr w:rsidR="00000000">
        <w:trPr>
          <w:divId w:val="396829063"/>
        </w:trPr>
        <w:tc>
          <w:tcPr>
            <w:tcW w:w="0" w:type="auto"/>
            <w:gridSpan w:val="3"/>
            <w:vAlign w:val="center"/>
            <w:hideMark/>
          </w:tcPr>
          <w:p w:rsidR="00000000" w:rsidRDefault="0094004B">
            <w:pPr>
              <w:spacing w:after="100"/>
              <w:jc w:val="right"/>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396829063"/>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396829063"/>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396829063"/>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396829063"/>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396829063"/>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396829063"/>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396829063"/>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396829063"/>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396829063"/>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396829063"/>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bl>
    <w:p w:rsidR="00000000" w:rsidRDefault="0094004B">
      <w:pPr>
        <w:ind w:hanging="360"/>
        <w:jc w:val="both"/>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616059112"/>
          <w:jc w:val="center"/>
        </w:trPr>
        <w:tc>
          <w:tcPr>
            <w:tcW w:w="50" w:type="pct"/>
            <w:vAlign w:val="center"/>
            <w:hideMark/>
          </w:tcPr>
          <w:p w:rsidR="00000000" w:rsidRDefault="0094004B">
            <w:pPr>
              <w:ind w:hanging="360"/>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616059112"/>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616059112"/>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205</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231" style="width:0;height:1.5pt" o:hralign="center" o:hrstd="t" o:hr="t" fillcolor="#a0a0a0" stroked="f"/>
        </w:pict>
      </w:r>
    </w:p>
    <w:p w:rsidR="00000000" w:rsidRDefault="0094004B">
      <w:pPr>
        <w:jc w:val="both"/>
        <w:divId w:val="1256986328"/>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1256986328"/>
        <w:rPr>
          <w:rFonts w:eastAsia="Times New Roman"/>
        </w:rPr>
      </w:pPr>
    </w:p>
    <w:p w:rsidR="00000000" w:rsidRDefault="0094004B">
      <w:pPr>
        <w:jc w:val="center"/>
        <w:divId w:val="1256986328"/>
        <w:rPr>
          <w:rFonts w:eastAsia="Times New Roman"/>
        </w:rPr>
      </w:pPr>
      <w:r>
        <w:rPr>
          <w:rFonts w:eastAsia="Times New Roman"/>
          <w:b/>
          <w:bCs/>
          <w:color w:val="000000"/>
          <w:sz w:val="20"/>
          <w:szCs w:val="20"/>
        </w:rPr>
        <w:t>CAPITAL ONE FINANCIAL CORPORATION</w:t>
      </w:r>
    </w:p>
    <w:p w:rsidR="00000000" w:rsidRDefault="0094004B">
      <w:pPr>
        <w:jc w:val="center"/>
        <w:divId w:val="1256986328"/>
        <w:rPr>
          <w:rFonts w:eastAsia="Times New Roman"/>
        </w:rPr>
      </w:pPr>
      <w:r>
        <w:rPr>
          <w:rFonts w:eastAsia="Times New Roman"/>
          <w:b/>
          <w:bCs/>
          <w:color w:val="000000"/>
          <w:sz w:val="20"/>
          <w:szCs w:val="20"/>
        </w:rPr>
        <w:t>NOTES TO CONSOLIDATED FINANCIAL STATEMENTS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742681872"/>
          <w:jc w:val="center"/>
        </w:trPr>
        <w:tc>
          <w:tcPr>
            <w:tcW w:w="50" w:type="pct"/>
            <w:vAlign w:val="center"/>
            <w:hideMark/>
          </w:tcPr>
          <w:p w:rsidR="00000000" w:rsidRDefault="0094004B">
            <w:pPr>
              <w:jc w:val="center"/>
              <w:rPr>
                <w:rFonts w:eastAsia="Times New Roman"/>
              </w:rPr>
            </w:pPr>
          </w:p>
        </w:tc>
        <w:tc>
          <w:tcPr>
            <w:tcW w:w="494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742681872"/>
          <w:jc w:val="center"/>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20"/>
                <w:szCs w:val="20"/>
              </w:rPr>
              <w:t>NOTE 20—RELATED PARTY TRANSACTIONS</w:t>
            </w:r>
          </w:p>
        </w:tc>
      </w:tr>
    </w:tbl>
    <w:p w:rsidR="00000000" w:rsidRDefault="0094004B">
      <w:pPr>
        <w:jc w:val="both"/>
        <w:divId w:val="926617949"/>
        <w:rPr>
          <w:rFonts w:eastAsia="Times New Roman"/>
        </w:rPr>
      </w:pPr>
      <w:r>
        <w:rPr>
          <w:rFonts w:eastAsia="Times New Roman"/>
          <w:color w:val="000000"/>
          <w:sz w:val="20"/>
          <w:szCs w:val="20"/>
        </w:rPr>
        <w:t xml:space="preserve">In the ordinary course of business, we may have loans issued to our executive officers, directors and principal stockholders. Pursuant to our policy, such loans are issued on the same terms as those prevailing at the time for comparable loans to unrelated </w:t>
      </w:r>
      <w:r>
        <w:rPr>
          <w:rFonts w:eastAsia="Times New Roman"/>
          <w:color w:val="000000"/>
          <w:sz w:val="20"/>
          <w:szCs w:val="20"/>
        </w:rPr>
        <w:t>persons and do not involve more than the normal risk of collectability.</w:t>
      </w:r>
    </w:p>
    <w:p w:rsidR="00000000" w:rsidRDefault="0094004B">
      <w:pPr>
        <w:jc w:val="both"/>
        <w:divId w:val="754058398"/>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626232003"/>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626232003"/>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626232003"/>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206</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232" style="width:0;height:1.5pt" o:hralign="center" o:hrstd="t" o:hr="t" fillcolor="#a0a0a0" stroked="f"/>
        </w:pict>
      </w:r>
    </w:p>
    <w:p w:rsidR="00000000" w:rsidRDefault="0094004B">
      <w:pPr>
        <w:jc w:val="both"/>
        <w:divId w:val="305554617"/>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divId w:val="1014575898"/>
        <w:rPr>
          <w:rFonts w:eastAsia="Times New Roman"/>
        </w:rPr>
      </w:pPr>
      <w:r>
        <w:rPr>
          <w:rFonts w:eastAsia="Times New Roman"/>
          <w:b/>
          <w:bCs/>
          <w:color w:val="000000"/>
          <w:sz w:val="20"/>
          <w:szCs w:val="20"/>
        </w:rPr>
        <w:t xml:space="preserve">Item 9. Changes in and Disagreements with Accountants on Accounting and Financial Disclosure </w:t>
      </w:r>
    </w:p>
    <w:p w:rsidR="00000000" w:rsidRDefault="0094004B">
      <w:pPr>
        <w:divId w:val="169684805"/>
        <w:rPr>
          <w:rFonts w:eastAsia="Times New Roman"/>
        </w:rPr>
      </w:pPr>
      <w:r>
        <w:rPr>
          <w:rFonts w:eastAsia="Times New Roman"/>
          <w:color w:val="000000"/>
          <w:sz w:val="20"/>
          <w:szCs w:val="20"/>
        </w:rPr>
        <w:t>None.</w:t>
      </w:r>
    </w:p>
    <w:p w:rsidR="00000000" w:rsidRDefault="0094004B">
      <w:pPr>
        <w:divId w:val="192378200"/>
        <w:rPr>
          <w:rFonts w:eastAsia="Times New Roman"/>
        </w:rPr>
      </w:pPr>
      <w:r>
        <w:rPr>
          <w:rFonts w:eastAsia="Times New Roman"/>
          <w:b/>
          <w:bCs/>
          <w:color w:val="000000"/>
          <w:sz w:val="20"/>
          <w:szCs w:val="20"/>
        </w:rPr>
        <w:t>Item 9A. Controls and Procedures</w:t>
      </w:r>
    </w:p>
    <w:p w:rsidR="00000000" w:rsidRDefault="0094004B">
      <w:pPr>
        <w:divId w:val="1579555642"/>
        <w:rPr>
          <w:rFonts w:eastAsia="Times New Roman"/>
        </w:rPr>
      </w:pPr>
      <w:r>
        <w:rPr>
          <w:rFonts w:eastAsia="Times New Roman"/>
          <w:b/>
          <w:bCs/>
          <w:color w:val="000000"/>
          <w:sz w:val="20"/>
          <w:szCs w:val="20"/>
        </w:rPr>
        <w:t>Overview</w:t>
      </w:r>
    </w:p>
    <w:p w:rsidR="00000000" w:rsidRDefault="0094004B">
      <w:pPr>
        <w:jc w:val="both"/>
        <w:divId w:val="505097267"/>
        <w:rPr>
          <w:rFonts w:eastAsia="Times New Roman"/>
        </w:rPr>
      </w:pPr>
      <w:r>
        <w:rPr>
          <w:rFonts w:eastAsia="Times New Roman"/>
          <w:color w:val="000000"/>
          <w:sz w:val="20"/>
          <w:szCs w:val="20"/>
        </w:rPr>
        <w:t>W</w:t>
      </w:r>
      <w:r>
        <w:rPr>
          <w:rFonts w:eastAsia="Times New Roman"/>
          <w:color w:val="000000"/>
          <w:sz w:val="20"/>
          <w:szCs w:val="20"/>
        </w:rPr>
        <w:t>e are required under applicable laws and regulations to maintain controls and procedures, which include disclosure controls and procedures as well as internal control over financial reporting, as further described below. </w:t>
      </w:r>
    </w:p>
    <w:p w:rsidR="00000000" w:rsidRDefault="0094004B">
      <w:pPr>
        <w:divId w:val="785540895"/>
        <w:rPr>
          <w:rFonts w:eastAsia="Times New Roman"/>
        </w:rPr>
      </w:pPr>
      <w:r>
        <w:rPr>
          <w:rFonts w:eastAsia="Times New Roman"/>
          <w:b/>
          <w:bCs/>
          <w:color w:val="000000"/>
          <w:sz w:val="20"/>
          <w:szCs w:val="20"/>
        </w:rPr>
        <w:t>(a) Disclosure Controls and Proced</w:t>
      </w:r>
      <w:r>
        <w:rPr>
          <w:rFonts w:eastAsia="Times New Roman"/>
          <w:b/>
          <w:bCs/>
          <w:color w:val="000000"/>
          <w:sz w:val="20"/>
          <w:szCs w:val="20"/>
        </w:rPr>
        <w:t>ures</w:t>
      </w:r>
    </w:p>
    <w:p w:rsidR="00000000" w:rsidRDefault="0094004B">
      <w:pPr>
        <w:jc w:val="both"/>
        <w:divId w:val="886649278"/>
        <w:rPr>
          <w:rFonts w:eastAsia="Times New Roman"/>
        </w:rPr>
      </w:pPr>
      <w:r>
        <w:rPr>
          <w:rFonts w:eastAsia="Times New Roman"/>
          <w:color w:val="000000"/>
          <w:sz w:val="20"/>
          <w:szCs w:val="20"/>
        </w:rPr>
        <w:t>Disclosure controls and procedures refer to controls and other procedures designed to provide reasonable assurance that information required to be disclosed in our financial reports is recorded, processed, summarized and reported within the time perio</w:t>
      </w:r>
      <w:r>
        <w:rPr>
          <w:rFonts w:eastAsia="Times New Roman"/>
          <w:color w:val="000000"/>
          <w:sz w:val="20"/>
          <w:szCs w:val="20"/>
        </w:rPr>
        <w:t xml:space="preserve">ds specified by SEC rules and forms and that such information is accumulated and communicated to management, including our Chief Executive Officer and Chief Financial Officer, as appropriate, to allow timely decisions regarding our required disclosure. In </w:t>
      </w:r>
      <w:r>
        <w:rPr>
          <w:rFonts w:eastAsia="Times New Roman"/>
          <w:color w:val="000000"/>
          <w:sz w:val="20"/>
          <w:szCs w:val="20"/>
        </w:rPr>
        <w:t>designing and evaluating our disclosure controls and procedures, we recognize that any controls and procedures, no matter how well designed and operated, can provide only reasonable assurance of achieving the desired control objectives, and we must apply j</w:t>
      </w:r>
      <w:r>
        <w:rPr>
          <w:rFonts w:eastAsia="Times New Roman"/>
          <w:color w:val="000000"/>
          <w:sz w:val="20"/>
          <w:szCs w:val="20"/>
        </w:rPr>
        <w:t>udgment in evaluating and implementing possible controls and procedures. </w:t>
      </w:r>
    </w:p>
    <w:p w:rsidR="00000000" w:rsidRDefault="0094004B">
      <w:pPr>
        <w:divId w:val="1641495556"/>
        <w:rPr>
          <w:rFonts w:eastAsia="Times New Roman"/>
        </w:rPr>
      </w:pPr>
      <w:r>
        <w:rPr>
          <w:rFonts w:eastAsia="Times New Roman"/>
          <w:b/>
          <w:bCs/>
          <w:i/>
          <w:iCs/>
          <w:color w:val="000000"/>
          <w:sz w:val="20"/>
          <w:szCs w:val="20"/>
        </w:rPr>
        <w:t>Evaluation of Disclosure Controls and Procedures</w:t>
      </w:r>
    </w:p>
    <w:p w:rsidR="00000000" w:rsidRDefault="0094004B">
      <w:pPr>
        <w:jc w:val="both"/>
        <w:divId w:val="1975402521"/>
        <w:rPr>
          <w:rFonts w:eastAsia="Times New Roman"/>
        </w:rPr>
      </w:pPr>
      <w:r>
        <w:rPr>
          <w:rFonts w:eastAsia="Times New Roman"/>
          <w:color w:val="000000"/>
          <w:sz w:val="20"/>
          <w:szCs w:val="20"/>
        </w:rPr>
        <w:t>As required by Rule 13a-15 of the Securities Exchange Act of 1934 (“Exchange Act”), our management, including the Chief Executive Off</w:t>
      </w:r>
      <w:r>
        <w:rPr>
          <w:rFonts w:eastAsia="Times New Roman"/>
          <w:color w:val="000000"/>
          <w:sz w:val="20"/>
          <w:szCs w:val="20"/>
        </w:rPr>
        <w:t>icer and Chief Financial Officer, conducted an evaluation of the effectiveness of our disclosure controls and procedures (as that term is defined in Rules 13a-15(e) and 15d-15(e) of the Exchange Act) as of December 31, 2022, the end of the period covered b</w:t>
      </w:r>
      <w:r>
        <w:rPr>
          <w:rFonts w:eastAsia="Times New Roman"/>
          <w:color w:val="000000"/>
          <w:sz w:val="20"/>
          <w:szCs w:val="20"/>
        </w:rPr>
        <w:t>y this Annual Report on Form 10-K. Based upon that evaluation, the Chief Executive Officer and Chief Financial Officer concluded that our disclosure controls and procedures were effective as of December 31, 2022, at a reasonable level of assurance, in reco</w:t>
      </w:r>
      <w:r>
        <w:rPr>
          <w:rFonts w:eastAsia="Times New Roman"/>
          <w:color w:val="000000"/>
          <w:sz w:val="20"/>
          <w:szCs w:val="20"/>
        </w:rPr>
        <w:t>rding, processing, summarizing and reporting information required to be disclosed within the time periods specified by the SEC rules and forms.</w:t>
      </w:r>
    </w:p>
    <w:p w:rsidR="00000000" w:rsidRDefault="0094004B">
      <w:pPr>
        <w:jc w:val="both"/>
        <w:divId w:val="386494838"/>
        <w:rPr>
          <w:rFonts w:eastAsia="Times New Roman"/>
        </w:rPr>
      </w:pPr>
      <w:r>
        <w:rPr>
          <w:rFonts w:eastAsia="Times New Roman"/>
          <w:b/>
          <w:bCs/>
          <w:color w:val="000000"/>
          <w:sz w:val="20"/>
          <w:szCs w:val="20"/>
        </w:rPr>
        <w:t>(b) Changes in Internal Control Over Financial Reporting</w:t>
      </w:r>
    </w:p>
    <w:p w:rsidR="00000000" w:rsidRDefault="0094004B">
      <w:pPr>
        <w:jc w:val="both"/>
        <w:divId w:val="1806459221"/>
        <w:rPr>
          <w:rFonts w:eastAsia="Times New Roman"/>
        </w:rPr>
      </w:pPr>
      <w:r>
        <w:rPr>
          <w:rFonts w:eastAsia="Times New Roman"/>
          <w:color w:val="000000"/>
          <w:sz w:val="20"/>
          <w:szCs w:val="20"/>
        </w:rPr>
        <w:t>We regularly review our disclosure controls and procedu</w:t>
      </w:r>
      <w:r>
        <w:rPr>
          <w:rFonts w:eastAsia="Times New Roman"/>
          <w:color w:val="000000"/>
          <w:sz w:val="20"/>
          <w:szCs w:val="20"/>
        </w:rPr>
        <w:t xml:space="preserve">res and make changes intended to ensure the quality of our financial reporting. There have been no changes in internal control over financial reporting that occurred in the fourth quarter of 2022 which have materially affected, or are reasonably likely to </w:t>
      </w:r>
      <w:r>
        <w:rPr>
          <w:rFonts w:eastAsia="Times New Roman"/>
          <w:color w:val="000000"/>
          <w:sz w:val="20"/>
          <w:szCs w:val="20"/>
        </w:rPr>
        <w:t>materially affect, the Company’s internal control over financial reporting.</w:t>
      </w:r>
    </w:p>
    <w:p w:rsidR="00000000" w:rsidRDefault="0094004B">
      <w:pPr>
        <w:jc w:val="both"/>
        <w:divId w:val="624309231"/>
        <w:rPr>
          <w:rFonts w:eastAsia="Times New Roman"/>
        </w:rPr>
      </w:pPr>
      <w:r>
        <w:rPr>
          <w:rFonts w:eastAsia="Times New Roman"/>
          <w:b/>
          <w:bCs/>
          <w:color w:val="000000"/>
          <w:sz w:val="20"/>
          <w:szCs w:val="20"/>
        </w:rPr>
        <w:t>(c) Management’s Report on Internal Control Over Financial Reporting</w:t>
      </w:r>
    </w:p>
    <w:p w:rsidR="00000000" w:rsidRDefault="0094004B">
      <w:pPr>
        <w:jc w:val="both"/>
        <w:divId w:val="1562062854"/>
        <w:rPr>
          <w:rFonts w:eastAsia="Times New Roman"/>
        </w:rPr>
      </w:pPr>
      <w:r>
        <w:rPr>
          <w:rFonts w:eastAsia="Times New Roman"/>
          <w:color w:val="000000"/>
          <w:sz w:val="20"/>
          <w:szCs w:val="20"/>
        </w:rPr>
        <w:t>Management’</w:t>
      </w:r>
      <w:r>
        <w:rPr>
          <w:rFonts w:eastAsia="Times New Roman"/>
          <w:color w:val="000000"/>
          <w:sz w:val="20"/>
          <w:szCs w:val="20"/>
        </w:rPr>
        <w:t>s Report on Internal Control Over Financial Reporting is included in “Part II—Item 8. Financial Statements and Supplementary Data” and is incorporated herein by reference. The Report of Independent Registered Public Accounting Firm on Internal Control Over</w:t>
      </w:r>
      <w:r>
        <w:rPr>
          <w:rFonts w:eastAsia="Times New Roman"/>
          <w:color w:val="000000"/>
          <w:sz w:val="20"/>
          <w:szCs w:val="20"/>
        </w:rPr>
        <w:t xml:space="preserve"> Financial Reporting also is included in “Part II—Item 8. Financial Statements and Supplementary Data” and incorporated herein by reference.</w:t>
      </w:r>
    </w:p>
    <w:p w:rsidR="00000000" w:rsidRDefault="0094004B">
      <w:pPr>
        <w:divId w:val="1866168926"/>
        <w:rPr>
          <w:rFonts w:eastAsia="Times New Roman"/>
        </w:rPr>
      </w:pPr>
      <w:r>
        <w:rPr>
          <w:rFonts w:eastAsia="Times New Roman"/>
          <w:b/>
          <w:bCs/>
          <w:color w:val="000000"/>
          <w:sz w:val="20"/>
          <w:szCs w:val="20"/>
        </w:rPr>
        <w:t>Item 9B.</w:t>
      </w:r>
      <w:r>
        <w:rPr>
          <w:rFonts w:eastAsia="Times New Roman"/>
          <w:color w:val="000000"/>
          <w:sz w:val="20"/>
          <w:szCs w:val="20"/>
        </w:rPr>
        <w:t xml:space="preserve"> </w:t>
      </w:r>
      <w:r>
        <w:rPr>
          <w:rFonts w:eastAsia="Times New Roman"/>
          <w:b/>
          <w:bCs/>
          <w:color w:val="000000"/>
          <w:sz w:val="20"/>
          <w:szCs w:val="20"/>
        </w:rPr>
        <w:t xml:space="preserve">Other Information </w:t>
      </w:r>
    </w:p>
    <w:p w:rsidR="00000000" w:rsidRDefault="0094004B">
      <w:pPr>
        <w:jc w:val="both"/>
        <w:divId w:val="660624024"/>
        <w:rPr>
          <w:rFonts w:eastAsia="Times New Roman"/>
        </w:rPr>
      </w:pPr>
      <w:r>
        <w:rPr>
          <w:rFonts w:eastAsia="Times New Roman"/>
          <w:color w:val="000000"/>
          <w:sz w:val="20"/>
          <w:szCs w:val="20"/>
        </w:rPr>
        <w:t>None.</w:t>
      </w:r>
    </w:p>
    <w:p w:rsidR="00000000" w:rsidRDefault="0094004B">
      <w:pPr>
        <w:jc w:val="both"/>
        <w:divId w:val="611325286"/>
        <w:rPr>
          <w:rFonts w:eastAsia="Times New Roman"/>
        </w:rPr>
      </w:pPr>
      <w:r>
        <w:rPr>
          <w:rFonts w:eastAsia="Times New Roman"/>
          <w:b/>
          <w:bCs/>
          <w:color w:val="000000"/>
          <w:sz w:val="20"/>
          <w:szCs w:val="20"/>
        </w:rPr>
        <w:t>Item 9C. Disclosure Regarding Foreign Jurisdictions that Prevent Inspections</w:t>
      </w:r>
    </w:p>
    <w:p w:rsidR="00000000" w:rsidRDefault="0094004B">
      <w:pPr>
        <w:jc w:val="both"/>
        <w:divId w:val="1926767822"/>
        <w:rPr>
          <w:rFonts w:eastAsia="Times New Roman"/>
        </w:rPr>
      </w:pPr>
      <w:r>
        <w:rPr>
          <w:rFonts w:eastAsia="Times New Roman"/>
          <w:color w:val="000000"/>
          <w:sz w:val="20"/>
          <w:szCs w:val="20"/>
        </w:rPr>
        <w:t xml:space="preserve">Not </w:t>
      </w:r>
      <w:r>
        <w:rPr>
          <w:rFonts w:eastAsia="Times New Roman"/>
          <w:color w:val="000000"/>
          <w:sz w:val="20"/>
          <w:szCs w:val="20"/>
        </w:rPr>
        <w:t>applicable.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128740825"/>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128740825"/>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128740825"/>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207</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233" style="width:0;height:1.5pt" o:hralign="center" o:hrstd="t" o:hr="t" fillcolor="#a0a0a0" stroked="f"/>
        </w:pict>
      </w:r>
    </w:p>
    <w:p w:rsidR="00000000" w:rsidRDefault="0094004B">
      <w:pPr>
        <w:jc w:val="both"/>
        <w:divId w:val="1752460388"/>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1097215852"/>
        <w:rPr>
          <w:rFonts w:eastAsia="Times New Roman"/>
        </w:rPr>
      </w:pPr>
      <w:r>
        <w:rPr>
          <w:rFonts w:eastAsia="Times New Roman"/>
          <w:b/>
          <w:bCs/>
          <w:color w:val="000000"/>
          <w:sz w:val="20"/>
          <w:szCs w:val="20"/>
        </w:rPr>
        <w:t>PART III</w:t>
      </w:r>
    </w:p>
    <w:p w:rsidR="00000000" w:rsidRDefault="0094004B">
      <w:pPr>
        <w:divId w:val="1662271573"/>
        <w:rPr>
          <w:rFonts w:eastAsia="Times New Roman"/>
        </w:rPr>
      </w:pPr>
      <w:r>
        <w:rPr>
          <w:rFonts w:eastAsia="Times New Roman"/>
          <w:b/>
          <w:bCs/>
          <w:color w:val="000000"/>
          <w:sz w:val="20"/>
          <w:szCs w:val="20"/>
        </w:rPr>
        <w:t xml:space="preserve">Item 10. Directors, Executive Officers and Corporate Governance </w:t>
      </w:r>
    </w:p>
    <w:p w:rsidR="00000000" w:rsidRDefault="0094004B">
      <w:pPr>
        <w:jc w:val="both"/>
        <w:divId w:val="704907396"/>
        <w:rPr>
          <w:rFonts w:eastAsia="Times New Roman"/>
        </w:rPr>
      </w:pPr>
      <w:r>
        <w:rPr>
          <w:rFonts w:eastAsia="Times New Roman"/>
          <w:color w:val="000000"/>
          <w:sz w:val="20"/>
          <w:szCs w:val="20"/>
        </w:rPr>
        <w:t>The information required by Item 10 will be included in our Proxy Sta</w:t>
      </w:r>
      <w:r>
        <w:rPr>
          <w:rFonts w:eastAsia="Times New Roman"/>
          <w:color w:val="000000"/>
          <w:sz w:val="20"/>
          <w:szCs w:val="20"/>
        </w:rPr>
        <w:t>tement for the 2023 Annual Stockholder Meeting (“Proxy Statement”) under the heading “Election of Directors,” “Executive Officers,” “Process for Stockholder Recommendations of Director Candidates,” “Board Committees,” and “Delinquent Section 16(a) Reports,</w:t>
      </w:r>
      <w:r>
        <w:rPr>
          <w:rFonts w:eastAsia="Times New Roman"/>
          <w:color w:val="000000"/>
          <w:sz w:val="20"/>
          <w:szCs w:val="20"/>
        </w:rPr>
        <w:t>” and is incorporated herein by reference. The Proxy Statement will be filed with the Securities and Exchange Commission pursuant to Regulation 14A within 120 days of the end of our 2022 fiscal year. In addition, please see “Part I—Item 1. Business—Overvie</w:t>
      </w:r>
      <w:r>
        <w:rPr>
          <w:rFonts w:eastAsia="Times New Roman"/>
          <w:color w:val="000000"/>
          <w:sz w:val="20"/>
          <w:szCs w:val="20"/>
        </w:rPr>
        <w:t>w.”</w:t>
      </w:r>
    </w:p>
    <w:p w:rsidR="00000000" w:rsidRDefault="0094004B">
      <w:pPr>
        <w:divId w:val="1141996604"/>
        <w:rPr>
          <w:rFonts w:eastAsia="Times New Roman"/>
        </w:rPr>
      </w:pPr>
      <w:r>
        <w:rPr>
          <w:rFonts w:eastAsia="Times New Roman"/>
          <w:b/>
          <w:bCs/>
          <w:color w:val="000000"/>
          <w:sz w:val="20"/>
          <w:szCs w:val="20"/>
        </w:rPr>
        <w:t xml:space="preserve">Item 11. Executive Compensation </w:t>
      </w:r>
    </w:p>
    <w:p w:rsidR="00000000" w:rsidRDefault="0094004B">
      <w:pPr>
        <w:jc w:val="both"/>
        <w:divId w:val="1017465960"/>
        <w:rPr>
          <w:rFonts w:eastAsia="Times New Roman"/>
        </w:rPr>
      </w:pPr>
      <w:r>
        <w:rPr>
          <w:rFonts w:eastAsia="Times New Roman"/>
          <w:color w:val="000000"/>
          <w:sz w:val="20"/>
          <w:szCs w:val="20"/>
        </w:rPr>
        <w:t>The information required by Item 11 will be included in the Proxy Statement under the headings “Director Compensation,” “Compensation Discussion and Analysis,” “Named Executive Officer Compensation” and “Compensation Co</w:t>
      </w:r>
      <w:r>
        <w:rPr>
          <w:rFonts w:eastAsia="Times New Roman"/>
          <w:color w:val="000000"/>
          <w:sz w:val="20"/>
          <w:szCs w:val="20"/>
        </w:rPr>
        <w:t>mmittee Report,” and is incorporated herein by reference.</w:t>
      </w:r>
    </w:p>
    <w:p w:rsidR="00000000" w:rsidRDefault="0094004B">
      <w:pPr>
        <w:divId w:val="1141732220"/>
        <w:rPr>
          <w:rFonts w:eastAsia="Times New Roman"/>
        </w:rPr>
      </w:pPr>
      <w:r>
        <w:rPr>
          <w:rFonts w:eastAsia="Times New Roman"/>
          <w:b/>
          <w:bCs/>
          <w:color w:val="000000"/>
          <w:sz w:val="20"/>
          <w:szCs w:val="20"/>
        </w:rPr>
        <w:t xml:space="preserve">Item 12. Security Ownership of Certain Beneficial Owners and Management and Related Stockholder Matters </w:t>
      </w:r>
    </w:p>
    <w:p w:rsidR="00000000" w:rsidRDefault="0094004B">
      <w:pPr>
        <w:jc w:val="both"/>
        <w:divId w:val="2023045188"/>
        <w:rPr>
          <w:rFonts w:eastAsia="Times New Roman"/>
        </w:rPr>
      </w:pPr>
      <w:r>
        <w:rPr>
          <w:rFonts w:eastAsia="Times New Roman"/>
          <w:color w:val="000000"/>
          <w:sz w:val="20"/>
          <w:szCs w:val="20"/>
        </w:rPr>
        <w:t>The information required by Item 12 will be included in the Proxy Statement under the heading</w:t>
      </w:r>
      <w:r>
        <w:rPr>
          <w:rFonts w:eastAsia="Times New Roman"/>
          <w:color w:val="000000"/>
          <w:sz w:val="20"/>
          <w:szCs w:val="20"/>
        </w:rPr>
        <w:t>s “Security Ownership” and “Equity Compensation Plans,” and is incorporated herein by reference.</w:t>
      </w:r>
    </w:p>
    <w:p w:rsidR="00000000" w:rsidRDefault="0094004B">
      <w:pPr>
        <w:divId w:val="536310308"/>
        <w:rPr>
          <w:rFonts w:eastAsia="Times New Roman"/>
        </w:rPr>
      </w:pPr>
      <w:r>
        <w:rPr>
          <w:rFonts w:eastAsia="Times New Roman"/>
          <w:b/>
          <w:bCs/>
          <w:color w:val="000000"/>
          <w:sz w:val="20"/>
          <w:szCs w:val="20"/>
        </w:rPr>
        <w:t xml:space="preserve">Item 13. Certain Relationships and Related Transactions, and Director Independence </w:t>
      </w:r>
    </w:p>
    <w:p w:rsidR="00000000" w:rsidRDefault="0094004B">
      <w:pPr>
        <w:jc w:val="both"/>
        <w:divId w:val="1839885204"/>
        <w:rPr>
          <w:rFonts w:eastAsia="Times New Roman"/>
        </w:rPr>
      </w:pPr>
      <w:r>
        <w:rPr>
          <w:rFonts w:eastAsia="Times New Roman"/>
          <w:color w:val="000000"/>
          <w:sz w:val="20"/>
          <w:szCs w:val="20"/>
        </w:rPr>
        <w:t>The information required by Item 13 will be included in the Proxy Statement</w:t>
      </w:r>
      <w:r>
        <w:rPr>
          <w:rFonts w:eastAsia="Times New Roman"/>
          <w:color w:val="000000"/>
          <w:sz w:val="20"/>
          <w:szCs w:val="20"/>
        </w:rPr>
        <w:t xml:space="preserve"> under the headings “Related Person Transactions” and “Director Independence,” and is incorporated herein by reference.</w:t>
      </w:r>
    </w:p>
    <w:p w:rsidR="00000000" w:rsidRDefault="0094004B">
      <w:pPr>
        <w:divId w:val="1027291061"/>
        <w:rPr>
          <w:rFonts w:eastAsia="Times New Roman"/>
        </w:rPr>
      </w:pPr>
      <w:r>
        <w:rPr>
          <w:rFonts w:eastAsia="Times New Roman"/>
          <w:b/>
          <w:bCs/>
          <w:color w:val="000000"/>
          <w:sz w:val="20"/>
          <w:szCs w:val="20"/>
        </w:rPr>
        <w:t xml:space="preserve">Item 14. Principal Accountant Fees and Services </w:t>
      </w:r>
    </w:p>
    <w:p w:rsidR="00000000" w:rsidRDefault="0094004B">
      <w:pPr>
        <w:jc w:val="both"/>
        <w:divId w:val="1023020243"/>
        <w:rPr>
          <w:rFonts w:eastAsia="Times New Roman"/>
        </w:rPr>
      </w:pPr>
      <w:r>
        <w:rPr>
          <w:rFonts w:eastAsia="Times New Roman"/>
          <w:color w:val="000000"/>
          <w:sz w:val="20"/>
          <w:szCs w:val="20"/>
        </w:rPr>
        <w:t>The information required by Item 14 will be included in the Proxy Statement under the h</w:t>
      </w:r>
      <w:r>
        <w:rPr>
          <w:rFonts w:eastAsia="Times New Roman"/>
          <w:color w:val="000000"/>
          <w:sz w:val="20"/>
          <w:szCs w:val="20"/>
        </w:rPr>
        <w:t>eading “Ratification of Selection of Our Independent Registered Public Accounting Firm,” and is incorporated herein by reference.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376346039"/>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376346039"/>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376346039"/>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208</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234" style="width:0;height:1.5pt" o:hralign="center" o:hrstd="t" o:hr="t" fillcolor="#a0a0a0" stroked="f"/>
        </w:pict>
      </w:r>
    </w:p>
    <w:p w:rsidR="00000000" w:rsidRDefault="0094004B">
      <w:pPr>
        <w:jc w:val="both"/>
        <w:divId w:val="1780906652"/>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2068607549"/>
        <w:rPr>
          <w:rFonts w:eastAsia="Times New Roman"/>
        </w:rPr>
      </w:pPr>
      <w:r>
        <w:rPr>
          <w:rFonts w:eastAsia="Times New Roman"/>
          <w:b/>
          <w:bCs/>
          <w:color w:val="000000"/>
          <w:sz w:val="20"/>
          <w:szCs w:val="20"/>
        </w:rPr>
        <w:t xml:space="preserve">PART IV </w:t>
      </w:r>
    </w:p>
    <w:p w:rsidR="00000000" w:rsidRDefault="0094004B">
      <w:pPr>
        <w:divId w:val="1056274217"/>
        <w:rPr>
          <w:rFonts w:eastAsia="Times New Roman"/>
        </w:rPr>
      </w:pPr>
      <w:r>
        <w:rPr>
          <w:rFonts w:eastAsia="Times New Roman"/>
          <w:b/>
          <w:bCs/>
          <w:color w:val="000000"/>
          <w:sz w:val="20"/>
          <w:szCs w:val="20"/>
          <w:shd w:val="clear" w:color="auto" w:fill="FFFFFF"/>
        </w:rPr>
        <w:t xml:space="preserve">Item 15. Exhibits and Financial Statement Schedules </w:t>
      </w:r>
    </w:p>
    <w:p w:rsidR="00000000" w:rsidRDefault="0094004B">
      <w:pPr>
        <w:jc w:val="both"/>
        <w:divId w:val="460732307"/>
        <w:rPr>
          <w:rFonts w:eastAsia="Times New Roman"/>
        </w:rPr>
      </w:pPr>
      <w:r>
        <w:rPr>
          <w:rFonts w:eastAsia="Times New Roman"/>
          <w:b/>
          <w:bCs/>
          <w:color w:val="000000"/>
          <w:sz w:val="20"/>
          <w:szCs w:val="20"/>
          <w:shd w:val="clear" w:color="auto" w:fill="FFFFFF"/>
        </w:rPr>
        <w:t xml:space="preserve">(a) Financial Statement Schedules </w:t>
      </w:r>
    </w:p>
    <w:p w:rsidR="00000000" w:rsidRDefault="0094004B">
      <w:pPr>
        <w:jc w:val="both"/>
        <w:divId w:val="766731428"/>
        <w:rPr>
          <w:rFonts w:eastAsia="Times New Roman"/>
        </w:rPr>
      </w:pPr>
      <w:r>
        <w:rPr>
          <w:rFonts w:eastAsia="Times New Roman"/>
          <w:color w:val="000000"/>
          <w:sz w:val="20"/>
          <w:szCs w:val="20"/>
          <w:shd w:val="clear" w:color="auto" w:fill="FFFFFF"/>
        </w:rPr>
        <w:t xml:space="preserve">The following documents are filed as part of this Annual Report in Part II, Item 8 and are incorporated herein by reference. </w:t>
      </w:r>
    </w:p>
    <w:p w:rsidR="00000000" w:rsidRDefault="0094004B">
      <w:pPr>
        <w:jc w:val="both"/>
        <w:divId w:val="39790170"/>
        <w:rPr>
          <w:rFonts w:eastAsia="Times New Roman"/>
        </w:rPr>
      </w:pPr>
      <w:r>
        <w:rPr>
          <w:rFonts w:eastAsia="Times New Roman"/>
          <w:color w:val="000000"/>
          <w:sz w:val="20"/>
          <w:szCs w:val="20"/>
          <w:shd w:val="clear" w:color="auto" w:fill="FFFFFF"/>
        </w:rPr>
        <w:t>(1) Management’s Report on Internal Control Over Financial Reporting</w:t>
      </w:r>
    </w:p>
    <w:p w:rsidR="00000000" w:rsidRDefault="0094004B">
      <w:pPr>
        <w:jc w:val="both"/>
        <w:divId w:val="1364819056"/>
        <w:rPr>
          <w:rFonts w:eastAsia="Times New Roman"/>
        </w:rPr>
      </w:pPr>
      <w:r>
        <w:rPr>
          <w:rFonts w:eastAsia="Times New Roman"/>
          <w:color w:val="000000"/>
          <w:sz w:val="20"/>
          <w:szCs w:val="20"/>
          <w:shd w:val="clear" w:color="auto" w:fill="FFFFFF"/>
        </w:rPr>
        <w:t>Report of Independent Registered Public Accounting Firm on In</w:t>
      </w:r>
      <w:r>
        <w:rPr>
          <w:rFonts w:eastAsia="Times New Roman"/>
          <w:color w:val="000000"/>
          <w:sz w:val="20"/>
          <w:szCs w:val="20"/>
          <w:shd w:val="clear" w:color="auto" w:fill="FFFFFF"/>
        </w:rPr>
        <w:t>ternal Control Over Financial Reporting</w:t>
      </w:r>
    </w:p>
    <w:p w:rsidR="00000000" w:rsidRDefault="0094004B">
      <w:pPr>
        <w:jc w:val="both"/>
        <w:divId w:val="1953852587"/>
        <w:rPr>
          <w:rFonts w:eastAsia="Times New Roman"/>
        </w:rPr>
      </w:pPr>
      <w:r>
        <w:rPr>
          <w:rFonts w:eastAsia="Times New Roman"/>
          <w:color w:val="000000"/>
          <w:sz w:val="20"/>
          <w:szCs w:val="20"/>
          <w:shd w:val="clear" w:color="auto" w:fill="FFFFFF"/>
        </w:rPr>
        <w:t>Report of Independent Registered Public Accounting Firm on the Consolidated Financial Statements</w:t>
      </w:r>
    </w:p>
    <w:p w:rsidR="00000000" w:rsidRDefault="0094004B">
      <w:pPr>
        <w:jc w:val="both"/>
        <w:divId w:val="135756786"/>
        <w:rPr>
          <w:rFonts w:eastAsia="Times New Roman"/>
        </w:rPr>
      </w:pPr>
      <w:r>
        <w:rPr>
          <w:rFonts w:eastAsia="Times New Roman"/>
          <w:color w:val="000000"/>
          <w:sz w:val="20"/>
          <w:szCs w:val="20"/>
          <w:shd w:val="clear" w:color="auto" w:fill="FFFFFF"/>
        </w:rPr>
        <w:t xml:space="preserve">Consolidated Financial Statements: </w:t>
      </w:r>
    </w:p>
    <w:p w:rsidR="00000000" w:rsidRDefault="0094004B">
      <w:pPr>
        <w:jc w:val="both"/>
        <w:divId w:val="577440862"/>
        <w:rPr>
          <w:rFonts w:eastAsia="Times New Roman"/>
        </w:rPr>
      </w:pPr>
      <w:r>
        <w:rPr>
          <w:rFonts w:eastAsia="Times New Roman"/>
          <w:color w:val="000000"/>
          <w:sz w:val="20"/>
          <w:szCs w:val="20"/>
          <w:shd w:val="clear" w:color="auto" w:fill="FFFFFF"/>
        </w:rPr>
        <w:t>Consolidated Statements of Income for the years ended December 31, 2022, 2021 and 2</w:t>
      </w:r>
      <w:r>
        <w:rPr>
          <w:rFonts w:eastAsia="Times New Roman"/>
          <w:color w:val="000000"/>
          <w:sz w:val="20"/>
          <w:szCs w:val="20"/>
          <w:shd w:val="clear" w:color="auto" w:fill="FFFFFF"/>
        </w:rPr>
        <w:t>020</w:t>
      </w:r>
    </w:p>
    <w:p w:rsidR="00000000" w:rsidRDefault="0094004B">
      <w:pPr>
        <w:jc w:val="both"/>
        <w:divId w:val="1903639502"/>
        <w:rPr>
          <w:rFonts w:eastAsia="Times New Roman"/>
        </w:rPr>
      </w:pPr>
      <w:r>
        <w:rPr>
          <w:rFonts w:eastAsia="Times New Roman"/>
          <w:color w:val="000000"/>
          <w:sz w:val="20"/>
          <w:szCs w:val="20"/>
          <w:shd w:val="clear" w:color="auto" w:fill="FFFFFF"/>
        </w:rPr>
        <w:t>Consolidated Statements of Comprehensive Income for the years ended December 31, 2022, 2021 and 2020</w:t>
      </w:r>
    </w:p>
    <w:p w:rsidR="00000000" w:rsidRDefault="0094004B">
      <w:pPr>
        <w:jc w:val="both"/>
        <w:divId w:val="1432511395"/>
        <w:rPr>
          <w:rFonts w:eastAsia="Times New Roman"/>
        </w:rPr>
      </w:pPr>
      <w:r>
        <w:rPr>
          <w:rFonts w:eastAsia="Times New Roman"/>
          <w:color w:val="000000"/>
          <w:sz w:val="20"/>
          <w:szCs w:val="20"/>
          <w:shd w:val="clear" w:color="auto" w:fill="FFFFFF"/>
        </w:rPr>
        <w:t xml:space="preserve">Consolidated Balance Sheets as of December 31, 2022 and 2021 </w:t>
      </w:r>
    </w:p>
    <w:p w:rsidR="00000000" w:rsidRDefault="0094004B">
      <w:pPr>
        <w:jc w:val="both"/>
        <w:divId w:val="463041622"/>
        <w:rPr>
          <w:rFonts w:eastAsia="Times New Roman"/>
        </w:rPr>
      </w:pPr>
      <w:r>
        <w:rPr>
          <w:rFonts w:eastAsia="Times New Roman"/>
          <w:color w:val="000000"/>
          <w:sz w:val="20"/>
          <w:szCs w:val="20"/>
          <w:shd w:val="clear" w:color="auto" w:fill="FFFFFF"/>
        </w:rPr>
        <w:t>Consolidated Statements of Changes in Stockholders’ Equity for the years ended December 3</w:t>
      </w:r>
      <w:r>
        <w:rPr>
          <w:rFonts w:eastAsia="Times New Roman"/>
          <w:color w:val="000000"/>
          <w:sz w:val="20"/>
          <w:szCs w:val="20"/>
          <w:shd w:val="clear" w:color="auto" w:fill="FFFFFF"/>
        </w:rPr>
        <w:t xml:space="preserve">1, 2022, 2021 and 2020 </w:t>
      </w:r>
    </w:p>
    <w:p w:rsidR="00000000" w:rsidRDefault="0094004B">
      <w:pPr>
        <w:jc w:val="both"/>
        <w:divId w:val="689528452"/>
        <w:rPr>
          <w:rFonts w:eastAsia="Times New Roman"/>
        </w:rPr>
      </w:pPr>
      <w:r>
        <w:rPr>
          <w:rFonts w:eastAsia="Times New Roman"/>
          <w:color w:val="000000"/>
          <w:sz w:val="20"/>
          <w:szCs w:val="20"/>
          <w:shd w:val="clear" w:color="auto" w:fill="FFFFFF"/>
        </w:rPr>
        <w:t>Consolidated Statements of Cash Flows for the years ended December 31, 2022, 2021 and 2020</w:t>
      </w:r>
    </w:p>
    <w:p w:rsidR="00000000" w:rsidRDefault="0094004B">
      <w:pPr>
        <w:jc w:val="both"/>
        <w:divId w:val="1393972"/>
        <w:rPr>
          <w:rFonts w:eastAsia="Times New Roman"/>
        </w:rPr>
      </w:pPr>
      <w:r>
        <w:rPr>
          <w:rFonts w:eastAsia="Times New Roman"/>
          <w:color w:val="000000"/>
          <w:sz w:val="20"/>
          <w:szCs w:val="20"/>
          <w:shd w:val="clear" w:color="auto" w:fill="FFFFFF"/>
        </w:rPr>
        <w:t xml:space="preserve">Notes to Consolidated Financial Statements </w:t>
      </w:r>
    </w:p>
    <w:p w:rsidR="00000000" w:rsidRDefault="0094004B">
      <w:pPr>
        <w:jc w:val="both"/>
        <w:divId w:val="1968198149"/>
        <w:rPr>
          <w:rFonts w:eastAsia="Times New Roman"/>
        </w:rPr>
      </w:pPr>
      <w:r>
        <w:rPr>
          <w:rFonts w:eastAsia="Times New Roman"/>
          <w:color w:val="000000"/>
          <w:sz w:val="20"/>
          <w:szCs w:val="20"/>
          <w:shd w:val="clear" w:color="auto" w:fill="FFFFFF"/>
        </w:rPr>
        <w:t>(2) Schedules</w:t>
      </w:r>
    </w:p>
    <w:p w:rsidR="00000000" w:rsidRDefault="0094004B">
      <w:pPr>
        <w:jc w:val="both"/>
        <w:divId w:val="599800046"/>
        <w:rPr>
          <w:rFonts w:eastAsia="Times New Roman"/>
        </w:rPr>
      </w:pPr>
      <w:r>
        <w:rPr>
          <w:rFonts w:eastAsia="Times New Roman"/>
          <w:color w:val="000000"/>
          <w:sz w:val="20"/>
          <w:szCs w:val="20"/>
          <w:shd w:val="clear" w:color="auto" w:fill="FFFFFF"/>
        </w:rPr>
        <w:t>None.</w:t>
      </w:r>
    </w:p>
    <w:p w:rsidR="00000000" w:rsidRDefault="0094004B">
      <w:pPr>
        <w:jc w:val="both"/>
        <w:divId w:val="338774447"/>
        <w:rPr>
          <w:rFonts w:eastAsia="Times New Roman"/>
        </w:rPr>
      </w:pPr>
      <w:r>
        <w:rPr>
          <w:rFonts w:eastAsia="Times New Roman"/>
          <w:b/>
          <w:bCs/>
          <w:color w:val="000000"/>
          <w:sz w:val="20"/>
          <w:szCs w:val="20"/>
          <w:shd w:val="clear" w:color="auto" w:fill="FFFFFF"/>
        </w:rPr>
        <w:t xml:space="preserve">(b) Exhibits </w:t>
      </w:r>
    </w:p>
    <w:p w:rsidR="00000000" w:rsidRDefault="0094004B">
      <w:pPr>
        <w:jc w:val="both"/>
        <w:divId w:val="1336573437"/>
        <w:rPr>
          <w:rFonts w:eastAsia="Times New Roman"/>
        </w:rPr>
      </w:pPr>
      <w:r>
        <w:rPr>
          <w:rFonts w:eastAsia="Times New Roman"/>
          <w:color w:val="000000"/>
          <w:sz w:val="20"/>
          <w:szCs w:val="20"/>
          <w:shd w:val="clear" w:color="auto" w:fill="FFFFFF"/>
        </w:rPr>
        <w:t xml:space="preserve">An index to exhibits has been filed as part of this Report and </w:t>
      </w:r>
      <w:r>
        <w:rPr>
          <w:rFonts w:eastAsia="Times New Roman"/>
          <w:color w:val="000000"/>
          <w:sz w:val="20"/>
          <w:szCs w:val="20"/>
          <w:shd w:val="clear" w:color="auto" w:fill="FFFFFF"/>
        </w:rPr>
        <w:t>is incorporated herein by reference.</w:t>
      </w:r>
    </w:p>
    <w:p w:rsidR="00000000" w:rsidRDefault="0094004B">
      <w:pPr>
        <w:divId w:val="317268905"/>
        <w:rPr>
          <w:rFonts w:eastAsia="Times New Roman"/>
        </w:rPr>
      </w:pPr>
      <w:r>
        <w:rPr>
          <w:rFonts w:eastAsia="Times New Roman"/>
          <w:b/>
          <w:bCs/>
          <w:color w:val="000000"/>
          <w:sz w:val="20"/>
          <w:szCs w:val="20"/>
        </w:rPr>
        <w:t xml:space="preserve">Item 16. Form 10-K Summary </w:t>
      </w:r>
    </w:p>
    <w:p w:rsidR="00000000" w:rsidRDefault="0094004B">
      <w:pPr>
        <w:jc w:val="both"/>
        <w:divId w:val="483552497"/>
        <w:rPr>
          <w:rFonts w:eastAsia="Times New Roman"/>
        </w:rPr>
      </w:pPr>
      <w:r>
        <w:rPr>
          <w:rFonts w:eastAsia="Times New Roman"/>
          <w:color w:val="000000"/>
          <w:sz w:val="20"/>
          <w:szCs w:val="20"/>
        </w:rPr>
        <w:t>Not applicable.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485776070"/>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485776070"/>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485776070"/>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209</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235" style="width:0;height:1.5pt" o:hralign="center" o:hrstd="t" o:hr="t" fillcolor="#a0a0a0" stroked="f"/>
        </w:pict>
      </w:r>
    </w:p>
    <w:p w:rsidR="00000000" w:rsidRDefault="0094004B">
      <w:pPr>
        <w:jc w:val="both"/>
        <w:divId w:val="1020010032"/>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rPr>
          <w:rFonts w:eastAsia="Times New Roman"/>
        </w:rPr>
      </w:pPr>
      <w:r>
        <w:rPr>
          <w:rFonts w:eastAsia="Times New Roman"/>
          <w:b/>
          <w:bCs/>
          <w:color w:val="000000"/>
          <w:sz w:val="20"/>
          <w:szCs w:val="20"/>
        </w:rPr>
        <w:t>ANNUAL REPORT ON FORM 10-K</w:t>
      </w:r>
    </w:p>
    <w:p w:rsidR="00000000" w:rsidRDefault="0094004B">
      <w:pPr>
        <w:jc w:val="center"/>
        <w:rPr>
          <w:rFonts w:eastAsia="Times New Roman"/>
        </w:rPr>
      </w:pPr>
      <w:r>
        <w:rPr>
          <w:rFonts w:eastAsia="Times New Roman"/>
          <w:b/>
          <w:bCs/>
          <w:color w:val="000000"/>
          <w:sz w:val="20"/>
          <w:szCs w:val="20"/>
        </w:rPr>
        <w:t>DATED DECEMBER 31, 2022</w:t>
      </w:r>
    </w:p>
    <w:p w:rsidR="00000000" w:rsidRDefault="0094004B">
      <w:pPr>
        <w:jc w:val="center"/>
        <w:rPr>
          <w:rFonts w:eastAsia="Times New Roman"/>
        </w:rPr>
      </w:pPr>
      <w:r>
        <w:rPr>
          <w:rFonts w:eastAsia="Times New Roman"/>
          <w:b/>
          <w:bCs/>
          <w:color w:val="000000"/>
          <w:sz w:val="20"/>
          <w:szCs w:val="20"/>
        </w:rPr>
        <w:t>Commission File No. 001-13300</w:t>
      </w:r>
    </w:p>
    <w:p w:rsidR="00000000" w:rsidRDefault="0094004B">
      <w:pPr>
        <w:jc w:val="both"/>
        <w:divId w:val="735738128"/>
        <w:rPr>
          <w:rFonts w:eastAsia="Times New Roman"/>
        </w:rPr>
      </w:pPr>
      <w:r>
        <w:rPr>
          <w:rFonts w:eastAsia="Times New Roman"/>
          <w:color w:val="000000"/>
          <w:sz w:val="20"/>
          <w:szCs w:val="20"/>
        </w:rPr>
        <w:t>The following exhibits are incorporated by reference or filed herewith. References to (i) the “2002 Form 10-K” are to the Company’s Annual Report on Form 10-K for the year ended December 31, 2002, filed on March 17, 2003; (ii) the “2003 Form 10-K” are to t</w:t>
      </w:r>
      <w:r>
        <w:rPr>
          <w:rFonts w:eastAsia="Times New Roman"/>
          <w:color w:val="000000"/>
          <w:sz w:val="20"/>
          <w:szCs w:val="20"/>
        </w:rPr>
        <w:t>he Company’s Annual Report on Form 10-K for the year ended December 31, 2003, filed on March 5, 2004; (iii) the “2011 Form 10-K” are to the Company’s Annual Report on Form 10-K for the year ended December 31, 2011, filed on February 28, 2012; (iv) the “201</w:t>
      </w:r>
      <w:r>
        <w:rPr>
          <w:rFonts w:eastAsia="Times New Roman"/>
          <w:color w:val="000000"/>
          <w:sz w:val="20"/>
          <w:szCs w:val="20"/>
        </w:rPr>
        <w:t xml:space="preserve">2 Form 10-K” are to the Company’s Annual Report on Form 10-K for the year ended December 31, 2012, filed on February 28, 2013; (v) the “2013 Form 10-K” are to the Company’s Annual Report on Form 10-K for the year ended December 31, 2013, filed on February </w:t>
      </w:r>
      <w:r>
        <w:rPr>
          <w:rFonts w:eastAsia="Times New Roman"/>
          <w:color w:val="000000"/>
          <w:sz w:val="20"/>
          <w:szCs w:val="20"/>
        </w:rPr>
        <w:t>27, 2014; (vi) the “2014 Form 10-K” are to the Company’s Annual Report on Form 10-K for the year ended December 31, 2014, filed on February 24, 2015; (vii) the “2015 Form 10-K” are to the Company’s Annual Report on Form 10-K for the year ended December 31,</w:t>
      </w:r>
      <w:r>
        <w:rPr>
          <w:rFonts w:eastAsia="Times New Roman"/>
          <w:color w:val="000000"/>
          <w:sz w:val="20"/>
          <w:szCs w:val="20"/>
        </w:rPr>
        <w:t xml:space="preserve"> 2015, filed on February 25, 2016; (viii) the “2016 Form 10-K” are to the Company’s Annual Report on Form 10-K for the year ended December 31, 2016, filed on February 23, 2017; (ix) the “2018 Form 10-K” are to the Company’s Annual Report on Form 10-K for t</w:t>
      </w:r>
      <w:r>
        <w:rPr>
          <w:rFonts w:eastAsia="Times New Roman"/>
          <w:color w:val="000000"/>
          <w:sz w:val="20"/>
          <w:szCs w:val="20"/>
        </w:rPr>
        <w:t>he year ended December 31, 2018, filed on February 20, 2019; (x) the “2019 Form 10-K” are to the Company’s Annual Report on Form 10-K for the year ended December 31, 2019, filed on February 20, 2020; (xi) the “2020 Form 10-K” are to the Company’s Annual Re</w:t>
      </w:r>
      <w:r>
        <w:rPr>
          <w:rFonts w:eastAsia="Times New Roman"/>
          <w:color w:val="000000"/>
          <w:sz w:val="20"/>
          <w:szCs w:val="20"/>
        </w:rPr>
        <w:t>port on Form 10-K for the year ended December 31, 2020, filed on February 25, 2021; and (xii) the “2021 Form 10-K” are to the Company’s Annual Report on Form 10-K for the year ended December 31, 2021, filed on February 25, 2022.</w:t>
      </w:r>
    </w:p>
    <w:tbl>
      <w:tblPr>
        <w:tblW w:w="5000" w:type="pct"/>
        <w:jc w:val="center"/>
        <w:tblCellMar>
          <w:top w:w="15" w:type="dxa"/>
          <w:left w:w="15" w:type="dxa"/>
          <w:bottom w:w="15" w:type="dxa"/>
          <w:right w:w="15" w:type="dxa"/>
        </w:tblCellMar>
        <w:tblLook w:val="04A0" w:firstRow="1" w:lastRow="0" w:firstColumn="1" w:lastColumn="0" w:noHBand="0" w:noVBand="1"/>
      </w:tblPr>
      <w:tblGrid>
        <w:gridCol w:w="93"/>
        <w:gridCol w:w="819"/>
        <w:gridCol w:w="36"/>
        <w:gridCol w:w="36"/>
        <w:gridCol w:w="36"/>
        <w:gridCol w:w="36"/>
        <w:gridCol w:w="40"/>
        <w:gridCol w:w="7172"/>
        <w:gridCol w:w="38"/>
      </w:tblGrid>
      <w:tr w:rsidR="00000000">
        <w:trPr>
          <w:jc w:val="center"/>
        </w:trPr>
        <w:tc>
          <w:tcPr>
            <w:tcW w:w="50" w:type="pct"/>
            <w:vAlign w:val="center"/>
            <w:hideMark/>
          </w:tcPr>
          <w:p w:rsidR="00000000" w:rsidRDefault="0094004B">
            <w:pPr>
              <w:jc w:val="both"/>
              <w:rPr>
                <w:rFonts w:eastAsia="Times New Roman"/>
              </w:rPr>
            </w:pPr>
          </w:p>
        </w:tc>
        <w:tc>
          <w:tcPr>
            <w:tcW w:w="44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411"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94004B">
            <w:pPr>
              <w:spacing w:after="100"/>
              <w:jc w:val="center"/>
              <w:rPr>
                <w:rFonts w:eastAsia="Times New Roman"/>
              </w:rPr>
            </w:pPr>
            <w:r>
              <w:rPr>
                <w:rFonts w:eastAsia="Times New Roman"/>
                <w:b/>
                <w:bCs/>
                <w:color w:val="000000"/>
                <w:sz w:val="18"/>
                <w:szCs w:val="18"/>
              </w:rPr>
              <w:t>Exhibit No.</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94004B">
            <w:pPr>
              <w:spacing w:after="100"/>
              <w:jc w:val="both"/>
              <w:rPr>
                <w:rFonts w:eastAsia="Times New Roman"/>
              </w:rPr>
            </w:pPr>
            <w:r>
              <w:rPr>
                <w:rFonts w:eastAsia="Times New Roman"/>
                <w:b/>
                <w:bCs/>
                <w:color w:val="000000"/>
                <w:sz w:val="18"/>
                <w:szCs w:val="18"/>
              </w:rPr>
              <w:t>Description</w:t>
            </w:r>
          </w:p>
        </w:tc>
      </w:tr>
      <w:tr w:rsidR="00000000">
        <w:trPr>
          <w:jc w:val="center"/>
        </w:trPr>
        <w:tc>
          <w:tcPr>
            <w:tcW w:w="0" w:type="auto"/>
            <w:gridSpan w:val="3"/>
            <w:tcBorders>
              <w:top w:val="single" w:sz="8" w:space="0" w:color="000000"/>
            </w:tcBorders>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8"/>
                <w:szCs w:val="18"/>
              </w:rPr>
              <w:t>3.1</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94004B">
            <w:pPr>
              <w:spacing w:after="100"/>
              <w:jc w:val="both"/>
              <w:rPr>
                <w:rFonts w:eastAsia="Times New Roman"/>
              </w:rPr>
            </w:pPr>
            <w:hyperlink r:id="rId5" w:history="1">
              <w:r>
                <w:rPr>
                  <w:rStyle w:val="a3"/>
                  <w:rFonts w:eastAsia="Times New Roman"/>
                  <w:sz w:val="18"/>
                  <w:szCs w:val="18"/>
                </w:rPr>
                <w:t>Restated Certificate of Incorporation of Capital One Financial Corporation (as restated May 1, 2020) (incorporated by reference to Exhibit 3.2 of the Current Report on Form 8-K, filed on May 4, 2020).</w:t>
              </w:r>
            </w:hyperlink>
          </w:p>
        </w:tc>
      </w:tr>
      <w:tr w:rsidR="00000000">
        <w:trPr>
          <w:jc w:val="center"/>
        </w:trPr>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8"/>
                <w:szCs w:val="18"/>
              </w:rPr>
              <w:t>3.2</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94004B">
            <w:pPr>
              <w:spacing w:after="100"/>
              <w:jc w:val="both"/>
              <w:rPr>
                <w:rFonts w:eastAsia="Times New Roman"/>
              </w:rPr>
            </w:pPr>
            <w:hyperlink r:id="rId6" w:history="1">
              <w:r>
                <w:rPr>
                  <w:rStyle w:val="a3"/>
                  <w:rFonts w:eastAsia="Times New Roman"/>
                  <w:sz w:val="18"/>
                  <w:szCs w:val="18"/>
                </w:rPr>
                <w:t>Amended and Restated Bylaws of Capital One Financial Corporation, dated September 23, 2021 (incorporated by reference to Exhibit 3.1 of the Current Report on Form 8-K, filed on Septe</w:t>
              </w:r>
              <w:r>
                <w:rPr>
                  <w:rStyle w:val="a3"/>
                  <w:rFonts w:eastAsia="Times New Roman"/>
                  <w:sz w:val="18"/>
                  <w:szCs w:val="18"/>
                </w:rPr>
                <w:t>mber 29, 2021).</w:t>
              </w:r>
            </w:hyperlink>
          </w:p>
        </w:tc>
      </w:tr>
      <w:tr w:rsidR="00000000">
        <w:trPr>
          <w:jc w:val="center"/>
        </w:trPr>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8"/>
                <w:szCs w:val="18"/>
              </w:rPr>
              <w:t>3.3.1</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94004B">
            <w:pPr>
              <w:spacing w:after="100"/>
              <w:jc w:val="both"/>
              <w:rPr>
                <w:rFonts w:eastAsia="Times New Roman"/>
              </w:rPr>
            </w:pPr>
            <w:hyperlink r:id="rId7" w:history="1">
              <w:r>
                <w:rPr>
                  <w:rStyle w:val="a3"/>
                  <w:rFonts w:eastAsia="Times New Roman"/>
                  <w:sz w:val="18"/>
                  <w:szCs w:val="18"/>
                </w:rPr>
                <w:t>Certificate of Designations of Fixed Rate Non-Cumulative Perpetual Preferred Stock, Series I, dated September 10, 2019 (incorporated by reference to Exhibit 3.1 of the Current Report on Form 8-K, filed on September 11, 2019).</w:t>
              </w:r>
            </w:hyperlink>
          </w:p>
        </w:tc>
      </w:tr>
      <w:tr w:rsidR="00000000">
        <w:trPr>
          <w:jc w:val="center"/>
        </w:trPr>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8"/>
                <w:szCs w:val="18"/>
              </w:rPr>
              <w:t>3.3.2</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94004B">
            <w:pPr>
              <w:spacing w:after="100"/>
              <w:jc w:val="both"/>
              <w:rPr>
                <w:rFonts w:eastAsia="Times New Roman"/>
              </w:rPr>
            </w:pPr>
            <w:hyperlink r:id="rId8" w:history="1">
              <w:r>
                <w:rPr>
                  <w:rStyle w:val="a3"/>
                  <w:rFonts w:eastAsia="Times New Roman"/>
                  <w:sz w:val="18"/>
                  <w:szCs w:val="18"/>
                </w:rPr>
                <w:t>Certificate of Designations of Fixed Rate Non-Cumulative Perpetual Preferred Stock, Series J, dated January 30, 2020 (incorporated by reference to Exhibit 3.1 of the Current</w:t>
              </w:r>
              <w:r>
                <w:rPr>
                  <w:rStyle w:val="a3"/>
                  <w:rFonts w:eastAsia="Times New Roman"/>
                  <w:sz w:val="18"/>
                  <w:szCs w:val="18"/>
                </w:rPr>
                <w:t xml:space="preserve"> Report on Form 8-K, filed on January 31, 2020).</w:t>
              </w:r>
            </w:hyperlink>
          </w:p>
        </w:tc>
      </w:tr>
      <w:tr w:rsidR="00000000">
        <w:trPr>
          <w:jc w:val="center"/>
        </w:trPr>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8"/>
                <w:szCs w:val="18"/>
              </w:rPr>
              <w:t>3.3.3</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94004B">
            <w:pPr>
              <w:spacing w:after="100"/>
              <w:jc w:val="both"/>
              <w:rPr>
                <w:rFonts w:eastAsia="Times New Roman"/>
              </w:rPr>
            </w:pPr>
            <w:hyperlink r:id="rId9" w:history="1">
              <w:r>
                <w:rPr>
                  <w:rStyle w:val="a3"/>
                  <w:rFonts w:eastAsia="Times New Roman"/>
                  <w:sz w:val="18"/>
                  <w:szCs w:val="18"/>
                </w:rPr>
                <w:t>Certificate of Designations of Fixed Rate Non-Cumulative Perpetual Preferred Stock, Series K, dated September 16, 2020 (incorporated by reference to Exhibit 3.1 of the Current Report on Form 8-K, filed on September 17, 2020).</w:t>
              </w:r>
            </w:hyperlink>
          </w:p>
        </w:tc>
      </w:tr>
      <w:tr w:rsidR="00000000">
        <w:trPr>
          <w:jc w:val="center"/>
        </w:trPr>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8"/>
                <w:szCs w:val="18"/>
              </w:rPr>
              <w:t>3.3.4</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94004B">
            <w:pPr>
              <w:spacing w:after="100"/>
              <w:jc w:val="both"/>
              <w:rPr>
                <w:rFonts w:eastAsia="Times New Roman"/>
              </w:rPr>
            </w:pPr>
            <w:hyperlink r:id="rId10" w:history="1">
              <w:r>
                <w:rPr>
                  <w:rStyle w:val="a3"/>
                  <w:rFonts w:eastAsia="Times New Roman"/>
                  <w:sz w:val="18"/>
                  <w:szCs w:val="18"/>
                </w:rPr>
                <w:t>Certificate of Designations of Fixed Rate Non-Cumulative Perpetual Preferred Stock, Series L, dated May 3, 2021 (incorporated by reference to Exhibit 3.1 of the Curre</w:t>
              </w:r>
              <w:r>
                <w:rPr>
                  <w:rStyle w:val="a3"/>
                  <w:rFonts w:eastAsia="Times New Roman"/>
                  <w:sz w:val="18"/>
                  <w:szCs w:val="18"/>
                </w:rPr>
                <w:t>nt Report on Form 8-K, filed on May 4, 2021).</w:t>
              </w:r>
            </w:hyperlink>
          </w:p>
        </w:tc>
      </w:tr>
      <w:tr w:rsidR="00000000">
        <w:trPr>
          <w:jc w:val="center"/>
        </w:trPr>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8"/>
                <w:szCs w:val="18"/>
              </w:rPr>
              <w:t>3.3.5</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94004B">
            <w:pPr>
              <w:spacing w:after="100"/>
              <w:jc w:val="both"/>
              <w:rPr>
                <w:rFonts w:eastAsia="Times New Roman"/>
              </w:rPr>
            </w:pPr>
            <w:hyperlink r:id="rId11" w:history="1">
              <w:r>
                <w:rPr>
                  <w:rStyle w:val="a3"/>
                  <w:rFonts w:eastAsia="Times New Roman"/>
                  <w:sz w:val="18"/>
                  <w:szCs w:val="18"/>
                </w:rPr>
                <w:t xml:space="preserve">Certificate of Designations of Fixed Rate Reset Non-Cumulative Perpetual Preferred Stock, </w:t>
              </w:r>
              <w:r>
                <w:rPr>
                  <w:rStyle w:val="a3"/>
                  <w:rFonts w:eastAsia="Times New Roman"/>
                  <w:sz w:val="18"/>
                  <w:szCs w:val="18"/>
                </w:rPr>
                <w:t>Series M, dated June 9, 2021 (incorporated by reference to Exhibit 3.1 of the Current Report on Form 8-K, filed on June 10, 2021).</w:t>
              </w:r>
            </w:hyperlink>
          </w:p>
        </w:tc>
      </w:tr>
      <w:tr w:rsidR="00000000">
        <w:trPr>
          <w:jc w:val="center"/>
        </w:trPr>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8"/>
                <w:szCs w:val="18"/>
              </w:rPr>
              <w:t>3.3.6</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94004B">
            <w:pPr>
              <w:spacing w:after="100"/>
              <w:jc w:val="both"/>
              <w:rPr>
                <w:rFonts w:eastAsia="Times New Roman"/>
              </w:rPr>
            </w:pPr>
            <w:hyperlink r:id="rId12" w:history="1">
              <w:r>
                <w:rPr>
                  <w:rStyle w:val="a3"/>
                  <w:rFonts w:eastAsia="Times New Roman"/>
                  <w:sz w:val="18"/>
                  <w:szCs w:val="18"/>
                </w:rPr>
                <w:t>Certificate of Designations of Fixed Rate Non-Cumulative Perpetual Preferred Stock, Series N, dated July 28, 2021 (incorporated by reference to Exhibit 3</w:t>
              </w:r>
              <w:r>
                <w:rPr>
                  <w:rStyle w:val="a3"/>
                  <w:rFonts w:eastAsia="Times New Roman"/>
                  <w:sz w:val="18"/>
                  <w:szCs w:val="18"/>
                </w:rPr>
                <w:t>.1 of the Current Report on Form 8-K, filed on July 29, 2021).</w:t>
              </w:r>
            </w:hyperlink>
          </w:p>
        </w:tc>
      </w:tr>
      <w:tr w:rsidR="00000000">
        <w:trPr>
          <w:jc w:val="center"/>
        </w:trPr>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8"/>
                <w:szCs w:val="18"/>
              </w:rPr>
              <w:t>4.1.1</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94004B">
            <w:pPr>
              <w:spacing w:after="100"/>
              <w:jc w:val="both"/>
              <w:rPr>
                <w:rFonts w:eastAsia="Times New Roman"/>
              </w:rPr>
            </w:pPr>
            <w:hyperlink r:id="rId13" w:history="1">
              <w:r>
                <w:rPr>
                  <w:rStyle w:val="a3"/>
                  <w:rFonts w:eastAsia="Times New Roman"/>
                  <w:sz w:val="18"/>
                  <w:szCs w:val="18"/>
                </w:rPr>
                <w:t>Specimen certificate representing the common stock of Capital One Financial Corporation</w:t>
              </w:r>
              <w:r>
                <w:rPr>
                  <w:rStyle w:val="a3"/>
                  <w:rFonts w:eastAsia="Times New Roman"/>
                  <w:sz w:val="18"/>
                  <w:szCs w:val="18"/>
                </w:rPr>
                <w:t xml:space="preserve"> (incorporated by reference to Exhibit 4.1 of the 2003 Form 10-K).</w:t>
              </w:r>
            </w:hyperlink>
          </w:p>
        </w:tc>
      </w:tr>
      <w:tr w:rsidR="00000000">
        <w:trPr>
          <w:jc w:val="center"/>
        </w:trPr>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8"/>
                <w:szCs w:val="18"/>
              </w:rPr>
              <w:t>4.1.2</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94004B">
            <w:pPr>
              <w:spacing w:after="100"/>
              <w:jc w:val="both"/>
              <w:rPr>
                <w:rFonts w:eastAsia="Times New Roman"/>
              </w:rPr>
            </w:pPr>
            <w:hyperlink r:id="rId14" w:history="1">
              <w:r>
                <w:rPr>
                  <w:rStyle w:val="a3"/>
                  <w:rFonts w:eastAsia="Times New Roman"/>
                  <w:sz w:val="18"/>
                  <w:szCs w:val="18"/>
                </w:rPr>
                <w:t>Warrant Agreement, dated December </w:t>
              </w:r>
              <w:r>
                <w:rPr>
                  <w:rStyle w:val="a3"/>
                  <w:rFonts w:eastAsia="Times New Roman"/>
                  <w:sz w:val="18"/>
                  <w:szCs w:val="18"/>
                </w:rPr>
                <w:t>3, 2009, between Capital One Financial Corporation and Computershare Trust Company, N.A. (incorporated by reference to the Exhibit 4.1 of the Form 8-A, filed on December 4, 2009).</w:t>
              </w:r>
            </w:hyperlink>
          </w:p>
        </w:tc>
      </w:tr>
      <w:tr w:rsidR="00000000">
        <w:trPr>
          <w:jc w:val="center"/>
        </w:trPr>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8"/>
                <w:szCs w:val="18"/>
              </w:rPr>
              <w:t>4.1.3</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94004B">
            <w:pPr>
              <w:spacing w:after="100"/>
              <w:jc w:val="both"/>
              <w:rPr>
                <w:rFonts w:eastAsia="Times New Roman"/>
              </w:rPr>
            </w:pPr>
            <w:hyperlink r:id="rId15" w:history="1">
              <w:r>
                <w:rPr>
                  <w:rStyle w:val="a3"/>
                  <w:rFonts w:eastAsia="Times New Roman"/>
                  <w:sz w:val="18"/>
                  <w:szCs w:val="18"/>
                </w:rPr>
                <w:t>Deposit Agreement</w:t>
              </w:r>
            </w:hyperlink>
            <w:hyperlink r:id="rId16" w:history="1">
              <w:r>
                <w:rPr>
                  <w:rStyle w:val="a3"/>
                  <w:rFonts w:eastAsia="Times New Roman"/>
                  <w:sz w:val="18"/>
                  <w:szCs w:val="18"/>
                </w:rPr>
                <w:t xml:space="preserve">, dated </w:t>
              </w:r>
            </w:hyperlink>
            <w:hyperlink r:id="rId17" w:history="1">
              <w:r>
                <w:rPr>
                  <w:rStyle w:val="a3"/>
                  <w:rFonts w:eastAsia="Times New Roman"/>
                  <w:sz w:val="18"/>
                  <w:szCs w:val="18"/>
                </w:rPr>
                <w:t>September 11</w:t>
              </w:r>
            </w:hyperlink>
            <w:hyperlink r:id="rId18" w:history="1">
              <w:r>
                <w:rPr>
                  <w:rStyle w:val="a3"/>
                  <w:rFonts w:eastAsia="Times New Roman"/>
                  <w:sz w:val="18"/>
                  <w:szCs w:val="18"/>
                </w:rPr>
                <w:t>, 201</w:t>
              </w:r>
            </w:hyperlink>
            <w:hyperlink r:id="rId19" w:history="1">
              <w:r>
                <w:rPr>
                  <w:rStyle w:val="a3"/>
                  <w:rFonts w:eastAsia="Times New Roman"/>
                  <w:sz w:val="18"/>
                  <w:szCs w:val="18"/>
                </w:rPr>
                <w:t>9</w:t>
              </w:r>
            </w:hyperlink>
            <w:hyperlink r:id="rId20" w:history="1">
              <w:r>
                <w:rPr>
                  <w:rStyle w:val="a3"/>
                  <w:rFonts w:eastAsia="Times New Roman"/>
                  <w:sz w:val="18"/>
                  <w:szCs w:val="18"/>
                </w:rPr>
                <w:t xml:space="preserve">, by and among Capital One Financial Corporation, </w:t>
              </w:r>
            </w:hyperlink>
            <w:hyperlink r:id="rId21" w:history="1">
              <w:r>
                <w:rPr>
                  <w:rStyle w:val="a3"/>
                  <w:rFonts w:eastAsia="Times New Roman"/>
                  <w:sz w:val="18"/>
                  <w:szCs w:val="18"/>
                </w:rPr>
                <w:t xml:space="preserve">Computershare Trust Company, N.A., </w:t>
              </w:r>
            </w:hyperlink>
            <w:hyperlink r:id="rId22" w:history="1">
              <w:r>
                <w:rPr>
                  <w:rStyle w:val="a3"/>
                  <w:rFonts w:eastAsia="Times New Roman"/>
                  <w:sz w:val="18"/>
                  <w:szCs w:val="18"/>
                </w:rPr>
                <w:t>Computershare Inc. and</w:t>
              </w:r>
            </w:hyperlink>
            <w:hyperlink r:id="rId23" w:history="1">
              <w:r>
                <w:rPr>
                  <w:rStyle w:val="a3"/>
                  <w:rFonts w:eastAsia="Times New Roman"/>
                  <w:sz w:val="18"/>
                  <w:szCs w:val="18"/>
                </w:rPr>
                <w:t xml:space="preserve"> the </w:t>
              </w:r>
            </w:hyperlink>
            <w:hyperlink r:id="rId24" w:history="1">
              <w:r>
                <w:rPr>
                  <w:rStyle w:val="a3"/>
                  <w:rFonts w:eastAsia="Times New Roman"/>
                  <w:sz w:val="18"/>
                  <w:szCs w:val="18"/>
                </w:rPr>
                <w:t>h</w:t>
              </w:r>
            </w:hyperlink>
            <w:hyperlink r:id="rId25" w:history="1">
              <w:r>
                <w:rPr>
                  <w:rStyle w:val="a3"/>
                  <w:rFonts w:eastAsia="Times New Roman"/>
                  <w:sz w:val="18"/>
                  <w:szCs w:val="18"/>
                </w:rPr>
                <w:t>olders from time to time</w:t>
              </w:r>
            </w:hyperlink>
            <w:hyperlink r:id="rId26" w:history="1">
              <w:r>
                <w:rPr>
                  <w:rStyle w:val="a3"/>
                  <w:rFonts w:eastAsia="Times New Roman"/>
                  <w:sz w:val="18"/>
                  <w:szCs w:val="18"/>
                </w:rPr>
                <w:t xml:space="preserve"> (incorporated by reference to Exhibit 4.1 of the Current Report on Form 8-K, filed on </w:t>
              </w:r>
            </w:hyperlink>
            <w:hyperlink r:id="rId27" w:history="1">
              <w:r>
                <w:rPr>
                  <w:rStyle w:val="a3"/>
                  <w:rFonts w:eastAsia="Times New Roman"/>
                  <w:sz w:val="18"/>
                  <w:szCs w:val="18"/>
                </w:rPr>
                <w:t>S</w:t>
              </w:r>
            </w:hyperlink>
            <w:hyperlink r:id="rId28" w:history="1">
              <w:r>
                <w:rPr>
                  <w:rStyle w:val="a3"/>
                  <w:rFonts w:eastAsia="Times New Roman"/>
                  <w:sz w:val="18"/>
                  <w:szCs w:val="18"/>
                </w:rPr>
                <w:t>eptember 11,</w:t>
              </w:r>
            </w:hyperlink>
            <w:hyperlink r:id="rId29" w:history="1">
              <w:r>
                <w:rPr>
                  <w:rStyle w:val="a3"/>
                  <w:rFonts w:eastAsia="Times New Roman"/>
                  <w:sz w:val="18"/>
                  <w:szCs w:val="18"/>
                </w:rPr>
                <w:t xml:space="preserve"> 201</w:t>
              </w:r>
            </w:hyperlink>
            <w:hyperlink r:id="rId30" w:history="1">
              <w:r>
                <w:rPr>
                  <w:rStyle w:val="a3"/>
                  <w:rFonts w:eastAsia="Times New Roman"/>
                  <w:sz w:val="18"/>
                  <w:szCs w:val="18"/>
                </w:rPr>
                <w:t>9</w:t>
              </w:r>
            </w:hyperlink>
            <w:hyperlink r:id="rId31" w:history="1">
              <w:r>
                <w:rPr>
                  <w:rStyle w:val="a3"/>
                  <w:rFonts w:eastAsia="Times New Roman"/>
                  <w:sz w:val="18"/>
                  <w:szCs w:val="18"/>
                </w:rPr>
                <w:t>).</w:t>
              </w:r>
            </w:hyperlink>
          </w:p>
        </w:tc>
      </w:tr>
      <w:tr w:rsidR="00000000">
        <w:trPr>
          <w:jc w:val="center"/>
        </w:trPr>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8"/>
                <w:szCs w:val="18"/>
              </w:rPr>
              <w:t>4.1.4</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94004B">
            <w:pPr>
              <w:spacing w:after="100"/>
              <w:jc w:val="both"/>
              <w:rPr>
                <w:rFonts w:eastAsia="Times New Roman"/>
              </w:rPr>
            </w:pPr>
            <w:hyperlink r:id="rId32" w:history="1">
              <w:r>
                <w:rPr>
                  <w:rStyle w:val="a3"/>
                  <w:rFonts w:eastAsia="Times New Roman"/>
                  <w:sz w:val="18"/>
                  <w:szCs w:val="18"/>
                </w:rPr>
                <w:t>Deposit Agreement, dated January 31, 2020, by and among Capital One Financial Corporation, Computershare Trust Company, N.A., Computershare Inc. and the holders from time to time (incorporated by r</w:t>
              </w:r>
              <w:r>
                <w:rPr>
                  <w:rStyle w:val="a3"/>
                  <w:rFonts w:eastAsia="Times New Roman"/>
                  <w:sz w:val="18"/>
                  <w:szCs w:val="18"/>
                </w:rPr>
                <w:t>eference to Exhibit 4.1 of the Current Report on Form 8-K, filed on January 31, 2020)</w:t>
              </w:r>
            </w:hyperlink>
            <w:hyperlink r:id="rId33" w:history="1">
              <w:r>
                <w:rPr>
                  <w:rStyle w:val="a3"/>
                  <w:rFonts w:eastAsia="Times New Roman"/>
                  <w:sz w:val="18"/>
                  <w:szCs w:val="18"/>
                </w:rPr>
                <w:t>.</w:t>
              </w:r>
            </w:hyperlink>
          </w:p>
        </w:tc>
      </w:tr>
      <w:tr w:rsidR="00000000">
        <w:trPr>
          <w:jc w:val="center"/>
        </w:trPr>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8"/>
                <w:szCs w:val="18"/>
              </w:rPr>
              <w:t>4.1.5</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94004B">
            <w:pPr>
              <w:spacing w:after="100"/>
              <w:jc w:val="both"/>
              <w:rPr>
                <w:rFonts w:eastAsia="Times New Roman"/>
              </w:rPr>
            </w:pPr>
            <w:hyperlink r:id="rId34" w:history="1">
              <w:r>
                <w:rPr>
                  <w:rStyle w:val="a3"/>
                  <w:rFonts w:eastAsia="Times New Roman"/>
                  <w:sz w:val="18"/>
                  <w:szCs w:val="18"/>
                </w:rPr>
                <w:t>Deposit Agreement, dated September 17, 2020, by and among Capital One Financial Corporation, Computershare Trust Company, N.A., Computershare Inc. and the hol</w:t>
              </w:r>
              <w:r>
                <w:rPr>
                  <w:rStyle w:val="a3"/>
                  <w:rFonts w:eastAsia="Times New Roman"/>
                  <w:sz w:val="18"/>
                  <w:szCs w:val="18"/>
                </w:rPr>
                <w:t>ders from time to time (incorporated by reference to Exhibit 4.1 of the Current Report on Form 8-K, filed on September 17, 2020).</w:t>
              </w:r>
            </w:hyperlink>
          </w:p>
        </w:tc>
      </w:tr>
      <w:tr w:rsidR="00000000">
        <w:trPr>
          <w:jc w:val="center"/>
        </w:trPr>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8"/>
                <w:szCs w:val="18"/>
              </w:rPr>
              <w:t>4.1.6</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94004B">
            <w:pPr>
              <w:spacing w:after="100"/>
              <w:jc w:val="both"/>
              <w:rPr>
                <w:rFonts w:eastAsia="Times New Roman"/>
              </w:rPr>
            </w:pPr>
            <w:hyperlink r:id="rId35" w:history="1">
              <w:r>
                <w:rPr>
                  <w:rStyle w:val="a3"/>
                  <w:rFonts w:eastAsia="Times New Roman"/>
                  <w:sz w:val="18"/>
                  <w:szCs w:val="18"/>
                </w:rPr>
                <w:t>Deposit Ag</w:t>
              </w:r>
              <w:r>
                <w:rPr>
                  <w:rStyle w:val="a3"/>
                  <w:rFonts w:eastAsia="Times New Roman"/>
                  <w:sz w:val="18"/>
                  <w:szCs w:val="18"/>
                </w:rPr>
                <w:t>reement, dated May 4, 2021, by and among Capital One Financial Corporation, Computershare Trust Company, N.A., Computershare Inc. and the holders from time to time (incorporated by reference to Exhibit 4.1 of the Current Report on Form 8-K, filed on May 4,</w:t>
              </w:r>
              <w:r>
                <w:rPr>
                  <w:rStyle w:val="a3"/>
                  <w:rFonts w:eastAsia="Times New Roman"/>
                  <w:sz w:val="18"/>
                  <w:szCs w:val="18"/>
                </w:rPr>
                <w:t xml:space="preserve"> 2021).</w:t>
              </w:r>
            </w:hyperlink>
          </w:p>
        </w:tc>
      </w:tr>
      <w:tr w:rsidR="00000000">
        <w:trPr>
          <w:jc w:val="center"/>
        </w:trPr>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8"/>
                <w:szCs w:val="18"/>
              </w:rPr>
              <w:t>4.1.7</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94004B">
            <w:pPr>
              <w:spacing w:after="100"/>
              <w:jc w:val="both"/>
              <w:rPr>
                <w:rFonts w:eastAsia="Times New Roman"/>
              </w:rPr>
            </w:pPr>
            <w:hyperlink r:id="rId36" w:history="1">
              <w:r>
                <w:rPr>
                  <w:rStyle w:val="a3"/>
                  <w:rFonts w:eastAsia="Times New Roman"/>
                  <w:sz w:val="18"/>
                  <w:szCs w:val="18"/>
                </w:rPr>
                <w:t>Deposit Agreement, dated July 29, 2021, by and among Capital One Financial Corporation, Computershare Trust Company, N.A., Computershare Inc. and the holders from time to time (incorporated by reference to Exhibit 4.1 of the Current Report on Form 8-K, fil</w:t>
              </w:r>
              <w:r>
                <w:rPr>
                  <w:rStyle w:val="a3"/>
                  <w:rFonts w:eastAsia="Times New Roman"/>
                  <w:sz w:val="18"/>
                  <w:szCs w:val="18"/>
                </w:rPr>
                <w:t>ed on July 29, 2021).</w:t>
              </w:r>
            </w:hyperlink>
          </w:p>
        </w:tc>
      </w:tr>
      <w:tr w:rsidR="00000000">
        <w:trPr>
          <w:jc w:val="center"/>
        </w:trPr>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8"/>
                <w:szCs w:val="18"/>
              </w:rPr>
              <w:t>4.2</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94004B">
            <w:pPr>
              <w:spacing w:after="100"/>
              <w:jc w:val="both"/>
              <w:rPr>
                <w:rFonts w:eastAsia="Times New Roman"/>
              </w:rPr>
            </w:pPr>
            <w:r>
              <w:rPr>
                <w:rFonts w:eastAsia="Times New Roman"/>
                <w:color w:val="000000"/>
                <w:sz w:val="18"/>
                <w:szCs w:val="18"/>
              </w:rPr>
              <w:t>Pursuant to Item 601(b)(4)(iii)(A) of Regulation S-K, copies of instruments defining the rights of holders of long-term debt are not filed. The Company agrees to furnish a copy thereof to the SEC upon request.</w:t>
            </w:r>
          </w:p>
        </w:tc>
      </w:tr>
      <w:tr w:rsidR="00000000">
        <w:trPr>
          <w:jc w:val="center"/>
        </w:trPr>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8"/>
                <w:szCs w:val="18"/>
              </w:rPr>
              <w:t>4.3*</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94004B">
            <w:pPr>
              <w:spacing w:after="100"/>
              <w:jc w:val="both"/>
              <w:rPr>
                <w:rFonts w:eastAsia="Times New Roman"/>
              </w:rPr>
            </w:pPr>
            <w:hyperlink r:id="rId37" w:history="1">
              <w:r>
                <w:rPr>
                  <w:rStyle w:val="a3"/>
                  <w:rFonts w:eastAsia="Times New Roman"/>
                  <w:sz w:val="18"/>
                  <w:szCs w:val="18"/>
                </w:rPr>
                <w:t>Description of Securities Registered Under Section 12 of the Exchange Act.</w:t>
              </w:r>
            </w:hyperlink>
          </w:p>
        </w:tc>
      </w:tr>
    </w:tbl>
    <w:p w:rsidR="00000000" w:rsidRDefault="0094004B">
      <w:pPr>
        <w:jc w:val="center"/>
        <w:divId w:val="1694527097"/>
        <w:rPr>
          <w:rFonts w:eastAsia="Times New Roman"/>
          <w:vanish/>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694527097"/>
          <w:jc w:val="center"/>
        </w:trPr>
        <w:tc>
          <w:tcPr>
            <w:tcW w:w="50" w:type="pct"/>
            <w:vAlign w:val="center"/>
            <w:hideMark/>
          </w:tcPr>
          <w:p w:rsidR="00000000" w:rsidRDefault="0094004B">
            <w:pPr>
              <w:jc w:val="center"/>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694527097"/>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694527097"/>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210</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236" style="width:0;height:1.5pt" o:hralign="center" o:hrstd="t" o:hr="t" fillcolor="#a0a0a0" stroked="f"/>
        </w:pict>
      </w:r>
    </w:p>
    <w:p w:rsidR="00000000" w:rsidRDefault="0094004B">
      <w:pPr>
        <w:jc w:val="both"/>
        <w:divId w:val="1462922705"/>
        <w:rPr>
          <w:rFonts w:eastAsia="Times New Roman"/>
        </w:rPr>
      </w:pPr>
      <w:hyperlink w:anchor="ia820611622d9441b977884dac00e0ebd_16" w:history="1">
        <w:r>
          <w:rPr>
            <w:rStyle w:val="a3"/>
            <w:rFonts w:eastAsia="Times New Roman"/>
            <w:sz w:val="16"/>
            <w:szCs w:val="16"/>
          </w:rPr>
          <w:t>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78"/>
        <w:gridCol w:w="695"/>
        <w:gridCol w:w="36"/>
        <w:gridCol w:w="36"/>
        <w:gridCol w:w="36"/>
        <w:gridCol w:w="36"/>
        <w:gridCol w:w="46"/>
        <w:gridCol w:w="7307"/>
        <w:gridCol w:w="36"/>
      </w:tblGrid>
      <w:tr w:rsidR="00000000">
        <w:trPr>
          <w:jc w:val="center"/>
        </w:trPr>
        <w:tc>
          <w:tcPr>
            <w:tcW w:w="50" w:type="pct"/>
            <w:vAlign w:val="center"/>
            <w:hideMark/>
          </w:tcPr>
          <w:p w:rsidR="00000000" w:rsidRDefault="0094004B">
            <w:pPr>
              <w:jc w:val="both"/>
              <w:rPr>
                <w:rFonts w:eastAsia="Times New Roman"/>
              </w:rPr>
            </w:pPr>
          </w:p>
        </w:tc>
        <w:tc>
          <w:tcPr>
            <w:tcW w:w="44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411"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8"/>
                <w:szCs w:val="18"/>
              </w:rPr>
              <w:t>10.1+</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94004B">
            <w:pPr>
              <w:spacing w:after="100"/>
              <w:jc w:val="both"/>
              <w:rPr>
                <w:rFonts w:eastAsia="Times New Roman"/>
              </w:rPr>
            </w:pPr>
            <w:hyperlink r:id="rId38" w:history="1">
              <w:r>
                <w:rPr>
                  <w:rStyle w:val="a3"/>
                  <w:rFonts w:eastAsia="Times New Roman"/>
                  <w:sz w:val="18"/>
                  <w:szCs w:val="18"/>
                </w:rPr>
                <w:t>Sixth Amended and Restated 2004 Stock Incentive Plan (incorporated by reference to Exhibit 10.1 of the Current Report on Form 8-K, filed on</w:t>
              </w:r>
              <w:r>
                <w:rPr>
                  <w:rStyle w:val="a3"/>
                  <w:rFonts w:eastAsia="Times New Roman"/>
                  <w:sz w:val="18"/>
                  <w:szCs w:val="18"/>
                </w:rPr>
                <w:t xml:space="preserve"> May 7, 2021).</w:t>
              </w:r>
            </w:hyperlink>
          </w:p>
        </w:tc>
      </w:tr>
      <w:tr w:rsidR="00000000">
        <w:trPr>
          <w:jc w:val="center"/>
        </w:trPr>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8"/>
                <w:szCs w:val="18"/>
              </w:rPr>
              <w:t>10.2.1+</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both"/>
              <w:rPr>
                <w:rFonts w:eastAsia="Times New Roman"/>
              </w:rPr>
            </w:pPr>
            <w:hyperlink r:id="rId39" w:history="1">
              <w:r>
                <w:rPr>
                  <w:rStyle w:val="a3"/>
                  <w:rFonts w:eastAsia="Times New Roman"/>
                  <w:sz w:val="18"/>
                  <w:szCs w:val="18"/>
                </w:rPr>
                <w:t>Nonstatutory Stock Option Award Agreement, dated January 30, 2014, by and between Capital One Financial Corporation and Richard D. Fairbank under the Second Amended and Restated 2004 Stock Incentive Plan</w:t>
              </w:r>
            </w:hyperlink>
            <w:hyperlink r:id="rId40" w:history="1">
              <w:r>
                <w:rPr>
                  <w:rStyle w:val="a3"/>
                  <w:rFonts w:eastAsia="Times New Roman"/>
                  <w:sz w:val="18"/>
                  <w:szCs w:val="18"/>
                </w:rPr>
                <w:t xml:space="preserve"> </w:t>
              </w:r>
            </w:hyperlink>
            <w:hyperlink r:id="rId41" w:history="1">
              <w:r>
                <w:rPr>
                  <w:rStyle w:val="a3"/>
                  <w:rFonts w:eastAsia="Times New Roman"/>
                  <w:sz w:val="18"/>
                  <w:szCs w:val="18"/>
                </w:rPr>
                <w:t>(incorporated by reference to Exhibit 10.2.15 of the 2013 Form 10-K).</w:t>
              </w:r>
            </w:hyperlink>
          </w:p>
        </w:tc>
      </w:tr>
      <w:tr w:rsidR="00000000">
        <w:trPr>
          <w:jc w:val="center"/>
        </w:trPr>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8"/>
                <w:szCs w:val="18"/>
              </w:rPr>
              <w:t>10.2.2+</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both"/>
              <w:rPr>
                <w:rFonts w:eastAsia="Times New Roman"/>
              </w:rPr>
            </w:pPr>
            <w:hyperlink r:id="rId42" w:history="1">
              <w:r>
                <w:rPr>
                  <w:rStyle w:val="a3"/>
                  <w:rFonts w:eastAsia="Times New Roman"/>
                  <w:sz w:val="18"/>
                  <w:szCs w:val="18"/>
                </w:rPr>
                <w:t xml:space="preserve">Nonstatutory Stock Option Award Agreement, dated January 29, 2015, by and between Capital One Financial Corporation and Richard D. Fairbank under the Third Amended and Restated 2004 Stock Incentive Plan (incorporated by reference to Exhibit 10.2.14 of the </w:t>
              </w:r>
              <w:r>
                <w:rPr>
                  <w:rStyle w:val="a3"/>
                  <w:rFonts w:eastAsia="Times New Roman"/>
                  <w:sz w:val="18"/>
                  <w:szCs w:val="18"/>
                </w:rPr>
                <w:t>2014 Form 10-K).</w:t>
              </w:r>
            </w:hyperlink>
          </w:p>
        </w:tc>
      </w:tr>
      <w:tr w:rsidR="00000000">
        <w:trPr>
          <w:jc w:val="center"/>
        </w:trPr>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8"/>
                <w:szCs w:val="18"/>
              </w:rPr>
              <w:t>10.2.3+</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both"/>
              <w:rPr>
                <w:rFonts w:eastAsia="Times New Roman"/>
              </w:rPr>
            </w:pPr>
            <w:hyperlink r:id="rId43" w:history="1">
              <w:r>
                <w:rPr>
                  <w:rStyle w:val="a3"/>
                  <w:rFonts w:eastAsia="Times New Roman"/>
                  <w:sz w:val="18"/>
                  <w:szCs w:val="18"/>
                </w:rPr>
                <w:t>Nonstatutory Stock Option Award Agreement, dated February 4, 2016, by and between Capital One Financial Corpora</w:t>
              </w:r>
              <w:r>
                <w:rPr>
                  <w:rStyle w:val="a3"/>
                  <w:rFonts w:eastAsia="Times New Roman"/>
                  <w:sz w:val="18"/>
                  <w:szCs w:val="18"/>
                </w:rPr>
                <w:t>tion and Richard D. Fairbank under the Third Amended and Restated 2004 Stock Incentive Plan (incorporated by reference to Exhibit 10.2.17 of the 2015 Form 10-K).</w:t>
              </w:r>
            </w:hyperlink>
          </w:p>
        </w:tc>
      </w:tr>
      <w:tr w:rsidR="00000000">
        <w:trPr>
          <w:jc w:val="center"/>
        </w:trPr>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8"/>
                <w:szCs w:val="18"/>
              </w:rPr>
              <w:t>10.2.4+</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both"/>
              <w:rPr>
                <w:rFonts w:eastAsia="Times New Roman"/>
              </w:rPr>
            </w:pPr>
            <w:hyperlink r:id="rId44" w:history="1">
              <w:r>
                <w:rPr>
                  <w:rStyle w:val="a3"/>
                  <w:rFonts w:eastAsia="Times New Roman"/>
                  <w:sz w:val="18"/>
                  <w:szCs w:val="18"/>
                </w:rPr>
                <w:t>Form of Nonstatutory Stock Option Award Agreement</w:t>
              </w:r>
            </w:hyperlink>
            <w:hyperlink r:id="rId45" w:history="1">
              <w:r>
                <w:rPr>
                  <w:rStyle w:val="a3"/>
                  <w:rFonts w:eastAsia="Times New Roman"/>
                  <w:sz w:val="18"/>
                  <w:szCs w:val="18"/>
                </w:rPr>
                <w:t xml:space="preserve"> granted to our executive officers</w:t>
              </w:r>
            </w:hyperlink>
            <w:hyperlink r:id="rId46" w:history="1">
              <w:r>
                <w:rPr>
                  <w:rStyle w:val="a3"/>
                  <w:rFonts w:eastAsia="Times New Roman"/>
                  <w:sz w:val="18"/>
                  <w:szCs w:val="18"/>
                </w:rPr>
                <w:t xml:space="preserve"> </w:t>
              </w:r>
            </w:hyperlink>
            <w:hyperlink r:id="rId47" w:history="1">
              <w:r>
                <w:rPr>
                  <w:rStyle w:val="a3"/>
                  <w:rFonts w:eastAsia="Times New Roman"/>
                  <w:sz w:val="18"/>
                  <w:szCs w:val="18"/>
                </w:rPr>
                <w:t>under the Third Amended and Restated 2004 Stock Incentive Plan on February 4, 2016 (incorporated by reference to Exhibit 10.2.17 of the 2015 Form 10-K).</w:t>
              </w:r>
            </w:hyperlink>
          </w:p>
        </w:tc>
      </w:tr>
      <w:tr w:rsidR="00000000">
        <w:trPr>
          <w:jc w:val="center"/>
        </w:trPr>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8"/>
                <w:szCs w:val="18"/>
              </w:rPr>
              <w:t>10.2.5+</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both"/>
              <w:rPr>
                <w:rFonts w:eastAsia="Times New Roman"/>
              </w:rPr>
            </w:pPr>
            <w:hyperlink r:id="rId48" w:history="1">
              <w:r>
                <w:rPr>
                  <w:rStyle w:val="a3"/>
                  <w:rFonts w:eastAsia="Times New Roman"/>
                  <w:sz w:val="18"/>
                  <w:szCs w:val="18"/>
                </w:rPr>
                <w:t>Nonstatutory Stock Option Award Agreement, dated February 2, 2017, by and between Capital One Financial Corporation and Richard D. Fairbank under the Third Amended and Restated 2004 Stock Incentive Plan (incorpor</w:t>
              </w:r>
              <w:r>
                <w:rPr>
                  <w:rStyle w:val="a3"/>
                  <w:rFonts w:eastAsia="Times New Roman"/>
                  <w:sz w:val="18"/>
                  <w:szCs w:val="18"/>
                </w:rPr>
                <w:t>ated by reference to Exhibit 10.2.19 of the 2016 Form 10-K)</w:t>
              </w:r>
            </w:hyperlink>
            <w:r>
              <w:rPr>
                <w:rFonts w:eastAsia="Times New Roman"/>
                <w:color w:val="000000"/>
                <w:sz w:val="18"/>
                <w:szCs w:val="18"/>
              </w:rPr>
              <w:t>.</w:t>
            </w:r>
          </w:p>
        </w:tc>
      </w:tr>
      <w:tr w:rsidR="00000000">
        <w:trPr>
          <w:jc w:val="center"/>
        </w:trPr>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8"/>
                <w:szCs w:val="18"/>
              </w:rPr>
              <w:t>10.2.6+</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both"/>
              <w:rPr>
                <w:rFonts w:eastAsia="Times New Roman"/>
              </w:rPr>
            </w:pPr>
            <w:hyperlink r:id="rId49" w:history="1">
              <w:r>
                <w:rPr>
                  <w:rStyle w:val="a3"/>
                  <w:rFonts w:eastAsia="Times New Roman"/>
                  <w:sz w:val="18"/>
                  <w:szCs w:val="18"/>
                </w:rPr>
                <w:t>Form of Nonstatutory Stock Option Award Agreement</w:t>
              </w:r>
            </w:hyperlink>
            <w:hyperlink r:id="rId50" w:history="1">
              <w:r>
                <w:rPr>
                  <w:rStyle w:val="a3"/>
                  <w:rFonts w:eastAsia="Times New Roman"/>
                  <w:sz w:val="18"/>
                  <w:szCs w:val="18"/>
                </w:rPr>
                <w:t xml:space="preserve"> granted to our executive officers</w:t>
              </w:r>
            </w:hyperlink>
            <w:hyperlink r:id="rId51" w:history="1">
              <w:r>
                <w:rPr>
                  <w:rStyle w:val="a3"/>
                  <w:rFonts w:eastAsia="Times New Roman"/>
                  <w:sz w:val="18"/>
                  <w:szCs w:val="18"/>
                </w:rPr>
                <w:t xml:space="preserve"> under the Third Amended and Restated 2004 Stock Incentive Plan on February 2, 2017 (incorporate</w:t>
              </w:r>
              <w:r>
                <w:rPr>
                  <w:rStyle w:val="a3"/>
                  <w:rFonts w:eastAsia="Times New Roman"/>
                  <w:sz w:val="18"/>
                  <w:szCs w:val="18"/>
                </w:rPr>
                <w:t>d by reference to Exhibit 10.2.19 of the 2016 Form 10-K).</w:t>
              </w:r>
            </w:hyperlink>
          </w:p>
        </w:tc>
      </w:tr>
      <w:tr w:rsidR="00000000">
        <w:trPr>
          <w:jc w:val="center"/>
        </w:trPr>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8"/>
                <w:szCs w:val="18"/>
              </w:rPr>
              <w:t>10.2.7+</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both"/>
              <w:rPr>
                <w:rFonts w:eastAsia="Times New Roman"/>
              </w:rPr>
            </w:pPr>
            <w:hyperlink r:id="rId52" w:history="1">
              <w:r>
                <w:rPr>
                  <w:rStyle w:val="a3"/>
                  <w:rFonts w:eastAsia="Times New Roman"/>
                  <w:sz w:val="18"/>
                  <w:szCs w:val="18"/>
                </w:rPr>
                <w:t>Performance Unit Award Agreement, dated January 30, 2020, by and between Capital One Financial Corporation and Richard D. Fairbank under the Fifth Amended and Restated 2004 Stock Incentive Plan (incorporated by reference to Exhibit 10.2.23 of the 2019 Form</w:t>
              </w:r>
              <w:r>
                <w:rPr>
                  <w:rStyle w:val="a3"/>
                  <w:rFonts w:eastAsia="Times New Roman"/>
                  <w:sz w:val="18"/>
                  <w:szCs w:val="18"/>
                </w:rPr>
                <w:t xml:space="preserve"> 10-K).</w:t>
              </w:r>
            </w:hyperlink>
          </w:p>
        </w:tc>
      </w:tr>
      <w:tr w:rsidR="00000000">
        <w:trPr>
          <w:jc w:val="center"/>
        </w:trPr>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8"/>
                <w:szCs w:val="18"/>
              </w:rPr>
              <w:t>10.2.8+</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94004B">
            <w:pPr>
              <w:spacing w:after="100"/>
              <w:jc w:val="both"/>
              <w:rPr>
                <w:rFonts w:eastAsia="Times New Roman"/>
              </w:rPr>
            </w:pPr>
            <w:hyperlink r:id="rId53" w:history="1">
              <w:r>
                <w:rPr>
                  <w:rStyle w:val="a3"/>
                  <w:rFonts w:eastAsia="Times New Roman"/>
                  <w:sz w:val="18"/>
                  <w:szCs w:val="18"/>
                </w:rPr>
                <w:t>Form of Performance Unit Award Agreement</w:t>
              </w:r>
            </w:hyperlink>
            <w:hyperlink r:id="rId54" w:history="1">
              <w:r>
                <w:rPr>
                  <w:rStyle w:val="a3"/>
                  <w:rFonts w:eastAsia="Times New Roman"/>
                  <w:sz w:val="18"/>
                  <w:szCs w:val="18"/>
                </w:rPr>
                <w:t xml:space="preserve"> granted to our executive officers</w:t>
              </w:r>
            </w:hyperlink>
            <w:hyperlink r:id="rId55" w:history="1">
              <w:r>
                <w:rPr>
                  <w:rStyle w:val="a3"/>
                  <w:rFonts w:eastAsia="Times New Roman"/>
                  <w:sz w:val="18"/>
                  <w:szCs w:val="18"/>
                </w:rPr>
                <w:t xml:space="preserve"> under the Fifth Amended and Restated 2004 Stock Incentive Plan on January 30, 2020 (incorporated by reference to Exhibit 10.2.23 of the 2019 Form 10-K).</w:t>
              </w:r>
            </w:hyperlink>
          </w:p>
        </w:tc>
      </w:tr>
      <w:tr w:rsidR="00000000">
        <w:trPr>
          <w:jc w:val="center"/>
        </w:trPr>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8"/>
                <w:szCs w:val="18"/>
              </w:rPr>
              <w:t>10.2.9+</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both"/>
              <w:rPr>
                <w:rFonts w:eastAsia="Times New Roman"/>
              </w:rPr>
            </w:pPr>
            <w:hyperlink r:id="rId56" w:history="1">
              <w:r>
                <w:rPr>
                  <w:rStyle w:val="a3"/>
                  <w:rFonts w:eastAsia="Times New Roman"/>
                  <w:sz w:val="18"/>
                  <w:szCs w:val="18"/>
                </w:rPr>
                <w:t>Form of Restricted Stock Unit Award Agreement, dated January 30, 2020, by and between Capital One Financial Corporation and Richard D. Fairbank under the Fifth Amended and Restated 2004 Stock Incentive Plan (incorporated by referen</w:t>
              </w:r>
              <w:r>
                <w:rPr>
                  <w:rStyle w:val="a3"/>
                  <w:rFonts w:eastAsia="Times New Roman"/>
                  <w:sz w:val="18"/>
                  <w:szCs w:val="18"/>
                </w:rPr>
                <w:t>ce to Exhibit 10.2.24 of the 2019 Form 10-K).</w:t>
              </w:r>
            </w:hyperlink>
          </w:p>
        </w:tc>
      </w:tr>
      <w:tr w:rsidR="00000000">
        <w:trPr>
          <w:jc w:val="center"/>
        </w:trPr>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8"/>
                <w:szCs w:val="18"/>
              </w:rPr>
              <w:t>10.2.10+</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94004B">
            <w:pPr>
              <w:spacing w:after="100"/>
              <w:jc w:val="both"/>
              <w:rPr>
                <w:rFonts w:eastAsia="Times New Roman"/>
              </w:rPr>
            </w:pPr>
            <w:hyperlink r:id="rId57" w:history="1">
              <w:r>
                <w:rPr>
                  <w:rStyle w:val="a3"/>
                  <w:rFonts w:eastAsia="Times New Roman"/>
                  <w:sz w:val="18"/>
                  <w:szCs w:val="18"/>
                </w:rPr>
                <w:t>Form of Restricted Stock Unit Award Agreements granted to our executive officers</w:t>
              </w:r>
            </w:hyperlink>
            <w:hyperlink r:id="rId58" w:history="1">
              <w:r>
                <w:rPr>
                  <w:rStyle w:val="a3"/>
                  <w:rFonts w:eastAsia="Times New Roman"/>
                  <w:sz w:val="18"/>
                  <w:szCs w:val="18"/>
                </w:rPr>
                <w:t xml:space="preserve"> </w:t>
              </w:r>
            </w:hyperlink>
            <w:hyperlink r:id="rId59" w:history="1">
              <w:r>
                <w:rPr>
                  <w:rStyle w:val="a3"/>
                  <w:rFonts w:eastAsia="Times New Roman"/>
                  <w:sz w:val="18"/>
                  <w:szCs w:val="18"/>
                </w:rPr>
                <w:t>under the Fifth Amended and Restate</w:t>
              </w:r>
              <w:r>
                <w:rPr>
                  <w:rStyle w:val="a3"/>
                  <w:rFonts w:eastAsia="Times New Roman"/>
                  <w:sz w:val="18"/>
                  <w:szCs w:val="18"/>
                </w:rPr>
                <w:t>d 2004 Stock Incentive Plan on January 30, 2020 (incorporated by reference to Exhibit 10.2.24 of the 2019 Form 10-K).</w:t>
              </w:r>
            </w:hyperlink>
          </w:p>
        </w:tc>
      </w:tr>
      <w:tr w:rsidR="00000000">
        <w:trPr>
          <w:jc w:val="center"/>
        </w:trPr>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8"/>
                <w:szCs w:val="18"/>
              </w:rPr>
              <w:t>10.2.11+</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both"/>
              <w:rPr>
                <w:rFonts w:eastAsia="Times New Roman"/>
              </w:rPr>
            </w:pPr>
            <w:hyperlink r:id="rId60" w:history="1">
              <w:r>
                <w:rPr>
                  <w:rStyle w:val="a3"/>
                  <w:rFonts w:eastAsia="Times New Roman"/>
                  <w:sz w:val="18"/>
                  <w:szCs w:val="18"/>
                </w:rPr>
                <w:t>Form of Performance Unit Award Agreement, dated February 4, 2021, by and between Capital One Financial Corporation and Richard D. Fairbank un</w:t>
              </w:r>
              <w:r>
                <w:rPr>
                  <w:rStyle w:val="a3"/>
                  <w:rFonts w:eastAsia="Times New Roman"/>
                  <w:sz w:val="18"/>
                  <w:szCs w:val="18"/>
                </w:rPr>
                <w:t>der the Fifth Amended and Restated 2004 Stock Incentive Plan (incorporated by reference to Exhibit 10.2.25 of the 2020 Form 10-K).</w:t>
              </w:r>
            </w:hyperlink>
          </w:p>
        </w:tc>
      </w:tr>
      <w:tr w:rsidR="00000000">
        <w:trPr>
          <w:jc w:val="center"/>
        </w:trPr>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8"/>
                <w:szCs w:val="18"/>
              </w:rPr>
              <w:t>10.2.12+</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94004B">
            <w:pPr>
              <w:spacing w:after="100"/>
              <w:jc w:val="both"/>
              <w:rPr>
                <w:rFonts w:eastAsia="Times New Roman"/>
              </w:rPr>
            </w:pPr>
            <w:hyperlink r:id="rId61" w:history="1">
              <w:r>
                <w:rPr>
                  <w:rStyle w:val="a3"/>
                  <w:rFonts w:eastAsia="Times New Roman"/>
                  <w:sz w:val="18"/>
                  <w:szCs w:val="18"/>
                </w:rPr>
                <w:t>Form of Performance Unit Award Agreements granted to our executive officer</w:t>
              </w:r>
            </w:hyperlink>
            <w:hyperlink r:id="rId62" w:history="1">
              <w:r>
                <w:rPr>
                  <w:rStyle w:val="a3"/>
                  <w:rFonts w:eastAsia="Times New Roman"/>
                  <w:sz w:val="18"/>
                  <w:szCs w:val="18"/>
                </w:rPr>
                <w:t xml:space="preserve">s </w:t>
              </w:r>
            </w:hyperlink>
            <w:hyperlink r:id="rId63" w:history="1">
              <w:r>
                <w:rPr>
                  <w:rStyle w:val="a3"/>
                  <w:rFonts w:eastAsia="Times New Roman"/>
                  <w:sz w:val="18"/>
                  <w:szCs w:val="18"/>
                </w:rPr>
                <w:t xml:space="preserve">under the Fifth Amended and Restated 2004 Stock Incentive Plan on February 4, 2021 (incorporated by reference to Exhibit 10.2.25 of the 2020 </w:t>
              </w:r>
              <w:r>
                <w:rPr>
                  <w:rStyle w:val="a3"/>
                  <w:rFonts w:eastAsia="Times New Roman"/>
                  <w:sz w:val="18"/>
                  <w:szCs w:val="18"/>
                </w:rPr>
                <w:t>Form 10-K).</w:t>
              </w:r>
            </w:hyperlink>
          </w:p>
        </w:tc>
      </w:tr>
      <w:tr w:rsidR="00000000">
        <w:trPr>
          <w:jc w:val="center"/>
        </w:trPr>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8"/>
                <w:szCs w:val="18"/>
              </w:rPr>
              <w:t>10.2.13+</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both"/>
              <w:rPr>
                <w:rFonts w:eastAsia="Times New Roman"/>
              </w:rPr>
            </w:pPr>
            <w:hyperlink r:id="rId64" w:history="1">
              <w:r>
                <w:rPr>
                  <w:rStyle w:val="a3"/>
                  <w:rFonts w:eastAsia="Times New Roman"/>
                  <w:sz w:val="18"/>
                  <w:szCs w:val="18"/>
                </w:rPr>
                <w:t>Form Restricted Stock Unit Award Agreement, dated February 4, 2021, by and between Capital One Financial Corporation and Richard D. Fairbank under the Fifth Amended and Restated 2004 Stock Incentive Plan</w:t>
              </w:r>
            </w:hyperlink>
            <w:hyperlink r:id="rId65" w:history="1">
              <w:r>
                <w:rPr>
                  <w:rStyle w:val="a3"/>
                  <w:rFonts w:eastAsia="Times New Roman"/>
                  <w:sz w:val="18"/>
                  <w:szCs w:val="18"/>
                </w:rPr>
                <w:t xml:space="preserve"> </w:t>
              </w:r>
            </w:hyperlink>
            <w:hyperlink r:id="rId66" w:history="1">
              <w:r>
                <w:rPr>
                  <w:rStyle w:val="a3"/>
                  <w:rFonts w:eastAsia="Times New Roman"/>
                  <w:sz w:val="18"/>
                  <w:szCs w:val="18"/>
                </w:rPr>
                <w:t>(incorporated by reference to Exhibit 10.2.26 of the 2020 Form 10-K).</w:t>
              </w:r>
            </w:hyperlink>
          </w:p>
        </w:tc>
      </w:tr>
      <w:tr w:rsidR="00000000">
        <w:trPr>
          <w:jc w:val="center"/>
        </w:trPr>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8"/>
                <w:szCs w:val="18"/>
              </w:rPr>
              <w:t>10.2.</w:t>
            </w:r>
            <w:r>
              <w:rPr>
                <w:rFonts w:eastAsia="Times New Roman"/>
                <w:color w:val="000000"/>
                <w:sz w:val="18"/>
                <w:szCs w:val="18"/>
              </w:rPr>
              <w:t>14+</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94004B">
            <w:pPr>
              <w:spacing w:after="100"/>
              <w:jc w:val="both"/>
              <w:rPr>
                <w:rFonts w:eastAsia="Times New Roman"/>
              </w:rPr>
            </w:pPr>
            <w:hyperlink r:id="rId67" w:history="1">
              <w:r>
                <w:rPr>
                  <w:rStyle w:val="a3"/>
                  <w:rFonts w:eastAsia="Times New Roman"/>
                  <w:sz w:val="18"/>
                  <w:szCs w:val="18"/>
                </w:rPr>
                <w:t>Form of Restricted Stock Unit Award Agreements granted to our executive officers</w:t>
              </w:r>
            </w:hyperlink>
            <w:hyperlink r:id="rId68" w:history="1">
              <w:r>
                <w:rPr>
                  <w:rStyle w:val="a3"/>
                  <w:rFonts w:eastAsia="Times New Roman"/>
                  <w:sz w:val="18"/>
                  <w:szCs w:val="18"/>
                </w:rPr>
                <w:t xml:space="preserve"> under the Fifth Amended and Restated 2004 Stock Incentive Plan on February 4, 2021 (incorporated by reference to Exhibit 10.2.26 of the 2020 Form 10-K).</w:t>
              </w:r>
            </w:hyperlink>
          </w:p>
        </w:tc>
      </w:tr>
      <w:tr w:rsidR="00000000">
        <w:trPr>
          <w:jc w:val="center"/>
        </w:trPr>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8"/>
                <w:szCs w:val="18"/>
              </w:rPr>
              <w:t>10.2.15+</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both"/>
              <w:rPr>
                <w:rFonts w:eastAsia="Times New Roman"/>
              </w:rPr>
            </w:pPr>
            <w:hyperlink r:id="rId69" w:history="1">
              <w:r>
                <w:rPr>
                  <w:rStyle w:val="a3"/>
                  <w:rFonts w:eastAsia="Times New Roman"/>
                  <w:sz w:val="18"/>
                  <w:szCs w:val="18"/>
                </w:rPr>
                <w:t xml:space="preserve">Form of Total Shareholder Return Performance Unit Award Agreement granted to our Chief Executive Officer under the Fifth Amended and Restated 2004 Stock Incentive </w:t>
              </w:r>
              <w:r>
                <w:rPr>
                  <w:rStyle w:val="a3"/>
                  <w:rFonts w:eastAsia="Times New Roman"/>
                  <w:sz w:val="18"/>
                  <w:szCs w:val="18"/>
                </w:rPr>
                <w:t>Plan on February 4, 2021 (incorporated by reference to Exhibit 10.2.27 of the 2020 Form 10-K).</w:t>
              </w:r>
            </w:hyperlink>
          </w:p>
        </w:tc>
      </w:tr>
      <w:tr w:rsidR="00000000">
        <w:trPr>
          <w:jc w:val="center"/>
        </w:trPr>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8"/>
                <w:szCs w:val="18"/>
              </w:rPr>
              <w:t>10.2.16+</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94004B">
            <w:pPr>
              <w:spacing w:after="100"/>
              <w:jc w:val="both"/>
              <w:rPr>
                <w:rFonts w:eastAsia="Times New Roman"/>
              </w:rPr>
            </w:pPr>
            <w:hyperlink r:id="rId70" w:history="1">
              <w:r>
                <w:rPr>
                  <w:rStyle w:val="a3"/>
                  <w:rFonts w:eastAsia="Times New Roman"/>
                  <w:sz w:val="18"/>
                  <w:szCs w:val="18"/>
                </w:rPr>
                <w:t>Form of</w:t>
              </w:r>
            </w:hyperlink>
            <w:hyperlink r:id="rId71" w:history="1">
              <w:r>
                <w:rPr>
                  <w:rStyle w:val="a3"/>
                  <w:rFonts w:eastAsia="Times New Roman"/>
                  <w:sz w:val="18"/>
                  <w:szCs w:val="18"/>
                </w:rPr>
                <w:t xml:space="preserve"> Performance Unit Award Agr</w:t>
              </w:r>
              <w:r>
                <w:rPr>
                  <w:rStyle w:val="a3"/>
                  <w:rFonts w:eastAsia="Times New Roman"/>
                  <w:sz w:val="18"/>
                  <w:szCs w:val="18"/>
                </w:rPr>
                <w:t>eement, dated February 3, 2022, by and between Capital One Financial Corporation and Richard D. Fairbank under the Sixth Amended and Restated 2004 Stock Incentive Plan (incorporated by reference to Exhibit 10.2.13 of the 2021 Form 10-K)</w:t>
              </w:r>
            </w:hyperlink>
          </w:p>
        </w:tc>
      </w:tr>
      <w:tr w:rsidR="00000000">
        <w:trPr>
          <w:jc w:val="center"/>
        </w:trPr>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8"/>
                <w:szCs w:val="18"/>
              </w:rPr>
              <w:t>10.2.17+</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94004B">
            <w:pPr>
              <w:spacing w:after="100"/>
              <w:jc w:val="both"/>
              <w:rPr>
                <w:rFonts w:eastAsia="Times New Roman"/>
              </w:rPr>
            </w:pPr>
            <w:hyperlink r:id="rId72" w:history="1">
              <w:r>
                <w:rPr>
                  <w:rStyle w:val="a3"/>
                  <w:rFonts w:eastAsia="Times New Roman"/>
                  <w:sz w:val="18"/>
                  <w:szCs w:val="18"/>
                </w:rPr>
                <w:t>Form of Performance Unit Award Agreements granted to our executive officers</w:t>
              </w:r>
            </w:hyperlink>
            <w:hyperlink r:id="rId73" w:history="1">
              <w:r>
                <w:rPr>
                  <w:rStyle w:val="a3"/>
                  <w:rFonts w:eastAsia="Times New Roman"/>
                  <w:sz w:val="18"/>
                  <w:szCs w:val="18"/>
                </w:rPr>
                <w:t xml:space="preserve"> under the Sixth Amended and Restated 2004 Stock Incentive Plan on February 3, 2022</w:t>
              </w:r>
            </w:hyperlink>
            <w:hyperlink r:id="rId74" w:history="1">
              <w:r>
                <w:rPr>
                  <w:rStyle w:val="a3"/>
                  <w:rFonts w:eastAsia="Times New Roman"/>
                  <w:sz w:val="18"/>
                  <w:szCs w:val="18"/>
                </w:rPr>
                <w:t xml:space="preserve"> (incorporated by reference to Exhibit 10.2.13 of the 2021 Form 10-K).</w:t>
              </w:r>
            </w:hyperlink>
          </w:p>
        </w:tc>
      </w:tr>
      <w:tr w:rsidR="00000000">
        <w:trPr>
          <w:jc w:val="center"/>
        </w:trPr>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8"/>
                <w:szCs w:val="18"/>
              </w:rPr>
              <w:t>10.2.18+</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both"/>
              <w:rPr>
                <w:rFonts w:eastAsia="Times New Roman"/>
              </w:rPr>
            </w:pPr>
            <w:hyperlink r:id="rId75" w:history="1">
              <w:r>
                <w:rPr>
                  <w:rStyle w:val="a3"/>
                  <w:rFonts w:eastAsia="Times New Roman"/>
                  <w:sz w:val="18"/>
                  <w:szCs w:val="18"/>
                </w:rPr>
                <w:t>Form of Restricted Stock Unit Award Agreement, dated February 3, 2022, by and between Capital One Financial Corporation and Richard D. Fairbank u</w:t>
              </w:r>
              <w:r>
                <w:rPr>
                  <w:rStyle w:val="a3"/>
                  <w:rFonts w:eastAsia="Times New Roman"/>
                  <w:sz w:val="18"/>
                  <w:szCs w:val="18"/>
                </w:rPr>
                <w:t>nder the Sixth Amended and Restated 2004 Stock Incentive Plan (incorporated by reference to Exhibit 10.2.14 of the 2021 Form 10-K).</w:t>
              </w:r>
            </w:hyperlink>
          </w:p>
        </w:tc>
      </w:tr>
      <w:tr w:rsidR="00000000">
        <w:trPr>
          <w:jc w:val="center"/>
        </w:trPr>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8"/>
                <w:szCs w:val="18"/>
              </w:rPr>
              <w:t>10.2.19+</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94004B">
            <w:pPr>
              <w:spacing w:after="100"/>
              <w:jc w:val="both"/>
              <w:rPr>
                <w:rFonts w:eastAsia="Times New Roman"/>
              </w:rPr>
            </w:pPr>
            <w:hyperlink r:id="rId76" w:history="1">
              <w:r>
                <w:rPr>
                  <w:rStyle w:val="a3"/>
                  <w:rFonts w:eastAsia="Times New Roman"/>
                  <w:sz w:val="18"/>
                  <w:szCs w:val="18"/>
                </w:rPr>
                <w:t>Form of Restricted Stock Unit Award Agreements granted to our executive officers</w:t>
              </w:r>
            </w:hyperlink>
            <w:hyperlink r:id="rId77" w:history="1">
              <w:r>
                <w:rPr>
                  <w:rStyle w:val="a3"/>
                  <w:rFonts w:eastAsia="Times New Roman"/>
                  <w:sz w:val="18"/>
                  <w:szCs w:val="18"/>
                </w:rPr>
                <w:t xml:space="preserve"> </w:t>
              </w:r>
            </w:hyperlink>
            <w:hyperlink r:id="rId78" w:history="1">
              <w:r>
                <w:rPr>
                  <w:rStyle w:val="a3"/>
                  <w:rFonts w:eastAsia="Times New Roman"/>
                  <w:sz w:val="18"/>
                  <w:szCs w:val="18"/>
                </w:rPr>
                <w:t>under the Sixth Amended and Restated 2004 Stock Incentive Plan on February 3, 2022</w:t>
              </w:r>
            </w:hyperlink>
            <w:hyperlink r:id="rId79" w:history="1">
              <w:r>
                <w:rPr>
                  <w:rStyle w:val="a3"/>
                  <w:rFonts w:eastAsia="Times New Roman"/>
                  <w:sz w:val="18"/>
                  <w:szCs w:val="18"/>
                </w:rPr>
                <w:t xml:space="preserve"> (incorporat</w:t>
              </w:r>
              <w:r>
                <w:rPr>
                  <w:rStyle w:val="a3"/>
                  <w:rFonts w:eastAsia="Times New Roman"/>
                  <w:sz w:val="18"/>
                  <w:szCs w:val="18"/>
                </w:rPr>
                <w:t>ed by reference to Exhibit 10.2.14 of the 2021 Form 10-K)</w:t>
              </w:r>
            </w:hyperlink>
            <w:hyperlink r:id="rId80" w:history="1">
              <w:r>
                <w:rPr>
                  <w:rStyle w:val="a3"/>
                  <w:rFonts w:eastAsia="Times New Roman"/>
                  <w:sz w:val="18"/>
                  <w:szCs w:val="18"/>
                </w:rPr>
                <w:t>.</w:t>
              </w:r>
            </w:hyperlink>
          </w:p>
        </w:tc>
      </w:tr>
      <w:tr w:rsidR="00000000">
        <w:trPr>
          <w:jc w:val="center"/>
        </w:trPr>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8"/>
                <w:szCs w:val="18"/>
              </w:rPr>
              <w:t>10.2.20+</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both"/>
              <w:rPr>
                <w:rFonts w:eastAsia="Times New Roman"/>
              </w:rPr>
            </w:pPr>
            <w:hyperlink r:id="rId81" w:history="1">
              <w:r>
                <w:rPr>
                  <w:rStyle w:val="a3"/>
                  <w:rFonts w:eastAsia="Times New Roman"/>
                  <w:sz w:val="18"/>
                  <w:szCs w:val="18"/>
                </w:rPr>
                <w:t>Form of Total Shareholder Return Performance Unit Award Agreement granted to our Chief Executive Officer under the Sixth Amended and Restated 200</w:t>
              </w:r>
              <w:r>
                <w:rPr>
                  <w:rStyle w:val="a3"/>
                  <w:rFonts w:eastAsia="Times New Roman"/>
                  <w:sz w:val="18"/>
                  <w:szCs w:val="18"/>
                </w:rPr>
                <w:t>4 Stock Incentive Plan on February 3, 2022 (incorporated by reference to Exhibit 10.2.15 of the 2021 Form 10-K).</w:t>
              </w:r>
            </w:hyperlink>
          </w:p>
        </w:tc>
      </w:tr>
      <w:tr w:rsidR="00000000">
        <w:trPr>
          <w:jc w:val="center"/>
        </w:trPr>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8"/>
                <w:szCs w:val="18"/>
              </w:rPr>
              <w:t>10.2.21*+</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94004B">
            <w:pPr>
              <w:spacing w:after="100"/>
              <w:jc w:val="both"/>
              <w:rPr>
                <w:rFonts w:eastAsia="Times New Roman"/>
              </w:rPr>
            </w:pPr>
            <w:hyperlink r:id="rId82" w:history="1">
              <w:r>
                <w:rPr>
                  <w:rStyle w:val="a3"/>
                  <w:rFonts w:eastAsia="Times New Roman"/>
                  <w:sz w:val="18"/>
                  <w:szCs w:val="18"/>
                </w:rPr>
                <w:t>Form of Restricted Stock Unit Award Agreement, dated January 26, 2023, by and bet</w:t>
              </w:r>
              <w:r>
                <w:rPr>
                  <w:rStyle w:val="a3"/>
                  <w:rFonts w:eastAsia="Times New Roman"/>
                  <w:sz w:val="18"/>
                  <w:szCs w:val="18"/>
                </w:rPr>
                <w:t xml:space="preserve">ween Capital One Financial Corporation and Richard D. Fairbank under the Sixth Amended and Restated 2004 Stock Incentive Plan. </w:t>
              </w:r>
            </w:hyperlink>
          </w:p>
        </w:tc>
      </w:tr>
      <w:tr w:rsidR="00000000">
        <w:trPr>
          <w:jc w:val="center"/>
        </w:trPr>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8"/>
                <w:szCs w:val="18"/>
              </w:rPr>
              <w:t>10.2.22*+</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94004B">
            <w:pPr>
              <w:spacing w:after="100"/>
              <w:jc w:val="both"/>
              <w:rPr>
                <w:rFonts w:eastAsia="Times New Roman"/>
              </w:rPr>
            </w:pPr>
            <w:hyperlink r:id="rId83" w:history="1">
              <w:r>
                <w:rPr>
                  <w:rStyle w:val="a3"/>
                  <w:rFonts w:eastAsia="Times New Roman"/>
                  <w:sz w:val="18"/>
                  <w:szCs w:val="18"/>
                </w:rPr>
                <w:t>Performance Unit Award Agreement, dated January 26, 2023, by and between Capital One Financial Corporation and Richard D. Fairbank under the Sixth Amended and Restated 2004 Stock Incentive Plan.</w:t>
              </w:r>
            </w:hyperlink>
          </w:p>
        </w:tc>
      </w:tr>
      <w:tr w:rsidR="00000000">
        <w:trPr>
          <w:jc w:val="center"/>
        </w:trPr>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8"/>
                <w:szCs w:val="18"/>
              </w:rPr>
              <w:t>10.2.23*+</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94004B">
            <w:pPr>
              <w:spacing w:after="100"/>
              <w:jc w:val="both"/>
              <w:rPr>
                <w:rFonts w:eastAsia="Times New Roman"/>
              </w:rPr>
            </w:pPr>
            <w:hyperlink r:id="rId84" w:history="1">
              <w:r>
                <w:rPr>
                  <w:rStyle w:val="a3"/>
                  <w:rFonts w:eastAsia="Times New Roman"/>
                  <w:sz w:val="18"/>
                  <w:szCs w:val="18"/>
                </w:rPr>
                <w:t>Total Shareholder Return Performance Unit Award Agreement granted to our Chief Executive Officer under the Sixth Amended and Restated 2004 Stock Incentive Plan on January 26, 2023.</w:t>
              </w:r>
            </w:hyperlink>
          </w:p>
        </w:tc>
      </w:tr>
    </w:tbl>
    <w:p w:rsidR="00000000" w:rsidRDefault="0094004B">
      <w:pPr>
        <w:jc w:val="center"/>
        <w:divId w:val="1089304233"/>
        <w:rPr>
          <w:rFonts w:eastAsia="Times New Roman"/>
          <w:vanish/>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089304233"/>
          <w:jc w:val="center"/>
        </w:trPr>
        <w:tc>
          <w:tcPr>
            <w:tcW w:w="50" w:type="pct"/>
            <w:vAlign w:val="center"/>
            <w:hideMark/>
          </w:tcPr>
          <w:p w:rsidR="00000000" w:rsidRDefault="0094004B">
            <w:pPr>
              <w:jc w:val="center"/>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089304233"/>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089304233"/>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211</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237" style="width:0;height:1.5pt" o:hralign="center" o:hrstd="t" o:hr="t" fillcolor="#a0a0a0" stroked="f"/>
        </w:pict>
      </w:r>
    </w:p>
    <w:p w:rsidR="00000000" w:rsidRDefault="0094004B">
      <w:pPr>
        <w:jc w:val="both"/>
        <w:divId w:val="1117066099"/>
        <w:rPr>
          <w:rFonts w:eastAsia="Times New Roman"/>
        </w:rPr>
      </w:pPr>
      <w:hyperlink w:anchor="ia820611622d9441b977884dac00e0ebd_16" w:history="1">
        <w:r>
          <w:rPr>
            <w:rStyle w:val="a3"/>
            <w:rFonts w:eastAsia="Times New Roman"/>
            <w:sz w:val="16"/>
            <w:szCs w:val="16"/>
          </w:rPr>
          <w:t>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78"/>
        <w:gridCol w:w="693"/>
        <w:gridCol w:w="36"/>
        <w:gridCol w:w="36"/>
        <w:gridCol w:w="36"/>
        <w:gridCol w:w="36"/>
        <w:gridCol w:w="46"/>
        <w:gridCol w:w="7307"/>
        <w:gridCol w:w="38"/>
      </w:tblGrid>
      <w:tr w:rsidR="00000000">
        <w:trPr>
          <w:jc w:val="center"/>
        </w:trPr>
        <w:tc>
          <w:tcPr>
            <w:tcW w:w="50" w:type="pct"/>
            <w:vAlign w:val="center"/>
            <w:hideMark/>
          </w:tcPr>
          <w:p w:rsidR="00000000" w:rsidRDefault="0094004B">
            <w:pPr>
              <w:jc w:val="both"/>
              <w:rPr>
                <w:rFonts w:eastAsia="Times New Roman"/>
              </w:rPr>
            </w:pPr>
          </w:p>
        </w:tc>
        <w:tc>
          <w:tcPr>
            <w:tcW w:w="44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411"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8"/>
                <w:szCs w:val="18"/>
              </w:rPr>
              <w:t>10.2.24*+</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94004B">
            <w:pPr>
              <w:spacing w:after="100"/>
              <w:jc w:val="both"/>
              <w:rPr>
                <w:rFonts w:eastAsia="Times New Roman"/>
              </w:rPr>
            </w:pPr>
            <w:hyperlink r:id="rId85" w:history="1">
              <w:r>
                <w:rPr>
                  <w:rStyle w:val="a3"/>
                  <w:rFonts w:eastAsia="Times New Roman"/>
                  <w:sz w:val="18"/>
                  <w:szCs w:val="18"/>
                </w:rPr>
                <w:t>Form of Restricted Stock Unit Award Agreements granted to our executive officers under the Sixth Amended and Restated 2004 Stock Incentive Plan on January 26, 2023</w:t>
              </w:r>
            </w:hyperlink>
          </w:p>
        </w:tc>
      </w:tr>
      <w:tr w:rsidR="00000000">
        <w:trPr>
          <w:jc w:val="center"/>
        </w:trPr>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8"/>
                <w:szCs w:val="18"/>
              </w:rPr>
              <w:t>10.2.25*+</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94004B">
            <w:pPr>
              <w:spacing w:after="100"/>
              <w:jc w:val="both"/>
              <w:rPr>
                <w:rFonts w:eastAsia="Times New Roman"/>
              </w:rPr>
            </w:pPr>
            <w:hyperlink r:id="rId86" w:history="1">
              <w:r>
                <w:rPr>
                  <w:rStyle w:val="a3"/>
                  <w:rFonts w:eastAsia="Times New Roman"/>
                  <w:sz w:val="18"/>
                  <w:szCs w:val="18"/>
                </w:rPr>
                <w:t>Form of Performance Unit Awar</w:t>
              </w:r>
              <w:r>
                <w:rPr>
                  <w:rStyle w:val="a3"/>
                  <w:rFonts w:eastAsia="Times New Roman"/>
                  <w:sz w:val="18"/>
                  <w:szCs w:val="18"/>
                </w:rPr>
                <w:t>d Agreements granted to our executive officers under the Sixth Amended and Restated 2004 Stock Incentive Plan on January 26, 2023</w:t>
              </w:r>
            </w:hyperlink>
          </w:p>
        </w:tc>
      </w:tr>
      <w:tr w:rsidR="00000000">
        <w:trPr>
          <w:jc w:val="center"/>
        </w:trPr>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8"/>
                <w:szCs w:val="18"/>
              </w:rPr>
              <w:t>10.2.26*+</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94004B">
            <w:pPr>
              <w:spacing w:after="100"/>
              <w:jc w:val="both"/>
              <w:rPr>
                <w:rFonts w:eastAsia="Times New Roman"/>
              </w:rPr>
            </w:pPr>
            <w:hyperlink r:id="rId87" w:history="1">
              <w:r>
                <w:rPr>
                  <w:rStyle w:val="a3"/>
                  <w:rFonts w:eastAsia="Times New Roman"/>
                  <w:sz w:val="18"/>
                  <w:szCs w:val="18"/>
                </w:rPr>
                <w:t xml:space="preserve">Restricted Stock Unit Award Agreement, dated January 31, 2022, by and between Capital One Financial Corporation and Neal Blinde under the Sixth Amended and Restated 2004 Stock Incentive Plan. </w:t>
              </w:r>
            </w:hyperlink>
          </w:p>
        </w:tc>
      </w:tr>
      <w:tr w:rsidR="00000000">
        <w:trPr>
          <w:jc w:val="center"/>
        </w:trPr>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8"/>
                <w:szCs w:val="18"/>
              </w:rPr>
              <w:t>10.2.27*+</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94004B">
            <w:pPr>
              <w:spacing w:after="100"/>
              <w:jc w:val="both"/>
              <w:rPr>
                <w:rFonts w:eastAsia="Times New Roman"/>
              </w:rPr>
            </w:pPr>
            <w:hyperlink r:id="rId88" w:history="1">
              <w:r>
                <w:rPr>
                  <w:rStyle w:val="a3"/>
                  <w:rFonts w:eastAsia="Times New Roman"/>
                  <w:sz w:val="18"/>
                  <w:szCs w:val="18"/>
                </w:rPr>
                <w:t xml:space="preserve">Restricted Stock Unit Award Agreement, dated January 31, 2022, by and between Capital One Financial Corporation and Neal Blinde under the Sixth Amended and Restated 2004 Stock Incentive Plan. </w:t>
              </w:r>
            </w:hyperlink>
          </w:p>
        </w:tc>
      </w:tr>
      <w:tr w:rsidR="00000000">
        <w:trPr>
          <w:jc w:val="center"/>
        </w:trPr>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8"/>
                <w:szCs w:val="18"/>
              </w:rPr>
              <w:t>10.2.28*+</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94004B">
            <w:pPr>
              <w:spacing w:after="100"/>
              <w:jc w:val="both"/>
              <w:rPr>
                <w:rFonts w:eastAsia="Times New Roman"/>
              </w:rPr>
            </w:pPr>
            <w:hyperlink r:id="rId89" w:history="1">
              <w:r>
                <w:rPr>
                  <w:rStyle w:val="a3"/>
                  <w:rFonts w:eastAsia="Times New Roman"/>
                  <w:sz w:val="18"/>
                  <w:szCs w:val="18"/>
                </w:rPr>
                <w:t xml:space="preserve">Restricted Stock Unit Award Agreement, dated January 31, 2022, by and between Capital One Financial Corporation and Neal Blinde under the Sixth Amended and Restated 2004 Stock Incentive Plan. </w:t>
              </w:r>
            </w:hyperlink>
          </w:p>
        </w:tc>
      </w:tr>
      <w:tr w:rsidR="00000000">
        <w:trPr>
          <w:jc w:val="center"/>
        </w:trPr>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8"/>
                <w:szCs w:val="18"/>
              </w:rPr>
              <w:t>10.3.1+</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both"/>
              <w:rPr>
                <w:rFonts w:eastAsia="Times New Roman"/>
              </w:rPr>
            </w:pPr>
            <w:hyperlink r:id="rId90" w:history="1">
              <w:r>
                <w:rPr>
                  <w:rStyle w:val="a3"/>
                  <w:rFonts w:eastAsia="Times New Roman"/>
                  <w:sz w:val="18"/>
                  <w:szCs w:val="18"/>
                </w:rPr>
                <w:t>Capital One Financial Corporation 1999 Non-Employee Directors Stock Incentive Plan, as amended (incorporated by reference to Exhibit 10.4 of the 2002 Form 10-</w:t>
              </w:r>
              <w:r>
                <w:rPr>
                  <w:rStyle w:val="a3"/>
                  <w:rFonts w:eastAsia="Times New Roman"/>
                  <w:sz w:val="18"/>
                  <w:szCs w:val="18"/>
                </w:rPr>
                <w:t>K).</w:t>
              </w:r>
            </w:hyperlink>
          </w:p>
        </w:tc>
      </w:tr>
      <w:tr w:rsidR="00000000">
        <w:trPr>
          <w:jc w:val="center"/>
        </w:trPr>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8"/>
                <w:szCs w:val="18"/>
              </w:rPr>
              <w:t>10.3.2+</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both"/>
              <w:rPr>
                <w:rFonts w:eastAsia="Times New Roman"/>
              </w:rPr>
            </w:pPr>
            <w:hyperlink r:id="rId91" w:history="1">
              <w:r>
                <w:rPr>
                  <w:rStyle w:val="a3"/>
                  <w:rFonts w:eastAsia="Times New Roman"/>
                  <w:sz w:val="18"/>
                  <w:szCs w:val="18"/>
                </w:rPr>
                <w:t>Form of 1999 Non-Employee Directors Stock Incentive Plan Deferred Share Units Award Agreement between Capital One Financial Corporation and certain of its Directors (incorporated by reference to Exhibit 10.3 of the Quarterly Report on Form 10-Q for the per</w:t>
              </w:r>
              <w:r>
                <w:rPr>
                  <w:rStyle w:val="a3"/>
                  <w:rFonts w:eastAsia="Times New Roman"/>
                  <w:sz w:val="18"/>
                  <w:szCs w:val="18"/>
                </w:rPr>
                <w:t>iod ended September 30, 2004).</w:t>
              </w:r>
            </w:hyperlink>
          </w:p>
        </w:tc>
      </w:tr>
      <w:tr w:rsidR="00000000">
        <w:trPr>
          <w:jc w:val="center"/>
        </w:trPr>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8"/>
                <w:szCs w:val="18"/>
              </w:rPr>
              <w:t>10.3.3+</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both"/>
              <w:rPr>
                <w:rFonts w:eastAsia="Times New Roman"/>
              </w:rPr>
            </w:pPr>
            <w:hyperlink r:id="rId92" w:history="1">
              <w:r>
                <w:rPr>
                  <w:rStyle w:val="a3"/>
                  <w:rFonts w:eastAsia="Times New Roman"/>
                  <w:sz w:val="18"/>
                  <w:szCs w:val="18"/>
                </w:rPr>
                <w:t>Form of Restricted Stock Unit Award Agreement granted to our directors under the Second Amended and Restated</w:t>
              </w:r>
              <w:r>
                <w:rPr>
                  <w:rStyle w:val="a3"/>
                  <w:rFonts w:eastAsia="Times New Roman"/>
                  <w:sz w:val="18"/>
                  <w:szCs w:val="18"/>
                </w:rPr>
                <w:t xml:space="preserve"> 2004 Stock Incentive Plan (incorporated by reference to Exhibit 10.3.4 of the 2011 Form 10-K).</w:t>
              </w:r>
            </w:hyperlink>
          </w:p>
        </w:tc>
      </w:tr>
      <w:tr w:rsidR="00000000">
        <w:trPr>
          <w:jc w:val="center"/>
        </w:trPr>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8"/>
                <w:szCs w:val="18"/>
              </w:rPr>
              <w:t>10.3.4+</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both"/>
              <w:rPr>
                <w:rFonts w:eastAsia="Times New Roman"/>
              </w:rPr>
            </w:pPr>
            <w:hyperlink r:id="rId93" w:history="1">
              <w:r>
                <w:rPr>
                  <w:rStyle w:val="a3"/>
                  <w:rFonts w:eastAsia="Times New Roman"/>
                  <w:sz w:val="18"/>
                  <w:szCs w:val="18"/>
                </w:rPr>
                <w:t>Form of Restricted Stock Unit Award</w:t>
              </w:r>
              <w:r>
                <w:rPr>
                  <w:rStyle w:val="a3"/>
                  <w:rFonts w:eastAsia="Times New Roman"/>
                  <w:sz w:val="18"/>
                  <w:szCs w:val="18"/>
                </w:rPr>
                <w:t xml:space="preserve"> Agreement granted to our directors under the Fourth Amended and Restated 2004 Stock Incentive Plan (incorporated by reference to Exhibit 10.1 of the Quarterly Report on Form 10-Q for the period ended June 30, 2018).</w:t>
              </w:r>
            </w:hyperlink>
          </w:p>
        </w:tc>
      </w:tr>
      <w:tr w:rsidR="00000000">
        <w:trPr>
          <w:jc w:val="center"/>
        </w:trPr>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8"/>
                <w:szCs w:val="18"/>
              </w:rPr>
              <w:t>10.3.5+</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both"/>
              <w:rPr>
                <w:rFonts w:eastAsia="Times New Roman"/>
              </w:rPr>
            </w:pPr>
            <w:hyperlink r:id="rId94" w:history="1">
              <w:r>
                <w:rPr>
                  <w:rStyle w:val="a3"/>
                  <w:rFonts w:eastAsia="Times New Roman"/>
                  <w:sz w:val="18"/>
                  <w:szCs w:val="18"/>
                </w:rPr>
                <w:t>Form of Restricted Stock Unit Award Agreement granted to our directors under the Fifth Amended and Restated 2004 Stock Incentive Plan (incorporated</w:t>
              </w:r>
              <w:r>
                <w:rPr>
                  <w:rStyle w:val="a3"/>
                  <w:rFonts w:eastAsia="Times New Roman"/>
                  <w:sz w:val="18"/>
                  <w:szCs w:val="18"/>
                </w:rPr>
                <w:t xml:space="preserve"> by reference to Exhibit 10.2 of the Quarterly Report on Form 10-Q for the period ended June 30, 2019).</w:t>
              </w:r>
            </w:hyperlink>
          </w:p>
        </w:tc>
      </w:tr>
      <w:tr w:rsidR="00000000">
        <w:trPr>
          <w:jc w:val="center"/>
        </w:trPr>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8"/>
                <w:szCs w:val="18"/>
              </w:rPr>
              <w:t>10.3.6+</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both"/>
              <w:rPr>
                <w:rFonts w:eastAsia="Times New Roman"/>
              </w:rPr>
            </w:pPr>
            <w:hyperlink r:id="rId95" w:history="1">
              <w:r>
                <w:rPr>
                  <w:rStyle w:val="a3"/>
                  <w:rFonts w:eastAsia="Times New Roman"/>
                  <w:sz w:val="18"/>
                  <w:szCs w:val="18"/>
                </w:rPr>
                <w:t>Form of Restricted Stock Unit Award Agreement granted to our directors under the Sixth Amended and Restated 2004 Stock Incentive Plan</w:t>
              </w:r>
            </w:hyperlink>
            <w:hyperlink r:id="rId96" w:history="1">
              <w:r>
                <w:rPr>
                  <w:rStyle w:val="a3"/>
                  <w:rFonts w:eastAsia="Times New Roman"/>
                  <w:sz w:val="18"/>
                  <w:szCs w:val="18"/>
                </w:rPr>
                <w:t xml:space="preserve"> </w:t>
              </w:r>
            </w:hyperlink>
            <w:hyperlink r:id="rId97" w:history="1">
              <w:r>
                <w:rPr>
                  <w:rStyle w:val="a3"/>
                  <w:rFonts w:eastAsia="Times New Roman"/>
                  <w:sz w:val="18"/>
                  <w:szCs w:val="18"/>
                </w:rPr>
                <w:t>(incorporated by reference to Exhibit 10.</w:t>
              </w:r>
            </w:hyperlink>
            <w:hyperlink r:id="rId98" w:history="1">
              <w:r>
                <w:rPr>
                  <w:rStyle w:val="a3"/>
                  <w:rFonts w:eastAsia="Times New Roman"/>
                  <w:sz w:val="18"/>
                  <w:szCs w:val="18"/>
                </w:rPr>
                <w:t>1</w:t>
              </w:r>
            </w:hyperlink>
            <w:hyperlink r:id="rId99" w:history="1">
              <w:r>
                <w:rPr>
                  <w:rStyle w:val="a3"/>
                  <w:rFonts w:eastAsia="Times New Roman"/>
                  <w:sz w:val="18"/>
                  <w:szCs w:val="18"/>
                </w:rPr>
                <w:t xml:space="preserve"> of the Quarterly Report on Form 10-Q for the p</w:t>
              </w:r>
              <w:r>
                <w:rPr>
                  <w:rStyle w:val="a3"/>
                  <w:rFonts w:eastAsia="Times New Roman"/>
                  <w:sz w:val="18"/>
                  <w:szCs w:val="18"/>
                </w:rPr>
                <w:t>eriod ended June 30, 20</w:t>
              </w:r>
            </w:hyperlink>
            <w:hyperlink r:id="rId100" w:history="1">
              <w:r>
                <w:rPr>
                  <w:rStyle w:val="a3"/>
                  <w:rFonts w:eastAsia="Times New Roman"/>
                  <w:sz w:val="18"/>
                  <w:szCs w:val="18"/>
                </w:rPr>
                <w:t>22</w:t>
              </w:r>
            </w:hyperlink>
            <w:hyperlink r:id="rId101" w:history="1">
              <w:r>
                <w:rPr>
                  <w:rStyle w:val="a3"/>
                  <w:rFonts w:eastAsia="Times New Roman"/>
                  <w:sz w:val="18"/>
                  <w:szCs w:val="18"/>
                </w:rPr>
                <w:t>)</w:t>
              </w:r>
            </w:hyperlink>
            <w:hyperlink r:id="rId102" w:history="1">
              <w:r>
                <w:rPr>
                  <w:rStyle w:val="a3"/>
                  <w:rFonts w:eastAsia="Times New Roman"/>
                  <w:sz w:val="18"/>
                  <w:szCs w:val="18"/>
                </w:rPr>
                <w:t>.</w:t>
              </w:r>
            </w:hyperlink>
          </w:p>
        </w:tc>
      </w:tr>
      <w:tr w:rsidR="00000000">
        <w:trPr>
          <w:jc w:val="center"/>
        </w:trPr>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8"/>
                <w:szCs w:val="18"/>
              </w:rPr>
              <w:t>10.4.1+</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both"/>
              <w:rPr>
                <w:rFonts w:eastAsia="Times New Roman"/>
              </w:rPr>
            </w:pPr>
            <w:hyperlink r:id="rId103" w:history="1">
              <w:r>
                <w:rPr>
                  <w:rStyle w:val="a3"/>
                  <w:rFonts w:eastAsia="Times New Roman"/>
                  <w:sz w:val="18"/>
                  <w:szCs w:val="18"/>
                </w:rPr>
                <w:t xml:space="preserve">Amended and Restated Capital One Financial Corporation Executive Severance Plan (incorporated by reference to Exhibit 10.1 of the Quarterly Report </w:t>
              </w:r>
              <w:r>
                <w:rPr>
                  <w:rStyle w:val="a3"/>
                  <w:rFonts w:eastAsia="Times New Roman"/>
                  <w:sz w:val="18"/>
                  <w:szCs w:val="18"/>
                </w:rPr>
                <w:t>on Form 10-Q for the period ended September 30, 2015).</w:t>
              </w:r>
            </w:hyperlink>
          </w:p>
        </w:tc>
      </w:tr>
      <w:tr w:rsidR="00000000">
        <w:trPr>
          <w:jc w:val="center"/>
        </w:trPr>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8"/>
                <w:szCs w:val="18"/>
              </w:rPr>
              <w:t>10.4.2*+</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94004B">
            <w:pPr>
              <w:spacing w:after="100"/>
              <w:jc w:val="both"/>
              <w:rPr>
                <w:rFonts w:eastAsia="Times New Roman"/>
              </w:rPr>
            </w:pPr>
            <w:hyperlink r:id="rId104" w:history="1">
              <w:r>
                <w:rPr>
                  <w:rStyle w:val="a3"/>
                  <w:rFonts w:eastAsia="Times New Roman"/>
                  <w:sz w:val="18"/>
                  <w:szCs w:val="18"/>
                </w:rPr>
                <w:t>Amended and Restated Capital One Financial Corporation Executive Severance Plan</w:t>
              </w:r>
            </w:hyperlink>
          </w:p>
        </w:tc>
      </w:tr>
      <w:tr w:rsidR="00000000">
        <w:trPr>
          <w:jc w:val="center"/>
        </w:trPr>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8"/>
                <w:szCs w:val="18"/>
              </w:rPr>
              <w:t>10.4.3*+</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94004B">
            <w:pPr>
              <w:spacing w:after="100"/>
              <w:jc w:val="both"/>
              <w:rPr>
                <w:rFonts w:eastAsia="Times New Roman"/>
              </w:rPr>
            </w:pPr>
            <w:hyperlink r:id="rId105" w:history="1">
              <w:r>
                <w:rPr>
                  <w:rStyle w:val="a3"/>
                  <w:rFonts w:eastAsia="Times New Roman"/>
                  <w:sz w:val="18"/>
                  <w:szCs w:val="18"/>
                </w:rPr>
                <w:t>Amendment Number One to the Amended and Restated Capital One Financial Corporation Executive Severance Plan</w:t>
              </w:r>
            </w:hyperlink>
          </w:p>
        </w:tc>
      </w:tr>
      <w:tr w:rsidR="00000000">
        <w:trPr>
          <w:jc w:val="center"/>
        </w:trPr>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8"/>
                <w:szCs w:val="18"/>
              </w:rPr>
              <w:t>10.5+</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both"/>
              <w:rPr>
                <w:rFonts w:eastAsia="Times New Roman"/>
              </w:rPr>
            </w:pPr>
            <w:hyperlink r:id="rId106" w:history="1">
              <w:r>
                <w:rPr>
                  <w:rStyle w:val="a3"/>
                  <w:rFonts w:eastAsia="Times New Roman"/>
                  <w:sz w:val="18"/>
                  <w:szCs w:val="18"/>
                </w:rPr>
                <w:t>Capital One Financial Corporation Non-Employee Directors Deferred Compensation Plan (incorporated by reference to Exhibit 10.5 of the 2011 Form 10-K).</w:t>
              </w:r>
            </w:hyperlink>
          </w:p>
        </w:tc>
      </w:tr>
      <w:tr w:rsidR="00000000">
        <w:trPr>
          <w:jc w:val="center"/>
        </w:trPr>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8"/>
                <w:szCs w:val="18"/>
              </w:rPr>
              <w:t>10</w:t>
            </w:r>
            <w:r>
              <w:rPr>
                <w:rFonts w:eastAsia="Times New Roman"/>
                <w:color w:val="000000"/>
                <w:sz w:val="18"/>
                <w:szCs w:val="18"/>
              </w:rPr>
              <w:t>.6.1+</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both"/>
              <w:rPr>
                <w:rFonts w:eastAsia="Times New Roman"/>
              </w:rPr>
            </w:pPr>
            <w:hyperlink r:id="rId107" w:history="1">
              <w:r>
                <w:rPr>
                  <w:rStyle w:val="a3"/>
                  <w:rFonts w:eastAsia="Times New Roman"/>
                  <w:sz w:val="18"/>
                  <w:szCs w:val="18"/>
                </w:rPr>
                <w:t>Amended and Restated Capital One Financial Corporation Voluntary Non-Qualified Deferred Compensation Plan (incorporated by reference to Exhibit 1</w:t>
              </w:r>
              <w:r>
                <w:rPr>
                  <w:rStyle w:val="a3"/>
                  <w:rFonts w:eastAsia="Times New Roman"/>
                  <w:sz w:val="18"/>
                  <w:szCs w:val="18"/>
                </w:rPr>
                <w:t>0.6 of the 2011 Form 10-K).</w:t>
              </w:r>
            </w:hyperlink>
          </w:p>
        </w:tc>
      </w:tr>
      <w:tr w:rsidR="00000000">
        <w:trPr>
          <w:jc w:val="center"/>
        </w:trPr>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8"/>
                <w:szCs w:val="18"/>
              </w:rPr>
              <w:t>10.6.2+</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both"/>
              <w:rPr>
                <w:rFonts w:eastAsia="Times New Roman"/>
              </w:rPr>
            </w:pPr>
            <w:hyperlink r:id="rId108" w:history="1">
              <w:r>
                <w:rPr>
                  <w:rStyle w:val="a3"/>
                  <w:rFonts w:eastAsia="Times New Roman"/>
                  <w:sz w:val="18"/>
                  <w:szCs w:val="18"/>
                </w:rPr>
                <w:t>First Amendment to the Amended and Restated Capital One Financial Corporation Voluntary Non-Qualified Deferred Compensation Plan (incorporated by reference to Exhibit 10.6.2 of the 2012 Form 10-K).</w:t>
              </w:r>
            </w:hyperlink>
          </w:p>
        </w:tc>
      </w:tr>
      <w:tr w:rsidR="00000000">
        <w:trPr>
          <w:jc w:val="center"/>
        </w:trPr>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8"/>
                <w:szCs w:val="18"/>
              </w:rPr>
              <w:t>10.7.1+</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both"/>
              <w:rPr>
                <w:rFonts w:eastAsia="Times New Roman"/>
              </w:rPr>
            </w:pPr>
            <w:hyperlink r:id="rId109" w:history="1">
              <w:r>
                <w:rPr>
                  <w:rStyle w:val="a3"/>
                  <w:rFonts w:eastAsia="Times New Roman"/>
                  <w:sz w:val="18"/>
                  <w:szCs w:val="18"/>
                </w:rPr>
                <w:t xml:space="preserve">Form of Change of Control Employment Agreement between Capital One Financial Corporation and each of its named executive officers, other than the Chief Executive Officer (incorporated by reference </w:t>
              </w:r>
              <w:r>
                <w:rPr>
                  <w:rStyle w:val="a3"/>
                  <w:rFonts w:eastAsia="Times New Roman"/>
                  <w:sz w:val="18"/>
                  <w:szCs w:val="18"/>
                </w:rPr>
                <w:t>to Exhibit 10.8.2 of the 2011 Form 10-K).</w:t>
              </w:r>
            </w:hyperlink>
          </w:p>
        </w:tc>
      </w:tr>
      <w:tr w:rsidR="00000000">
        <w:trPr>
          <w:jc w:val="center"/>
        </w:trPr>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8"/>
                <w:szCs w:val="18"/>
              </w:rPr>
              <w:t>10.7.2+</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both"/>
              <w:rPr>
                <w:rFonts w:eastAsia="Times New Roman"/>
              </w:rPr>
            </w:pPr>
            <w:hyperlink r:id="rId110" w:history="1">
              <w:r>
                <w:rPr>
                  <w:rStyle w:val="a3"/>
                  <w:rFonts w:eastAsia="Times New Roman"/>
                  <w:sz w:val="18"/>
                  <w:szCs w:val="18"/>
                </w:rPr>
                <w:t>Form of 2011 Change of Control Employment Agreement between Capital One Financial Corporation and certain executive officers (incorporated by reference to Exhibit 10.8.3 of the 2012 Form 10-K).</w:t>
              </w:r>
            </w:hyperlink>
          </w:p>
        </w:tc>
      </w:tr>
      <w:tr w:rsidR="00000000">
        <w:trPr>
          <w:jc w:val="center"/>
        </w:trPr>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8"/>
                <w:szCs w:val="18"/>
              </w:rPr>
              <w:t>10.7.3+</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both"/>
              <w:rPr>
                <w:rFonts w:eastAsia="Times New Roman"/>
              </w:rPr>
            </w:pPr>
            <w:hyperlink r:id="rId111" w:history="1">
              <w:r>
                <w:rPr>
                  <w:rStyle w:val="a3"/>
                  <w:rFonts w:eastAsia="Times New Roman"/>
                  <w:sz w:val="18"/>
                  <w:szCs w:val="18"/>
                </w:rPr>
                <w:t>Change of Control Employment Agreement</w:t>
              </w:r>
            </w:hyperlink>
            <w:hyperlink r:id="rId112" w:history="1">
              <w:r>
                <w:rPr>
                  <w:rStyle w:val="a3"/>
                  <w:rFonts w:eastAsia="Times New Roman"/>
                  <w:sz w:val="18"/>
                  <w:szCs w:val="18"/>
                </w:rPr>
                <w:t>, dated December 10, 2013,</w:t>
              </w:r>
            </w:hyperlink>
            <w:hyperlink r:id="rId113" w:history="1">
              <w:r>
                <w:rPr>
                  <w:rStyle w:val="a3"/>
                  <w:rFonts w:eastAsia="Times New Roman"/>
                  <w:sz w:val="18"/>
                  <w:szCs w:val="18"/>
                </w:rPr>
                <w:t xml:space="preserve"> between Capital One Financial Corporation and Richard D. Fairbank (incorporated by reference to Exhibit 10.7.3 of the 2013 Form 10-K).</w:t>
              </w:r>
            </w:hyperlink>
          </w:p>
        </w:tc>
      </w:tr>
      <w:tr w:rsidR="00000000">
        <w:trPr>
          <w:jc w:val="center"/>
        </w:trPr>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8"/>
                <w:szCs w:val="18"/>
              </w:rPr>
              <w:t>10.8.1+</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both"/>
              <w:rPr>
                <w:rFonts w:eastAsia="Times New Roman"/>
              </w:rPr>
            </w:pPr>
            <w:hyperlink r:id="rId114" w:history="1">
              <w:r>
                <w:rPr>
                  <w:rStyle w:val="a3"/>
                  <w:rFonts w:eastAsia="Times New Roman"/>
                  <w:sz w:val="18"/>
                  <w:szCs w:val="18"/>
                </w:rPr>
                <w:t>Form of Non-Competition Agreement between Capital One Financial Corporation and Andrew M. Young and Sanjiv Yajnik (incorporated by reference to Exhibit 10.9 of the 2012 Form 10-K).</w:t>
              </w:r>
            </w:hyperlink>
          </w:p>
        </w:tc>
      </w:tr>
      <w:tr w:rsidR="00000000">
        <w:trPr>
          <w:jc w:val="center"/>
        </w:trPr>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8"/>
                <w:szCs w:val="18"/>
              </w:rPr>
              <w:t>10.9*+</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94004B">
            <w:pPr>
              <w:spacing w:after="100"/>
              <w:jc w:val="both"/>
              <w:rPr>
                <w:rFonts w:eastAsia="Times New Roman"/>
              </w:rPr>
            </w:pPr>
            <w:hyperlink r:id="rId115" w:history="1">
              <w:r>
                <w:rPr>
                  <w:rStyle w:val="a3"/>
                  <w:rFonts w:eastAsia="Times New Roman"/>
                  <w:sz w:val="18"/>
                  <w:szCs w:val="18"/>
                </w:rPr>
                <w:t>Notice &amp; Garden Leave Agreement, dated December 13, 2021, between Capital One Financial Corporation and Neal Blinde.</w:t>
              </w:r>
            </w:hyperlink>
          </w:p>
        </w:tc>
      </w:tr>
      <w:tr w:rsidR="00000000">
        <w:trPr>
          <w:jc w:val="center"/>
        </w:trPr>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8"/>
                <w:szCs w:val="18"/>
              </w:rPr>
              <w:t>21*</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both"/>
              <w:rPr>
                <w:rFonts w:eastAsia="Times New Roman"/>
              </w:rPr>
            </w:pPr>
            <w:hyperlink r:id="rId116" w:history="1">
              <w:r>
                <w:rPr>
                  <w:rStyle w:val="a3"/>
                  <w:rFonts w:eastAsia="Times New Roman"/>
                  <w:sz w:val="18"/>
                  <w:szCs w:val="18"/>
                </w:rPr>
                <w:t>Subsidiaries of the Company.</w:t>
              </w:r>
            </w:hyperlink>
          </w:p>
        </w:tc>
      </w:tr>
      <w:tr w:rsidR="00000000">
        <w:trPr>
          <w:jc w:val="center"/>
        </w:trPr>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8"/>
                <w:szCs w:val="18"/>
              </w:rPr>
              <w:t>23*</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both"/>
              <w:rPr>
                <w:rFonts w:eastAsia="Times New Roman"/>
              </w:rPr>
            </w:pPr>
            <w:hyperlink r:id="rId117" w:history="1">
              <w:r>
                <w:rPr>
                  <w:rStyle w:val="a3"/>
                  <w:rFonts w:eastAsia="Times New Roman"/>
                  <w:sz w:val="18"/>
                  <w:szCs w:val="18"/>
                </w:rPr>
                <w:t>Consent of Ernst &amp; Young LLP.</w:t>
              </w:r>
            </w:hyperlink>
          </w:p>
        </w:tc>
      </w:tr>
      <w:tr w:rsidR="00000000">
        <w:trPr>
          <w:jc w:val="center"/>
        </w:trPr>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8"/>
                <w:szCs w:val="18"/>
              </w:rPr>
              <w:t>31.1*</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both"/>
              <w:rPr>
                <w:rFonts w:eastAsia="Times New Roman"/>
              </w:rPr>
            </w:pPr>
            <w:hyperlink r:id="rId118" w:history="1">
              <w:r>
                <w:rPr>
                  <w:rStyle w:val="a3"/>
                  <w:rFonts w:eastAsia="Times New Roman"/>
                  <w:sz w:val="18"/>
                  <w:szCs w:val="18"/>
                </w:rPr>
                <w:t>Certification of Richard D. Fairbank.</w:t>
              </w:r>
            </w:hyperlink>
          </w:p>
        </w:tc>
      </w:tr>
      <w:tr w:rsidR="00000000">
        <w:trPr>
          <w:jc w:val="center"/>
        </w:trPr>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8"/>
                <w:szCs w:val="18"/>
              </w:rPr>
              <w:t>31.2*</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both"/>
              <w:rPr>
                <w:rFonts w:eastAsia="Times New Roman"/>
              </w:rPr>
            </w:pPr>
            <w:hyperlink r:id="rId119" w:history="1">
              <w:r>
                <w:rPr>
                  <w:rStyle w:val="a3"/>
                  <w:rFonts w:eastAsia="Times New Roman"/>
                  <w:sz w:val="18"/>
                  <w:szCs w:val="18"/>
                </w:rPr>
                <w:t>Certification of Andrew M. Young.</w:t>
              </w:r>
            </w:hyperlink>
          </w:p>
        </w:tc>
      </w:tr>
      <w:tr w:rsidR="00000000">
        <w:trPr>
          <w:jc w:val="center"/>
        </w:trPr>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8"/>
                <w:szCs w:val="18"/>
              </w:rPr>
              <w:t>32.1**</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both"/>
              <w:rPr>
                <w:rFonts w:eastAsia="Times New Roman"/>
              </w:rPr>
            </w:pPr>
            <w:hyperlink r:id="rId120" w:history="1">
              <w:r>
                <w:rPr>
                  <w:rStyle w:val="a3"/>
                  <w:rFonts w:eastAsia="Times New Roman"/>
                  <w:sz w:val="18"/>
                  <w:szCs w:val="18"/>
                </w:rPr>
                <w:t>Certification of Richard D. Fairbank.</w:t>
              </w:r>
            </w:hyperlink>
          </w:p>
        </w:tc>
      </w:tr>
      <w:tr w:rsidR="00000000">
        <w:trPr>
          <w:jc w:val="center"/>
        </w:trPr>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8"/>
                <w:szCs w:val="18"/>
              </w:rPr>
              <w:t>32.2**</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both"/>
              <w:rPr>
                <w:rFonts w:eastAsia="Times New Roman"/>
              </w:rPr>
            </w:pPr>
            <w:hyperlink r:id="rId121" w:history="1">
              <w:r>
                <w:rPr>
                  <w:rStyle w:val="a3"/>
                  <w:rFonts w:eastAsia="Times New Roman"/>
                  <w:sz w:val="18"/>
                  <w:szCs w:val="18"/>
                </w:rPr>
                <w:t>Certification of Andrew M. Young.</w:t>
              </w:r>
            </w:hyperlink>
          </w:p>
        </w:tc>
      </w:tr>
      <w:tr w:rsidR="00000000">
        <w:trPr>
          <w:jc w:val="center"/>
        </w:trPr>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8"/>
                <w:szCs w:val="18"/>
              </w:rPr>
              <w:t>101.INS</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both"/>
              <w:rPr>
                <w:rFonts w:eastAsia="Times New Roman"/>
              </w:rPr>
            </w:pPr>
            <w:r>
              <w:rPr>
                <w:rFonts w:eastAsia="Times New Roman"/>
                <w:color w:val="000000"/>
                <w:sz w:val="18"/>
                <w:szCs w:val="18"/>
              </w:rPr>
              <w:t>XBRL Instance Document - the instance document does not appear in the Interactive Data File because its XBRL tags are embedded within the Inline XBRL Document.</w:t>
            </w:r>
          </w:p>
        </w:tc>
      </w:tr>
      <w:tr w:rsidR="00000000">
        <w:trPr>
          <w:jc w:val="center"/>
        </w:trPr>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8"/>
                <w:szCs w:val="18"/>
              </w:rPr>
              <w:t>101.SCH*</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both"/>
              <w:rPr>
                <w:rFonts w:eastAsia="Times New Roman"/>
              </w:rPr>
            </w:pPr>
            <w:r>
              <w:rPr>
                <w:rFonts w:eastAsia="Times New Roman"/>
                <w:color w:val="000000"/>
                <w:sz w:val="18"/>
                <w:szCs w:val="18"/>
              </w:rPr>
              <w:t>Inline XBRL Taxonomy Extension Schema Document.</w:t>
            </w:r>
          </w:p>
        </w:tc>
      </w:tr>
      <w:tr w:rsidR="00000000">
        <w:trPr>
          <w:jc w:val="center"/>
        </w:trPr>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8"/>
                <w:szCs w:val="18"/>
              </w:rPr>
              <w:t>101.CAL*</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both"/>
              <w:rPr>
                <w:rFonts w:eastAsia="Times New Roman"/>
              </w:rPr>
            </w:pPr>
            <w:r>
              <w:rPr>
                <w:rFonts w:eastAsia="Times New Roman"/>
                <w:color w:val="000000"/>
                <w:sz w:val="18"/>
                <w:szCs w:val="18"/>
              </w:rPr>
              <w:t>Inline XBRL Taxonomy Extension Calculation Linkbase Document.</w:t>
            </w:r>
          </w:p>
        </w:tc>
      </w:tr>
      <w:tr w:rsidR="00000000">
        <w:trPr>
          <w:jc w:val="center"/>
        </w:trPr>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8"/>
                <w:szCs w:val="18"/>
              </w:rPr>
              <w:t>101.DEF*</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both"/>
              <w:rPr>
                <w:rFonts w:eastAsia="Times New Roman"/>
              </w:rPr>
            </w:pPr>
            <w:r>
              <w:rPr>
                <w:rFonts w:eastAsia="Times New Roman"/>
                <w:color w:val="000000"/>
                <w:sz w:val="18"/>
                <w:szCs w:val="18"/>
              </w:rPr>
              <w:t>Inline XBRL Taxonomy Extension Definition Linkbase Document.</w:t>
            </w:r>
          </w:p>
        </w:tc>
      </w:tr>
      <w:tr w:rsidR="00000000">
        <w:trPr>
          <w:jc w:val="center"/>
        </w:trPr>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8"/>
                <w:szCs w:val="18"/>
              </w:rPr>
              <w:t>101.LAB*</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both"/>
              <w:rPr>
                <w:rFonts w:eastAsia="Times New Roman"/>
              </w:rPr>
            </w:pPr>
            <w:r>
              <w:rPr>
                <w:rFonts w:eastAsia="Times New Roman"/>
                <w:color w:val="000000"/>
                <w:sz w:val="18"/>
                <w:szCs w:val="18"/>
              </w:rPr>
              <w:t>Inline XBRL Taxonomy Extension Label Linkbase Document.</w:t>
            </w:r>
          </w:p>
        </w:tc>
      </w:tr>
      <w:tr w:rsidR="00000000">
        <w:trPr>
          <w:jc w:val="center"/>
        </w:trPr>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8"/>
                <w:szCs w:val="18"/>
              </w:rPr>
              <w:t>101.PRE*</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both"/>
              <w:rPr>
                <w:rFonts w:eastAsia="Times New Roman"/>
              </w:rPr>
            </w:pPr>
            <w:r>
              <w:rPr>
                <w:rFonts w:eastAsia="Times New Roman"/>
                <w:color w:val="000000"/>
                <w:sz w:val="18"/>
                <w:szCs w:val="18"/>
              </w:rPr>
              <w:t>Inline XBRL Taxonomy Extension Presentation Linkbase Document.</w:t>
            </w:r>
          </w:p>
        </w:tc>
      </w:tr>
    </w:tbl>
    <w:p w:rsidR="00000000" w:rsidRDefault="0094004B">
      <w:pPr>
        <w:jc w:val="center"/>
        <w:divId w:val="435642833"/>
        <w:rPr>
          <w:rFonts w:eastAsia="Times New Roman"/>
          <w:vanish/>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435642833"/>
          <w:jc w:val="center"/>
        </w:trPr>
        <w:tc>
          <w:tcPr>
            <w:tcW w:w="50" w:type="pct"/>
            <w:vAlign w:val="center"/>
            <w:hideMark/>
          </w:tcPr>
          <w:p w:rsidR="00000000" w:rsidRDefault="0094004B">
            <w:pPr>
              <w:jc w:val="center"/>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435642833"/>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435642833"/>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212</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238" style="width:0;height:1.5pt" o:hralign="center" o:hrstd="t" o:hr="t" fillcolor="#a0a0a0" stroked="f"/>
        </w:pict>
      </w:r>
    </w:p>
    <w:p w:rsidR="00000000" w:rsidRDefault="0094004B">
      <w:pPr>
        <w:jc w:val="both"/>
        <w:divId w:val="1818842049"/>
        <w:rPr>
          <w:rFonts w:eastAsia="Times New Roman"/>
        </w:rPr>
      </w:pPr>
      <w:hyperlink w:anchor="ia820611622d9441b977884dac00e0ebd_16" w:history="1">
        <w:r>
          <w:rPr>
            <w:rStyle w:val="a3"/>
            <w:rFonts w:eastAsia="Times New Roman"/>
            <w:sz w:val="16"/>
            <w:szCs w:val="16"/>
          </w:rPr>
          <w:t>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61"/>
        <w:gridCol w:w="712"/>
        <w:gridCol w:w="36"/>
        <w:gridCol w:w="36"/>
        <w:gridCol w:w="36"/>
        <w:gridCol w:w="36"/>
        <w:gridCol w:w="46"/>
        <w:gridCol w:w="7307"/>
        <w:gridCol w:w="36"/>
      </w:tblGrid>
      <w:tr w:rsidR="00000000">
        <w:trPr>
          <w:jc w:val="center"/>
        </w:trPr>
        <w:tc>
          <w:tcPr>
            <w:tcW w:w="50" w:type="pct"/>
            <w:vAlign w:val="center"/>
            <w:hideMark/>
          </w:tcPr>
          <w:p w:rsidR="00000000" w:rsidRDefault="0094004B">
            <w:pPr>
              <w:jc w:val="both"/>
              <w:rPr>
                <w:rFonts w:eastAsia="Times New Roman"/>
              </w:rPr>
            </w:pPr>
          </w:p>
        </w:tc>
        <w:tc>
          <w:tcPr>
            <w:tcW w:w="44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411"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4004B">
            <w:pPr>
              <w:spacing w:after="100"/>
              <w:jc w:val="center"/>
              <w:rPr>
                <w:rFonts w:eastAsia="Times New Roman"/>
              </w:rPr>
            </w:pPr>
            <w:r>
              <w:rPr>
                <w:rFonts w:eastAsia="Times New Roman"/>
                <w:color w:val="000000"/>
                <w:sz w:val="18"/>
                <w:szCs w:val="18"/>
              </w:rPr>
              <w:t>104</w:t>
            </w:r>
          </w:p>
        </w:tc>
        <w:tc>
          <w:tcPr>
            <w:tcW w:w="0" w:type="auto"/>
            <w:gridSpan w:val="3"/>
            <w:tcMar>
              <w:top w:w="0" w:type="dxa"/>
              <w:left w:w="20" w:type="dxa"/>
              <w:bottom w:w="0" w:type="dxa"/>
              <w:right w:w="20" w:type="dxa"/>
            </w:tcMar>
            <w:vAlign w:val="center"/>
            <w:hideMark/>
          </w:tcPr>
          <w:p w:rsidR="00000000" w:rsidRDefault="009400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jc w:val="both"/>
              <w:rPr>
                <w:rFonts w:eastAsia="Times New Roman"/>
              </w:rPr>
            </w:pPr>
            <w:r>
              <w:rPr>
                <w:rFonts w:eastAsia="Times New Roman"/>
                <w:color w:val="000000"/>
                <w:sz w:val="18"/>
                <w:szCs w:val="18"/>
              </w:rPr>
              <w:t>The cover page of Capital One Financial Corporation’</w:t>
            </w:r>
            <w:r>
              <w:rPr>
                <w:rFonts w:eastAsia="Times New Roman"/>
                <w:color w:val="000000"/>
                <w:sz w:val="18"/>
                <w:szCs w:val="18"/>
              </w:rPr>
              <w:t>s Annual Report on Form 10-K for the year ended December 31, 2022, formatted in Inline XBRL (included within the Exhibit 101 attachments).</w:t>
            </w:r>
          </w:p>
        </w:tc>
      </w:tr>
    </w:tbl>
    <w:p w:rsidR="00000000" w:rsidRDefault="0094004B">
      <w:pPr>
        <w:jc w:val="both"/>
        <w:divId w:val="1258556041"/>
        <w:rPr>
          <w:rFonts w:eastAsia="Times New Roman"/>
        </w:rPr>
      </w:pPr>
      <w:r>
        <w:rPr>
          <w:rFonts w:eastAsia="Times New Roman"/>
          <w:color w:val="000000"/>
          <w:sz w:val="20"/>
          <w:szCs w:val="20"/>
        </w:rPr>
        <w:t>__________</w:t>
      </w:r>
    </w:p>
    <w:tbl>
      <w:tblPr>
        <w:tblW w:w="5000" w:type="pct"/>
        <w:tblCellMar>
          <w:top w:w="15" w:type="dxa"/>
          <w:left w:w="15" w:type="dxa"/>
          <w:bottom w:w="15" w:type="dxa"/>
          <w:right w:w="15" w:type="dxa"/>
        </w:tblCellMar>
        <w:tblLook w:val="04A0" w:firstRow="1" w:lastRow="0" w:firstColumn="1" w:lastColumn="0" w:noHBand="0" w:noVBand="1"/>
      </w:tblPr>
      <w:tblGrid>
        <w:gridCol w:w="69"/>
        <w:gridCol w:w="197"/>
        <w:gridCol w:w="36"/>
        <w:gridCol w:w="69"/>
        <w:gridCol w:w="7899"/>
        <w:gridCol w:w="36"/>
      </w:tblGrid>
      <w:tr w:rsidR="00000000">
        <w:trPr>
          <w:divId w:val="133986090"/>
        </w:trPr>
        <w:tc>
          <w:tcPr>
            <w:tcW w:w="50" w:type="pct"/>
            <w:vAlign w:val="center"/>
            <w:hideMark/>
          </w:tcPr>
          <w:p w:rsidR="00000000" w:rsidRDefault="0094004B">
            <w:pPr>
              <w:jc w:val="both"/>
              <w:rPr>
                <w:rFonts w:eastAsia="Times New Roman"/>
              </w:rPr>
            </w:pPr>
          </w:p>
        </w:tc>
        <w:tc>
          <w:tcPr>
            <w:tcW w:w="12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476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33986090"/>
        </w:trPr>
        <w:tc>
          <w:tcPr>
            <w:tcW w:w="0" w:type="auto"/>
            <w:gridSpan w:val="3"/>
            <w:tcMar>
              <w:top w:w="30" w:type="dxa"/>
              <w:left w:w="20" w:type="dxa"/>
              <w:bottom w:w="30" w:type="dxa"/>
              <w:right w:w="20" w:type="dxa"/>
            </w:tcMar>
            <w:hideMark/>
          </w:tcPr>
          <w:p w:rsidR="00000000" w:rsidRDefault="0094004B">
            <w:pPr>
              <w:spacing w:after="100"/>
              <w:rPr>
                <w:rFonts w:eastAsia="Times New Roman"/>
              </w:rPr>
            </w:pPr>
            <w:r>
              <w:rPr>
                <w:rFonts w:eastAsia="Times New Roman"/>
                <w:color w:val="000000"/>
                <w:sz w:val="16"/>
                <w:szCs w:val="16"/>
              </w:rPr>
              <w:t>+</w:t>
            </w:r>
          </w:p>
        </w:tc>
        <w:tc>
          <w:tcPr>
            <w:tcW w:w="0" w:type="auto"/>
            <w:gridSpan w:val="3"/>
            <w:tcMar>
              <w:top w:w="30" w:type="dxa"/>
              <w:left w:w="20" w:type="dxa"/>
              <w:bottom w:w="30" w:type="dxa"/>
              <w:right w:w="20" w:type="dxa"/>
            </w:tcMar>
            <w:vAlign w:val="bottom"/>
            <w:hideMark/>
          </w:tcPr>
          <w:p w:rsidR="00000000" w:rsidRDefault="0094004B">
            <w:pPr>
              <w:spacing w:after="100"/>
              <w:jc w:val="both"/>
              <w:rPr>
                <w:rFonts w:eastAsia="Times New Roman"/>
              </w:rPr>
            </w:pPr>
            <w:r>
              <w:rPr>
                <w:rFonts w:eastAsia="Times New Roman"/>
                <w:color w:val="000000"/>
                <w:sz w:val="16"/>
                <w:szCs w:val="16"/>
              </w:rPr>
              <w:t>Represents a management contract or compensatory plan or arrangement.</w:t>
            </w:r>
          </w:p>
        </w:tc>
      </w:tr>
      <w:tr w:rsidR="00000000">
        <w:trPr>
          <w:divId w:val="133986090"/>
        </w:trPr>
        <w:tc>
          <w:tcPr>
            <w:tcW w:w="0" w:type="auto"/>
            <w:gridSpan w:val="3"/>
            <w:tcMar>
              <w:top w:w="30" w:type="dxa"/>
              <w:left w:w="20" w:type="dxa"/>
              <w:bottom w:w="30" w:type="dxa"/>
              <w:right w:w="20" w:type="dxa"/>
            </w:tcMar>
            <w:hideMark/>
          </w:tcPr>
          <w:p w:rsidR="00000000" w:rsidRDefault="0094004B">
            <w:pPr>
              <w:spacing w:after="100"/>
              <w:rPr>
                <w:rFonts w:eastAsia="Times New Roman"/>
              </w:rPr>
            </w:pPr>
            <w:r>
              <w:rPr>
                <w:rFonts w:eastAsia="Times New Roman"/>
                <w:color w:val="000000"/>
                <w:sz w:val="16"/>
                <w:szCs w:val="16"/>
              </w:rPr>
              <w:t>*</w:t>
            </w:r>
          </w:p>
        </w:tc>
        <w:tc>
          <w:tcPr>
            <w:tcW w:w="0" w:type="auto"/>
            <w:gridSpan w:val="3"/>
            <w:tcMar>
              <w:top w:w="30" w:type="dxa"/>
              <w:left w:w="20" w:type="dxa"/>
              <w:bottom w:w="30" w:type="dxa"/>
              <w:right w:w="20" w:type="dxa"/>
            </w:tcMar>
            <w:vAlign w:val="bottom"/>
            <w:hideMark/>
          </w:tcPr>
          <w:p w:rsidR="00000000" w:rsidRDefault="0094004B">
            <w:pPr>
              <w:spacing w:after="100"/>
              <w:jc w:val="both"/>
              <w:rPr>
                <w:rFonts w:eastAsia="Times New Roman"/>
              </w:rPr>
            </w:pPr>
            <w:r>
              <w:rPr>
                <w:rFonts w:eastAsia="Times New Roman"/>
                <w:color w:val="000000"/>
                <w:sz w:val="16"/>
                <w:szCs w:val="16"/>
              </w:rPr>
              <w:t>Indicates a document being filed with this Form 10-K.</w:t>
            </w:r>
          </w:p>
        </w:tc>
      </w:tr>
      <w:tr w:rsidR="00000000">
        <w:trPr>
          <w:divId w:val="133986090"/>
        </w:trPr>
        <w:tc>
          <w:tcPr>
            <w:tcW w:w="0" w:type="auto"/>
            <w:gridSpan w:val="3"/>
            <w:tcMar>
              <w:top w:w="30" w:type="dxa"/>
              <w:left w:w="20" w:type="dxa"/>
              <w:bottom w:w="30" w:type="dxa"/>
              <w:right w:w="20" w:type="dxa"/>
            </w:tcMar>
            <w:hideMark/>
          </w:tcPr>
          <w:p w:rsidR="00000000" w:rsidRDefault="0094004B">
            <w:pPr>
              <w:spacing w:after="100"/>
              <w:rPr>
                <w:rFonts w:eastAsia="Times New Roman"/>
              </w:rPr>
            </w:pPr>
            <w:r>
              <w:rPr>
                <w:rFonts w:eastAsia="Times New Roman"/>
                <w:color w:val="000000"/>
                <w:sz w:val="16"/>
                <w:szCs w:val="16"/>
              </w:rPr>
              <w:t>**</w:t>
            </w:r>
          </w:p>
        </w:tc>
        <w:tc>
          <w:tcPr>
            <w:tcW w:w="0" w:type="auto"/>
            <w:gridSpan w:val="3"/>
            <w:tcMar>
              <w:top w:w="30" w:type="dxa"/>
              <w:left w:w="20" w:type="dxa"/>
              <w:bottom w:w="30" w:type="dxa"/>
              <w:right w:w="20" w:type="dxa"/>
            </w:tcMar>
            <w:vAlign w:val="bottom"/>
            <w:hideMark/>
          </w:tcPr>
          <w:p w:rsidR="00000000" w:rsidRDefault="0094004B">
            <w:pPr>
              <w:spacing w:after="100"/>
              <w:jc w:val="both"/>
              <w:rPr>
                <w:rFonts w:eastAsia="Times New Roman"/>
              </w:rPr>
            </w:pPr>
            <w:r>
              <w:rPr>
                <w:rFonts w:eastAsia="Times New Roman"/>
                <w:color w:val="000000"/>
                <w:sz w:val="16"/>
                <w:szCs w:val="16"/>
              </w:rPr>
              <w:t>Indicates a document being furnished with this Form 10-K. Information in this Form 10-K furnished herewith shall not be deemed to be “filed” for the purposes of Section 18 of the Securities Exchange Act of 1934, as amended, or otherwise subject to the liab</w:t>
            </w:r>
            <w:r>
              <w:rPr>
                <w:rFonts w:eastAsia="Times New Roman"/>
                <w:color w:val="000000"/>
                <w:sz w:val="16"/>
                <w:szCs w:val="16"/>
              </w:rPr>
              <w:t>ilities of that Section. Such exhibit shall not be deemed incorporated by reference into any filing under the Securities Act of 1933, as amended, or the Securities Exchange Act of 1934.</w:t>
            </w: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94004B">
            <w:pPr>
              <w:ind w:hanging="360"/>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213</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239" style="width:0;height:1.5pt" o:hralign="center" o:hrstd="t" o:hr="t" fillcolor="#a0a0a0" stroked="f"/>
        </w:pict>
      </w:r>
    </w:p>
    <w:p w:rsidR="00000000" w:rsidRDefault="0094004B">
      <w:pPr>
        <w:jc w:val="both"/>
        <w:divId w:val="1171140213"/>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center"/>
        <w:divId w:val="1451779578"/>
        <w:rPr>
          <w:rFonts w:eastAsia="Times New Roman"/>
        </w:rPr>
      </w:pPr>
      <w:r>
        <w:rPr>
          <w:rFonts w:eastAsia="Times New Roman"/>
          <w:b/>
          <w:bCs/>
          <w:color w:val="000000"/>
          <w:sz w:val="20"/>
          <w:szCs w:val="20"/>
        </w:rPr>
        <w:t>SIGNATURES</w:t>
      </w:r>
    </w:p>
    <w:p w:rsidR="00000000" w:rsidRDefault="0094004B">
      <w:pPr>
        <w:jc w:val="both"/>
        <w:divId w:val="998726973"/>
        <w:rPr>
          <w:rFonts w:eastAsia="Times New Roman"/>
        </w:rPr>
      </w:pPr>
      <w:r>
        <w:rPr>
          <w:rFonts w:eastAsia="Times New Roman"/>
          <w:color w:val="000000"/>
          <w:sz w:val="20"/>
          <w:szCs w:val="20"/>
        </w:rPr>
        <w:t>Pursuant to the requirements of Section 13 or 15(d) of the Securities Exchange Act of 1934, the registrant has duly caused this repo</w:t>
      </w:r>
      <w:r>
        <w:rPr>
          <w:rFonts w:eastAsia="Times New Roman"/>
          <w:color w:val="000000"/>
          <w:sz w:val="20"/>
          <w:szCs w:val="20"/>
        </w:rPr>
        <w:t>rt to be signed on its behalf by the undersigned, thereunto duly authorized.</w:t>
      </w:r>
    </w:p>
    <w:tbl>
      <w:tblPr>
        <w:tblW w:w="5000" w:type="pct"/>
        <w:tblCellMar>
          <w:top w:w="15" w:type="dxa"/>
          <w:left w:w="15" w:type="dxa"/>
          <w:bottom w:w="15" w:type="dxa"/>
          <w:right w:w="15" w:type="dxa"/>
        </w:tblCellMar>
        <w:tblLook w:val="04A0" w:firstRow="1" w:lastRow="0" w:firstColumn="1" w:lastColumn="0" w:noHBand="0" w:noVBand="1"/>
      </w:tblPr>
      <w:tblGrid>
        <w:gridCol w:w="64"/>
        <w:gridCol w:w="3230"/>
        <w:gridCol w:w="36"/>
        <w:gridCol w:w="64"/>
        <w:gridCol w:w="849"/>
        <w:gridCol w:w="36"/>
        <w:gridCol w:w="77"/>
        <w:gridCol w:w="217"/>
        <w:gridCol w:w="36"/>
        <w:gridCol w:w="36"/>
        <w:gridCol w:w="36"/>
        <w:gridCol w:w="36"/>
        <w:gridCol w:w="43"/>
        <w:gridCol w:w="3510"/>
        <w:gridCol w:w="36"/>
      </w:tblGrid>
      <w:tr w:rsidR="00000000">
        <w:trPr>
          <w:divId w:val="948046244"/>
        </w:trPr>
        <w:tc>
          <w:tcPr>
            <w:tcW w:w="50" w:type="pct"/>
            <w:vAlign w:val="center"/>
            <w:hideMark/>
          </w:tcPr>
          <w:p w:rsidR="00000000" w:rsidRDefault="0094004B">
            <w:pPr>
              <w:jc w:val="both"/>
              <w:rPr>
                <w:rFonts w:eastAsia="Times New Roman"/>
              </w:rPr>
            </w:pPr>
          </w:p>
        </w:tc>
        <w:tc>
          <w:tcPr>
            <w:tcW w:w="195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52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4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12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948046244"/>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b/>
                <w:bCs/>
                <w:color w:val="000000"/>
                <w:sz w:val="20"/>
                <w:szCs w:val="20"/>
              </w:rPr>
              <w:t>CAPITAL ONE FINANCIAL CORPORATION</w:t>
            </w:r>
          </w:p>
        </w:tc>
      </w:tr>
      <w:tr w:rsidR="00000000">
        <w:trPr>
          <w:divId w:val="948046244"/>
          <w:trHeight w:val="120"/>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948046244"/>
        </w:trPr>
        <w:tc>
          <w:tcPr>
            <w:tcW w:w="0" w:type="auto"/>
            <w:gridSpan w:val="3"/>
            <w:tcMar>
              <w:top w:w="30" w:type="dxa"/>
              <w:left w:w="20" w:type="dxa"/>
              <w:bottom w:w="30" w:type="dxa"/>
              <w:right w:w="20" w:type="dxa"/>
            </w:tcMar>
            <w:hideMark/>
          </w:tcPr>
          <w:p w:rsidR="00000000" w:rsidRDefault="0094004B">
            <w:pPr>
              <w:spacing w:after="100"/>
              <w:rPr>
                <w:rFonts w:eastAsia="Times New Roman"/>
              </w:rPr>
            </w:pPr>
            <w:r>
              <w:rPr>
                <w:rFonts w:eastAsia="Times New Roman"/>
                <w:color w:val="000000"/>
                <w:sz w:val="20"/>
                <w:szCs w:val="20"/>
              </w:rPr>
              <w:t>Date: February 24, 2023</w:t>
            </w:r>
          </w:p>
        </w:tc>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94004B">
            <w:pPr>
              <w:spacing w:after="100"/>
              <w:rPr>
                <w:rFonts w:eastAsia="Times New Roman"/>
              </w:rPr>
            </w:pPr>
            <w:r>
              <w:rPr>
                <w:rFonts w:eastAsia="Times New Roman"/>
                <w:color w:val="000000"/>
                <w:sz w:val="18"/>
                <w:szCs w:val="18"/>
              </w:rPr>
              <w:t>By:</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20"/>
                <w:szCs w:val="20"/>
              </w:rPr>
              <w:t>/s/ RICHARD D. FAIRBANK</w:t>
            </w:r>
          </w:p>
        </w:tc>
      </w:tr>
      <w:tr w:rsidR="00000000">
        <w:trPr>
          <w:divId w:val="948046244"/>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hideMark/>
          </w:tcPr>
          <w:p w:rsidR="00000000" w:rsidRDefault="0094004B">
            <w:pPr>
              <w:spacing w:after="100"/>
              <w:rPr>
                <w:rFonts w:eastAsia="Times New Roman"/>
              </w:rPr>
            </w:pPr>
            <w:r>
              <w:rPr>
                <w:rFonts w:eastAsia="Times New Roman"/>
                <w:color w:val="000000"/>
                <w:sz w:val="20"/>
                <w:szCs w:val="20"/>
              </w:rPr>
              <w:t>Richard D. Fairbank</w:t>
            </w:r>
          </w:p>
        </w:tc>
      </w:tr>
      <w:tr w:rsidR="00000000">
        <w:trPr>
          <w:divId w:val="948046244"/>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20"/>
                <w:szCs w:val="20"/>
              </w:rPr>
              <w:t>Chair and Chief Executive Officer</w:t>
            </w:r>
          </w:p>
        </w:tc>
      </w:tr>
    </w:tbl>
    <w:p w:rsidR="00000000" w:rsidRDefault="0094004B">
      <w:pPr>
        <w:jc w:val="both"/>
        <w:divId w:val="94804624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8"/>
        <w:gridCol w:w="3662"/>
        <w:gridCol w:w="36"/>
        <w:gridCol w:w="36"/>
        <w:gridCol w:w="36"/>
        <w:gridCol w:w="36"/>
        <w:gridCol w:w="42"/>
        <w:gridCol w:w="2946"/>
        <w:gridCol w:w="36"/>
        <w:gridCol w:w="36"/>
        <w:gridCol w:w="36"/>
        <w:gridCol w:w="36"/>
        <w:gridCol w:w="42"/>
        <w:gridCol w:w="1232"/>
        <w:gridCol w:w="36"/>
      </w:tblGrid>
      <w:tr w:rsidR="00000000">
        <w:trPr>
          <w:divId w:val="948046244"/>
        </w:trPr>
        <w:tc>
          <w:tcPr>
            <w:tcW w:w="50" w:type="pct"/>
            <w:vAlign w:val="center"/>
            <w:hideMark/>
          </w:tcPr>
          <w:p w:rsidR="00000000" w:rsidRDefault="0094004B">
            <w:pPr>
              <w:jc w:val="both"/>
              <w:rPr>
                <w:rFonts w:eastAsia="Times New Roman"/>
              </w:rPr>
            </w:pPr>
          </w:p>
        </w:tc>
        <w:tc>
          <w:tcPr>
            <w:tcW w:w="2218"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78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75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948046244"/>
          <w:trHeight w:val="60"/>
        </w:trPr>
        <w:tc>
          <w:tcPr>
            <w:tcW w:w="0" w:type="auto"/>
            <w:gridSpan w:val="15"/>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948046244"/>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48046244"/>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48046244"/>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48046244"/>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48046244"/>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48046244"/>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48046244"/>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48046244"/>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48046244"/>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48046244"/>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48046244"/>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48046244"/>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48046244"/>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48046244"/>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48046244"/>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48046244"/>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48046244"/>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48046244"/>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48046244"/>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48046244"/>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48046244"/>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48046244"/>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48046244"/>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48046244"/>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48046244"/>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48046244"/>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48046244"/>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48046244"/>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48046244"/>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48046244"/>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48046244"/>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48046244"/>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48046244"/>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48046244"/>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48046244"/>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48046244"/>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48046244"/>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48046244"/>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48046244"/>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48046244"/>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48046244"/>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48046244"/>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48046244"/>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48046244"/>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48046244"/>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divId w:val="948046244"/>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bl>
    <w:p w:rsidR="00000000" w:rsidRDefault="0094004B">
      <w:pPr>
        <w:jc w:val="both"/>
        <w:divId w:val="1495143351"/>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910962605"/>
          <w:jc w:val="center"/>
        </w:trPr>
        <w:tc>
          <w:tcPr>
            <w:tcW w:w="50" w:type="pct"/>
            <w:vAlign w:val="center"/>
            <w:hideMark/>
          </w:tcPr>
          <w:p w:rsidR="00000000" w:rsidRDefault="0094004B">
            <w:pPr>
              <w:jc w:val="both"/>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910962605"/>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910962605"/>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214</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000000" w:rsidRDefault="0094004B">
      <w:pPr>
        <w:rPr>
          <w:rFonts w:eastAsia="Times New Roman"/>
        </w:rPr>
      </w:pPr>
      <w:r>
        <w:rPr>
          <w:rFonts w:eastAsia="Times New Roman"/>
        </w:rPr>
        <w:pict>
          <v:rect id="_x0000_i1240" style="width:0;height:1.5pt" o:hralign="center" o:hrstd="t" o:hr="t" fillcolor="#a0a0a0" stroked="f"/>
        </w:pict>
      </w:r>
    </w:p>
    <w:p w:rsidR="00000000" w:rsidRDefault="0094004B">
      <w:pPr>
        <w:jc w:val="both"/>
        <w:divId w:val="53546312"/>
        <w:rPr>
          <w:rFonts w:eastAsia="Times New Roman"/>
        </w:rPr>
      </w:pPr>
      <w:hyperlink w:anchor="ia820611622d9441b977884dac00e0ebd_16" w:history="1">
        <w:r>
          <w:rPr>
            <w:rStyle w:val="a3"/>
            <w:rFonts w:eastAsia="Times New Roman"/>
            <w:sz w:val="16"/>
            <w:szCs w:val="16"/>
          </w:rPr>
          <w:t>Table of Contents</w:t>
        </w:r>
      </w:hyperlink>
    </w:p>
    <w:p w:rsidR="00000000" w:rsidRDefault="0094004B">
      <w:pPr>
        <w:jc w:val="both"/>
        <w:divId w:val="505553849"/>
        <w:rPr>
          <w:rFonts w:eastAsia="Times New Roman"/>
        </w:rPr>
      </w:pPr>
      <w:r>
        <w:rPr>
          <w:rFonts w:eastAsia="Times New Roman"/>
          <w:color w:val="000000"/>
          <w:sz w:val="20"/>
          <w:szCs w:val="20"/>
        </w:rPr>
        <w:t>Pursuant to the requirements of the Securities Exchange Act of 1934, this report has been signed below by the following persons on behalf of th</w:t>
      </w:r>
      <w:r>
        <w:rPr>
          <w:rFonts w:eastAsia="Times New Roman"/>
          <w:color w:val="000000"/>
          <w:sz w:val="20"/>
          <w:szCs w:val="20"/>
        </w:rPr>
        <w:t>e registrant and in the capacities and on the dates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58"/>
        <w:gridCol w:w="3661"/>
        <w:gridCol w:w="37"/>
        <w:gridCol w:w="36"/>
        <w:gridCol w:w="36"/>
        <w:gridCol w:w="36"/>
        <w:gridCol w:w="41"/>
        <w:gridCol w:w="2946"/>
        <w:gridCol w:w="37"/>
        <w:gridCol w:w="36"/>
        <w:gridCol w:w="36"/>
        <w:gridCol w:w="36"/>
        <w:gridCol w:w="43"/>
        <w:gridCol w:w="1231"/>
        <w:gridCol w:w="36"/>
      </w:tblGrid>
      <w:tr w:rsidR="00000000">
        <w:trPr>
          <w:divId w:val="1430928512"/>
          <w:jc w:val="center"/>
        </w:trPr>
        <w:tc>
          <w:tcPr>
            <w:tcW w:w="50" w:type="pct"/>
            <w:vAlign w:val="center"/>
            <w:hideMark/>
          </w:tcPr>
          <w:p w:rsidR="00000000" w:rsidRDefault="0094004B">
            <w:pPr>
              <w:jc w:val="both"/>
              <w:rPr>
                <w:rFonts w:eastAsia="Times New Roman"/>
              </w:rPr>
            </w:pPr>
          </w:p>
        </w:tc>
        <w:tc>
          <w:tcPr>
            <w:tcW w:w="2218"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787"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75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430928512"/>
          <w:jc w:val="center"/>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Signature</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Title</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Date</w:t>
            </w:r>
          </w:p>
        </w:tc>
      </w:tr>
      <w:tr w:rsidR="00000000">
        <w:trPr>
          <w:divId w:val="1430928512"/>
          <w:trHeight w:val="120"/>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430928512"/>
          <w:jc w:val="center"/>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/s/ RICHARD D. FAIRBANK</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Chair and Chief Executive Officer</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February 24, 2023</w:t>
            </w:r>
          </w:p>
        </w:tc>
      </w:tr>
      <w:tr w:rsidR="00000000">
        <w:trPr>
          <w:divId w:val="1430928512"/>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Richard D. Fairbank</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(Principal Executive Officer)</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430928512"/>
          <w:trHeight w:val="120"/>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430928512"/>
          <w:jc w:val="center"/>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/s/ ANDREW M. YOUNG</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Chief Financial Officer</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February 24, 2023</w:t>
            </w:r>
          </w:p>
        </w:tc>
      </w:tr>
      <w:tr w:rsidR="00000000">
        <w:trPr>
          <w:divId w:val="1430928512"/>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Andrew M. Young</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(Principal Financial Officer)</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430928512"/>
          <w:trHeight w:val="120"/>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430928512"/>
          <w:jc w:val="center"/>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/s/ TIMOTHY P. GOLDEN</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Controller</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February 24, 2023</w:t>
            </w:r>
          </w:p>
        </w:tc>
      </w:tr>
      <w:tr w:rsidR="00000000">
        <w:trPr>
          <w:divId w:val="1430928512"/>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Timothy P. Golden</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(Principal Accounting Officer)</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430928512"/>
          <w:trHeight w:val="120"/>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430928512"/>
          <w:jc w:val="center"/>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/s/ IME ARCHIBONG</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Director</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February 24, 2023</w:t>
            </w:r>
          </w:p>
        </w:tc>
      </w:tr>
      <w:tr w:rsidR="00000000">
        <w:trPr>
          <w:divId w:val="1430928512"/>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Ime Archibong</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430928512"/>
          <w:trHeight w:val="120"/>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430928512"/>
          <w:jc w:val="center"/>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/s/ CHRISTINE DETRICK</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Director</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February 24, 2023</w:t>
            </w:r>
          </w:p>
        </w:tc>
      </w:tr>
      <w:tr w:rsidR="00000000">
        <w:trPr>
          <w:divId w:val="1430928512"/>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Christine Detrick</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430928512"/>
          <w:trHeight w:val="120"/>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430928512"/>
          <w:jc w:val="center"/>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/s/ ANN FRITZ HACKETT</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Director</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February 24, 2023</w:t>
            </w:r>
          </w:p>
        </w:tc>
      </w:tr>
      <w:tr w:rsidR="00000000">
        <w:trPr>
          <w:divId w:val="1430928512"/>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Ann Fritz Hackett</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430928512"/>
          <w:trHeight w:val="120"/>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430928512"/>
          <w:jc w:val="center"/>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/s/ PETER THOMAS KILLALEA</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Director</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February 24, 2023</w:t>
            </w:r>
          </w:p>
        </w:tc>
      </w:tr>
      <w:tr w:rsidR="00000000">
        <w:trPr>
          <w:divId w:val="1430928512"/>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Peter Thomas Killalea</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430928512"/>
          <w:trHeight w:val="160"/>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430928512"/>
          <w:jc w:val="center"/>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/s/ C.P.A.J. (ELI) LEENAARS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Director</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February 24, 2023</w:t>
            </w:r>
          </w:p>
        </w:tc>
      </w:tr>
      <w:tr w:rsidR="00000000">
        <w:trPr>
          <w:divId w:val="1430928512"/>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C.P.A.J. (Eli) Leenaars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430928512"/>
          <w:trHeight w:val="100"/>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430928512"/>
          <w:jc w:val="center"/>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/s/ FRANÇOIS LOCOH-DONOU</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Director</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February 24, 2023</w:t>
            </w:r>
          </w:p>
        </w:tc>
      </w:tr>
      <w:tr w:rsidR="00000000">
        <w:trPr>
          <w:divId w:val="1430928512"/>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François Locoh-Donou</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430928512"/>
          <w:trHeight w:val="120"/>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430928512"/>
          <w:jc w:val="center"/>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/s/ PETER E. RASKIND</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Director</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February 24, 2023</w:t>
            </w:r>
          </w:p>
        </w:tc>
      </w:tr>
      <w:tr w:rsidR="00000000">
        <w:trPr>
          <w:divId w:val="1430928512"/>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Peter E. Raskind</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430928512"/>
          <w:trHeight w:val="120"/>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430928512"/>
          <w:jc w:val="center"/>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/s/ EILEEN SERRA</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Director</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February 24, 2023</w:t>
            </w:r>
          </w:p>
        </w:tc>
      </w:tr>
      <w:tr w:rsidR="00000000">
        <w:trPr>
          <w:divId w:val="1430928512"/>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Eileen Serra</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430928512"/>
          <w:trHeight w:val="120"/>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430928512"/>
          <w:jc w:val="center"/>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/s/ MAYO A. SHATTUCK III</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Director</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February 24, 2023</w:t>
            </w:r>
          </w:p>
        </w:tc>
      </w:tr>
      <w:tr w:rsidR="00000000">
        <w:trPr>
          <w:divId w:val="1430928512"/>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Mayo A. Shattuck III</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430928512"/>
          <w:trHeight w:val="120"/>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430928512"/>
          <w:jc w:val="center"/>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/s/ BRADFORD H. WARNER</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Director</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February 24, 2023</w:t>
            </w:r>
          </w:p>
        </w:tc>
      </w:tr>
      <w:tr w:rsidR="00000000">
        <w:trPr>
          <w:divId w:val="1430928512"/>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Bradford H. Warner</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430928512"/>
          <w:trHeight w:val="120"/>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430928512"/>
          <w:jc w:val="center"/>
        </w:trPr>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/s/ CRAIG WILLIAMS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Director</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February 24, 2023</w:t>
            </w:r>
          </w:p>
        </w:tc>
      </w:tr>
      <w:tr w:rsidR="00000000">
        <w:trPr>
          <w:divId w:val="1430928512"/>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94004B">
            <w:pPr>
              <w:spacing w:after="100"/>
              <w:rPr>
                <w:rFonts w:eastAsia="Times New Roman"/>
              </w:rPr>
            </w:pPr>
            <w:r>
              <w:rPr>
                <w:rFonts w:eastAsia="Times New Roman"/>
                <w:color w:val="000000"/>
                <w:sz w:val="18"/>
                <w:szCs w:val="18"/>
              </w:rPr>
              <w:t>Craig Williams</w:t>
            </w: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3247"/>
        <w:gridCol w:w="144"/>
        <w:gridCol w:w="144"/>
        <w:gridCol w:w="867"/>
        <w:gridCol w:w="144"/>
        <w:gridCol w:w="144"/>
        <w:gridCol w:w="235"/>
        <w:gridCol w:w="144"/>
        <w:gridCol w:w="144"/>
        <w:gridCol w:w="144"/>
        <w:gridCol w:w="144"/>
        <w:gridCol w:w="144"/>
        <w:gridCol w:w="3526"/>
        <w:gridCol w:w="144"/>
      </w:tblGrid>
      <w:tr w:rsidR="00000000">
        <w:trPr>
          <w:jc w:val="center"/>
        </w:trPr>
        <w:tc>
          <w:tcPr>
            <w:tcW w:w="50" w:type="pct"/>
            <w:vAlign w:val="center"/>
            <w:hideMark/>
          </w:tcPr>
          <w:p w:rsidR="00000000" w:rsidRDefault="0094004B">
            <w:pPr>
              <w:jc w:val="center"/>
              <w:rPr>
                <w:rFonts w:eastAsia="Times New Roman"/>
              </w:rPr>
            </w:pPr>
          </w:p>
        </w:tc>
        <w:tc>
          <w:tcPr>
            <w:tcW w:w="195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52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42"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2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2123"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jc w:val="center"/>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jc w:val="center"/>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jc w:val="center"/>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jc w:val="center"/>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r w:rsidR="00000000">
        <w:trPr>
          <w:jc w:val="center"/>
        </w:trPr>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c>
          <w:tcPr>
            <w:tcW w:w="0" w:type="auto"/>
            <w:gridSpan w:val="3"/>
            <w:vAlign w:val="center"/>
            <w:hideMark/>
          </w:tcPr>
          <w:p w:rsidR="00000000" w:rsidRDefault="0094004B">
            <w:pPr>
              <w:spacing w:after="100"/>
              <w:rPr>
                <w:rFonts w:eastAsia="Times New Roman"/>
                <w:sz w:val="20"/>
                <w:szCs w:val="20"/>
              </w:rPr>
            </w:pPr>
          </w:p>
        </w:tc>
      </w:tr>
    </w:tbl>
    <w:p w:rsidR="00000000" w:rsidRDefault="0094004B">
      <w:pPr>
        <w:jc w:val="center"/>
        <w:divId w:val="1596015809"/>
        <w:rPr>
          <w:rFonts w:eastAsia="Times New Roman"/>
          <w:vanish/>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596015809"/>
          <w:jc w:val="center"/>
        </w:trPr>
        <w:tc>
          <w:tcPr>
            <w:tcW w:w="50" w:type="pct"/>
            <w:vAlign w:val="center"/>
            <w:hideMark/>
          </w:tcPr>
          <w:p w:rsidR="00000000" w:rsidRDefault="0094004B">
            <w:pPr>
              <w:jc w:val="center"/>
              <w:rPr>
                <w:rFonts w:eastAsia="Times New Roman"/>
              </w:rPr>
            </w:pPr>
          </w:p>
        </w:tc>
        <w:tc>
          <w:tcPr>
            <w:tcW w:w="1606"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c>
          <w:tcPr>
            <w:tcW w:w="50" w:type="pct"/>
            <w:vAlign w:val="center"/>
            <w:hideMark/>
          </w:tcPr>
          <w:p w:rsidR="00000000" w:rsidRDefault="0094004B">
            <w:pPr>
              <w:spacing w:after="100"/>
              <w:rPr>
                <w:rFonts w:eastAsia="Times New Roman"/>
                <w:sz w:val="20"/>
                <w:szCs w:val="20"/>
              </w:rPr>
            </w:pPr>
          </w:p>
        </w:tc>
        <w:tc>
          <w:tcPr>
            <w:tcW w:w="1614" w:type="pct"/>
            <w:vAlign w:val="center"/>
            <w:hideMark/>
          </w:tcPr>
          <w:p w:rsidR="00000000" w:rsidRDefault="0094004B">
            <w:pPr>
              <w:spacing w:after="100"/>
              <w:rPr>
                <w:rFonts w:eastAsia="Times New Roman"/>
                <w:sz w:val="20"/>
                <w:szCs w:val="20"/>
              </w:rPr>
            </w:pPr>
          </w:p>
        </w:tc>
        <w:tc>
          <w:tcPr>
            <w:tcW w:w="5" w:type="pct"/>
            <w:vAlign w:val="center"/>
            <w:hideMark/>
          </w:tcPr>
          <w:p w:rsidR="00000000" w:rsidRDefault="0094004B">
            <w:pPr>
              <w:spacing w:after="100"/>
              <w:rPr>
                <w:rFonts w:eastAsia="Times New Roman"/>
                <w:sz w:val="20"/>
                <w:szCs w:val="20"/>
              </w:rPr>
            </w:pPr>
          </w:p>
        </w:tc>
      </w:tr>
      <w:tr w:rsidR="00000000">
        <w:trPr>
          <w:divId w:val="1596015809"/>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94004B">
            <w:pPr>
              <w:spacing w:after="100"/>
              <w:rPr>
                <w:rFonts w:eastAsia="Times New Roman"/>
                <w:sz w:val="20"/>
                <w:szCs w:val="20"/>
              </w:rPr>
            </w:pPr>
          </w:p>
        </w:tc>
      </w:tr>
      <w:tr w:rsidR="00000000">
        <w:trPr>
          <w:divId w:val="1596015809"/>
          <w:jc w:val="center"/>
        </w:trPr>
        <w:tc>
          <w:tcPr>
            <w:tcW w:w="0" w:type="auto"/>
            <w:gridSpan w:val="3"/>
            <w:tcMar>
              <w:top w:w="0" w:type="dxa"/>
              <w:left w:w="20" w:type="dxa"/>
              <w:bottom w:w="0" w:type="dxa"/>
              <w:right w:w="20" w:type="dxa"/>
            </w:tcMar>
            <w:vAlign w:val="center"/>
            <w:hideMark/>
          </w:tcPr>
          <w:p w:rsidR="00000000" w:rsidRDefault="009400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004B">
            <w:pPr>
              <w:spacing w:after="100"/>
              <w:jc w:val="center"/>
              <w:rPr>
                <w:rFonts w:eastAsia="Times New Roman"/>
              </w:rPr>
            </w:pPr>
            <w:r>
              <w:rPr>
                <w:rFonts w:eastAsia="Times New Roman"/>
                <w:color w:val="000000"/>
                <w:sz w:val="16"/>
                <w:szCs w:val="16"/>
              </w:rPr>
              <w:t>215</w:t>
            </w:r>
          </w:p>
        </w:tc>
        <w:tc>
          <w:tcPr>
            <w:tcW w:w="0" w:type="auto"/>
            <w:gridSpan w:val="3"/>
            <w:tcMar>
              <w:top w:w="30" w:type="dxa"/>
              <w:left w:w="20" w:type="dxa"/>
              <w:bottom w:w="30" w:type="dxa"/>
              <w:right w:w="20" w:type="dxa"/>
            </w:tcMar>
            <w:vAlign w:val="bottom"/>
            <w:hideMark/>
          </w:tcPr>
          <w:p w:rsidR="00000000" w:rsidRDefault="0094004B">
            <w:pPr>
              <w:spacing w:after="100"/>
              <w:jc w:val="right"/>
              <w:rPr>
                <w:rFonts w:eastAsia="Times New Roman"/>
              </w:rPr>
            </w:pPr>
            <w:r>
              <w:rPr>
                <w:rFonts w:eastAsia="Times New Roman"/>
                <w:color w:val="000000"/>
                <w:sz w:val="16"/>
                <w:szCs w:val="16"/>
              </w:rPr>
              <w:t>Capital One Financial Corporation (COF)</w:t>
            </w:r>
          </w:p>
        </w:tc>
      </w:tr>
    </w:tbl>
    <w:p w:rsidR="0094004B" w:rsidRDefault="0094004B">
      <w:pPr>
        <w:divId w:val="1596015809"/>
        <w:rPr>
          <w:rFonts w:eastAsia="Times New Roman"/>
        </w:rPr>
      </w:pPr>
    </w:p>
    <w:sectPr w:rsidR="0094004B">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4004B"/>
    <w:rsid w:val="0094004B"/>
  </w:rsids>
  <m:mathPr>
    <m:mathFont m:val="Cambria Math"/>
    <m:brkBin m:val="before"/>
    <m:brkBinSub m:val="--"/>
    <m:smallFrac m:val="0"/>
    <m:dispDef/>
    <m:lMargin m:val="0"/>
    <m:rMargin m:val="0"/>
    <m:defJc m:val="centerGroup"/>
    <m:wrapIndent m:val="1440"/>
    <m:intLim m:val="subSup"/>
    <m:naryLim m:val="undOvr"/>
  </m:mathPr>
  <w:attachedSchema w:val="http://www.xbrl.org/2003/iso4217"/>
  <w:attachedSchema w:val="http://www.xbrl.org/2003/instance"/>
  <w:attachedSchema w:val="http://www.sec.gov/inlineXBRL/transformation/2015-08-31"/>
  <w:attachedSchema w:val="http://www.w3.org/1999/xlink"/>
  <w:attachedSchema w:val="http://xbrl.org/2006/xbrldi"/>
  <w:attachedSchema w:val="http://www.xbrl.org/inlineXBRL/transformation/2020-02-12"/>
  <w:attachedSchema w:val="http://fasb.org/srt/2022"/>
  <w:attachedSchema w:val="http://fasb.org/us-gaap/2022"/>
  <w:attachedSchema w:val="http://xbrl.sec.gov/currency/2022"/>
  <w:attachedSchema w:val="http://xbrl.sec.gov/dei/2022"/>
  <w:attachedSchema w:val="http://www.xbrl.org/2003/linkbase"/>
  <w:attachedSchema w:val="http://www.capitalone.com/20221231"/>
  <w:attachedSchema w:val="http://www.xbrl.org/2013/inlineXBRL"/>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952">
      <w:marLeft w:val="0"/>
      <w:marRight w:val="0"/>
      <w:marTop w:val="180"/>
      <w:marBottom w:val="180"/>
      <w:divBdr>
        <w:top w:val="none" w:sz="0" w:space="0" w:color="auto"/>
        <w:left w:val="none" w:sz="0" w:space="0" w:color="auto"/>
        <w:bottom w:val="none" w:sz="0" w:space="0" w:color="auto"/>
        <w:right w:val="none" w:sz="0" w:space="0" w:color="auto"/>
      </w:divBdr>
    </w:div>
    <w:div w:id="1393972">
      <w:marLeft w:val="0"/>
      <w:marRight w:val="0"/>
      <w:marTop w:val="180"/>
      <w:marBottom w:val="180"/>
      <w:divBdr>
        <w:top w:val="none" w:sz="0" w:space="0" w:color="auto"/>
        <w:left w:val="none" w:sz="0" w:space="0" w:color="auto"/>
        <w:bottom w:val="none" w:sz="0" w:space="0" w:color="auto"/>
        <w:right w:val="none" w:sz="0" w:space="0" w:color="auto"/>
      </w:divBdr>
    </w:div>
    <w:div w:id="2097530">
      <w:marLeft w:val="0"/>
      <w:marRight w:val="0"/>
      <w:marTop w:val="180"/>
      <w:marBottom w:val="180"/>
      <w:divBdr>
        <w:top w:val="none" w:sz="0" w:space="0" w:color="auto"/>
        <w:left w:val="none" w:sz="0" w:space="0" w:color="auto"/>
        <w:bottom w:val="none" w:sz="0" w:space="0" w:color="auto"/>
        <w:right w:val="none" w:sz="0" w:space="0" w:color="auto"/>
      </w:divBdr>
    </w:div>
    <w:div w:id="3559897">
      <w:marLeft w:val="0"/>
      <w:marRight w:val="0"/>
      <w:marTop w:val="180"/>
      <w:marBottom w:val="180"/>
      <w:divBdr>
        <w:top w:val="none" w:sz="0" w:space="0" w:color="auto"/>
        <w:left w:val="none" w:sz="0" w:space="0" w:color="auto"/>
        <w:bottom w:val="none" w:sz="0" w:space="0" w:color="auto"/>
        <w:right w:val="none" w:sz="0" w:space="0" w:color="auto"/>
      </w:divBdr>
    </w:div>
    <w:div w:id="4678448">
      <w:marLeft w:val="0"/>
      <w:marRight w:val="0"/>
      <w:marTop w:val="180"/>
      <w:marBottom w:val="180"/>
      <w:divBdr>
        <w:top w:val="none" w:sz="0" w:space="0" w:color="auto"/>
        <w:left w:val="none" w:sz="0" w:space="0" w:color="auto"/>
        <w:bottom w:val="none" w:sz="0" w:space="0" w:color="auto"/>
        <w:right w:val="none" w:sz="0" w:space="0" w:color="auto"/>
      </w:divBdr>
    </w:div>
    <w:div w:id="5602376">
      <w:marLeft w:val="0"/>
      <w:marRight w:val="0"/>
      <w:marTop w:val="180"/>
      <w:marBottom w:val="180"/>
      <w:divBdr>
        <w:top w:val="none" w:sz="0" w:space="0" w:color="auto"/>
        <w:left w:val="none" w:sz="0" w:space="0" w:color="auto"/>
        <w:bottom w:val="none" w:sz="0" w:space="0" w:color="auto"/>
        <w:right w:val="none" w:sz="0" w:space="0" w:color="auto"/>
      </w:divBdr>
    </w:div>
    <w:div w:id="5862975">
      <w:marLeft w:val="0"/>
      <w:marRight w:val="0"/>
      <w:marTop w:val="0"/>
      <w:marBottom w:val="0"/>
      <w:divBdr>
        <w:top w:val="none" w:sz="0" w:space="0" w:color="auto"/>
        <w:left w:val="none" w:sz="0" w:space="0" w:color="auto"/>
        <w:bottom w:val="none" w:sz="0" w:space="0" w:color="auto"/>
        <w:right w:val="none" w:sz="0" w:space="0" w:color="auto"/>
      </w:divBdr>
    </w:div>
    <w:div w:id="6518695">
      <w:marLeft w:val="0"/>
      <w:marRight w:val="0"/>
      <w:marTop w:val="0"/>
      <w:marBottom w:val="0"/>
      <w:divBdr>
        <w:top w:val="none" w:sz="0" w:space="0" w:color="auto"/>
        <w:left w:val="none" w:sz="0" w:space="0" w:color="auto"/>
        <w:bottom w:val="none" w:sz="0" w:space="0" w:color="auto"/>
        <w:right w:val="none" w:sz="0" w:space="0" w:color="auto"/>
      </w:divBdr>
    </w:div>
    <w:div w:id="7023439">
      <w:marLeft w:val="0"/>
      <w:marRight w:val="0"/>
      <w:marTop w:val="180"/>
      <w:marBottom w:val="180"/>
      <w:divBdr>
        <w:top w:val="none" w:sz="0" w:space="0" w:color="auto"/>
        <w:left w:val="none" w:sz="0" w:space="0" w:color="auto"/>
        <w:bottom w:val="none" w:sz="0" w:space="0" w:color="auto"/>
        <w:right w:val="none" w:sz="0" w:space="0" w:color="auto"/>
      </w:divBdr>
    </w:div>
    <w:div w:id="7562286">
      <w:marLeft w:val="0"/>
      <w:marRight w:val="0"/>
      <w:marTop w:val="180"/>
      <w:marBottom w:val="180"/>
      <w:divBdr>
        <w:top w:val="none" w:sz="0" w:space="0" w:color="auto"/>
        <w:left w:val="none" w:sz="0" w:space="0" w:color="auto"/>
        <w:bottom w:val="none" w:sz="0" w:space="0" w:color="auto"/>
        <w:right w:val="none" w:sz="0" w:space="0" w:color="auto"/>
      </w:divBdr>
    </w:div>
    <w:div w:id="8023635">
      <w:marLeft w:val="0"/>
      <w:marRight w:val="0"/>
      <w:marTop w:val="180"/>
      <w:marBottom w:val="60"/>
      <w:divBdr>
        <w:top w:val="none" w:sz="0" w:space="0" w:color="auto"/>
        <w:left w:val="none" w:sz="0" w:space="0" w:color="auto"/>
        <w:bottom w:val="none" w:sz="0" w:space="0" w:color="auto"/>
        <w:right w:val="none" w:sz="0" w:space="0" w:color="auto"/>
      </w:divBdr>
    </w:div>
    <w:div w:id="8532031">
      <w:marLeft w:val="0"/>
      <w:marRight w:val="0"/>
      <w:marTop w:val="180"/>
      <w:marBottom w:val="180"/>
      <w:divBdr>
        <w:top w:val="none" w:sz="0" w:space="0" w:color="auto"/>
        <w:left w:val="none" w:sz="0" w:space="0" w:color="auto"/>
        <w:bottom w:val="none" w:sz="0" w:space="0" w:color="auto"/>
        <w:right w:val="none" w:sz="0" w:space="0" w:color="auto"/>
      </w:divBdr>
    </w:div>
    <w:div w:id="8994811">
      <w:marLeft w:val="0"/>
      <w:marRight w:val="0"/>
      <w:marTop w:val="180"/>
      <w:marBottom w:val="180"/>
      <w:divBdr>
        <w:top w:val="none" w:sz="0" w:space="0" w:color="auto"/>
        <w:left w:val="none" w:sz="0" w:space="0" w:color="auto"/>
        <w:bottom w:val="none" w:sz="0" w:space="0" w:color="auto"/>
        <w:right w:val="none" w:sz="0" w:space="0" w:color="auto"/>
      </w:divBdr>
    </w:div>
    <w:div w:id="9331910">
      <w:marLeft w:val="0"/>
      <w:marRight w:val="0"/>
      <w:marTop w:val="60"/>
      <w:marBottom w:val="60"/>
      <w:divBdr>
        <w:top w:val="none" w:sz="0" w:space="0" w:color="auto"/>
        <w:left w:val="none" w:sz="0" w:space="0" w:color="auto"/>
        <w:bottom w:val="none" w:sz="0" w:space="0" w:color="auto"/>
        <w:right w:val="none" w:sz="0" w:space="0" w:color="auto"/>
      </w:divBdr>
    </w:div>
    <w:div w:id="9913673">
      <w:marLeft w:val="0"/>
      <w:marRight w:val="0"/>
      <w:marTop w:val="180"/>
      <w:marBottom w:val="180"/>
      <w:divBdr>
        <w:top w:val="none" w:sz="0" w:space="0" w:color="auto"/>
        <w:left w:val="none" w:sz="0" w:space="0" w:color="auto"/>
        <w:bottom w:val="none" w:sz="0" w:space="0" w:color="auto"/>
        <w:right w:val="none" w:sz="0" w:space="0" w:color="auto"/>
      </w:divBdr>
    </w:div>
    <w:div w:id="11108199">
      <w:marLeft w:val="0"/>
      <w:marRight w:val="0"/>
      <w:marTop w:val="180"/>
      <w:marBottom w:val="180"/>
      <w:divBdr>
        <w:top w:val="none" w:sz="0" w:space="0" w:color="auto"/>
        <w:left w:val="none" w:sz="0" w:space="0" w:color="auto"/>
        <w:bottom w:val="none" w:sz="0" w:space="0" w:color="auto"/>
        <w:right w:val="none" w:sz="0" w:space="0" w:color="auto"/>
      </w:divBdr>
    </w:div>
    <w:div w:id="11228786">
      <w:marLeft w:val="0"/>
      <w:marRight w:val="0"/>
      <w:marTop w:val="180"/>
      <w:marBottom w:val="180"/>
      <w:divBdr>
        <w:top w:val="none" w:sz="0" w:space="0" w:color="auto"/>
        <w:left w:val="none" w:sz="0" w:space="0" w:color="auto"/>
        <w:bottom w:val="none" w:sz="0" w:space="0" w:color="auto"/>
        <w:right w:val="none" w:sz="0" w:space="0" w:color="auto"/>
      </w:divBdr>
    </w:div>
    <w:div w:id="11230581">
      <w:marLeft w:val="0"/>
      <w:marRight w:val="0"/>
      <w:marTop w:val="180"/>
      <w:marBottom w:val="180"/>
      <w:divBdr>
        <w:top w:val="none" w:sz="0" w:space="0" w:color="auto"/>
        <w:left w:val="none" w:sz="0" w:space="0" w:color="auto"/>
        <w:bottom w:val="none" w:sz="0" w:space="0" w:color="auto"/>
        <w:right w:val="none" w:sz="0" w:space="0" w:color="auto"/>
      </w:divBdr>
    </w:div>
    <w:div w:id="12728941">
      <w:marLeft w:val="0"/>
      <w:marRight w:val="0"/>
      <w:marTop w:val="60"/>
      <w:marBottom w:val="60"/>
      <w:divBdr>
        <w:top w:val="none" w:sz="0" w:space="0" w:color="auto"/>
        <w:left w:val="none" w:sz="0" w:space="0" w:color="auto"/>
        <w:bottom w:val="none" w:sz="0" w:space="0" w:color="auto"/>
        <w:right w:val="none" w:sz="0" w:space="0" w:color="auto"/>
      </w:divBdr>
    </w:div>
    <w:div w:id="14427828">
      <w:marLeft w:val="0"/>
      <w:marRight w:val="0"/>
      <w:marTop w:val="60"/>
      <w:marBottom w:val="60"/>
      <w:divBdr>
        <w:top w:val="none" w:sz="0" w:space="0" w:color="auto"/>
        <w:left w:val="none" w:sz="0" w:space="0" w:color="auto"/>
        <w:bottom w:val="none" w:sz="0" w:space="0" w:color="auto"/>
        <w:right w:val="none" w:sz="0" w:space="0" w:color="auto"/>
      </w:divBdr>
    </w:div>
    <w:div w:id="15080929">
      <w:marLeft w:val="0"/>
      <w:marRight w:val="0"/>
      <w:marTop w:val="0"/>
      <w:marBottom w:val="0"/>
      <w:divBdr>
        <w:top w:val="none" w:sz="0" w:space="0" w:color="auto"/>
        <w:left w:val="none" w:sz="0" w:space="0" w:color="auto"/>
        <w:bottom w:val="none" w:sz="0" w:space="0" w:color="auto"/>
        <w:right w:val="none" w:sz="0" w:space="0" w:color="auto"/>
      </w:divBdr>
      <w:divsChild>
        <w:div w:id="457384095">
          <w:marLeft w:val="0"/>
          <w:marRight w:val="0"/>
          <w:marTop w:val="180"/>
          <w:marBottom w:val="180"/>
          <w:divBdr>
            <w:top w:val="none" w:sz="0" w:space="0" w:color="auto"/>
            <w:left w:val="none" w:sz="0" w:space="0" w:color="auto"/>
            <w:bottom w:val="none" w:sz="0" w:space="0" w:color="auto"/>
            <w:right w:val="none" w:sz="0" w:space="0" w:color="auto"/>
          </w:divBdr>
        </w:div>
      </w:divsChild>
    </w:div>
    <w:div w:id="16734519">
      <w:marLeft w:val="0"/>
      <w:marRight w:val="0"/>
      <w:marTop w:val="180"/>
      <w:marBottom w:val="60"/>
      <w:divBdr>
        <w:top w:val="none" w:sz="0" w:space="0" w:color="auto"/>
        <w:left w:val="none" w:sz="0" w:space="0" w:color="auto"/>
        <w:bottom w:val="none" w:sz="0" w:space="0" w:color="auto"/>
        <w:right w:val="none" w:sz="0" w:space="0" w:color="auto"/>
      </w:divBdr>
    </w:div>
    <w:div w:id="17631296">
      <w:marLeft w:val="0"/>
      <w:marRight w:val="0"/>
      <w:marTop w:val="180"/>
      <w:marBottom w:val="180"/>
      <w:divBdr>
        <w:top w:val="none" w:sz="0" w:space="0" w:color="auto"/>
        <w:left w:val="none" w:sz="0" w:space="0" w:color="auto"/>
        <w:bottom w:val="none" w:sz="0" w:space="0" w:color="auto"/>
        <w:right w:val="none" w:sz="0" w:space="0" w:color="auto"/>
      </w:divBdr>
    </w:div>
    <w:div w:id="17974076">
      <w:marLeft w:val="0"/>
      <w:marRight w:val="0"/>
      <w:marTop w:val="180"/>
      <w:marBottom w:val="180"/>
      <w:divBdr>
        <w:top w:val="none" w:sz="0" w:space="0" w:color="auto"/>
        <w:left w:val="none" w:sz="0" w:space="0" w:color="auto"/>
        <w:bottom w:val="none" w:sz="0" w:space="0" w:color="auto"/>
        <w:right w:val="none" w:sz="0" w:space="0" w:color="auto"/>
      </w:divBdr>
    </w:div>
    <w:div w:id="18043660">
      <w:marLeft w:val="0"/>
      <w:marRight w:val="0"/>
      <w:marTop w:val="60"/>
      <w:marBottom w:val="60"/>
      <w:divBdr>
        <w:top w:val="none" w:sz="0" w:space="0" w:color="auto"/>
        <w:left w:val="none" w:sz="0" w:space="0" w:color="auto"/>
        <w:bottom w:val="none" w:sz="0" w:space="0" w:color="auto"/>
        <w:right w:val="none" w:sz="0" w:space="0" w:color="auto"/>
      </w:divBdr>
    </w:div>
    <w:div w:id="18707496">
      <w:marLeft w:val="0"/>
      <w:marRight w:val="0"/>
      <w:marTop w:val="180"/>
      <w:marBottom w:val="180"/>
      <w:divBdr>
        <w:top w:val="none" w:sz="0" w:space="0" w:color="auto"/>
        <w:left w:val="none" w:sz="0" w:space="0" w:color="auto"/>
        <w:bottom w:val="none" w:sz="0" w:space="0" w:color="auto"/>
        <w:right w:val="none" w:sz="0" w:space="0" w:color="auto"/>
      </w:divBdr>
    </w:div>
    <w:div w:id="18822227">
      <w:marLeft w:val="0"/>
      <w:marRight w:val="0"/>
      <w:marTop w:val="0"/>
      <w:marBottom w:val="0"/>
      <w:divBdr>
        <w:top w:val="none" w:sz="0" w:space="0" w:color="auto"/>
        <w:left w:val="none" w:sz="0" w:space="0" w:color="auto"/>
        <w:bottom w:val="none" w:sz="0" w:space="0" w:color="auto"/>
        <w:right w:val="none" w:sz="0" w:space="0" w:color="auto"/>
      </w:divBdr>
      <w:divsChild>
        <w:div w:id="1124009127">
          <w:marLeft w:val="0"/>
          <w:marRight w:val="0"/>
          <w:marTop w:val="0"/>
          <w:marBottom w:val="0"/>
          <w:divBdr>
            <w:top w:val="none" w:sz="0" w:space="0" w:color="auto"/>
            <w:left w:val="none" w:sz="0" w:space="0" w:color="auto"/>
            <w:bottom w:val="none" w:sz="0" w:space="0" w:color="auto"/>
            <w:right w:val="none" w:sz="0" w:space="0" w:color="auto"/>
          </w:divBdr>
          <w:divsChild>
            <w:div w:id="15842470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161634">
      <w:marLeft w:val="0"/>
      <w:marRight w:val="0"/>
      <w:marTop w:val="180"/>
      <w:marBottom w:val="180"/>
      <w:divBdr>
        <w:top w:val="none" w:sz="0" w:space="0" w:color="auto"/>
        <w:left w:val="none" w:sz="0" w:space="0" w:color="auto"/>
        <w:bottom w:val="none" w:sz="0" w:space="0" w:color="auto"/>
        <w:right w:val="none" w:sz="0" w:space="0" w:color="auto"/>
      </w:divBdr>
    </w:div>
    <w:div w:id="19747832">
      <w:marLeft w:val="0"/>
      <w:marRight w:val="0"/>
      <w:marTop w:val="180"/>
      <w:marBottom w:val="180"/>
      <w:divBdr>
        <w:top w:val="none" w:sz="0" w:space="0" w:color="auto"/>
        <w:left w:val="none" w:sz="0" w:space="0" w:color="auto"/>
        <w:bottom w:val="none" w:sz="0" w:space="0" w:color="auto"/>
        <w:right w:val="none" w:sz="0" w:space="0" w:color="auto"/>
      </w:divBdr>
    </w:div>
    <w:div w:id="19941793">
      <w:marLeft w:val="0"/>
      <w:marRight w:val="0"/>
      <w:marTop w:val="180"/>
      <w:marBottom w:val="180"/>
      <w:divBdr>
        <w:top w:val="none" w:sz="0" w:space="0" w:color="auto"/>
        <w:left w:val="none" w:sz="0" w:space="0" w:color="auto"/>
        <w:bottom w:val="none" w:sz="0" w:space="0" w:color="auto"/>
        <w:right w:val="none" w:sz="0" w:space="0" w:color="auto"/>
      </w:divBdr>
    </w:div>
    <w:div w:id="20591525">
      <w:marLeft w:val="0"/>
      <w:marRight w:val="0"/>
      <w:marTop w:val="180"/>
      <w:marBottom w:val="180"/>
      <w:divBdr>
        <w:top w:val="none" w:sz="0" w:space="0" w:color="auto"/>
        <w:left w:val="none" w:sz="0" w:space="0" w:color="auto"/>
        <w:bottom w:val="none" w:sz="0" w:space="0" w:color="auto"/>
        <w:right w:val="none" w:sz="0" w:space="0" w:color="auto"/>
      </w:divBdr>
    </w:div>
    <w:div w:id="21636920">
      <w:marLeft w:val="0"/>
      <w:marRight w:val="0"/>
      <w:marTop w:val="180"/>
      <w:marBottom w:val="180"/>
      <w:divBdr>
        <w:top w:val="none" w:sz="0" w:space="0" w:color="auto"/>
        <w:left w:val="none" w:sz="0" w:space="0" w:color="auto"/>
        <w:bottom w:val="none" w:sz="0" w:space="0" w:color="auto"/>
        <w:right w:val="none" w:sz="0" w:space="0" w:color="auto"/>
      </w:divBdr>
    </w:div>
    <w:div w:id="22444538">
      <w:marLeft w:val="0"/>
      <w:marRight w:val="0"/>
      <w:marTop w:val="0"/>
      <w:marBottom w:val="0"/>
      <w:divBdr>
        <w:top w:val="none" w:sz="0" w:space="0" w:color="auto"/>
        <w:left w:val="none" w:sz="0" w:space="0" w:color="auto"/>
        <w:bottom w:val="none" w:sz="0" w:space="0" w:color="auto"/>
        <w:right w:val="none" w:sz="0" w:space="0" w:color="auto"/>
      </w:divBdr>
      <w:divsChild>
        <w:div w:id="413480757">
          <w:marLeft w:val="0"/>
          <w:marRight w:val="0"/>
          <w:marTop w:val="0"/>
          <w:marBottom w:val="0"/>
          <w:divBdr>
            <w:top w:val="none" w:sz="0" w:space="0" w:color="auto"/>
            <w:left w:val="none" w:sz="0" w:space="0" w:color="auto"/>
            <w:bottom w:val="none" w:sz="0" w:space="0" w:color="auto"/>
            <w:right w:val="none" w:sz="0" w:space="0" w:color="auto"/>
          </w:divBdr>
          <w:divsChild>
            <w:div w:id="103103586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2826183">
      <w:marLeft w:val="0"/>
      <w:marRight w:val="0"/>
      <w:marTop w:val="180"/>
      <w:marBottom w:val="180"/>
      <w:divBdr>
        <w:top w:val="none" w:sz="0" w:space="0" w:color="auto"/>
        <w:left w:val="none" w:sz="0" w:space="0" w:color="auto"/>
        <w:bottom w:val="none" w:sz="0" w:space="0" w:color="auto"/>
        <w:right w:val="none" w:sz="0" w:space="0" w:color="auto"/>
      </w:divBdr>
    </w:div>
    <w:div w:id="24913544">
      <w:marLeft w:val="0"/>
      <w:marRight w:val="0"/>
      <w:marTop w:val="0"/>
      <w:marBottom w:val="0"/>
      <w:divBdr>
        <w:top w:val="none" w:sz="0" w:space="0" w:color="auto"/>
        <w:left w:val="none" w:sz="0" w:space="0" w:color="auto"/>
        <w:bottom w:val="none" w:sz="0" w:space="0" w:color="auto"/>
        <w:right w:val="none" w:sz="0" w:space="0" w:color="auto"/>
      </w:divBdr>
      <w:divsChild>
        <w:div w:id="470483821">
          <w:marLeft w:val="0"/>
          <w:marRight w:val="0"/>
          <w:marTop w:val="0"/>
          <w:marBottom w:val="0"/>
          <w:divBdr>
            <w:top w:val="none" w:sz="0" w:space="0" w:color="auto"/>
            <w:left w:val="none" w:sz="0" w:space="0" w:color="auto"/>
            <w:bottom w:val="none" w:sz="0" w:space="0" w:color="auto"/>
            <w:right w:val="none" w:sz="0" w:space="0" w:color="auto"/>
          </w:divBdr>
          <w:divsChild>
            <w:div w:id="54926448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5722140">
      <w:marLeft w:val="0"/>
      <w:marRight w:val="0"/>
      <w:marTop w:val="60"/>
      <w:marBottom w:val="60"/>
      <w:divBdr>
        <w:top w:val="none" w:sz="0" w:space="0" w:color="auto"/>
        <w:left w:val="none" w:sz="0" w:space="0" w:color="auto"/>
        <w:bottom w:val="none" w:sz="0" w:space="0" w:color="auto"/>
        <w:right w:val="none" w:sz="0" w:space="0" w:color="auto"/>
      </w:divBdr>
    </w:div>
    <w:div w:id="28604030">
      <w:marLeft w:val="0"/>
      <w:marRight w:val="0"/>
      <w:marTop w:val="180"/>
      <w:marBottom w:val="180"/>
      <w:divBdr>
        <w:top w:val="none" w:sz="0" w:space="0" w:color="auto"/>
        <w:left w:val="none" w:sz="0" w:space="0" w:color="auto"/>
        <w:bottom w:val="none" w:sz="0" w:space="0" w:color="auto"/>
        <w:right w:val="none" w:sz="0" w:space="0" w:color="auto"/>
      </w:divBdr>
    </w:div>
    <w:div w:id="28725639">
      <w:marLeft w:val="0"/>
      <w:marRight w:val="0"/>
      <w:marTop w:val="180"/>
      <w:marBottom w:val="180"/>
      <w:divBdr>
        <w:top w:val="none" w:sz="0" w:space="0" w:color="auto"/>
        <w:left w:val="none" w:sz="0" w:space="0" w:color="auto"/>
        <w:bottom w:val="none" w:sz="0" w:space="0" w:color="auto"/>
        <w:right w:val="none" w:sz="0" w:space="0" w:color="auto"/>
      </w:divBdr>
    </w:div>
    <w:div w:id="29035040">
      <w:marLeft w:val="0"/>
      <w:marRight w:val="0"/>
      <w:marTop w:val="180"/>
      <w:marBottom w:val="180"/>
      <w:divBdr>
        <w:top w:val="none" w:sz="0" w:space="0" w:color="auto"/>
        <w:left w:val="none" w:sz="0" w:space="0" w:color="auto"/>
        <w:bottom w:val="none" w:sz="0" w:space="0" w:color="auto"/>
        <w:right w:val="none" w:sz="0" w:space="0" w:color="auto"/>
      </w:divBdr>
    </w:div>
    <w:div w:id="29451754">
      <w:marLeft w:val="0"/>
      <w:marRight w:val="0"/>
      <w:marTop w:val="60"/>
      <w:marBottom w:val="0"/>
      <w:divBdr>
        <w:top w:val="none" w:sz="0" w:space="0" w:color="auto"/>
        <w:left w:val="none" w:sz="0" w:space="0" w:color="auto"/>
        <w:bottom w:val="none" w:sz="0" w:space="0" w:color="auto"/>
        <w:right w:val="none" w:sz="0" w:space="0" w:color="auto"/>
      </w:divBdr>
    </w:div>
    <w:div w:id="29455608">
      <w:marLeft w:val="0"/>
      <w:marRight w:val="0"/>
      <w:marTop w:val="180"/>
      <w:marBottom w:val="180"/>
      <w:divBdr>
        <w:top w:val="none" w:sz="0" w:space="0" w:color="auto"/>
        <w:left w:val="none" w:sz="0" w:space="0" w:color="auto"/>
        <w:bottom w:val="none" w:sz="0" w:space="0" w:color="auto"/>
        <w:right w:val="none" w:sz="0" w:space="0" w:color="auto"/>
      </w:divBdr>
    </w:div>
    <w:div w:id="32732399">
      <w:marLeft w:val="0"/>
      <w:marRight w:val="0"/>
      <w:marTop w:val="180"/>
      <w:marBottom w:val="180"/>
      <w:divBdr>
        <w:top w:val="none" w:sz="0" w:space="0" w:color="auto"/>
        <w:left w:val="none" w:sz="0" w:space="0" w:color="auto"/>
        <w:bottom w:val="none" w:sz="0" w:space="0" w:color="auto"/>
        <w:right w:val="none" w:sz="0" w:space="0" w:color="auto"/>
      </w:divBdr>
    </w:div>
    <w:div w:id="33769803">
      <w:marLeft w:val="0"/>
      <w:marRight w:val="0"/>
      <w:marTop w:val="180"/>
      <w:marBottom w:val="180"/>
      <w:divBdr>
        <w:top w:val="none" w:sz="0" w:space="0" w:color="auto"/>
        <w:left w:val="none" w:sz="0" w:space="0" w:color="auto"/>
        <w:bottom w:val="none" w:sz="0" w:space="0" w:color="auto"/>
        <w:right w:val="none" w:sz="0" w:space="0" w:color="auto"/>
      </w:divBdr>
    </w:div>
    <w:div w:id="33820953">
      <w:marLeft w:val="0"/>
      <w:marRight w:val="0"/>
      <w:marTop w:val="180"/>
      <w:marBottom w:val="180"/>
      <w:divBdr>
        <w:top w:val="none" w:sz="0" w:space="0" w:color="auto"/>
        <w:left w:val="none" w:sz="0" w:space="0" w:color="auto"/>
        <w:bottom w:val="none" w:sz="0" w:space="0" w:color="auto"/>
        <w:right w:val="none" w:sz="0" w:space="0" w:color="auto"/>
      </w:divBdr>
    </w:div>
    <w:div w:id="33893706">
      <w:marLeft w:val="0"/>
      <w:marRight w:val="0"/>
      <w:marTop w:val="180"/>
      <w:marBottom w:val="180"/>
      <w:divBdr>
        <w:top w:val="none" w:sz="0" w:space="0" w:color="auto"/>
        <w:left w:val="none" w:sz="0" w:space="0" w:color="auto"/>
        <w:bottom w:val="none" w:sz="0" w:space="0" w:color="auto"/>
        <w:right w:val="none" w:sz="0" w:space="0" w:color="auto"/>
      </w:divBdr>
    </w:div>
    <w:div w:id="34355188">
      <w:marLeft w:val="0"/>
      <w:marRight w:val="0"/>
      <w:marTop w:val="180"/>
      <w:marBottom w:val="180"/>
      <w:divBdr>
        <w:top w:val="none" w:sz="0" w:space="0" w:color="auto"/>
        <w:left w:val="none" w:sz="0" w:space="0" w:color="auto"/>
        <w:bottom w:val="none" w:sz="0" w:space="0" w:color="auto"/>
        <w:right w:val="none" w:sz="0" w:space="0" w:color="auto"/>
      </w:divBdr>
    </w:div>
    <w:div w:id="35199847">
      <w:marLeft w:val="0"/>
      <w:marRight w:val="0"/>
      <w:marTop w:val="180"/>
      <w:marBottom w:val="180"/>
      <w:divBdr>
        <w:top w:val="none" w:sz="0" w:space="0" w:color="auto"/>
        <w:left w:val="none" w:sz="0" w:space="0" w:color="auto"/>
        <w:bottom w:val="none" w:sz="0" w:space="0" w:color="auto"/>
        <w:right w:val="none" w:sz="0" w:space="0" w:color="auto"/>
      </w:divBdr>
    </w:div>
    <w:div w:id="35356040">
      <w:marLeft w:val="0"/>
      <w:marRight w:val="0"/>
      <w:marTop w:val="180"/>
      <w:marBottom w:val="0"/>
      <w:divBdr>
        <w:top w:val="none" w:sz="0" w:space="0" w:color="auto"/>
        <w:left w:val="none" w:sz="0" w:space="0" w:color="auto"/>
        <w:bottom w:val="none" w:sz="0" w:space="0" w:color="auto"/>
        <w:right w:val="none" w:sz="0" w:space="0" w:color="auto"/>
      </w:divBdr>
    </w:div>
    <w:div w:id="35588376">
      <w:marLeft w:val="0"/>
      <w:marRight w:val="0"/>
      <w:marTop w:val="180"/>
      <w:marBottom w:val="180"/>
      <w:divBdr>
        <w:top w:val="none" w:sz="0" w:space="0" w:color="auto"/>
        <w:left w:val="none" w:sz="0" w:space="0" w:color="auto"/>
        <w:bottom w:val="none" w:sz="0" w:space="0" w:color="auto"/>
        <w:right w:val="none" w:sz="0" w:space="0" w:color="auto"/>
      </w:divBdr>
    </w:div>
    <w:div w:id="35669914">
      <w:marLeft w:val="0"/>
      <w:marRight w:val="0"/>
      <w:marTop w:val="180"/>
      <w:marBottom w:val="180"/>
      <w:divBdr>
        <w:top w:val="none" w:sz="0" w:space="0" w:color="auto"/>
        <w:left w:val="none" w:sz="0" w:space="0" w:color="auto"/>
        <w:bottom w:val="none" w:sz="0" w:space="0" w:color="auto"/>
        <w:right w:val="none" w:sz="0" w:space="0" w:color="auto"/>
      </w:divBdr>
    </w:div>
    <w:div w:id="35812191">
      <w:marLeft w:val="0"/>
      <w:marRight w:val="0"/>
      <w:marTop w:val="180"/>
      <w:marBottom w:val="180"/>
      <w:divBdr>
        <w:top w:val="none" w:sz="0" w:space="0" w:color="auto"/>
        <w:left w:val="none" w:sz="0" w:space="0" w:color="auto"/>
        <w:bottom w:val="none" w:sz="0" w:space="0" w:color="auto"/>
        <w:right w:val="none" w:sz="0" w:space="0" w:color="auto"/>
      </w:divBdr>
    </w:div>
    <w:div w:id="37559028">
      <w:marLeft w:val="0"/>
      <w:marRight w:val="0"/>
      <w:marTop w:val="60"/>
      <w:marBottom w:val="60"/>
      <w:divBdr>
        <w:top w:val="none" w:sz="0" w:space="0" w:color="auto"/>
        <w:left w:val="none" w:sz="0" w:space="0" w:color="auto"/>
        <w:bottom w:val="none" w:sz="0" w:space="0" w:color="auto"/>
        <w:right w:val="none" w:sz="0" w:space="0" w:color="auto"/>
      </w:divBdr>
    </w:div>
    <w:div w:id="37702367">
      <w:marLeft w:val="0"/>
      <w:marRight w:val="0"/>
      <w:marTop w:val="180"/>
      <w:marBottom w:val="180"/>
      <w:divBdr>
        <w:top w:val="none" w:sz="0" w:space="0" w:color="auto"/>
        <w:left w:val="none" w:sz="0" w:space="0" w:color="auto"/>
        <w:bottom w:val="none" w:sz="0" w:space="0" w:color="auto"/>
        <w:right w:val="none" w:sz="0" w:space="0" w:color="auto"/>
      </w:divBdr>
    </w:div>
    <w:div w:id="38090876">
      <w:marLeft w:val="0"/>
      <w:marRight w:val="0"/>
      <w:marTop w:val="0"/>
      <w:marBottom w:val="0"/>
      <w:divBdr>
        <w:top w:val="none" w:sz="0" w:space="0" w:color="auto"/>
        <w:left w:val="none" w:sz="0" w:space="0" w:color="auto"/>
        <w:bottom w:val="none" w:sz="0" w:space="0" w:color="auto"/>
        <w:right w:val="none" w:sz="0" w:space="0" w:color="auto"/>
      </w:divBdr>
      <w:divsChild>
        <w:div w:id="1895312317">
          <w:marLeft w:val="0"/>
          <w:marRight w:val="0"/>
          <w:marTop w:val="0"/>
          <w:marBottom w:val="0"/>
          <w:divBdr>
            <w:top w:val="none" w:sz="0" w:space="0" w:color="auto"/>
            <w:left w:val="none" w:sz="0" w:space="0" w:color="auto"/>
            <w:bottom w:val="none" w:sz="0" w:space="0" w:color="auto"/>
            <w:right w:val="none" w:sz="0" w:space="0" w:color="auto"/>
          </w:divBdr>
          <w:divsChild>
            <w:div w:id="101338583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8094797">
      <w:marLeft w:val="0"/>
      <w:marRight w:val="0"/>
      <w:marTop w:val="0"/>
      <w:marBottom w:val="0"/>
      <w:divBdr>
        <w:top w:val="none" w:sz="0" w:space="0" w:color="auto"/>
        <w:left w:val="none" w:sz="0" w:space="0" w:color="auto"/>
        <w:bottom w:val="none" w:sz="0" w:space="0" w:color="auto"/>
        <w:right w:val="none" w:sz="0" w:space="0" w:color="auto"/>
      </w:divBdr>
      <w:divsChild>
        <w:div w:id="1143354241">
          <w:marLeft w:val="0"/>
          <w:marRight w:val="0"/>
          <w:marTop w:val="60"/>
          <w:marBottom w:val="180"/>
          <w:divBdr>
            <w:top w:val="none" w:sz="0" w:space="0" w:color="auto"/>
            <w:left w:val="none" w:sz="0" w:space="0" w:color="auto"/>
            <w:bottom w:val="none" w:sz="0" w:space="0" w:color="auto"/>
            <w:right w:val="none" w:sz="0" w:space="0" w:color="auto"/>
          </w:divBdr>
        </w:div>
      </w:divsChild>
    </w:div>
    <w:div w:id="38824156">
      <w:marLeft w:val="0"/>
      <w:marRight w:val="0"/>
      <w:marTop w:val="180"/>
      <w:marBottom w:val="180"/>
      <w:divBdr>
        <w:top w:val="none" w:sz="0" w:space="0" w:color="auto"/>
        <w:left w:val="none" w:sz="0" w:space="0" w:color="auto"/>
        <w:bottom w:val="none" w:sz="0" w:space="0" w:color="auto"/>
        <w:right w:val="none" w:sz="0" w:space="0" w:color="auto"/>
      </w:divBdr>
    </w:div>
    <w:div w:id="39790170">
      <w:marLeft w:val="0"/>
      <w:marRight w:val="0"/>
      <w:marTop w:val="180"/>
      <w:marBottom w:val="180"/>
      <w:divBdr>
        <w:top w:val="none" w:sz="0" w:space="0" w:color="auto"/>
        <w:left w:val="none" w:sz="0" w:space="0" w:color="auto"/>
        <w:bottom w:val="none" w:sz="0" w:space="0" w:color="auto"/>
        <w:right w:val="none" w:sz="0" w:space="0" w:color="auto"/>
      </w:divBdr>
    </w:div>
    <w:div w:id="43649882">
      <w:marLeft w:val="0"/>
      <w:marRight w:val="0"/>
      <w:marTop w:val="180"/>
      <w:marBottom w:val="60"/>
      <w:divBdr>
        <w:top w:val="none" w:sz="0" w:space="0" w:color="auto"/>
        <w:left w:val="none" w:sz="0" w:space="0" w:color="auto"/>
        <w:bottom w:val="none" w:sz="0" w:space="0" w:color="auto"/>
        <w:right w:val="none" w:sz="0" w:space="0" w:color="auto"/>
      </w:divBdr>
    </w:div>
    <w:div w:id="43719210">
      <w:marLeft w:val="0"/>
      <w:marRight w:val="0"/>
      <w:marTop w:val="180"/>
      <w:marBottom w:val="180"/>
      <w:divBdr>
        <w:top w:val="none" w:sz="0" w:space="0" w:color="auto"/>
        <w:left w:val="none" w:sz="0" w:space="0" w:color="auto"/>
        <w:bottom w:val="none" w:sz="0" w:space="0" w:color="auto"/>
        <w:right w:val="none" w:sz="0" w:space="0" w:color="auto"/>
      </w:divBdr>
    </w:div>
    <w:div w:id="45763232">
      <w:marLeft w:val="0"/>
      <w:marRight w:val="0"/>
      <w:marTop w:val="180"/>
      <w:marBottom w:val="180"/>
      <w:divBdr>
        <w:top w:val="none" w:sz="0" w:space="0" w:color="auto"/>
        <w:left w:val="none" w:sz="0" w:space="0" w:color="auto"/>
        <w:bottom w:val="none" w:sz="0" w:space="0" w:color="auto"/>
        <w:right w:val="none" w:sz="0" w:space="0" w:color="auto"/>
      </w:divBdr>
    </w:div>
    <w:div w:id="46533403">
      <w:marLeft w:val="0"/>
      <w:marRight w:val="0"/>
      <w:marTop w:val="60"/>
      <w:marBottom w:val="60"/>
      <w:divBdr>
        <w:top w:val="none" w:sz="0" w:space="0" w:color="auto"/>
        <w:left w:val="none" w:sz="0" w:space="0" w:color="auto"/>
        <w:bottom w:val="none" w:sz="0" w:space="0" w:color="auto"/>
        <w:right w:val="none" w:sz="0" w:space="0" w:color="auto"/>
      </w:divBdr>
    </w:div>
    <w:div w:id="47649583">
      <w:marLeft w:val="0"/>
      <w:marRight w:val="0"/>
      <w:marTop w:val="180"/>
      <w:marBottom w:val="180"/>
      <w:divBdr>
        <w:top w:val="none" w:sz="0" w:space="0" w:color="auto"/>
        <w:left w:val="none" w:sz="0" w:space="0" w:color="auto"/>
        <w:bottom w:val="none" w:sz="0" w:space="0" w:color="auto"/>
        <w:right w:val="none" w:sz="0" w:space="0" w:color="auto"/>
      </w:divBdr>
    </w:div>
    <w:div w:id="47999924">
      <w:marLeft w:val="0"/>
      <w:marRight w:val="0"/>
      <w:marTop w:val="180"/>
      <w:marBottom w:val="180"/>
      <w:divBdr>
        <w:top w:val="none" w:sz="0" w:space="0" w:color="auto"/>
        <w:left w:val="none" w:sz="0" w:space="0" w:color="auto"/>
        <w:bottom w:val="none" w:sz="0" w:space="0" w:color="auto"/>
        <w:right w:val="none" w:sz="0" w:space="0" w:color="auto"/>
      </w:divBdr>
    </w:div>
    <w:div w:id="48506580">
      <w:marLeft w:val="0"/>
      <w:marRight w:val="0"/>
      <w:marTop w:val="180"/>
      <w:marBottom w:val="180"/>
      <w:divBdr>
        <w:top w:val="none" w:sz="0" w:space="0" w:color="auto"/>
        <w:left w:val="none" w:sz="0" w:space="0" w:color="auto"/>
        <w:bottom w:val="none" w:sz="0" w:space="0" w:color="auto"/>
        <w:right w:val="none" w:sz="0" w:space="0" w:color="auto"/>
      </w:divBdr>
    </w:div>
    <w:div w:id="48725252">
      <w:marLeft w:val="0"/>
      <w:marRight w:val="0"/>
      <w:marTop w:val="0"/>
      <w:marBottom w:val="0"/>
      <w:divBdr>
        <w:top w:val="none" w:sz="0" w:space="0" w:color="auto"/>
        <w:left w:val="none" w:sz="0" w:space="0" w:color="auto"/>
        <w:bottom w:val="none" w:sz="0" w:space="0" w:color="auto"/>
        <w:right w:val="none" w:sz="0" w:space="0" w:color="auto"/>
      </w:divBdr>
      <w:divsChild>
        <w:div w:id="1964462820">
          <w:marLeft w:val="0"/>
          <w:marRight w:val="0"/>
          <w:marTop w:val="0"/>
          <w:marBottom w:val="0"/>
          <w:divBdr>
            <w:top w:val="none" w:sz="0" w:space="0" w:color="auto"/>
            <w:left w:val="none" w:sz="0" w:space="0" w:color="auto"/>
            <w:bottom w:val="none" w:sz="0" w:space="0" w:color="auto"/>
            <w:right w:val="none" w:sz="0" w:space="0" w:color="auto"/>
          </w:divBdr>
          <w:divsChild>
            <w:div w:id="117342258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9034362">
      <w:marLeft w:val="0"/>
      <w:marRight w:val="0"/>
      <w:marTop w:val="180"/>
      <w:marBottom w:val="180"/>
      <w:divBdr>
        <w:top w:val="none" w:sz="0" w:space="0" w:color="auto"/>
        <w:left w:val="none" w:sz="0" w:space="0" w:color="auto"/>
        <w:bottom w:val="none" w:sz="0" w:space="0" w:color="auto"/>
        <w:right w:val="none" w:sz="0" w:space="0" w:color="auto"/>
      </w:divBdr>
    </w:div>
    <w:div w:id="49769181">
      <w:marLeft w:val="0"/>
      <w:marRight w:val="0"/>
      <w:marTop w:val="0"/>
      <w:marBottom w:val="0"/>
      <w:divBdr>
        <w:top w:val="none" w:sz="0" w:space="0" w:color="auto"/>
        <w:left w:val="none" w:sz="0" w:space="0" w:color="auto"/>
        <w:bottom w:val="none" w:sz="0" w:space="0" w:color="auto"/>
        <w:right w:val="none" w:sz="0" w:space="0" w:color="auto"/>
      </w:divBdr>
      <w:divsChild>
        <w:div w:id="1462922705">
          <w:marLeft w:val="0"/>
          <w:marRight w:val="0"/>
          <w:marTop w:val="180"/>
          <w:marBottom w:val="180"/>
          <w:divBdr>
            <w:top w:val="none" w:sz="0" w:space="0" w:color="auto"/>
            <w:left w:val="none" w:sz="0" w:space="0" w:color="auto"/>
            <w:bottom w:val="none" w:sz="0" w:space="0" w:color="auto"/>
            <w:right w:val="none" w:sz="0" w:space="0" w:color="auto"/>
          </w:divBdr>
        </w:div>
      </w:divsChild>
    </w:div>
    <w:div w:id="51734934">
      <w:marLeft w:val="0"/>
      <w:marRight w:val="0"/>
      <w:marTop w:val="180"/>
      <w:marBottom w:val="180"/>
      <w:divBdr>
        <w:top w:val="none" w:sz="0" w:space="0" w:color="auto"/>
        <w:left w:val="none" w:sz="0" w:space="0" w:color="auto"/>
        <w:bottom w:val="none" w:sz="0" w:space="0" w:color="auto"/>
        <w:right w:val="none" w:sz="0" w:space="0" w:color="auto"/>
      </w:divBdr>
    </w:div>
    <w:div w:id="55276566">
      <w:marLeft w:val="0"/>
      <w:marRight w:val="0"/>
      <w:marTop w:val="60"/>
      <w:marBottom w:val="60"/>
      <w:divBdr>
        <w:top w:val="none" w:sz="0" w:space="0" w:color="auto"/>
        <w:left w:val="none" w:sz="0" w:space="0" w:color="auto"/>
        <w:bottom w:val="none" w:sz="0" w:space="0" w:color="auto"/>
        <w:right w:val="none" w:sz="0" w:space="0" w:color="auto"/>
      </w:divBdr>
    </w:div>
    <w:div w:id="55520134">
      <w:marLeft w:val="0"/>
      <w:marRight w:val="0"/>
      <w:marTop w:val="0"/>
      <w:marBottom w:val="0"/>
      <w:divBdr>
        <w:top w:val="none" w:sz="0" w:space="0" w:color="auto"/>
        <w:left w:val="none" w:sz="0" w:space="0" w:color="auto"/>
        <w:bottom w:val="none" w:sz="0" w:space="0" w:color="auto"/>
        <w:right w:val="none" w:sz="0" w:space="0" w:color="auto"/>
      </w:divBdr>
      <w:divsChild>
        <w:div w:id="217790374">
          <w:marLeft w:val="0"/>
          <w:marRight w:val="0"/>
          <w:marTop w:val="0"/>
          <w:marBottom w:val="0"/>
          <w:divBdr>
            <w:top w:val="none" w:sz="0" w:space="0" w:color="auto"/>
            <w:left w:val="none" w:sz="0" w:space="0" w:color="auto"/>
            <w:bottom w:val="none" w:sz="0" w:space="0" w:color="auto"/>
            <w:right w:val="none" w:sz="0" w:space="0" w:color="auto"/>
          </w:divBdr>
          <w:divsChild>
            <w:div w:id="17133531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6362174">
      <w:marLeft w:val="0"/>
      <w:marRight w:val="0"/>
      <w:marTop w:val="180"/>
      <w:marBottom w:val="180"/>
      <w:divBdr>
        <w:top w:val="none" w:sz="0" w:space="0" w:color="auto"/>
        <w:left w:val="none" w:sz="0" w:space="0" w:color="auto"/>
        <w:bottom w:val="none" w:sz="0" w:space="0" w:color="auto"/>
        <w:right w:val="none" w:sz="0" w:space="0" w:color="auto"/>
      </w:divBdr>
    </w:div>
    <w:div w:id="56711572">
      <w:marLeft w:val="0"/>
      <w:marRight w:val="0"/>
      <w:marTop w:val="180"/>
      <w:marBottom w:val="180"/>
      <w:divBdr>
        <w:top w:val="none" w:sz="0" w:space="0" w:color="auto"/>
        <w:left w:val="none" w:sz="0" w:space="0" w:color="auto"/>
        <w:bottom w:val="none" w:sz="0" w:space="0" w:color="auto"/>
        <w:right w:val="none" w:sz="0" w:space="0" w:color="auto"/>
      </w:divBdr>
    </w:div>
    <w:div w:id="58945122">
      <w:marLeft w:val="0"/>
      <w:marRight w:val="0"/>
      <w:marTop w:val="180"/>
      <w:marBottom w:val="180"/>
      <w:divBdr>
        <w:top w:val="none" w:sz="0" w:space="0" w:color="auto"/>
        <w:left w:val="none" w:sz="0" w:space="0" w:color="auto"/>
        <w:bottom w:val="none" w:sz="0" w:space="0" w:color="auto"/>
        <w:right w:val="none" w:sz="0" w:space="0" w:color="auto"/>
      </w:divBdr>
    </w:div>
    <w:div w:id="59524913">
      <w:marLeft w:val="0"/>
      <w:marRight w:val="0"/>
      <w:marTop w:val="180"/>
      <w:marBottom w:val="180"/>
      <w:divBdr>
        <w:top w:val="none" w:sz="0" w:space="0" w:color="auto"/>
        <w:left w:val="none" w:sz="0" w:space="0" w:color="auto"/>
        <w:bottom w:val="none" w:sz="0" w:space="0" w:color="auto"/>
        <w:right w:val="none" w:sz="0" w:space="0" w:color="auto"/>
      </w:divBdr>
    </w:div>
    <w:div w:id="59600887">
      <w:marLeft w:val="0"/>
      <w:marRight w:val="0"/>
      <w:marTop w:val="0"/>
      <w:marBottom w:val="0"/>
      <w:divBdr>
        <w:top w:val="none" w:sz="0" w:space="0" w:color="auto"/>
        <w:left w:val="none" w:sz="0" w:space="0" w:color="auto"/>
        <w:bottom w:val="none" w:sz="0" w:space="0" w:color="auto"/>
        <w:right w:val="none" w:sz="0" w:space="0" w:color="auto"/>
      </w:divBdr>
      <w:divsChild>
        <w:div w:id="877086408">
          <w:marLeft w:val="0"/>
          <w:marRight w:val="0"/>
          <w:marTop w:val="0"/>
          <w:marBottom w:val="0"/>
          <w:divBdr>
            <w:top w:val="none" w:sz="0" w:space="0" w:color="auto"/>
            <w:left w:val="none" w:sz="0" w:space="0" w:color="auto"/>
            <w:bottom w:val="none" w:sz="0" w:space="0" w:color="auto"/>
            <w:right w:val="none" w:sz="0" w:space="0" w:color="auto"/>
          </w:divBdr>
          <w:divsChild>
            <w:div w:id="177644230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9787771">
      <w:marLeft w:val="0"/>
      <w:marRight w:val="0"/>
      <w:marTop w:val="0"/>
      <w:marBottom w:val="0"/>
      <w:divBdr>
        <w:top w:val="none" w:sz="0" w:space="0" w:color="auto"/>
        <w:left w:val="none" w:sz="0" w:space="0" w:color="auto"/>
        <w:bottom w:val="none" w:sz="0" w:space="0" w:color="auto"/>
        <w:right w:val="none" w:sz="0" w:space="0" w:color="auto"/>
      </w:divBdr>
      <w:divsChild>
        <w:div w:id="157501161">
          <w:marLeft w:val="0"/>
          <w:marRight w:val="0"/>
          <w:marTop w:val="60"/>
          <w:marBottom w:val="180"/>
          <w:divBdr>
            <w:top w:val="none" w:sz="0" w:space="0" w:color="auto"/>
            <w:left w:val="none" w:sz="0" w:space="0" w:color="auto"/>
            <w:bottom w:val="none" w:sz="0" w:space="0" w:color="auto"/>
            <w:right w:val="none" w:sz="0" w:space="0" w:color="auto"/>
          </w:divBdr>
        </w:div>
      </w:divsChild>
    </w:div>
    <w:div w:id="60369132">
      <w:marLeft w:val="0"/>
      <w:marRight w:val="0"/>
      <w:marTop w:val="0"/>
      <w:marBottom w:val="0"/>
      <w:divBdr>
        <w:top w:val="none" w:sz="0" w:space="0" w:color="auto"/>
        <w:left w:val="none" w:sz="0" w:space="0" w:color="auto"/>
        <w:bottom w:val="none" w:sz="0" w:space="0" w:color="auto"/>
        <w:right w:val="none" w:sz="0" w:space="0" w:color="auto"/>
      </w:divBdr>
      <w:divsChild>
        <w:div w:id="1735740048">
          <w:marLeft w:val="0"/>
          <w:marRight w:val="0"/>
          <w:marTop w:val="60"/>
          <w:marBottom w:val="180"/>
          <w:divBdr>
            <w:top w:val="none" w:sz="0" w:space="0" w:color="auto"/>
            <w:left w:val="none" w:sz="0" w:space="0" w:color="auto"/>
            <w:bottom w:val="none" w:sz="0" w:space="0" w:color="auto"/>
            <w:right w:val="none" w:sz="0" w:space="0" w:color="auto"/>
          </w:divBdr>
        </w:div>
      </w:divsChild>
    </w:div>
    <w:div w:id="61879965">
      <w:marLeft w:val="0"/>
      <w:marRight w:val="0"/>
      <w:marTop w:val="60"/>
      <w:marBottom w:val="60"/>
      <w:divBdr>
        <w:top w:val="none" w:sz="0" w:space="0" w:color="auto"/>
        <w:left w:val="none" w:sz="0" w:space="0" w:color="auto"/>
        <w:bottom w:val="none" w:sz="0" w:space="0" w:color="auto"/>
        <w:right w:val="none" w:sz="0" w:space="0" w:color="auto"/>
      </w:divBdr>
    </w:div>
    <w:div w:id="62065553">
      <w:marLeft w:val="0"/>
      <w:marRight w:val="0"/>
      <w:marTop w:val="180"/>
      <w:marBottom w:val="180"/>
      <w:divBdr>
        <w:top w:val="none" w:sz="0" w:space="0" w:color="auto"/>
        <w:left w:val="none" w:sz="0" w:space="0" w:color="auto"/>
        <w:bottom w:val="none" w:sz="0" w:space="0" w:color="auto"/>
        <w:right w:val="none" w:sz="0" w:space="0" w:color="auto"/>
      </w:divBdr>
    </w:div>
    <w:div w:id="62144791">
      <w:marLeft w:val="0"/>
      <w:marRight w:val="0"/>
      <w:marTop w:val="180"/>
      <w:marBottom w:val="180"/>
      <w:divBdr>
        <w:top w:val="none" w:sz="0" w:space="0" w:color="auto"/>
        <w:left w:val="none" w:sz="0" w:space="0" w:color="auto"/>
        <w:bottom w:val="none" w:sz="0" w:space="0" w:color="auto"/>
        <w:right w:val="none" w:sz="0" w:space="0" w:color="auto"/>
      </w:divBdr>
    </w:div>
    <w:div w:id="62533016">
      <w:marLeft w:val="0"/>
      <w:marRight w:val="0"/>
      <w:marTop w:val="60"/>
      <w:marBottom w:val="60"/>
      <w:divBdr>
        <w:top w:val="none" w:sz="0" w:space="0" w:color="auto"/>
        <w:left w:val="none" w:sz="0" w:space="0" w:color="auto"/>
        <w:bottom w:val="none" w:sz="0" w:space="0" w:color="auto"/>
        <w:right w:val="none" w:sz="0" w:space="0" w:color="auto"/>
      </w:divBdr>
    </w:div>
    <w:div w:id="63770916">
      <w:marLeft w:val="0"/>
      <w:marRight w:val="0"/>
      <w:marTop w:val="180"/>
      <w:marBottom w:val="180"/>
      <w:divBdr>
        <w:top w:val="none" w:sz="0" w:space="0" w:color="auto"/>
        <w:left w:val="none" w:sz="0" w:space="0" w:color="auto"/>
        <w:bottom w:val="none" w:sz="0" w:space="0" w:color="auto"/>
        <w:right w:val="none" w:sz="0" w:space="0" w:color="auto"/>
      </w:divBdr>
    </w:div>
    <w:div w:id="63916376">
      <w:marLeft w:val="0"/>
      <w:marRight w:val="0"/>
      <w:marTop w:val="180"/>
      <w:marBottom w:val="180"/>
      <w:divBdr>
        <w:top w:val="none" w:sz="0" w:space="0" w:color="auto"/>
        <w:left w:val="none" w:sz="0" w:space="0" w:color="auto"/>
        <w:bottom w:val="none" w:sz="0" w:space="0" w:color="auto"/>
        <w:right w:val="none" w:sz="0" w:space="0" w:color="auto"/>
      </w:divBdr>
    </w:div>
    <w:div w:id="65109511">
      <w:marLeft w:val="0"/>
      <w:marRight w:val="0"/>
      <w:marTop w:val="180"/>
      <w:marBottom w:val="180"/>
      <w:divBdr>
        <w:top w:val="none" w:sz="0" w:space="0" w:color="auto"/>
        <w:left w:val="none" w:sz="0" w:space="0" w:color="auto"/>
        <w:bottom w:val="none" w:sz="0" w:space="0" w:color="auto"/>
        <w:right w:val="none" w:sz="0" w:space="0" w:color="auto"/>
      </w:divBdr>
    </w:div>
    <w:div w:id="65501000">
      <w:marLeft w:val="0"/>
      <w:marRight w:val="0"/>
      <w:marTop w:val="0"/>
      <w:marBottom w:val="0"/>
      <w:divBdr>
        <w:top w:val="none" w:sz="0" w:space="0" w:color="auto"/>
        <w:left w:val="none" w:sz="0" w:space="0" w:color="auto"/>
        <w:bottom w:val="none" w:sz="0" w:space="0" w:color="auto"/>
        <w:right w:val="none" w:sz="0" w:space="0" w:color="auto"/>
      </w:divBdr>
      <w:divsChild>
        <w:div w:id="947349468">
          <w:marLeft w:val="0"/>
          <w:marRight w:val="0"/>
          <w:marTop w:val="180"/>
          <w:marBottom w:val="180"/>
          <w:divBdr>
            <w:top w:val="none" w:sz="0" w:space="0" w:color="auto"/>
            <w:left w:val="none" w:sz="0" w:space="0" w:color="auto"/>
            <w:bottom w:val="none" w:sz="0" w:space="0" w:color="auto"/>
            <w:right w:val="none" w:sz="0" w:space="0" w:color="auto"/>
          </w:divBdr>
        </w:div>
      </w:divsChild>
    </w:div>
    <w:div w:id="66348049">
      <w:marLeft w:val="0"/>
      <w:marRight w:val="0"/>
      <w:marTop w:val="180"/>
      <w:marBottom w:val="180"/>
      <w:divBdr>
        <w:top w:val="none" w:sz="0" w:space="0" w:color="auto"/>
        <w:left w:val="none" w:sz="0" w:space="0" w:color="auto"/>
        <w:bottom w:val="none" w:sz="0" w:space="0" w:color="auto"/>
        <w:right w:val="none" w:sz="0" w:space="0" w:color="auto"/>
      </w:divBdr>
    </w:div>
    <w:div w:id="67189399">
      <w:marLeft w:val="0"/>
      <w:marRight w:val="0"/>
      <w:marTop w:val="180"/>
      <w:marBottom w:val="180"/>
      <w:divBdr>
        <w:top w:val="none" w:sz="0" w:space="0" w:color="auto"/>
        <w:left w:val="none" w:sz="0" w:space="0" w:color="auto"/>
        <w:bottom w:val="none" w:sz="0" w:space="0" w:color="auto"/>
        <w:right w:val="none" w:sz="0" w:space="0" w:color="auto"/>
      </w:divBdr>
    </w:div>
    <w:div w:id="67463849">
      <w:marLeft w:val="0"/>
      <w:marRight w:val="0"/>
      <w:marTop w:val="180"/>
      <w:marBottom w:val="180"/>
      <w:divBdr>
        <w:top w:val="none" w:sz="0" w:space="0" w:color="auto"/>
        <w:left w:val="none" w:sz="0" w:space="0" w:color="auto"/>
        <w:bottom w:val="none" w:sz="0" w:space="0" w:color="auto"/>
        <w:right w:val="none" w:sz="0" w:space="0" w:color="auto"/>
      </w:divBdr>
    </w:div>
    <w:div w:id="68501442">
      <w:marLeft w:val="0"/>
      <w:marRight w:val="0"/>
      <w:marTop w:val="60"/>
      <w:marBottom w:val="60"/>
      <w:divBdr>
        <w:top w:val="none" w:sz="0" w:space="0" w:color="auto"/>
        <w:left w:val="none" w:sz="0" w:space="0" w:color="auto"/>
        <w:bottom w:val="none" w:sz="0" w:space="0" w:color="auto"/>
        <w:right w:val="none" w:sz="0" w:space="0" w:color="auto"/>
      </w:divBdr>
    </w:div>
    <w:div w:id="69233641">
      <w:marLeft w:val="0"/>
      <w:marRight w:val="0"/>
      <w:marTop w:val="0"/>
      <w:marBottom w:val="0"/>
      <w:divBdr>
        <w:top w:val="none" w:sz="0" w:space="0" w:color="auto"/>
        <w:left w:val="none" w:sz="0" w:space="0" w:color="auto"/>
        <w:bottom w:val="none" w:sz="0" w:space="0" w:color="auto"/>
        <w:right w:val="none" w:sz="0" w:space="0" w:color="auto"/>
      </w:divBdr>
      <w:divsChild>
        <w:div w:id="1997756822">
          <w:marLeft w:val="0"/>
          <w:marRight w:val="0"/>
          <w:marTop w:val="0"/>
          <w:marBottom w:val="0"/>
          <w:divBdr>
            <w:top w:val="none" w:sz="0" w:space="0" w:color="auto"/>
            <w:left w:val="none" w:sz="0" w:space="0" w:color="auto"/>
            <w:bottom w:val="none" w:sz="0" w:space="0" w:color="auto"/>
            <w:right w:val="none" w:sz="0" w:space="0" w:color="auto"/>
          </w:divBdr>
          <w:divsChild>
            <w:div w:id="160421949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0467997">
      <w:marLeft w:val="0"/>
      <w:marRight w:val="0"/>
      <w:marTop w:val="180"/>
      <w:marBottom w:val="180"/>
      <w:divBdr>
        <w:top w:val="none" w:sz="0" w:space="0" w:color="auto"/>
        <w:left w:val="none" w:sz="0" w:space="0" w:color="auto"/>
        <w:bottom w:val="none" w:sz="0" w:space="0" w:color="auto"/>
        <w:right w:val="none" w:sz="0" w:space="0" w:color="auto"/>
      </w:divBdr>
    </w:div>
    <w:div w:id="70584254">
      <w:marLeft w:val="0"/>
      <w:marRight w:val="0"/>
      <w:marTop w:val="180"/>
      <w:marBottom w:val="180"/>
      <w:divBdr>
        <w:top w:val="none" w:sz="0" w:space="0" w:color="auto"/>
        <w:left w:val="none" w:sz="0" w:space="0" w:color="auto"/>
        <w:bottom w:val="none" w:sz="0" w:space="0" w:color="auto"/>
        <w:right w:val="none" w:sz="0" w:space="0" w:color="auto"/>
      </w:divBdr>
    </w:div>
    <w:div w:id="70658058">
      <w:marLeft w:val="0"/>
      <w:marRight w:val="0"/>
      <w:marTop w:val="180"/>
      <w:marBottom w:val="180"/>
      <w:divBdr>
        <w:top w:val="none" w:sz="0" w:space="0" w:color="auto"/>
        <w:left w:val="none" w:sz="0" w:space="0" w:color="auto"/>
        <w:bottom w:val="none" w:sz="0" w:space="0" w:color="auto"/>
        <w:right w:val="none" w:sz="0" w:space="0" w:color="auto"/>
      </w:divBdr>
    </w:div>
    <w:div w:id="70976741">
      <w:marLeft w:val="0"/>
      <w:marRight w:val="0"/>
      <w:marTop w:val="180"/>
      <w:marBottom w:val="180"/>
      <w:divBdr>
        <w:top w:val="none" w:sz="0" w:space="0" w:color="auto"/>
        <w:left w:val="none" w:sz="0" w:space="0" w:color="auto"/>
        <w:bottom w:val="none" w:sz="0" w:space="0" w:color="auto"/>
        <w:right w:val="none" w:sz="0" w:space="0" w:color="auto"/>
      </w:divBdr>
    </w:div>
    <w:div w:id="71439827">
      <w:marLeft w:val="0"/>
      <w:marRight w:val="0"/>
      <w:marTop w:val="60"/>
      <w:marBottom w:val="60"/>
      <w:divBdr>
        <w:top w:val="none" w:sz="0" w:space="0" w:color="auto"/>
        <w:left w:val="none" w:sz="0" w:space="0" w:color="auto"/>
        <w:bottom w:val="none" w:sz="0" w:space="0" w:color="auto"/>
        <w:right w:val="none" w:sz="0" w:space="0" w:color="auto"/>
      </w:divBdr>
    </w:div>
    <w:div w:id="71510165">
      <w:marLeft w:val="0"/>
      <w:marRight w:val="0"/>
      <w:marTop w:val="180"/>
      <w:marBottom w:val="180"/>
      <w:divBdr>
        <w:top w:val="none" w:sz="0" w:space="0" w:color="auto"/>
        <w:left w:val="none" w:sz="0" w:space="0" w:color="auto"/>
        <w:bottom w:val="none" w:sz="0" w:space="0" w:color="auto"/>
        <w:right w:val="none" w:sz="0" w:space="0" w:color="auto"/>
      </w:divBdr>
    </w:div>
    <w:div w:id="71582622">
      <w:marLeft w:val="0"/>
      <w:marRight w:val="0"/>
      <w:marTop w:val="60"/>
      <w:marBottom w:val="60"/>
      <w:divBdr>
        <w:top w:val="none" w:sz="0" w:space="0" w:color="auto"/>
        <w:left w:val="none" w:sz="0" w:space="0" w:color="auto"/>
        <w:bottom w:val="none" w:sz="0" w:space="0" w:color="auto"/>
        <w:right w:val="none" w:sz="0" w:space="0" w:color="auto"/>
      </w:divBdr>
    </w:div>
    <w:div w:id="72361872">
      <w:marLeft w:val="0"/>
      <w:marRight w:val="0"/>
      <w:marTop w:val="0"/>
      <w:marBottom w:val="0"/>
      <w:divBdr>
        <w:top w:val="none" w:sz="0" w:space="0" w:color="auto"/>
        <w:left w:val="none" w:sz="0" w:space="0" w:color="auto"/>
        <w:bottom w:val="none" w:sz="0" w:space="0" w:color="auto"/>
        <w:right w:val="none" w:sz="0" w:space="0" w:color="auto"/>
      </w:divBdr>
      <w:divsChild>
        <w:div w:id="290328480">
          <w:marLeft w:val="0"/>
          <w:marRight w:val="0"/>
          <w:marTop w:val="0"/>
          <w:marBottom w:val="0"/>
          <w:divBdr>
            <w:top w:val="none" w:sz="0" w:space="0" w:color="auto"/>
            <w:left w:val="none" w:sz="0" w:space="0" w:color="auto"/>
            <w:bottom w:val="none" w:sz="0" w:space="0" w:color="auto"/>
            <w:right w:val="none" w:sz="0" w:space="0" w:color="auto"/>
          </w:divBdr>
          <w:divsChild>
            <w:div w:id="9255583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3550261">
      <w:marLeft w:val="0"/>
      <w:marRight w:val="0"/>
      <w:marTop w:val="180"/>
      <w:marBottom w:val="180"/>
      <w:divBdr>
        <w:top w:val="none" w:sz="0" w:space="0" w:color="auto"/>
        <w:left w:val="none" w:sz="0" w:space="0" w:color="auto"/>
        <w:bottom w:val="none" w:sz="0" w:space="0" w:color="auto"/>
        <w:right w:val="none" w:sz="0" w:space="0" w:color="auto"/>
      </w:divBdr>
    </w:div>
    <w:div w:id="75060990">
      <w:marLeft w:val="0"/>
      <w:marRight w:val="0"/>
      <w:marTop w:val="180"/>
      <w:marBottom w:val="60"/>
      <w:divBdr>
        <w:top w:val="none" w:sz="0" w:space="0" w:color="auto"/>
        <w:left w:val="none" w:sz="0" w:space="0" w:color="auto"/>
        <w:bottom w:val="none" w:sz="0" w:space="0" w:color="auto"/>
        <w:right w:val="none" w:sz="0" w:space="0" w:color="auto"/>
      </w:divBdr>
    </w:div>
    <w:div w:id="77212542">
      <w:marLeft w:val="0"/>
      <w:marRight w:val="0"/>
      <w:marTop w:val="0"/>
      <w:marBottom w:val="0"/>
      <w:divBdr>
        <w:top w:val="none" w:sz="0" w:space="0" w:color="auto"/>
        <w:left w:val="none" w:sz="0" w:space="0" w:color="auto"/>
        <w:bottom w:val="none" w:sz="0" w:space="0" w:color="auto"/>
        <w:right w:val="none" w:sz="0" w:space="0" w:color="auto"/>
      </w:divBdr>
      <w:divsChild>
        <w:div w:id="643630170">
          <w:marLeft w:val="0"/>
          <w:marRight w:val="0"/>
          <w:marTop w:val="0"/>
          <w:marBottom w:val="0"/>
          <w:divBdr>
            <w:top w:val="none" w:sz="0" w:space="0" w:color="auto"/>
            <w:left w:val="none" w:sz="0" w:space="0" w:color="auto"/>
            <w:bottom w:val="none" w:sz="0" w:space="0" w:color="auto"/>
            <w:right w:val="none" w:sz="0" w:space="0" w:color="auto"/>
          </w:divBdr>
          <w:divsChild>
            <w:div w:id="48944068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7599664">
      <w:marLeft w:val="0"/>
      <w:marRight w:val="0"/>
      <w:marTop w:val="180"/>
      <w:marBottom w:val="180"/>
      <w:divBdr>
        <w:top w:val="none" w:sz="0" w:space="0" w:color="auto"/>
        <w:left w:val="none" w:sz="0" w:space="0" w:color="auto"/>
        <w:bottom w:val="none" w:sz="0" w:space="0" w:color="auto"/>
        <w:right w:val="none" w:sz="0" w:space="0" w:color="auto"/>
      </w:divBdr>
    </w:div>
    <w:div w:id="78258126">
      <w:marLeft w:val="0"/>
      <w:marRight w:val="0"/>
      <w:marTop w:val="180"/>
      <w:marBottom w:val="180"/>
      <w:divBdr>
        <w:top w:val="none" w:sz="0" w:space="0" w:color="auto"/>
        <w:left w:val="none" w:sz="0" w:space="0" w:color="auto"/>
        <w:bottom w:val="none" w:sz="0" w:space="0" w:color="auto"/>
        <w:right w:val="none" w:sz="0" w:space="0" w:color="auto"/>
      </w:divBdr>
    </w:div>
    <w:div w:id="80152835">
      <w:marLeft w:val="0"/>
      <w:marRight w:val="0"/>
      <w:marTop w:val="180"/>
      <w:marBottom w:val="180"/>
      <w:divBdr>
        <w:top w:val="none" w:sz="0" w:space="0" w:color="auto"/>
        <w:left w:val="none" w:sz="0" w:space="0" w:color="auto"/>
        <w:bottom w:val="none" w:sz="0" w:space="0" w:color="auto"/>
        <w:right w:val="none" w:sz="0" w:space="0" w:color="auto"/>
      </w:divBdr>
    </w:div>
    <w:div w:id="86655940">
      <w:marLeft w:val="0"/>
      <w:marRight w:val="0"/>
      <w:marTop w:val="180"/>
      <w:marBottom w:val="180"/>
      <w:divBdr>
        <w:top w:val="none" w:sz="0" w:space="0" w:color="auto"/>
        <w:left w:val="none" w:sz="0" w:space="0" w:color="auto"/>
        <w:bottom w:val="none" w:sz="0" w:space="0" w:color="auto"/>
        <w:right w:val="none" w:sz="0" w:space="0" w:color="auto"/>
      </w:divBdr>
    </w:div>
    <w:div w:id="87584084">
      <w:marLeft w:val="0"/>
      <w:marRight w:val="0"/>
      <w:marTop w:val="180"/>
      <w:marBottom w:val="180"/>
      <w:divBdr>
        <w:top w:val="none" w:sz="0" w:space="0" w:color="auto"/>
        <w:left w:val="none" w:sz="0" w:space="0" w:color="auto"/>
        <w:bottom w:val="none" w:sz="0" w:space="0" w:color="auto"/>
        <w:right w:val="none" w:sz="0" w:space="0" w:color="auto"/>
      </w:divBdr>
    </w:div>
    <w:div w:id="88932467">
      <w:marLeft w:val="0"/>
      <w:marRight w:val="0"/>
      <w:marTop w:val="180"/>
      <w:marBottom w:val="60"/>
      <w:divBdr>
        <w:top w:val="none" w:sz="0" w:space="0" w:color="auto"/>
        <w:left w:val="none" w:sz="0" w:space="0" w:color="auto"/>
        <w:bottom w:val="none" w:sz="0" w:space="0" w:color="auto"/>
        <w:right w:val="none" w:sz="0" w:space="0" w:color="auto"/>
      </w:divBdr>
    </w:div>
    <w:div w:id="90051296">
      <w:marLeft w:val="0"/>
      <w:marRight w:val="0"/>
      <w:marTop w:val="60"/>
      <w:marBottom w:val="60"/>
      <w:divBdr>
        <w:top w:val="none" w:sz="0" w:space="0" w:color="auto"/>
        <w:left w:val="none" w:sz="0" w:space="0" w:color="auto"/>
        <w:bottom w:val="none" w:sz="0" w:space="0" w:color="auto"/>
        <w:right w:val="none" w:sz="0" w:space="0" w:color="auto"/>
      </w:divBdr>
    </w:div>
    <w:div w:id="90661056">
      <w:marLeft w:val="0"/>
      <w:marRight w:val="0"/>
      <w:marTop w:val="180"/>
      <w:marBottom w:val="180"/>
      <w:divBdr>
        <w:top w:val="none" w:sz="0" w:space="0" w:color="auto"/>
        <w:left w:val="none" w:sz="0" w:space="0" w:color="auto"/>
        <w:bottom w:val="none" w:sz="0" w:space="0" w:color="auto"/>
        <w:right w:val="none" w:sz="0" w:space="0" w:color="auto"/>
      </w:divBdr>
    </w:div>
    <w:div w:id="90972274">
      <w:marLeft w:val="0"/>
      <w:marRight w:val="0"/>
      <w:marTop w:val="180"/>
      <w:marBottom w:val="180"/>
      <w:divBdr>
        <w:top w:val="none" w:sz="0" w:space="0" w:color="auto"/>
        <w:left w:val="none" w:sz="0" w:space="0" w:color="auto"/>
        <w:bottom w:val="none" w:sz="0" w:space="0" w:color="auto"/>
        <w:right w:val="none" w:sz="0" w:space="0" w:color="auto"/>
      </w:divBdr>
    </w:div>
    <w:div w:id="93551488">
      <w:marLeft w:val="0"/>
      <w:marRight w:val="0"/>
      <w:marTop w:val="180"/>
      <w:marBottom w:val="180"/>
      <w:divBdr>
        <w:top w:val="none" w:sz="0" w:space="0" w:color="auto"/>
        <w:left w:val="none" w:sz="0" w:space="0" w:color="auto"/>
        <w:bottom w:val="none" w:sz="0" w:space="0" w:color="auto"/>
        <w:right w:val="none" w:sz="0" w:space="0" w:color="auto"/>
      </w:divBdr>
    </w:div>
    <w:div w:id="95057792">
      <w:marLeft w:val="0"/>
      <w:marRight w:val="0"/>
      <w:marTop w:val="180"/>
      <w:marBottom w:val="180"/>
      <w:divBdr>
        <w:top w:val="none" w:sz="0" w:space="0" w:color="auto"/>
        <w:left w:val="none" w:sz="0" w:space="0" w:color="auto"/>
        <w:bottom w:val="none" w:sz="0" w:space="0" w:color="auto"/>
        <w:right w:val="none" w:sz="0" w:space="0" w:color="auto"/>
      </w:divBdr>
    </w:div>
    <w:div w:id="95835019">
      <w:marLeft w:val="0"/>
      <w:marRight w:val="0"/>
      <w:marTop w:val="240"/>
      <w:marBottom w:val="180"/>
      <w:divBdr>
        <w:top w:val="none" w:sz="0" w:space="0" w:color="auto"/>
        <w:left w:val="none" w:sz="0" w:space="0" w:color="auto"/>
        <w:bottom w:val="none" w:sz="0" w:space="0" w:color="auto"/>
        <w:right w:val="none" w:sz="0" w:space="0" w:color="auto"/>
      </w:divBdr>
    </w:div>
    <w:div w:id="96487148">
      <w:marLeft w:val="0"/>
      <w:marRight w:val="0"/>
      <w:marTop w:val="180"/>
      <w:marBottom w:val="180"/>
      <w:divBdr>
        <w:top w:val="none" w:sz="0" w:space="0" w:color="auto"/>
        <w:left w:val="none" w:sz="0" w:space="0" w:color="auto"/>
        <w:bottom w:val="none" w:sz="0" w:space="0" w:color="auto"/>
        <w:right w:val="none" w:sz="0" w:space="0" w:color="auto"/>
      </w:divBdr>
    </w:div>
    <w:div w:id="97213375">
      <w:marLeft w:val="0"/>
      <w:marRight w:val="0"/>
      <w:marTop w:val="60"/>
      <w:marBottom w:val="60"/>
      <w:divBdr>
        <w:top w:val="none" w:sz="0" w:space="0" w:color="auto"/>
        <w:left w:val="none" w:sz="0" w:space="0" w:color="auto"/>
        <w:bottom w:val="none" w:sz="0" w:space="0" w:color="auto"/>
        <w:right w:val="none" w:sz="0" w:space="0" w:color="auto"/>
      </w:divBdr>
    </w:div>
    <w:div w:id="97802000">
      <w:marLeft w:val="0"/>
      <w:marRight w:val="0"/>
      <w:marTop w:val="180"/>
      <w:marBottom w:val="180"/>
      <w:divBdr>
        <w:top w:val="none" w:sz="0" w:space="0" w:color="auto"/>
        <w:left w:val="none" w:sz="0" w:space="0" w:color="auto"/>
        <w:bottom w:val="none" w:sz="0" w:space="0" w:color="auto"/>
        <w:right w:val="none" w:sz="0" w:space="0" w:color="auto"/>
      </w:divBdr>
    </w:div>
    <w:div w:id="98139352">
      <w:marLeft w:val="0"/>
      <w:marRight w:val="0"/>
      <w:marTop w:val="100"/>
      <w:marBottom w:val="0"/>
      <w:divBdr>
        <w:top w:val="none" w:sz="0" w:space="0" w:color="auto"/>
        <w:left w:val="none" w:sz="0" w:space="0" w:color="auto"/>
        <w:bottom w:val="none" w:sz="0" w:space="0" w:color="auto"/>
        <w:right w:val="none" w:sz="0" w:space="0" w:color="auto"/>
      </w:divBdr>
    </w:div>
    <w:div w:id="100804104">
      <w:marLeft w:val="0"/>
      <w:marRight w:val="0"/>
      <w:marTop w:val="60"/>
      <w:marBottom w:val="60"/>
      <w:divBdr>
        <w:top w:val="none" w:sz="0" w:space="0" w:color="auto"/>
        <w:left w:val="none" w:sz="0" w:space="0" w:color="auto"/>
        <w:bottom w:val="none" w:sz="0" w:space="0" w:color="auto"/>
        <w:right w:val="none" w:sz="0" w:space="0" w:color="auto"/>
      </w:divBdr>
    </w:div>
    <w:div w:id="100805247">
      <w:marLeft w:val="0"/>
      <w:marRight w:val="0"/>
      <w:marTop w:val="60"/>
      <w:marBottom w:val="60"/>
      <w:divBdr>
        <w:top w:val="none" w:sz="0" w:space="0" w:color="auto"/>
        <w:left w:val="none" w:sz="0" w:space="0" w:color="auto"/>
        <w:bottom w:val="none" w:sz="0" w:space="0" w:color="auto"/>
        <w:right w:val="none" w:sz="0" w:space="0" w:color="auto"/>
      </w:divBdr>
    </w:div>
    <w:div w:id="102119171">
      <w:marLeft w:val="0"/>
      <w:marRight w:val="0"/>
      <w:marTop w:val="180"/>
      <w:marBottom w:val="180"/>
      <w:divBdr>
        <w:top w:val="none" w:sz="0" w:space="0" w:color="auto"/>
        <w:left w:val="none" w:sz="0" w:space="0" w:color="auto"/>
        <w:bottom w:val="none" w:sz="0" w:space="0" w:color="auto"/>
        <w:right w:val="none" w:sz="0" w:space="0" w:color="auto"/>
      </w:divBdr>
    </w:div>
    <w:div w:id="102572986">
      <w:marLeft w:val="0"/>
      <w:marRight w:val="0"/>
      <w:marTop w:val="180"/>
      <w:marBottom w:val="180"/>
      <w:divBdr>
        <w:top w:val="none" w:sz="0" w:space="0" w:color="auto"/>
        <w:left w:val="none" w:sz="0" w:space="0" w:color="auto"/>
        <w:bottom w:val="none" w:sz="0" w:space="0" w:color="auto"/>
        <w:right w:val="none" w:sz="0" w:space="0" w:color="auto"/>
      </w:divBdr>
    </w:div>
    <w:div w:id="102650495">
      <w:marLeft w:val="0"/>
      <w:marRight w:val="0"/>
      <w:marTop w:val="180"/>
      <w:marBottom w:val="180"/>
      <w:divBdr>
        <w:top w:val="none" w:sz="0" w:space="0" w:color="auto"/>
        <w:left w:val="none" w:sz="0" w:space="0" w:color="auto"/>
        <w:bottom w:val="none" w:sz="0" w:space="0" w:color="auto"/>
        <w:right w:val="none" w:sz="0" w:space="0" w:color="auto"/>
      </w:divBdr>
    </w:div>
    <w:div w:id="104807498">
      <w:marLeft w:val="0"/>
      <w:marRight w:val="0"/>
      <w:marTop w:val="180"/>
      <w:marBottom w:val="180"/>
      <w:divBdr>
        <w:top w:val="none" w:sz="0" w:space="0" w:color="auto"/>
        <w:left w:val="none" w:sz="0" w:space="0" w:color="auto"/>
        <w:bottom w:val="none" w:sz="0" w:space="0" w:color="auto"/>
        <w:right w:val="none" w:sz="0" w:space="0" w:color="auto"/>
      </w:divBdr>
    </w:div>
    <w:div w:id="104809192">
      <w:marLeft w:val="0"/>
      <w:marRight w:val="0"/>
      <w:marTop w:val="0"/>
      <w:marBottom w:val="0"/>
      <w:divBdr>
        <w:top w:val="none" w:sz="0" w:space="0" w:color="auto"/>
        <w:left w:val="none" w:sz="0" w:space="0" w:color="auto"/>
        <w:bottom w:val="none" w:sz="0" w:space="0" w:color="auto"/>
        <w:right w:val="none" w:sz="0" w:space="0" w:color="auto"/>
      </w:divBdr>
      <w:divsChild>
        <w:div w:id="539515590">
          <w:marLeft w:val="0"/>
          <w:marRight w:val="0"/>
          <w:marTop w:val="60"/>
          <w:marBottom w:val="180"/>
          <w:divBdr>
            <w:top w:val="none" w:sz="0" w:space="0" w:color="auto"/>
            <w:left w:val="none" w:sz="0" w:space="0" w:color="auto"/>
            <w:bottom w:val="none" w:sz="0" w:space="0" w:color="auto"/>
            <w:right w:val="none" w:sz="0" w:space="0" w:color="auto"/>
          </w:divBdr>
        </w:div>
      </w:divsChild>
    </w:div>
    <w:div w:id="105929460">
      <w:marLeft w:val="0"/>
      <w:marRight w:val="0"/>
      <w:marTop w:val="60"/>
      <w:marBottom w:val="60"/>
      <w:divBdr>
        <w:top w:val="none" w:sz="0" w:space="0" w:color="auto"/>
        <w:left w:val="none" w:sz="0" w:space="0" w:color="auto"/>
        <w:bottom w:val="none" w:sz="0" w:space="0" w:color="auto"/>
        <w:right w:val="none" w:sz="0" w:space="0" w:color="auto"/>
      </w:divBdr>
    </w:div>
    <w:div w:id="107356301">
      <w:marLeft w:val="0"/>
      <w:marRight w:val="0"/>
      <w:marTop w:val="180"/>
      <w:marBottom w:val="180"/>
      <w:divBdr>
        <w:top w:val="none" w:sz="0" w:space="0" w:color="auto"/>
        <w:left w:val="none" w:sz="0" w:space="0" w:color="auto"/>
        <w:bottom w:val="none" w:sz="0" w:space="0" w:color="auto"/>
        <w:right w:val="none" w:sz="0" w:space="0" w:color="auto"/>
      </w:divBdr>
    </w:div>
    <w:div w:id="111022286">
      <w:marLeft w:val="0"/>
      <w:marRight w:val="0"/>
      <w:marTop w:val="180"/>
      <w:marBottom w:val="180"/>
      <w:divBdr>
        <w:top w:val="none" w:sz="0" w:space="0" w:color="auto"/>
        <w:left w:val="none" w:sz="0" w:space="0" w:color="auto"/>
        <w:bottom w:val="none" w:sz="0" w:space="0" w:color="auto"/>
        <w:right w:val="none" w:sz="0" w:space="0" w:color="auto"/>
      </w:divBdr>
    </w:div>
    <w:div w:id="113405727">
      <w:marLeft w:val="0"/>
      <w:marRight w:val="0"/>
      <w:marTop w:val="0"/>
      <w:marBottom w:val="0"/>
      <w:divBdr>
        <w:top w:val="none" w:sz="0" w:space="0" w:color="auto"/>
        <w:left w:val="none" w:sz="0" w:space="0" w:color="auto"/>
        <w:bottom w:val="none" w:sz="0" w:space="0" w:color="auto"/>
        <w:right w:val="none" w:sz="0" w:space="0" w:color="auto"/>
      </w:divBdr>
      <w:divsChild>
        <w:div w:id="794907791">
          <w:marLeft w:val="0"/>
          <w:marRight w:val="0"/>
          <w:marTop w:val="0"/>
          <w:marBottom w:val="0"/>
          <w:divBdr>
            <w:top w:val="none" w:sz="0" w:space="0" w:color="auto"/>
            <w:left w:val="none" w:sz="0" w:space="0" w:color="auto"/>
            <w:bottom w:val="none" w:sz="0" w:space="0" w:color="auto"/>
            <w:right w:val="none" w:sz="0" w:space="0" w:color="auto"/>
          </w:divBdr>
          <w:divsChild>
            <w:div w:id="133499046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4950514">
      <w:marLeft w:val="0"/>
      <w:marRight w:val="0"/>
      <w:marTop w:val="0"/>
      <w:marBottom w:val="0"/>
      <w:divBdr>
        <w:top w:val="none" w:sz="0" w:space="0" w:color="auto"/>
        <w:left w:val="none" w:sz="0" w:space="0" w:color="auto"/>
        <w:bottom w:val="none" w:sz="0" w:space="0" w:color="auto"/>
        <w:right w:val="none" w:sz="0" w:space="0" w:color="auto"/>
      </w:divBdr>
    </w:div>
    <w:div w:id="115149868">
      <w:marLeft w:val="0"/>
      <w:marRight w:val="0"/>
      <w:marTop w:val="0"/>
      <w:marBottom w:val="0"/>
      <w:divBdr>
        <w:top w:val="none" w:sz="0" w:space="0" w:color="auto"/>
        <w:left w:val="none" w:sz="0" w:space="0" w:color="auto"/>
        <w:bottom w:val="none" w:sz="0" w:space="0" w:color="auto"/>
        <w:right w:val="none" w:sz="0" w:space="0" w:color="auto"/>
      </w:divBdr>
    </w:div>
    <w:div w:id="115947861">
      <w:marLeft w:val="0"/>
      <w:marRight w:val="0"/>
      <w:marTop w:val="180"/>
      <w:marBottom w:val="180"/>
      <w:divBdr>
        <w:top w:val="none" w:sz="0" w:space="0" w:color="auto"/>
        <w:left w:val="none" w:sz="0" w:space="0" w:color="auto"/>
        <w:bottom w:val="none" w:sz="0" w:space="0" w:color="auto"/>
        <w:right w:val="none" w:sz="0" w:space="0" w:color="auto"/>
      </w:divBdr>
    </w:div>
    <w:div w:id="116529725">
      <w:marLeft w:val="0"/>
      <w:marRight w:val="0"/>
      <w:marTop w:val="0"/>
      <w:marBottom w:val="0"/>
      <w:divBdr>
        <w:top w:val="none" w:sz="0" w:space="0" w:color="auto"/>
        <w:left w:val="none" w:sz="0" w:space="0" w:color="auto"/>
        <w:bottom w:val="none" w:sz="0" w:space="0" w:color="auto"/>
        <w:right w:val="none" w:sz="0" w:space="0" w:color="auto"/>
      </w:divBdr>
      <w:divsChild>
        <w:div w:id="1503083814">
          <w:marLeft w:val="0"/>
          <w:marRight w:val="0"/>
          <w:marTop w:val="60"/>
          <w:marBottom w:val="180"/>
          <w:divBdr>
            <w:top w:val="none" w:sz="0" w:space="0" w:color="auto"/>
            <w:left w:val="none" w:sz="0" w:space="0" w:color="auto"/>
            <w:bottom w:val="none" w:sz="0" w:space="0" w:color="auto"/>
            <w:right w:val="none" w:sz="0" w:space="0" w:color="auto"/>
          </w:divBdr>
        </w:div>
      </w:divsChild>
    </w:div>
    <w:div w:id="117535077">
      <w:marLeft w:val="0"/>
      <w:marRight w:val="0"/>
      <w:marTop w:val="0"/>
      <w:marBottom w:val="0"/>
      <w:divBdr>
        <w:top w:val="none" w:sz="0" w:space="0" w:color="auto"/>
        <w:left w:val="none" w:sz="0" w:space="0" w:color="auto"/>
        <w:bottom w:val="none" w:sz="0" w:space="0" w:color="auto"/>
        <w:right w:val="none" w:sz="0" w:space="0" w:color="auto"/>
      </w:divBdr>
      <w:divsChild>
        <w:div w:id="1944192784">
          <w:marLeft w:val="0"/>
          <w:marRight w:val="0"/>
          <w:marTop w:val="60"/>
          <w:marBottom w:val="180"/>
          <w:divBdr>
            <w:top w:val="none" w:sz="0" w:space="0" w:color="auto"/>
            <w:left w:val="none" w:sz="0" w:space="0" w:color="auto"/>
            <w:bottom w:val="none" w:sz="0" w:space="0" w:color="auto"/>
            <w:right w:val="none" w:sz="0" w:space="0" w:color="auto"/>
          </w:divBdr>
        </w:div>
      </w:divsChild>
    </w:div>
    <w:div w:id="117996518">
      <w:marLeft w:val="0"/>
      <w:marRight w:val="0"/>
      <w:marTop w:val="180"/>
      <w:marBottom w:val="180"/>
      <w:divBdr>
        <w:top w:val="none" w:sz="0" w:space="0" w:color="auto"/>
        <w:left w:val="none" w:sz="0" w:space="0" w:color="auto"/>
        <w:bottom w:val="none" w:sz="0" w:space="0" w:color="auto"/>
        <w:right w:val="none" w:sz="0" w:space="0" w:color="auto"/>
      </w:divBdr>
    </w:div>
    <w:div w:id="118187942">
      <w:marLeft w:val="0"/>
      <w:marRight w:val="0"/>
      <w:marTop w:val="0"/>
      <w:marBottom w:val="0"/>
      <w:divBdr>
        <w:top w:val="none" w:sz="0" w:space="0" w:color="auto"/>
        <w:left w:val="none" w:sz="0" w:space="0" w:color="auto"/>
        <w:bottom w:val="none" w:sz="0" w:space="0" w:color="auto"/>
        <w:right w:val="none" w:sz="0" w:space="0" w:color="auto"/>
      </w:divBdr>
    </w:div>
    <w:div w:id="118838268">
      <w:marLeft w:val="0"/>
      <w:marRight w:val="0"/>
      <w:marTop w:val="0"/>
      <w:marBottom w:val="0"/>
      <w:divBdr>
        <w:top w:val="none" w:sz="0" w:space="0" w:color="auto"/>
        <w:left w:val="none" w:sz="0" w:space="0" w:color="auto"/>
        <w:bottom w:val="none" w:sz="0" w:space="0" w:color="auto"/>
        <w:right w:val="none" w:sz="0" w:space="0" w:color="auto"/>
      </w:divBdr>
      <w:divsChild>
        <w:div w:id="289701537">
          <w:marLeft w:val="0"/>
          <w:marRight w:val="0"/>
          <w:marTop w:val="180"/>
          <w:marBottom w:val="180"/>
          <w:divBdr>
            <w:top w:val="none" w:sz="0" w:space="0" w:color="auto"/>
            <w:left w:val="none" w:sz="0" w:space="0" w:color="auto"/>
            <w:bottom w:val="none" w:sz="0" w:space="0" w:color="auto"/>
            <w:right w:val="none" w:sz="0" w:space="0" w:color="auto"/>
          </w:divBdr>
        </w:div>
      </w:divsChild>
    </w:div>
    <w:div w:id="119155772">
      <w:marLeft w:val="0"/>
      <w:marRight w:val="0"/>
      <w:marTop w:val="0"/>
      <w:marBottom w:val="0"/>
      <w:divBdr>
        <w:top w:val="none" w:sz="0" w:space="0" w:color="auto"/>
        <w:left w:val="none" w:sz="0" w:space="0" w:color="auto"/>
        <w:bottom w:val="none" w:sz="0" w:space="0" w:color="auto"/>
        <w:right w:val="none" w:sz="0" w:space="0" w:color="auto"/>
      </w:divBdr>
      <w:divsChild>
        <w:div w:id="53546312">
          <w:marLeft w:val="0"/>
          <w:marRight w:val="0"/>
          <w:marTop w:val="180"/>
          <w:marBottom w:val="180"/>
          <w:divBdr>
            <w:top w:val="none" w:sz="0" w:space="0" w:color="auto"/>
            <w:left w:val="none" w:sz="0" w:space="0" w:color="auto"/>
            <w:bottom w:val="none" w:sz="0" w:space="0" w:color="auto"/>
            <w:right w:val="none" w:sz="0" w:space="0" w:color="auto"/>
          </w:divBdr>
        </w:div>
      </w:divsChild>
    </w:div>
    <w:div w:id="120612344">
      <w:marLeft w:val="0"/>
      <w:marRight w:val="0"/>
      <w:marTop w:val="180"/>
      <w:marBottom w:val="180"/>
      <w:divBdr>
        <w:top w:val="none" w:sz="0" w:space="0" w:color="auto"/>
        <w:left w:val="none" w:sz="0" w:space="0" w:color="auto"/>
        <w:bottom w:val="none" w:sz="0" w:space="0" w:color="auto"/>
        <w:right w:val="none" w:sz="0" w:space="0" w:color="auto"/>
      </w:divBdr>
    </w:div>
    <w:div w:id="122045576">
      <w:marLeft w:val="0"/>
      <w:marRight w:val="0"/>
      <w:marTop w:val="180"/>
      <w:marBottom w:val="180"/>
      <w:divBdr>
        <w:top w:val="none" w:sz="0" w:space="0" w:color="auto"/>
        <w:left w:val="none" w:sz="0" w:space="0" w:color="auto"/>
        <w:bottom w:val="none" w:sz="0" w:space="0" w:color="auto"/>
        <w:right w:val="none" w:sz="0" w:space="0" w:color="auto"/>
      </w:divBdr>
    </w:div>
    <w:div w:id="123235052">
      <w:marLeft w:val="0"/>
      <w:marRight w:val="0"/>
      <w:marTop w:val="180"/>
      <w:marBottom w:val="180"/>
      <w:divBdr>
        <w:top w:val="none" w:sz="0" w:space="0" w:color="auto"/>
        <w:left w:val="none" w:sz="0" w:space="0" w:color="auto"/>
        <w:bottom w:val="none" w:sz="0" w:space="0" w:color="auto"/>
        <w:right w:val="none" w:sz="0" w:space="0" w:color="auto"/>
      </w:divBdr>
    </w:div>
    <w:div w:id="123432779">
      <w:marLeft w:val="0"/>
      <w:marRight w:val="0"/>
      <w:marTop w:val="0"/>
      <w:marBottom w:val="0"/>
      <w:divBdr>
        <w:top w:val="none" w:sz="0" w:space="0" w:color="auto"/>
        <w:left w:val="none" w:sz="0" w:space="0" w:color="auto"/>
        <w:bottom w:val="none" w:sz="0" w:space="0" w:color="auto"/>
        <w:right w:val="none" w:sz="0" w:space="0" w:color="auto"/>
      </w:divBdr>
      <w:divsChild>
        <w:div w:id="1620330941">
          <w:marLeft w:val="0"/>
          <w:marRight w:val="0"/>
          <w:marTop w:val="0"/>
          <w:marBottom w:val="0"/>
          <w:divBdr>
            <w:top w:val="none" w:sz="0" w:space="0" w:color="auto"/>
            <w:left w:val="none" w:sz="0" w:space="0" w:color="auto"/>
            <w:bottom w:val="none" w:sz="0" w:space="0" w:color="auto"/>
            <w:right w:val="none" w:sz="0" w:space="0" w:color="auto"/>
          </w:divBdr>
          <w:divsChild>
            <w:div w:id="19998106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3546874">
      <w:marLeft w:val="0"/>
      <w:marRight w:val="0"/>
      <w:marTop w:val="180"/>
      <w:marBottom w:val="180"/>
      <w:divBdr>
        <w:top w:val="none" w:sz="0" w:space="0" w:color="auto"/>
        <w:left w:val="none" w:sz="0" w:space="0" w:color="auto"/>
        <w:bottom w:val="none" w:sz="0" w:space="0" w:color="auto"/>
        <w:right w:val="none" w:sz="0" w:space="0" w:color="auto"/>
      </w:divBdr>
    </w:div>
    <w:div w:id="124471504">
      <w:marLeft w:val="0"/>
      <w:marRight w:val="0"/>
      <w:marTop w:val="100"/>
      <w:marBottom w:val="0"/>
      <w:divBdr>
        <w:top w:val="none" w:sz="0" w:space="0" w:color="auto"/>
        <w:left w:val="none" w:sz="0" w:space="0" w:color="auto"/>
        <w:bottom w:val="none" w:sz="0" w:space="0" w:color="auto"/>
        <w:right w:val="none" w:sz="0" w:space="0" w:color="auto"/>
      </w:divBdr>
    </w:div>
    <w:div w:id="126705000">
      <w:marLeft w:val="0"/>
      <w:marRight w:val="0"/>
      <w:marTop w:val="60"/>
      <w:marBottom w:val="60"/>
      <w:divBdr>
        <w:top w:val="none" w:sz="0" w:space="0" w:color="auto"/>
        <w:left w:val="none" w:sz="0" w:space="0" w:color="auto"/>
        <w:bottom w:val="none" w:sz="0" w:space="0" w:color="auto"/>
        <w:right w:val="none" w:sz="0" w:space="0" w:color="auto"/>
      </w:divBdr>
    </w:div>
    <w:div w:id="127868346">
      <w:marLeft w:val="0"/>
      <w:marRight w:val="0"/>
      <w:marTop w:val="180"/>
      <w:marBottom w:val="180"/>
      <w:divBdr>
        <w:top w:val="none" w:sz="0" w:space="0" w:color="auto"/>
        <w:left w:val="none" w:sz="0" w:space="0" w:color="auto"/>
        <w:bottom w:val="none" w:sz="0" w:space="0" w:color="auto"/>
        <w:right w:val="none" w:sz="0" w:space="0" w:color="auto"/>
      </w:divBdr>
    </w:div>
    <w:div w:id="128325289">
      <w:marLeft w:val="0"/>
      <w:marRight w:val="0"/>
      <w:marTop w:val="180"/>
      <w:marBottom w:val="180"/>
      <w:divBdr>
        <w:top w:val="none" w:sz="0" w:space="0" w:color="auto"/>
        <w:left w:val="none" w:sz="0" w:space="0" w:color="auto"/>
        <w:bottom w:val="none" w:sz="0" w:space="0" w:color="auto"/>
        <w:right w:val="none" w:sz="0" w:space="0" w:color="auto"/>
      </w:divBdr>
    </w:div>
    <w:div w:id="128519238">
      <w:marLeft w:val="0"/>
      <w:marRight w:val="0"/>
      <w:marTop w:val="180"/>
      <w:marBottom w:val="180"/>
      <w:divBdr>
        <w:top w:val="none" w:sz="0" w:space="0" w:color="auto"/>
        <w:left w:val="none" w:sz="0" w:space="0" w:color="auto"/>
        <w:bottom w:val="none" w:sz="0" w:space="0" w:color="auto"/>
        <w:right w:val="none" w:sz="0" w:space="0" w:color="auto"/>
      </w:divBdr>
    </w:div>
    <w:div w:id="129445657">
      <w:marLeft w:val="0"/>
      <w:marRight w:val="0"/>
      <w:marTop w:val="180"/>
      <w:marBottom w:val="180"/>
      <w:divBdr>
        <w:top w:val="none" w:sz="0" w:space="0" w:color="auto"/>
        <w:left w:val="none" w:sz="0" w:space="0" w:color="auto"/>
        <w:bottom w:val="none" w:sz="0" w:space="0" w:color="auto"/>
        <w:right w:val="none" w:sz="0" w:space="0" w:color="auto"/>
      </w:divBdr>
    </w:div>
    <w:div w:id="129515434">
      <w:marLeft w:val="0"/>
      <w:marRight w:val="0"/>
      <w:marTop w:val="180"/>
      <w:marBottom w:val="180"/>
      <w:divBdr>
        <w:top w:val="none" w:sz="0" w:space="0" w:color="auto"/>
        <w:left w:val="none" w:sz="0" w:space="0" w:color="auto"/>
        <w:bottom w:val="none" w:sz="0" w:space="0" w:color="auto"/>
        <w:right w:val="none" w:sz="0" w:space="0" w:color="auto"/>
      </w:divBdr>
    </w:div>
    <w:div w:id="129827835">
      <w:marLeft w:val="0"/>
      <w:marRight w:val="0"/>
      <w:marTop w:val="180"/>
      <w:marBottom w:val="180"/>
      <w:divBdr>
        <w:top w:val="none" w:sz="0" w:space="0" w:color="auto"/>
        <w:left w:val="none" w:sz="0" w:space="0" w:color="auto"/>
        <w:bottom w:val="none" w:sz="0" w:space="0" w:color="auto"/>
        <w:right w:val="none" w:sz="0" w:space="0" w:color="auto"/>
      </w:divBdr>
    </w:div>
    <w:div w:id="130557605">
      <w:marLeft w:val="0"/>
      <w:marRight w:val="0"/>
      <w:marTop w:val="180"/>
      <w:marBottom w:val="180"/>
      <w:divBdr>
        <w:top w:val="none" w:sz="0" w:space="0" w:color="auto"/>
        <w:left w:val="none" w:sz="0" w:space="0" w:color="auto"/>
        <w:bottom w:val="none" w:sz="0" w:space="0" w:color="auto"/>
        <w:right w:val="none" w:sz="0" w:space="0" w:color="auto"/>
      </w:divBdr>
    </w:div>
    <w:div w:id="131021121">
      <w:marLeft w:val="0"/>
      <w:marRight w:val="0"/>
      <w:marTop w:val="180"/>
      <w:marBottom w:val="180"/>
      <w:divBdr>
        <w:top w:val="none" w:sz="0" w:space="0" w:color="auto"/>
        <w:left w:val="none" w:sz="0" w:space="0" w:color="auto"/>
        <w:bottom w:val="none" w:sz="0" w:space="0" w:color="auto"/>
        <w:right w:val="none" w:sz="0" w:space="0" w:color="auto"/>
      </w:divBdr>
    </w:div>
    <w:div w:id="131557360">
      <w:marLeft w:val="0"/>
      <w:marRight w:val="0"/>
      <w:marTop w:val="60"/>
      <w:marBottom w:val="60"/>
      <w:divBdr>
        <w:top w:val="none" w:sz="0" w:space="0" w:color="auto"/>
        <w:left w:val="none" w:sz="0" w:space="0" w:color="auto"/>
        <w:bottom w:val="none" w:sz="0" w:space="0" w:color="auto"/>
        <w:right w:val="none" w:sz="0" w:space="0" w:color="auto"/>
      </w:divBdr>
    </w:div>
    <w:div w:id="132135833">
      <w:marLeft w:val="0"/>
      <w:marRight w:val="0"/>
      <w:marTop w:val="180"/>
      <w:marBottom w:val="180"/>
      <w:divBdr>
        <w:top w:val="none" w:sz="0" w:space="0" w:color="auto"/>
        <w:left w:val="none" w:sz="0" w:space="0" w:color="auto"/>
        <w:bottom w:val="none" w:sz="0" w:space="0" w:color="auto"/>
        <w:right w:val="none" w:sz="0" w:space="0" w:color="auto"/>
      </w:divBdr>
    </w:div>
    <w:div w:id="133454569">
      <w:marLeft w:val="0"/>
      <w:marRight w:val="0"/>
      <w:marTop w:val="180"/>
      <w:marBottom w:val="180"/>
      <w:divBdr>
        <w:top w:val="none" w:sz="0" w:space="0" w:color="auto"/>
        <w:left w:val="none" w:sz="0" w:space="0" w:color="auto"/>
        <w:bottom w:val="none" w:sz="0" w:space="0" w:color="auto"/>
        <w:right w:val="none" w:sz="0" w:space="0" w:color="auto"/>
      </w:divBdr>
    </w:div>
    <w:div w:id="133986090">
      <w:marLeft w:val="0"/>
      <w:marRight w:val="0"/>
      <w:marTop w:val="60"/>
      <w:marBottom w:val="0"/>
      <w:divBdr>
        <w:top w:val="none" w:sz="0" w:space="0" w:color="auto"/>
        <w:left w:val="none" w:sz="0" w:space="0" w:color="auto"/>
        <w:bottom w:val="none" w:sz="0" w:space="0" w:color="auto"/>
        <w:right w:val="none" w:sz="0" w:space="0" w:color="auto"/>
      </w:divBdr>
    </w:div>
    <w:div w:id="134491212">
      <w:marLeft w:val="0"/>
      <w:marRight w:val="0"/>
      <w:marTop w:val="180"/>
      <w:marBottom w:val="180"/>
      <w:divBdr>
        <w:top w:val="none" w:sz="0" w:space="0" w:color="auto"/>
        <w:left w:val="none" w:sz="0" w:space="0" w:color="auto"/>
        <w:bottom w:val="none" w:sz="0" w:space="0" w:color="auto"/>
        <w:right w:val="none" w:sz="0" w:space="0" w:color="auto"/>
      </w:divBdr>
    </w:div>
    <w:div w:id="134572109">
      <w:marLeft w:val="0"/>
      <w:marRight w:val="0"/>
      <w:marTop w:val="180"/>
      <w:marBottom w:val="180"/>
      <w:divBdr>
        <w:top w:val="none" w:sz="0" w:space="0" w:color="auto"/>
        <w:left w:val="none" w:sz="0" w:space="0" w:color="auto"/>
        <w:bottom w:val="none" w:sz="0" w:space="0" w:color="auto"/>
        <w:right w:val="none" w:sz="0" w:space="0" w:color="auto"/>
      </w:divBdr>
    </w:div>
    <w:div w:id="135756786">
      <w:marLeft w:val="0"/>
      <w:marRight w:val="0"/>
      <w:marTop w:val="180"/>
      <w:marBottom w:val="180"/>
      <w:divBdr>
        <w:top w:val="none" w:sz="0" w:space="0" w:color="auto"/>
        <w:left w:val="none" w:sz="0" w:space="0" w:color="auto"/>
        <w:bottom w:val="none" w:sz="0" w:space="0" w:color="auto"/>
        <w:right w:val="none" w:sz="0" w:space="0" w:color="auto"/>
      </w:divBdr>
    </w:div>
    <w:div w:id="136340662">
      <w:marLeft w:val="0"/>
      <w:marRight w:val="0"/>
      <w:marTop w:val="0"/>
      <w:marBottom w:val="60"/>
      <w:divBdr>
        <w:top w:val="none" w:sz="0" w:space="0" w:color="auto"/>
        <w:left w:val="none" w:sz="0" w:space="0" w:color="auto"/>
        <w:bottom w:val="none" w:sz="0" w:space="0" w:color="auto"/>
        <w:right w:val="none" w:sz="0" w:space="0" w:color="auto"/>
      </w:divBdr>
    </w:div>
    <w:div w:id="136992385">
      <w:marLeft w:val="0"/>
      <w:marRight w:val="0"/>
      <w:marTop w:val="180"/>
      <w:marBottom w:val="180"/>
      <w:divBdr>
        <w:top w:val="none" w:sz="0" w:space="0" w:color="auto"/>
        <w:left w:val="none" w:sz="0" w:space="0" w:color="auto"/>
        <w:bottom w:val="none" w:sz="0" w:space="0" w:color="auto"/>
        <w:right w:val="none" w:sz="0" w:space="0" w:color="auto"/>
      </w:divBdr>
    </w:div>
    <w:div w:id="137118608">
      <w:marLeft w:val="0"/>
      <w:marRight w:val="0"/>
      <w:marTop w:val="180"/>
      <w:marBottom w:val="180"/>
      <w:divBdr>
        <w:top w:val="none" w:sz="0" w:space="0" w:color="auto"/>
        <w:left w:val="none" w:sz="0" w:space="0" w:color="auto"/>
        <w:bottom w:val="none" w:sz="0" w:space="0" w:color="auto"/>
        <w:right w:val="none" w:sz="0" w:space="0" w:color="auto"/>
      </w:divBdr>
    </w:div>
    <w:div w:id="138037896">
      <w:marLeft w:val="0"/>
      <w:marRight w:val="0"/>
      <w:marTop w:val="180"/>
      <w:marBottom w:val="180"/>
      <w:divBdr>
        <w:top w:val="none" w:sz="0" w:space="0" w:color="auto"/>
        <w:left w:val="none" w:sz="0" w:space="0" w:color="auto"/>
        <w:bottom w:val="none" w:sz="0" w:space="0" w:color="auto"/>
        <w:right w:val="none" w:sz="0" w:space="0" w:color="auto"/>
      </w:divBdr>
    </w:div>
    <w:div w:id="138616451">
      <w:marLeft w:val="0"/>
      <w:marRight w:val="0"/>
      <w:marTop w:val="180"/>
      <w:marBottom w:val="180"/>
      <w:divBdr>
        <w:top w:val="none" w:sz="0" w:space="0" w:color="auto"/>
        <w:left w:val="none" w:sz="0" w:space="0" w:color="auto"/>
        <w:bottom w:val="none" w:sz="0" w:space="0" w:color="auto"/>
        <w:right w:val="none" w:sz="0" w:space="0" w:color="auto"/>
      </w:divBdr>
    </w:div>
    <w:div w:id="143205813">
      <w:marLeft w:val="0"/>
      <w:marRight w:val="0"/>
      <w:marTop w:val="180"/>
      <w:marBottom w:val="180"/>
      <w:divBdr>
        <w:top w:val="none" w:sz="0" w:space="0" w:color="auto"/>
        <w:left w:val="none" w:sz="0" w:space="0" w:color="auto"/>
        <w:bottom w:val="none" w:sz="0" w:space="0" w:color="auto"/>
        <w:right w:val="none" w:sz="0" w:space="0" w:color="auto"/>
      </w:divBdr>
    </w:div>
    <w:div w:id="145753813">
      <w:marLeft w:val="0"/>
      <w:marRight w:val="0"/>
      <w:marTop w:val="60"/>
      <w:marBottom w:val="60"/>
      <w:divBdr>
        <w:top w:val="none" w:sz="0" w:space="0" w:color="auto"/>
        <w:left w:val="none" w:sz="0" w:space="0" w:color="auto"/>
        <w:bottom w:val="none" w:sz="0" w:space="0" w:color="auto"/>
        <w:right w:val="none" w:sz="0" w:space="0" w:color="auto"/>
      </w:divBdr>
    </w:div>
    <w:div w:id="146017076">
      <w:marLeft w:val="0"/>
      <w:marRight w:val="0"/>
      <w:marTop w:val="60"/>
      <w:marBottom w:val="60"/>
      <w:divBdr>
        <w:top w:val="none" w:sz="0" w:space="0" w:color="auto"/>
        <w:left w:val="none" w:sz="0" w:space="0" w:color="auto"/>
        <w:bottom w:val="none" w:sz="0" w:space="0" w:color="auto"/>
        <w:right w:val="none" w:sz="0" w:space="0" w:color="auto"/>
      </w:divBdr>
    </w:div>
    <w:div w:id="147020955">
      <w:marLeft w:val="0"/>
      <w:marRight w:val="0"/>
      <w:marTop w:val="60"/>
      <w:marBottom w:val="60"/>
      <w:divBdr>
        <w:top w:val="none" w:sz="0" w:space="0" w:color="auto"/>
        <w:left w:val="none" w:sz="0" w:space="0" w:color="auto"/>
        <w:bottom w:val="none" w:sz="0" w:space="0" w:color="auto"/>
        <w:right w:val="none" w:sz="0" w:space="0" w:color="auto"/>
      </w:divBdr>
    </w:div>
    <w:div w:id="147981229">
      <w:marLeft w:val="0"/>
      <w:marRight w:val="0"/>
      <w:marTop w:val="180"/>
      <w:marBottom w:val="180"/>
      <w:divBdr>
        <w:top w:val="none" w:sz="0" w:space="0" w:color="auto"/>
        <w:left w:val="none" w:sz="0" w:space="0" w:color="auto"/>
        <w:bottom w:val="none" w:sz="0" w:space="0" w:color="auto"/>
        <w:right w:val="none" w:sz="0" w:space="0" w:color="auto"/>
      </w:divBdr>
    </w:div>
    <w:div w:id="148333469">
      <w:marLeft w:val="0"/>
      <w:marRight w:val="0"/>
      <w:marTop w:val="180"/>
      <w:marBottom w:val="180"/>
      <w:divBdr>
        <w:top w:val="none" w:sz="0" w:space="0" w:color="auto"/>
        <w:left w:val="none" w:sz="0" w:space="0" w:color="auto"/>
        <w:bottom w:val="none" w:sz="0" w:space="0" w:color="auto"/>
        <w:right w:val="none" w:sz="0" w:space="0" w:color="auto"/>
      </w:divBdr>
    </w:div>
    <w:div w:id="148523830">
      <w:marLeft w:val="0"/>
      <w:marRight w:val="0"/>
      <w:marTop w:val="180"/>
      <w:marBottom w:val="180"/>
      <w:divBdr>
        <w:top w:val="none" w:sz="0" w:space="0" w:color="auto"/>
        <w:left w:val="none" w:sz="0" w:space="0" w:color="auto"/>
        <w:bottom w:val="none" w:sz="0" w:space="0" w:color="auto"/>
        <w:right w:val="none" w:sz="0" w:space="0" w:color="auto"/>
      </w:divBdr>
    </w:div>
    <w:div w:id="148985949">
      <w:marLeft w:val="0"/>
      <w:marRight w:val="0"/>
      <w:marTop w:val="180"/>
      <w:marBottom w:val="180"/>
      <w:divBdr>
        <w:top w:val="none" w:sz="0" w:space="0" w:color="auto"/>
        <w:left w:val="none" w:sz="0" w:space="0" w:color="auto"/>
        <w:bottom w:val="none" w:sz="0" w:space="0" w:color="auto"/>
        <w:right w:val="none" w:sz="0" w:space="0" w:color="auto"/>
      </w:divBdr>
    </w:div>
    <w:div w:id="150099399">
      <w:marLeft w:val="0"/>
      <w:marRight w:val="0"/>
      <w:marTop w:val="180"/>
      <w:marBottom w:val="180"/>
      <w:divBdr>
        <w:top w:val="none" w:sz="0" w:space="0" w:color="auto"/>
        <w:left w:val="none" w:sz="0" w:space="0" w:color="auto"/>
        <w:bottom w:val="none" w:sz="0" w:space="0" w:color="auto"/>
        <w:right w:val="none" w:sz="0" w:space="0" w:color="auto"/>
      </w:divBdr>
    </w:div>
    <w:div w:id="150370352">
      <w:marLeft w:val="0"/>
      <w:marRight w:val="0"/>
      <w:marTop w:val="180"/>
      <w:marBottom w:val="180"/>
      <w:divBdr>
        <w:top w:val="none" w:sz="0" w:space="0" w:color="auto"/>
        <w:left w:val="none" w:sz="0" w:space="0" w:color="auto"/>
        <w:bottom w:val="none" w:sz="0" w:space="0" w:color="auto"/>
        <w:right w:val="none" w:sz="0" w:space="0" w:color="auto"/>
      </w:divBdr>
    </w:div>
    <w:div w:id="150679550">
      <w:marLeft w:val="0"/>
      <w:marRight w:val="0"/>
      <w:marTop w:val="180"/>
      <w:marBottom w:val="180"/>
      <w:divBdr>
        <w:top w:val="none" w:sz="0" w:space="0" w:color="auto"/>
        <w:left w:val="none" w:sz="0" w:space="0" w:color="auto"/>
        <w:bottom w:val="none" w:sz="0" w:space="0" w:color="auto"/>
        <w:right w:val="none" w:sz="0" w:space="0" w:color="auto"/>
      </w:divBdr>
    </w:div>
    <w:div w:id="151143503">
      <w:marLeft w:val="0"/>
      <w:marRight w:val="0"/>
      <w:marTop w:val="0"/>
      <w:marBottom w:val="0"/>
      <w:divBdr>
        <w:top w:val="none" w:sz="0" w:space="0" w:color="auto"/>
        <w:left w:val="none" w:sz="0" w:space="0" w:color="auto"/>
        <w:bottom w:val="none" w:sz="0" w:space="0" w:color="auto"/>
        <w:right w:val="none" w:sz="0" w:space="0" w:color="auto"/>
      </w:divBdr>
      <w:divsChild>
        <w:div w:id="1429084312">
          <w:marLeft w:val="0"/>
          <w:marRight w:val="0"/>
          <w:marTop w:val="0"/>
          <w:marBottom w:val="0"/>
          <w:divBdr>
            <w:top w:val="none" w:sz="0" w:space="0" w:color="auto"/>
            <w:left w:val="none" w:sz="0" w:space="0" w:color="auto"/>
            <w:bottom w:val="none" w:sz="0" w:space="0" w:color="auto"/>
            <w:right w:val="none" w:sz="0" w:space="0" w:color="auto"/>
          </w:divBdr>
          <w:divsChild>
            <w:div w:id="147791526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4608552">
      <w:marLeft w:val="0"/>
      <w:marRight w:val="0"/>
      <w:marTop w:val="180"/>
      <w:marBottom w:val="180"/>
      <w:divBdr>
        <w:top w:val="none" w:sz="0" w:space="0" w:color="auto"/>
        <w:left w:val="none" w:sz="0" w:space="0" w:color="auto"/>
        <w:bottom w:val="none" w:sz="0" w:space="0" w:color="auto"/>
        <w:right w:val="none" w:sz="0" w:space="0" w:color="auto"/>
      </w:divBdr>
    </w:div>
    <w:div w:id="156264743">
      <w:marLeft w:val="0"/>
      <w:marRight w:val="0"/>
      <w:marTop w:val="0"/>
      <w:marBottom w:val="0"/>
      <w:divBdr>
        <w:top w:val="none" w:sz="0" w:space="0" w:color="auto"/>
        <w:left w:val="none" w:sz="0" w:space="0" w:color="auto"/>
        <w:bottom w:val="none" w:sz="0" w:space="0" w:color="auto"/>
        <w:right w:val="none" w:sz="0" w:space="0" w:color="auto"/>
      </w:divBdr>
      <w:divsChild>
        <w:div w:id="1387410159">
          <w:marLeft w:val="0"/>
          <w:marRight w:val="0"/>
          <w:marTop w:val="0"/>
          <w:marBottom w:val="0"/>
          <w:divBdr>
            <w:top w:val="none" w:sz="0" w:space="0" w:color="auto"/>
            <w:left w:val="none" w:sz="0" w:space="0" w:color="auto"/>
            <w:bottom w:val="none" w:sz="0" w:space="0" w:color="auto"/>
            <w:right w:val="none" w:sz="0" w:space="0" w:color="auto"/>
          </w:divBdr>
          <w:divsChild>
            <w:div w:id="119507444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8928979">
      <w:marLeft w:val="0"/>
      <w:marRight w:val="0"/>
      <w:marTop w:val="180"/>
      <w:marBottom w:val="180"/>
      <w:divBdr>
        <w:top w:val="none" w:sz="0" w:space="0" w:color="auto"/>
        <w:left w:val="none" w:sz="0" w:space="0" w:color="auto"/>
        <w:bottom w:val="none" w:sz="0" w:space="0" w:color="auto"/>
        <w:right w:val="none" w:sz="0" w:space="0" w:color="auto"/>
      </w:divBdr>
    </w:div>
    <w:div w:id="159320404">
      <w:marLeft w:val="0"/>
      <w:marRight w:val="0"/>
      <w:marTop w:val="60"/>
      <w:marBottom w:val="60"/>
      <w:divBdr>
        <w:top w:val="none" w:sz="0" w:space="0" w:color="auto"/>
        <w:left w:val="none" w:sz="0" w:space="0" w:color="auto"/>
        <w:bottom w:val="none" w:sz="0" w:space="0" w:color="auto"/>
        <w:right w:val="none" w:sz="0" w:space="0" w:color="auto"/>
      </w:divBdr>
    </w:div>
    <w:div w:id="159977332">
      <w:marLeft w:val="0"/>
      <w:marRight w:val="0"/>
      <w:marTop w:val="180"/>
      <w:marBottom w:val="180"/>
      <w:divBdr>
        <w:top w:val="none" w:sz="0" w:space="0" w:color="auto"/>
        <w:left w:val="none" w:sz="0" w:space="0" w:color="auto"/>
        <w:bottom w:val="none" w:sz="0" w:space="0" w:color="auto"/>
        <w:right w:val="none" w:sz="0" w:space="0" w:color="auto"/>
      </w:divBdr>
      <w:divsChild>
        <w:div w:id="413169928">
          <w:marLeft w:val="0"/>
          <w:marRight w:val="0"/>
          <w:marTop w:val="0"/>
          <w:marBottom w:val="0"/>
          <w:divBdr>
            <w:top w:val="none" w:sz="0" w:space="0" w:color="auto"/>
            <w:left w:val="none" w:sz="0" w:space="0" w:color="auto"/>
            <w:bottom w:val="none" w:sz="0" w:space="0" w:color="auto"/>
            <w:right w:val="none" w:sz="0" w:space="0" w:color="auto"/>
          </w:divBdr>
        </w:div>
      </w:divsChild>
    </w:div>
    <w:div w:id="160584399">
      <w:marLeft w:val="0"/>
      <w:marRight w:val="0"/>
      <w:marTop w:val="0"/>
      <w:marBottom w:val="0"/>
      <w:divBdr>
        <w:top w:val="none" w:sz="0" w:space="0" w:color="auto"/>
        <w:left w:val="none" w:sz="0" w:space="0" w:color="auto"/>
        <w:bottom w:val="none" w:sz="0" w:space="0" w:color="auto"/>
        <w:right w:val="none" w:sz="0" w:space="0" w:color="auto"/>
      </w:divBdr>
    </w:div>
    <w:div w:id="160708280">
      <w:marLeft w:val="0"/>
      <w:marRight w:val="0"/>
      <w:marTop w:val="240"/>
      <w:marBottom w:val="0"/>
      <w:divBdr>
        <w:top w:val="none" w:sz="0" w:space="0" w:color="auto"/>
        <w:left w:val="none" w:sz="0" w:space="0" w:color="auto"/>
        <w:bottom w:val="none" w:sz="0" w:space="0" w:color="auto"/>
        <w:right w:val="none" w:sz="0" w:space="0" w:color="auto"/>
      </w:divBdr>
    </w:div>
    <w:div w:id="161287960">
      <w:marLeft w:val="0"/>
      <w:marRight w:val="0"/>
      <w:marTop w:val="180"/>
      <w:marBottom w:val="180"/>
      <w:divBdr>
        <w:top w:val="none" w:sz="0" w:space="0" w:color="auto"/>
        <w:left w:val="none" w:sz="0" w:space="0" w:color="auto"/>
        <w:bottom w:val="none" w:sz="0" w:space="0" w:color="auto"/>
        <w:right w:val="none" w:sz="0" w:space="0" w:color="auto"/>
      </w:divBdr>
    </w:div>
    <w:div w:id="162550005">
      <w:marLeft w:val="0"/>
      <w:marRight w:val="0"/>
      <w:marTop w:val="180"/>
      <w:marBottom w:val="180"/>
      <w:divBdr>
        <w:top w:val="none" w:sz="0" w:space="0" w:color="auto"/>
        <w:left w:val="none" w:sz="0" w:space="0" w:color="auto"/>
        <w:bottom w:val="none" w:sz="0" w:space="0" w:color="auto"/>
        <w:right w:val="none" w:sz="0" w:space="0" w:color="auto"/>
      </w:divBdr>
    </w:div>
    <w:div w:id="162623477">
      <w:marLeft w:val="0"/>
      <w:marRight w:val="0"/>
      <w:marTop w:val="180"/>
      <w:marBottom w:val="180"/>
      <w:divBdr>
        <w:top w:val="none" w:sz="0" w:space="0" w:color="auto"/>
        <w:left w:val="none" w:sz="0" w:space="0" w:color="auto"/>
        <w:bottom w:val="none" w:sz="0" w:space="0" w:color="auto"/>
        <w:right w:val="none" w:sz="0" w:space="0" w:color="auto"/>
      </w:divBdr>
    </w:div>
    <w:div w:id="162741508">
      <w:marLeft w:val="0"/>
      <w:marRight w:val="0"/>
      <w:marTop w:val="180"/>
      <w:marBottom w:val="0"/>
      <w:divBdr>
        <w:top w:val="none" w:sz="0" w:space="0" w:color="auto"/>
        <w:left w:val="none" w:sz="0" w:space="0" w:color="auto"/>
        <w:bottom w:val="none" w:sz="0" w:space="0" w:color="auto"/>
        <w:right w:val="none" w:sz="0" w:space="0" w:color="auto"/>
      </w:divBdr>
    </w:div>
    <w:div w:id="162744072">
      <w:marLeft w:val="0"/>
      <w:marRight w:val="0"/>
      <w:marTop w:val="0"/>
      <w:marBottom w:val="0"/>
      <w:divBdr>
        <w:top w:val="none" w:sz="0" w:space="0" w:color="auto"/>
        <w:left w:val="none" w:sz="0" w:space="0" w:color="auto"/>
        <w:bottom w:val="none" w:sz="0" w:space="0" w:color="auto"/>
        <w:right w:val="none" w:sz="0" w:space="0" w:color="auto"/>
      </w:divBdr>
      <w:divsChild>
        <w:div w:id="882449240">
          <w:marLeft w:val="0"/>
          <w:marRight w:val="0"/>
          <w:marTop w:val="0"/>
          <w:marBottom w:val="0"/>
          <w:divBdr>
            <w:top w:val="none" w:sz="0" w:space="0" w:color="auto"/>
            <w:left w:val="none" w:sz="0" w:space="0" w:color="auto"/>
            <w:bottom w:val="none" w:sz="0" w:space="0" w:color="auto"/>
            <w:right w:val="none" w:sz="0" w:space="0" w:color="auto"/>
          </w:divBdr>
          <w:divsChild>
            <w:div w:id="113903133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3908850">
      <w:marLeft w:val="0"/>
      <w:marRight w:val="0"/>
      <w:marTop w:val="60"/>
      <w:marBottom w:val="60"/>
      <w:divBdr>
        <w:top w:val="none" w:sz="0" w:space="0" w:color="auto"/>
        <w:left w:val="none" w:sz="0" w:space="0" w:color="auto"/>
        <w:bottom w:val="none" w:sz="0" w:space="0" w:color="auto"/>
        <w:right w:val="none" w:sz="0" w:space="0" w:color="auto"/>
      </w:divBdr>
    </w:div>
    <w:div w:id="164102380">
      <w:marLeft w:val="0"/>
      <w:marRight w:val="0"/>
      <w:marTop w:val="180"/>
      <w:marBottom w:val="180"/>
      <w:divBdr>
        <w:top w:val="none" w:sz="0" w:space="0" w:color="auto"/>
        <w:left w:val="none" w:sz="0" w:space="0" w:color="auto"/>
        <w:bottom w:val="none" w:sz="0" w:space="0" w:color="auto"/>
        <w:right w:val="none" w:sz="0" w:space="0" w:color="auto"/>
      </w:divBdr>
      <w:divsChild>
        <w:div w:id="1802724103">
          <w:marLeft w:val="0"/>
          <w:marRight w:val="0"/>
          <w:marTop w:val="180"/>
          <w:marBottom w:val="180"/>
          <w:divBdr>
            <w:top w:val="none" w:sz="0" w:space="0" w:color="auto"/>
            <w:left w:val="none" w:sz="0" w:space="0" w:color="auto"/>
            <w:bottom w:val="none" w:sz="0" w:space="0" w:color="auto"/>
            <w:right w:val="none" w:sz="0" w:space="0" w:color="auto"/>
          </w:divBdr>
        </w:div>
        <w:div w:id="529998693">
          <w:marLeft w:val="0"/>
          <w:marRight w:val="0"/>
          <w:marTop w:val="180"/>
          <w:marBottom w:val="180"/>
          <w:divBdr>
            <w:top w:val="none" w:sz="0" w:space="0" w:color="auto"/>
            <w:left w:val="none" w:sz="0" w:space="0" w:color="auto"/>
            <w:bottom w:val="none" w:sz="0" w:space="0" w:color="auto"/>
            <w:right w:val="none" w:sz="0" w:space="0" w:color="auto"/>
          </w:divBdr>
        </w:div>
        <w:div w:id="1857184665">
          <w:marLeft w:val="0"/>
          <w:marRight w:val="0"/>
          <w:marTop w:val="180"/>
          <w:marBottom w:val="180"/>
          <w:divBdr>
            <w:top w:val="none" w:sz="0" w:space="0" w:color="auto"/>
            <w:left w:val="none" w:sz="0" w:space="0" w:color="auto"/>
            <w:bottom w:val="none" w:sz="0" w:space="0" w:color="auto"/>
            <w:right w:val="none" w:sz="0" w:space="0" w:color="auto"/>
          </w:divBdr>
        </w:div>
        <w:div w:id="315108855">
          <w:marLeft w:val="0"/>
          <w:marRight w:val="0"/>
          <w:marTop w:val="180"/>
          <w:marBottom w:val="180"/>
          <w:divBdr>
            <w:top w:val="none" w:sz="0" w:space="0" w:color="auto"/>
            <w:left w:val="none" w:sz="0" w:space="0" w:color="auto"/>
            <w:bottom w:val="none" w:sz="0" w:space="0" w:color="auto"/>
            <w:right w:val="none" w:sz="0" w:space="0" w:color="auto"/>
          </w:divBdr>
        </w:div>
        <w:div w:id="1721511151">
          <w:marLeft w:val="0"/>
          <w:marRight w:val="0"/>
          <w:marTop w:val="180"/>
          <w:marBottom w:val="180"/>
          <w:divBdr>
            <w:top w:val="none" w:sz="0" w:space="0" w:color="auto"/>
            <w:left w:val="none" w:sz="0" w:space="0" w:color="auto"/>
            <w:bottom w:val="none" w:sz="0" w:space="0" w:color="auto"/>
            <w:right w:val="none" w:sz="0" w:space="0" w:color="auto"/>
          </w:divBdr>
        </w:div>
      </w:divsChild>
    </w:div>
    <w:div w:id="164635622">
      <w:marLeft w:val="0"/>
      <w:marRight w:val="0"/>
      <w:marTop w:val="180"/>
      <w:marBottom w:val="180"/>
      <w:divBdr>
        <w:top w:val="none" w:sz="0" w:space="0" w:color="auto"/>
        <w:left w:val="none" w:sz="0" w:space="0" w:color="auto"/>
        <w:bottom w:val="none" w:sz="0" w:space="0" w:color="auto"/>
        <w:right w:val="none" w:sz="0" w:space="0" w:color="auto"/>
      </w:divBdr>
    </w:div>
    <w:div w:id="165368529">
      <w:marLeft w:val="0"/>
      <w:marRight w:val="0"/>
      <w:marTop w:val="180"/>
      <w:marBottom w:val="180"/>
      <w:divBdr>
        <w:top w:val="none" w:sz="0" w:space="0" w:color="auto"/>
        <w:left w:val="none" w:sz="0" w:space="0" w:color="auto"/>
        <w:bottom w:val="none" w:sz="0" w:space="0" w:color="auto"/>
        <w:right w:val="none" w:sz="0" w:space="0" w:color="auto"/>
      </w:divBdr>
    </w:div>
    <w:div w:id="165483635">
      <w:marLeft w:val="0"/>
      <w:marRight w:val="0"/>
      <w:marTop w:val="180"/>
      <w:marBottom w:val="180"/>
      <w:divBdr>
        <w:top w:val="none" w:sz="0" w:space="0" w:color="auto"/>
        <w:left w:val="none" w:sz="0" w:space="0" w:color="auto"/>
        <w:bottom w:val="none" w:sz="0" w:space="0" w:color="auto"/>
        <w:right w:val="none" w:sz="0" w:space="0" w:color="auto"/>
      </w:divBdr>
    </w:div>
    <w:div w:id="166360971">
      <w:marLeft w:val="0"/>
      <w:marRight w:val="0"/>
      <w:marTop w:val="0"/>
      <w:marBottom w:val="0"/>
      <w:divBdr>
        <w:top w:val="none" w:sz="0" w:space="0" w:color="auto"/>
        <w:left w:val="none" w:sz="0" w:space="0" w:color="auto"/>
        <w:bottom w:val="none" w:sz="0" w:space="0" w:color="auto"/>
        <w:right w:val="none" w:sz="0" w:space="0" w:color="auto"/>
      </w:divBdr>
    </w:div>
    <w:div w:id="166792426">
      <w:marLeft w:val="0"/>
      <w:marRight w:val="0"/>
      <w:marTop w:val="0"/>
      <w:marBottom w:val="60"/>
      <w:divBdr>
        <w:top w:val="none" w:sz="0" w:space="0" w:color="auto"/>
        <w:left w:val="none" w:sz="0" w:space="0" w:color="auto"/>
        <w:bottom w:val="none" w:sz="0" w:space="0" w:color="auto"/>
        <w:right w:val="none" w:sz="0" w:space="0" w:color="auto"/>
      </w:divBdr>
    </w:div>
    <w:div w:id="166865412">
      <w:marLeft w:val="0"/>
      <w:marRight w:val="0"/>
      <w:marTop w:val="60"/>
      <w:marBottom w:val="60"/>
      <w:divBdr>
        <w:top w:val="none" w:sz="0" w:space="0" w:color="auto"/>
        <w:left w:val="none" w:sz="0" w:space="0" w:color="auto"/>
        <w:bottom w:val="none" w:sz="0" w:space="0" w:color="auto"/>
        <w:right w:val="none" w:sz="0" w:space="0" w:color="auto"/>
      </w:divBdr>
    </w:div>
    <w:div w:id="167251880">
      <w:marLeft w:val="0"/>
      <w:marRight w:val="0"/>
      <w:marTop w:val="0"/>
      <w:marBottom w:val="0"/>
      <w:divBdr>
        <w:top w:val="none" w:sz="0" w:space="0" w:color="auto"/>
        <w:left w:val="none" w:sz="0" w:space="0" w:color="auto"/>
        <w:bottom w:val="none" w:sz="0" w:space="0" w:color="auto"/>
        <w:right w:val="none" w:sz="0" w:space="0" w:color="auto"/>
      </w:divBdr>
    </w:div>
    <w:div w:id="167716236">
      <w:marLeft w:val="0"/>
      <w:marRight w:val="0"/>
      <w:marTop w:val="180"/>
      <w:marBottom w:val="180"/>
      <w:divBdr>
        <w:top w:val="none" w:sz="0" w:space="0" w:color="auto"/>
        <w:left w:val="none" w:sz="0" w:space="0" w:color="auto"/>
        <w:bottom w:val="none" w:sz="0" w:space="0" w:color="auto"/>
        <w:right w:val="none" w:sz="0" w:space="0" w:color="auto"/>
      </w:divBdr>
    </w:div>
    <w:div w:id="168493968">
      <w:marLeft w:val="0"/>
      <w:marRight w:val="0"/>
      <w:marTop w:val="0"/>
      <w:marBottom w:val="0"/>
      <w:divBdr>
        <w:top w:val="none" w:sz="0" w:space="0" w:color="auto"/>
        <w:left w:val="none" w:sz="0" w:space="0" w:color="auto"/>
        <w:bottom w:val="none" w:sz="0" w:space="0" w:color="auto"/>
        <w:right w:val="none" w:sz="0" w:space="0" w:color="auto"/>
      </w:divBdr>
      <w:divsChild>
        <w:div w:id="911232486">
          <w:marLeft w:val="0"/>
          <w:marRight w:val="0"/>
          <w:marTop w:val="0"/>
          <w:marBottom w:val="0"/>
          <w:divBdr>
            <w:top w:val="none" w:sz="0" w:space="0" w:color="auto"/>
            <w:left w:val="none" w:sz="0" w:space="0" w:color="auto"/>
            <w:bottom w:val="none" w:sz="0" w:space="0" w:color="auto"/>
            <w:right w:val="none" w:sz="0" w:space="0" w:color="auto"/>
          </w:divBdr>
          <w:divsChild>
            <w:div w:id="114304143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8567809">
      <w:marLeft w:val="0"/>
      <w:marRight w:val="0"/>
      <w:marTop w:val="180"/>
      <w:marBottom w:val="180"/>
      <w:divBdr>
        <w:top w:val="none" w:sz="0" w:space="0" w:color="auto"/>
        <w:left w:val="none" w:sz="0" w:space="0" w:color="auto"/>
        <w:bottom w:val="none" w:sz="0" w:space="0" w:color="auto"/>
        <w:right w:val="none" w:sz="0" w:space="0" w:color="auto"/>
      </w:divBdr>
    </w:div>
    <w:div w:id="168758315">
      <w:marLeft w:val="0"/>
      <w:marRight w:val="0"/>
      <w:marTop w:val="180"/>
      <w:marBottom w:val="60"/>
      <w:divBdr>
        <w:top w:val="none" w:sz="0" w:space="0" w:color="auto"/>
        <w:left w:val="none" w:sz="0" w:space="0" w:color="auto"/>
        <w:bottom w:val="none" w:sz="0" w:space="0" w:color="auto"/>
        <w:right w:val="none" w:sz="0" w:space="0" w:color="auto"/>
      </w:divBdr>
    </w:div>
    <w:div w:id="169565156">
      <w:marLeft w:val="0"/>
      <w:marRight w:val="0"/>
      <w:marTop w:val="0"/>
      <w:marBottom w:val="0"/>
      <w:divBdr>
        <w:top w:val="none" w:sz="0" w:space="0" w:color="auto"/>
        <w:left w:val="none" w:sz="0" w:space="0" w:color="auto"/>
        <w:bottom w:val="none" w:sz="0" w:space="0" w:color="auto"/>
        <w:right w:val="none" w:sz="0" w:space="0" w:color="auto"/>
      </w:divBdr>
      <w:divsChild>
        <w:div w:id="438717028">
          <w:marLeft w:val="0"/>
          <w:marRight w:val="0"/>
          <w:marTop w:val="0"/>
          <w:marBottom w:val="0"/>
          <w:divBdr>
            <w:top w:val="none" w:sz="0" w:space="0" w:color="auto"/>
            <w:left w:val="none" w:sz="0" w:space="0" w:color="auto"/>
            <w:bottom w:val="none" w:sz="0" w:space="0" w:color="auto"/>
            <w:right w:val="none" w:sz="0" w:space="0" w:color="auto"/>
          </w:divBdr>
          <w:divsChild>
            <w:div w:id="74496249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9684805">
      <w:marLeft w:val="0"/>
      <w:marRight w:val="0"/>
      <w:marTop w:val="180"/>
      <w:marBottom w:val="180"/>
      <w:divBdr>
        <w:top w:val="none" w:sz="0" w:space="0" w:color="auto"/>
        <w:left w:val="none" w:sz="0" w:space="0" w:color="auto"/>
        <w:bottom w:val="none" w:sz="0" w:space="0" w:color="auto"/>
        <w:right w:val="none" w:sz="0" w:space="0" w:color="auto"/>
      </w:divBdr>
    </w:div>
    <w:div w:id="170723185">
      <w:marLeft w:val="0"/>
      <w:marRight w:val="0"/>
      <w:marTop w:val="180"/>
      <w:marBottom w:val="180"/>
      <w:divBdr>
        <w:top w:val="none" w:sz="0" w:space="0" w:color="auto"/>
        <w:left w:val="none" w:sz="0" w:space="0" w:color="auto"/>
        <w:bottom w:val="none" w:sz="0" w:space="0" w:color="auto"/>
        <w:right w:val="none" w:sz="0" w:space="0" w:color="auto"/>
      </w:divBdr>
    </w:div>
    <w:div w:id="171068612">
      <w:marLeft w:val="0"/>
      <w:marRight w:val="0"/>
      <w:marTop w:val="180"/>
      <w:marBottom w:val="60"/>
      <w:divBdr>
        <w:top w:val="none" w:sz="0" w:space="0" w:color="auto"/>
        <w:left w:val="none" w:sz="0" w:space="0" w:color="auto"/>
        <w:bottom w:val="none" w:sz="0" w:space="0" w:color="auto"/>
        <w:right w:val="none" w:sz="0" w:space="0" w:color="auto"/>
      </w:divBdr>
    </w:div>
    <w:div w:id="171071199">
      <w:marLeft w:val="0"/>
      <w:marRight w:val="0"/>
      <w:marTop w:val="0"/>
      <w:marBottom w:val="0"/>
      <w:divBdr>
        <w:top w:val="none" w:sz="0" w:space="0" w:color="auto"/>
        <w:left w:val="none" w:sz="0" w:space="0" w:color="auto"/>
        <w:bottom w:val="none" w:sz="0" w:space="0" w:color="auto"/>
        <w:right w:val="none" w:sz="0" w:space="0" w:color="auto"/>
      </w:divBdr>
    </w:div>
    <w:div w:id="172307765">
      <w:marLeft w:val="0"/>
      <w:marRight w:val="0"/>
      <w:marTop w:val="180"/>
      <w:marBottom w:val="180"/>
      <w:divBdr>
        <w:top w:val="none" w:sz="0" w:space="0" w:color="auto"/>
        <w:left w:val="none" w:sz="0" w:space="0" w:color="auto"/>
        <w:bottom w:val="none" w:sz="0" w:space="0" w:color="auto"/>
        <w:right w:val="none" w:sz="0" w:space="0" w:color="auto"/>
      </w:divBdr>
    </w:div>
    <w:div w:id="173692748">
      <w:marLeft w:val="0"/>
      <w:marRight w:val="0"/>
      <w:marTop w:val="60"/>
      <w:marBottom w:val="60"/>
      <w:divBdr>
        <w:top w:val="none" w:sz="0" w:space="0" w:color="auto"/>
        <w:left w:val="none" w:sz="0" w:space="0" w:color="auto"/>
        <w:bottom w:val="none" w:sz="0" w:space="0" w:color="auto"/>
        <w:right w:val="none" w:sz="0" w:space="0" w:color="auto"/>
      </w:divBdr>
    </w:div>
    <w:div w:id="174998220">
      <w:marLeft w:val="0"/>
      <w:marRight w:val="0"/>
      <w:marTop w:val="180"/>
      <w:marBottom w:val="180"/>
      <w:divBdr>
        <w:top w:val="none" w:sz="0" w:space="0" w:color="auto"/>
        <w:left w:val="none" w:sz="0" w:space="0" w:color="auto"/>
        <w:bottom w:val="none" w:sz="0" w:space="0" w:color="auto"/>
        <w:right w:val="none" w:sz="0" w:space="0" w:color="auto"/>
      </w:divBdr>
    </w:div>
    <w:div w:id="176385589">
      <w:marLeft w:val="0"/>
      <w:marRight w:val="0"/>
      <w:marTop w:val="180"/>
      <w:marBottom w:val="180"/>
      <w:divBdr>
        <w:top w:val="none" w:sz="0" w:space="0" w:color="auto"/>
        <w:left w:val="none" w:sz="0" w:space="0" w:color="auto"/>
        <w:bottom w:val="none" w:sz="0" w:space="0" w:color="auto"/>
        <w:right w:val="none" w:sz="0" w:space="0" w:color="auto"/>
      </w:divBdr>
    </w:div>
    <w:div w:id="177937499">
      <w:marLeft w:val="0"/>
      <w:marRight w:val="0"/>
      <w:marTop w:val="180"/>
      <w:marBottom w:val="180"/>
      <w:divBdr>
        <w:top w:val="none" w:sz="0" w:space="0" w:color="auto"/>
        <w:left w:val="none" w:sz="0" w:space="0" w:color="auto"/>
        <w:bottom w:val="none" w:sz="0" w:space="0" w:color="auto"/>
        <w:right w:val="none" w:sz="0" w:space="0" w:color="auto"/>
      </w:divBdr>
    </w:div>
    <w:div w:id="179442221">
      <w:marLeft w:val="0"/>
      <w:marRight w:val="0"/>
      <w:marTop w:val="180"/>
      <w:marBottom w:val="180"/>
      <w:divBdr>
        <w:top w:val="none" w:sz="0" w:space="0" w:color="auto"/>
        <w:left w:val="none" w:sz="0" w:space="0" w:color="auto"/>
        <w:bottom w:val="none" w:sz="0" w:space="0" w:color="auto"/>
        <w:right w:val="none" w:sz="0" w:space="0" w:color="auto"/>
      </w:divBdr>
    </w:div>
    <w:div w:id="179510383">
      <w:marLeft w:val="0"/>
      <w:marRight w:val="0"/>
      <w:marTop w:val="180"/>
      <w:marBottom w:val="180"/>
      <w:divBdr>
        <w:top w:val="none" w:sz="0" w:space="0" w:color="auto"/>
        <w:left w:val="none" w:sz="0" w:space="0" w:color="auto"/>
        <w:bottom w:val="none" w:sz="0" w:space="0" w:color="auto"/>
        <w:right w:val="none" w:sz="0" w:space="0" w:color="auto"/>
      </w:divBdr>
    </w:div>
    <w:div w:id="181824502">
      <w:marLeft w:val="0"/>
      <w:marRight w:val="0"/>
      <w:marTop w:val="60"/>
      <w:marBottom w:val="60"/>
      <w:divBdr>
        <w:top w:val="none" w:sz="0" w:space="0" w:color="auto"/>
        <w:left w:val="none" w:sz="0" w:space="0" w:color="auto"/>
        <w:bottom w:val="none" w:sz="0" w:space="0" w:color="auto"/>
        <w:right w:val="none" w:sz="0" w:space="0" w:color="auto"/>
      </w:divBdr>
    </w:div>
    <w:div w:id="182329000">
      <w:marLeft w:val="0"/>
      <w:marRight w:val="0"/>
      <w:marTop w:val="180"/>
      <w:marBottom w:val="180"/>
      <w:divBdr>
        <w:top w:val="none" w:sz="0" w:space="0" w:color="auto"/>
        <w:left w:val="none" w:sz="0" w:space="0" w:color="auto"/>
        <w:bottom w:val="none" w:sz="0" w:space="0" w:color="auto"/>
        <w:right w:val="none" w:sz="0" w:space="0" w:color="auto"/>
      </w:divBdr>
    </w:div>
    <w:div w:id="185952176">
      <w:marLeft w:val="0"/>
      <w:marRight w:val="0"/>
      <w:marTop w:val="180"/>
      <w:marBottom w:val="180"/>
      <w:divBdr>
        <w:top w:val="none" w:sz="0" w:space="0" w:color="auto"/>
        <w:left w:val="none" w:sz="0" w:space="0" w:color="auto"/>
        <w:bottom w:val="none" w:sz="0" w:space="0" w:color="auto"/>
        <w:right w:val="none" w:sz="0" w:space="0" w:color="auto"/>
      </w:divBdr>
    </w:div>
    <w:div w:id="187063180">
      <w:marLeft w:val="0"/>
      <w:marRight w:val="0"/>
      <w:marTop w:val="180"/>
      <w:marBottom w:val="180"/>
      <w:divBdr>
        <w:top w:val="none" w:sz="0" w:space="0" w:color="auto"/>
        <w:left w:val="none" w:sz="0" w:space="0" w:color="auto"/>
        <w:bottom w:val="none" w:sz="0" w:space="0" w:color="auto"/>
        <w:right w:val="none" w:sz="0" w:space="0" w:color="auto"/>
      </w:divBdr>
    </w:div>
    <w:div w:id="187258295">
      <w:marLeft w:val="0"/>
      <w:marRight w:val="0"/>
      <w:marTop w:val="180"/>
      <w:marBottom w:val="60"/>
      <w:divBdr>
        <w:top w:val="none" w:sz="0" w:space="0" w:color="auto"/>
        <w:left w:val="none" w:sz="0" w:space="0" w:color="auto"/>
        <w:bottom w:val="none" w:sz="0" w:space="0" w:color="auto"/>
        <w:right w:val="none" w:sz="0" w:space="0" w:color="auto"/>
      </w:divBdr>
    </w:div>
    <w:div w:id="187530327">
      <w:marLeft w:val="0"/>
      <w:marRight w:val="0"/>
      <w:marTop w:val="0"/>
      <w:marBottom w:val="0"/>
      <w:divBdr>
        <w:top w:val="none" w:sz="0" w:space="0" w:color="auto"/>
        <w:left w:val="none" w:sz="0" w:space="0" w:color="auto"/>
        <w:bottom w:val="none" w:sz="0" w:space="0" w:color="auto"/>
        <w:right w:val="none" w:sz="0" w:space="0" w:color="auto"/>
      </w:divBdr>
      <w:divsChild>
        <w:div w:id="370959851">
          <w:marLeft w:val="0"/>
          <w:marRight w:val="0"/>
          <w:marTop w:val="0"/>
          <w:marBottom w:val="0"/>
          <w:divBdr>
            <w:top w:val="none" w:sz="0" w:space="0" w:color="auto"/>
            <w:left w:val="none" w:sz="0" w:space="0" w:color="auto"/>
            <w:bottom w:val="none" w:sz="0" w:space="0" w:color="auto"/>
            <w:right w:val="none" w:sz="0" w:space="0" w:color="auto"/>
          </w:divBdr>
          <w:divsChild>
            <w:div w:id="204886632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7958936">
      <w:marLeft w:val="0"/>
      <w:marRight w:val="0"/>
      <w:marTop w:val="180"/>
      <w:marBottom w:val="180"/>
      <w:divBdr>
        <w:top w:val="none" w:sz="0" w:space="0" w:color="auto"/>
        <w:left w:val="none" w:sz="0" w:space="0" w:color="auto"/>
        <w:bottom w:val="none" w:sz="0" w:space="0" w:color="auto"/>
        <w:right w:val="none" w:sz="0" w:space="0" w:color="auto"/>
      </w:divBdr>
    </w:div>
    <w:div w:id="188447541">
      <w:marLeft w:val="0"/>
      <w:marRight w:val="0"/>
      <w:marTop w:val="180"/>
      <w:marBottom w:val="180"/>
      <w:divBdr>
        <w:top w:val="none" w:sz="0" w:space="0" w:color="auto"/>
        <w:left w:val="none" w:sz="0" w:space="0" w:color="auto"/>
        <w:bottom w:val="none" w:sz="0" w:space="0" w:color="auto"/>
        <w:right w:val="none" w:sz="0" w:space="0" w:color="auto"/>
      </w:divBdr>
    </w:div>
    <w:div w:id="188758309">
      <w:marLeft w:val="0"/>
      <w:marRight w:val="0"/>
      <w:marTop w:val="0"/>
      <w:marBottom w:val="180"/>
      <w:divBdr>
        <w:top w:val="none" w:sz="0" w:space="0" w:color="auto"/>
        <w:left w:val="none" w:sz="0" w:space="0" w:color="auto"/>
        <w:bottom w:val="none" w:sz="0" w:space="0" w:color="auto"/>
        <w:right w:val="none" w:sz="0" w:space="0" w:color="auto"/>
      </w:divBdr>
    </w:div>
    <w:div w:id="189027403">
      <w:marLeft w:val="0"/>
      <w:marRight w:val="0"/>
      <w:marTop w:val="60"/>
      <w:marBottom w:val="60"/>
      <w:divBdr>
        <w:top w:val="none" w:sz="0" w:space="0" w:color="auto"/>
        <w:left w:val="none" w:sz="0" w:space="0" w:color="auto"/>
        <w:bottom w:val="none" w:sz="0" w:space="0" w:color="auto"/>
        <w:right w:val="none" w:sz="0" w:space="0" w:color="auto"/>
      </w:divBdr>
    </w:div>
    <w:div w:id="189223693">
      <w:marLeft w:val="0"/>
      <w:marRight w:val="0"/>
      <w:marTop w:val="0"/>
      <w:marBottom w:val="0"/>
      <w:divBdr>
        <w:top w:val="none" w:sz="0" w:space="0" w:color="auto"/>
        <w:left w:val="none" w:sz="0" w:space="0" w:color="auto"/>
        <w:bottom w:val="none" w:sz="0" w:space="0" w:color="auto"/>
        <w:right w:val="none" w:sz="0" w:space="0" w:color="auto"/>
      </w:divBdr>
    </w:div>
    <w:div w:id="192351365">
      <w:marLeft w:val="0"/>
      <w:marRight w:val="0"/>
      <w:marTop w:val="60"/>
      <w:marBottom w:val="60"/>
      <w:divBdr>
        <w:top w:val="none" w:sz="0" w:space="0" w:color="auto"/>
        <w:left w:val="none" w:sz="0" w:space="0" w:color="auto"/>
        <w:bottom w:val="none" w:sz="0" w:space="0" w:color="auto"/>
        <w:right w:val="none" w:sz="0" w:space="0" w:color="auto"/>
      </w:divBdr>
    </w:div>
    <w:div w:id="192378200">
      <w:marLeft w:val="0"/>
      <w:marRight w:val="0"/>
      <w:marTop w:val="240"/>
      <w:marBottom w:val="180"/>
      <w:divBdr>
        <w:top w:val="none" w:sz="0" w:space="0" w:color="auto"/>
        <w:left w:val="none" w:sz="0" w:space="0" w:color="auto"/>
        <w:bottom w:val="none" w:sz="0" w:space="0" w:color="auto"/>
        <w:right w:val="none" w:sz="0" w:space="0" w:color="auto"/>
      </w:divBdr>
    </w:div>
    <w:div w:id="193541641">
      <w:marLeft w:val="0"/>
      <w:marRight w:val="0"/>
      <w:marTop w:val="180"/>
      <w:marBottom w:val="180"/>
      <w:divBdr>
        <w:top w:val="none" w:sz="0" w:space="0" w:color="auto"/>
        <w:left w:val="none" w:sz="0" w:space="0" w:color="auto"/>
        <w:bottom w:val="none" w:sz="0" w:space="0" w:color="auto"/>
        <w:right w:val="none" w:sz="0" w:space="0" w:color="auto"/>
      </w:divBdr>
    </w:div>
    <w:div w:id="195119381">
      <w:marLeft w:val="0"/>
      <w:marRight w:val="0"/>
      <w:marTop w:val="0"/>
      <w:marBottom w:val="0"/>
      <w:divBdr>
        <w:top w:val="none" w:sz="0" w:space="0" w:color="auto"/>
        <w:left w:val="none" w:sz="0" w:space="0" w:color="auto"/>
        <w:bottom w:val="none" w:sz="0" w:space="0" w:color="auto"/>
        <w:right w:val="none" w:sz="0" w:space="0" w:color="auto"/>
      </w:divBdr>
      <w:divsChild>
        <w:div w:id="1963538296">
          <w:marLeft w:val="0"/>
          <w:marRight w:val="0"/>
          <w:marTop w:val="0"/>
          <w:marBottom w:val="0"/>
          <w:divBdr>
            <w:top w:val="none" w:sz="0" w:space="0" w:color="auto"/>
            <w:left w:val="none" w:sz="0" w:space="0" w:color="auto"/>
            <w:bottom w:val="none" w:sz="0" w:space="0" w:color="auto"/>
            <w:right w:val="none" w:sz="0" w:space="0" w:color="auto"/>
          </w:divBdr>
          <w:divsChild>
            <w:div w:id="75428300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6814934">
      <w:marLeft w:val="0"/>
      <w:marRight w:val="0"/>
      <w:marTop w:val="180"/>
      <w:marBottom w:val="180"/>
      <w:divBdr>
        <w:top w:val="none" w:sz="0" w:space="0" w:color="auto"/>
        <w:left w:val="none" w:sz="0" w:space="0" w:color="auto"/>
        <w:bottom w:val="none" w:sz="0" w:space="0" w:color="auto"/>
        <w:right w:val="none" w:sz="0" w:space="0" w:color="auto"/>
      </w:divBdr>
    </w:div>
    <w:div w:id="198393648">
      <w:marLeft w:val="0"/>
      <w:marRight w:val="0"/>
      <w:marTop w:val="180"/>
      <w:marBottom w:val="180"/>
      <w:divBdr>
        <w:top w:val="none" w:sz="0" w:space="0" w:color="auto"/>
        <w:left w:val="none" w:sz="0" w:space="0" w:color="auto"/>
        <w:bottom w:val="none" w:sz="0" w:space="0" w:color="auto"/>
        <w:right w:val="none" w:sz="0" w:space="0" w:color="auto"/>
      </w:divBdr>
    </w:div>
    <w:div w:id="198785126">
      <w:marLeft w:val="0"/>
      <w:marRight w:val="0"/>
      <w:marTop w:val="180"/>
      <w:marBottom w:val="180"/>
      <w:divBdr>
        <w:top w:val="none" w:sz="0" w:space="0" w:color="auto"/>
        <w:left w:val="none" w:sz="0" w:space="0" w:color="auto"/>
        <w:bottom w:val="none" w:sz="0" w:space="0" w:color="auto"/>
        <w:right w:val="none" w:sz="0" w:space="0" w:color="auto"/>
      </w:divBdr>
    </w:div>
    <w:div w:id="199099644">
      <w:marLeft w:val="0"/>
      <w:marRight w:val="0"/>
      <w:marTop w:val="180"/>
      <w:marBottom w:val="60"/>
      <w:divBdr>
        <w:top w:val="none" w:sz="0" w:space="0" w:color="auto"/>
        <w:left w:val="none" w:sz="0" w:space="0" w:color="auto"/>
        <w:bottom w:val="none" w:sz="0" w:space="0" w:color="auto"/>
        <w:right w:val="none" w:sz="0" w:space="0" w:color="auto"/>
      </w:divBdr>
    </w:div>
    <w:div w:id="200020274">
      <w:marLeft w:val="0"/>
      <w:marRight w:val="0"/>
      <w:marTop w:val="60"/>
      <w:marBottom w:val="60"/>
      <w:divBdr>
        <w:top w:val="none" w:sz="0" w:space="0" w:color="auto"/>
        <w:left w:val="none" w:sz="0" w:space="0" w:color="auto"/>
        <w:bottom w:val="none" w:sz="0" w:space="0" w:color="auto"/>
        <w:right w:val="none" w:sz="0" w:space="0" w:color="auto"/>
      </w:divBdr>
    </w:div>
    <w:div w:id="200244417">
      <w:marLeft w:val="0"/>
      <w:marRight w:val="0"/>
      <w:marTop w:val="180"/>
      <w:marBottom w:val="180"/>
      <w:divBdr>
        <w:top w:val="none" w:sz="0" w:space="0" w:color="auto"/>
        <w:left w:val="none" w:sz="0" w:space="0" w:color="auto"/>
        <w:bottom w:val="none" w:sz="0" w:space="0" w:color="auto"/>
        <w:right w:val="none" w:sz="0" w:space="0" w:color="auto"/>
      </w:divBdr>
    </w:div>
    <w:div w:id="201868144">
      <w:marLeft w:val="0"/>
      <w:marRight w:val="0"/>
      <w:marTop w:val="180"/>
      <w:marBottom w:val="180"/>
      <w:divBdr>
        <w:top w:val="none" w:sz="0" w:space="0" w:color="auto"/>
        <w:left w:val="none" w:sz="0" w:space="0" w:color="auto"/>
        <w:bottom w:val="none" w:sz="0" w:space="0" w:color="auto"/>
        <w:right w:val="none" w:sz="0" w:space="0" w:color="auto"/>
      </w:divBdr>
    </w:div>
    <w:div w:id="202906847">
      <w:marLeft w:val="0"/>
      <w:marRight w:val="0"/>
      <w:marTop w:val="180"/>
      <w:marBottom w:val="180"/>
      <w:divBdr>
        <w:top w:val="none" w:sz="0" w:space="0" w:color="auto"/>
        <w:left w:val="none" w:sz="0" w:space="0" w:color="auto"/>
        <w:bottom w:val="none" w:sz="0" w:space="0" w:color="auto"/>
        <w:right w:val="none" w:sz="0" w:space="0" w:color="auto"/>
      </w:divBdr>
    </w:div>
    <w:div w:id="203061633">
      <w:marLeft w:val="0"/>
      <w:marRight w:val="0"/>
      <w:marTop w:val="0"/>
      <w:marBottom w:val="0"/>
      <w:divBdr>
        <w:top w:val="none" w:sz="0" w:space="0" w:color="auto"/>
        <w:left w:val="none" w:sz="0" w:space="0" w:color="auto"/>
        <w:bottom w:val="none" w:sz="0" w:space="0" w:color="auto"/>
        <w:right w:val="none" w:sz="0" w:space="0" w:color="auto"/>
      </w:divBdr>
      <w:divsChild>
        <w:div w:id="1721902109">
          <w:marLeft w:val="0"/>
          <w:marRight w:val="0"/>
          <w:marTop w:val="0"/>
          <w:marBottom w:val="0"/>
          <w:divBdr>
            <w:top w:val="none" w:sz="0" w:space="0" w:color="auto"/>
            <w:left w:val="none" w:sz="0" w:space="0" w:color="auto"/>
            <w:bottom w:val="none" w:sz="0" w:space="0" w:color="auto"/>
            <w:right w:val="none" w:sz="0" w:space="0" w:color="auto"/>
          </w:divBdr>
          <w:divsChild>
            <w:div w:id="5192531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3180902">
      <w:marLeft w:val="0"/>
      <w:marRight w:val="0"/>
      <w:marTop w:val="0"/>
      <w:marBottom w:val="0"/>
      <w:divBdr>
        <w:top w:val="none" w:sz="0" w:space="0" w:color="auto"/>
        <w:left w:val="none" w:sz="0" w:space="0" w:color="auto"/>
        <w:bottom w:val="none" w:sz="0" w:space="0" w:color="auto"/>
        <w:right w:val="none" w:sz="0" w:space="0" w:color="auto"/>
      </w:divBdr>
      <w:divsChild>
        <w:div w:id="2087914557">
          <w:marLeft w:val="0"/>
          <w:marRight w:val="0"/>
          <w:marTop w:val="180"/>
          <w:marBottom w:val="180"/>
          <w:divBdr>
            <w:top w:val="none" w:sz="0" w:space="0" w:color="auto"/>
            <w:left w:val="none" w:sz="0" w:space="0" w:color="auto"/>
            <w:bottom w:val="none" w:sz="0" w:space="0" w:color="auto"/>
            <w:right w:val="none" w:sz="0" w:space="0" w:color="auto"/>
          </w:divBdr>
        </w:div>
      </w:divsChild>
    </w:div>
    <w:div w:id="203250946">
      <w:marLeft w:val="0"/>
      <w:marRight w:val="0"/>
      <w:marTop w:val="0"/>
      <w:marBottom w:val="60"/>
      <w:divBdr>
        <w:top w:val="none" w:sz="0" w:space="0" w:color="auto"/>
        <w:left w:val="none" w:sz="0" w:space="0" w:color="auto"/>
        <w:bottom w:val="none" w:sz="0" w:space="0" w:color="auto"/>
        <w:right w:val="none" w:sz="0" w:space="0" w:color="auto"/>
      </w:divBdr>
    </w:div>
    <w:div w:id="205486031">
      <w:marLeft w:val="0"/>
      <w:marRight w:val="0"/>
      <w:marTop w:val="60"/>
      <w:marBottom w:val="60"/>
      <w:divBdr>
        <w:top w:val="none" w:sz="0" w:space="0" w:color="auto"/>
        <w:left w:val="none" w:sz="0" w:space="0" w:color="auto"/>
        <w:bottom w:val="none" w:sz="0" w:space="0" w:color="auto"/>
        <w:right w:val="none" w:sz="0" w:space="0" w:color="auto"/>
      </w:divBdr>
      <w:divsChild>
        <w:div w:id="1522233505">
          <w:marLeft w:val="0"/>
          <w:marRight w:val="0"/>
          <w:marTop w:val="0"/>
          <w:marBottom w:val="0"/>
          <w:divBdr>
            <w:top w:val="none" w:sz="0" w:space="0" w:color="auto"/>
            <w:left w:val="none" w:sz="0" w:space="0" w:color="auto"/>
            <w:bottom w:val="none" w:sz="0" w:space="0" w:color="auto"/>
            <w:right w:val="none" w:sz="0" w:space="0" w:color="auto"/>
          </w:divBdr>
        </w:div>
        <w:div w:id="2113935569">
          <w:marLeft w:val="0"/>
          <w:marRight w:val="0"/>
          <w:marTop w:val="0"/>
          <w:marBottom w:val="0"/>
          <w:divBdr>
            <w:top w:val="none" w:sz="0" w:space="0" w:color="auto"/>
            <w:left w:val="none" w:sz="0" w:space="0" w:color="auto"/>
            <w:bottom w:val="none" w:sz="0" w:space="0" w:color="auto"/>
            <w:right w:val="none" w:sz="0" w:space="0" w:color="auto"/>
          </w:divBdr>
        </w:div>
        <w:div w:id="572156702">
          <w:marLeft w:val="0"/>
          <w:marRight w:val="0"/>
          <w:marTop w:val="0"/>
          <w:marBottom w:val="0"/>
          <w:divBdr>
            <w:top w:val="none" w:sz="0" w:space="0" w:color="auto"/>
            <w:left w:val="none" w:sz="0" w:space="0" w:color="auto"/>
            <w:bottom w:val="none" w:sz="0" w:space="0" w:color="auto"/>
            <w:right w:val="none" w:sz="0" w:space="0" w:color="auto"/>
          </w:divBdr>
        </w:div>
        <w:div w:id="330641937">
          <w:marLeft w:val="0"/>
          <w:marRight w:val="0"/>
          <w:marTop w:val="0"/>
          <w:marBottom w:val="0"/>
          <w:divBdr>
            <w:top w:val="none" w:sz="0" w:space="0" w:color="auto"/>
            <w:left w:val="none" w:sz="0" w:space="0" w:color="auto"/>
            <w:bottom w:val="none" w:sz="0" w:space="0" w:color="auto"/>
            <w:right w:val="none" w:sz="0" w:space="0" w:color="auto"/>
          </w:divBdr>
        </w:div>
        <w:div w:id="1403674537">
          <w:marLeft w:val="0"/>
          <w:marRight w:val="0"/>
          <w:marTop w:val="0"/>
          <w:marBottom w:val="0"/>
          <w:divBdr>
            <w:top w:val="none" w:sz="0" w:space="0" w:color="auto"/>
            <w:left w:val="none" w:sz="0" w:space="0" w:color="auto"/>
            <w:bottom w:val="none" w:sz="0" w:space="0" w:color="auto"/>
            <w:right w:val="none" w:sz="0" w:space="0" w:color="auto"/>
          </w:divBdr>
        </w:div>
        <w:div w:id="2130928557">
          <w:marLeft w:val="0"/>
          <w:marRight w:val="0"/>
          <w:marTop w:val="0"/>
          <w:marBottom w:val="0"/>
          <w:divBdr>
            <w:top w:val="none" w:sz="0" w:space="0" w:color="auto"/>
            <w:left w:val="none" w:sz="0" w:space="0" w:color="auto"/>
            <w:bottom w:val="none" w:sz="0" w:space="0" w:color="auto"/>
            <w:right w:val="none" w:sz="0" w:space="0" w:color="auto"/>
          </w:divBdr>
        </w:div>
        <w:div w:id="34623177">
          <w:marLeft w:val="0"/>
          <w:marRight w:val="0"/>
          <w:marTop w:val="0"/>
          <w:marBottom w:val="0"/>
          <w:divBdr>
            <w:top w:val="none" w:sz="0" w:space="0" w:color="auto"/>
            <w:left w:val="none" w:sz="0" w:space="0" w:color="auto"/>
            <w:bottom w:val="none" w:sz="0" w:space="0" w:color="auto"/>
            <w:right w:val="none" w:sz="0" w:space="0" w:color="auto"/>
          </w:divBdr>
        </w:div>
        <w:div w:id="533691965">
          <w:marLeft w:val="0"/>
          <w:marRight w:val="0"/>
          <w:marTop w:val="0"/>
          <w:marBottom w:val="0"/>
          <w:divBdr>
            <w:top w:val="none" w:sz="0" w:space="0" w:color="auto"/>
            <w:left w:val="none" w:sz="0" w:space="0" w:color="auto"/>
            <w:bottom w:val="none" w:sz="0" w:space="0" w:color="auto"/>
            <w:right w:val="none" w:sz="0" w:space="0" w:color="auto"/>
          </w:divBdr>
        </w:div>
        <w:div w:id="700936613">
          <w:marLeft w:val="0"/>
          <w:marRight w:val="0"/>
          <w:marTop w:val="0"/>
          <w:marBottom w:val="0"/>
          <w:divBdr>
            <w:top w:val="none" w:sz="0" w:space="0" w:color="auto"/>
            <w:left w:val="none" w:sz="0" w:space="0" w:color="auto"/>
            <w:bottom w:val="none" w:sz="0" w:space="0" w:color="auto"/>
            <w:right w:val="none" w:sz="0" w:space="0" w:color="auto"/>
          </w:divBdr>
        </w:div>
        <w:div w:id="1989824888">
          <w:marLeft w:val="0"/>
          <w:marRight w:val="0"/>
          <w:marTop w:val="0"/>
          <w:marBottom w:val="0"/>
          <w:divBdr>
            <w:top w:val="none" w:sz="0" w:space="0" w:color="auto"/>
            <w:left w:val="none" w:sz="0" w:space="0" w:color="auto"/>
            <w:bottom w:val="none" w:sz="0" w:space="0" w:color="auto"/>
            <w:right w:val="none" w:sz="0" w:space="0" w:color="auto"/>
          </w:divBdr>
        </w:div>
      </w:divsChild>
    </w:div>
    <w:div w:id="208079094">
      <w:marLeft w:val="0"/>
      <w:marRight w:val="0"/>
      <w:marTop w:val="0"/>
      <w:marBottom w:val="0"/>
      <w:divBdr>
        <w:top w:val="none" w:sz="0" w:space="0" w:color="auto"/>
        <w:left w:val="none" w:sz="0" w:space="0" w:color="auto"/>
        <w:bottom w:val="none" w:sz="0" w:space="0" w:color="auto"/>
        <w:right w:val="none" w:sz="0" w:space="0" w:color="auto"/>
      </w:divBdr>
      <w:divsChild>
        <w:div w:id="40834930">
          <w:marLeft w:val="0"/>
          <w:marRight w:val="0"/>
          <w:marTop w:val="60"/>
          <w:marBottom w:val="60"/>
          <w:divBdr>
            <w:top w:val="none" w:sz="0" w:space="0" w:color="auto"/>
            <w:left w:val="none" w:sz="0" w:space="0" w:color="auto"/>
            <w:bottom w:val="none" w:sz="0" w:space="0" w:color="auto"/>
            <w:right w:val="none" w:sz="0" w:space="0" w:color="auto"/>
          </w:divBdr>
        </w:div>
      </w:divsChild>
    </w:div>
    <w:div w:id="208684582">
      <w:marLeft w:val="0"/>
      <w:marRight w:val="0"/>
      <w:marTop w:val="0"/>
      <w:marBottom w:val="0"/>
      <w:divBdr>
        <w:top w:val="none" w:sz="0" w:space="0" w:color="auto"/>
        <w:left w:val="none" w:sz="0" w:space="0" w:color="auto"/>
        <w:bottom w:val="none" w:sz="0" w:space="0" w:color="auto"/>
        <w:right w:val="none" w:sz="0" w:space="0" w:color="auto"/>
      </w:divBdr>
    </w:div>
    <w:div w:id="208732219">
      <w:marLeft w:val="0"/>
      <w:marRight w:val="0"/>
      <w:marTop w:val="0"/>
      <w:marBottom w:val="60"/>
      <w:divBdr>
        <w:top w:val="none" w:sz="0" w:space="0" w:color="auto"/>
        <w:left w:val="none" w:sz="0" w:space="0" w:color="auto"/>
        <w:bottom w:val="none" w:sz="0" w:space="0" w:color="auto"/>
        <w:right w:val="none" w:sz="0" w:space="0" w:color="auto"/>
      </w:divBdr>
    </w:div>
    <w:div w:id="208735421">
      <w:marLeft w:val="0"/>
      <w:marRight w:val="0"/>
      <w:marTop w:val="180"/>
      <w:marBottom w:val="180"/>
      <w:divBdr>
        <w:top w:val="none" w:sz="0" w:space="0" w:color="auto"/>
        <w:left w:val="none" w:sz="0" w:space="0" w:color="auto"/>
        <w:bottom w:val="none" w:sz="0" w:space="0" w:color="auto"/>
        <w:right w:val="none" w:sz="0" w:space="0" w:color="auto"/>
      </w:divBdr>
    </w:div>
    <w:div w:id="210114472">
      <w:marLeft w:val="0"/>
      <w:marRight w:val="0"/>
      <w:marTop w:val="0"/>
      <w:marBottom w:val="0"/>
      <w:divBdr>
        <w:top w:val="none" w:sz="0" w:space="0" w:color="auto"/>
        <w:left w:val="none" w:sz="0" w:space="0" w:color="auto"/>
        <w:bottom w:val="none" w:sz="0" w:space="0" w:color="auto"/>
        <w:right w:val="none" w:sz="0" w:space="0" w:color="auto"/>
      </w:divBdr>
      <w:divsChild>
        <w:div w:id="251008118">
          <w:marLeft w:val="0"/>
          <w:marRight w:val="0"/>
          <w:marTop w:val="0"/>
          <w:marBottom w:val="0"/>
          <w:divBdr>
            <w:top w:val="none" w:sz="0" w:space="0" w:color="auto"/>
            <w:left w:val="none" w:sz="0" w:space="0" w:color="auto"/>
            <w:bottom w:val="none" w:sz="0" w:space="0" w:color="auto"/>
            <w:right w:val="none" w:sz="0" w:space="0" w:color="auto"/>
          </w:divBdr>
          <w:divsChild>
            <w:div w:id="49815888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0116504">
      <w:marLeft w:val="0"/>
      <w:marRight w:val="0"/>
      <w:marTop w:val="0"/>
      <w:marBottom w:val="60"/>
      <w:divBdr>
        <w:top w:val="none" w:sz="0" w:space="0" w:color="auto"/>
        <w:left w:val="none" w:sz="0" w:space="0" w:color="auto"/>
        <w:bottom w:val="none" w:sz="0" w:space="0" w:color="auto"/>
        <w:right w:val="none" w:sz="0" w:space="0" w:color="auto"/>
      </w:divBdr>
    </w:div>
    <w:div w:id="212885050">
      <w:marLeft w:val="0"/>
      <w:marRight w:val="0"/>
      <w:marTop w:val="180"/>
      <w:marBottom w:val="180"/>
      <w:divBdr>
        <w:top w:val="none" w:sz="0" w:space="0" w:color="auto"/>
        <w:left w:val="none" w:sz="0" w:space="0" w:color="auto"/>
        <w:bottom w:val="none" w:sz="0" w:space="0" w:color="auto"/>
        <w:right w:val="none" w:sz="0" w:space="0" w:color="auto"/>
      </w:divBdr>
    </w:div>
    <w:div w:id="212936159">
      <w:marLeft w:val="0"/>
      <w:marRight w:val="0"/>
      <w:marTop w:val="180"/>
      <w:marBottom w:val="180"/>
      <w:divBdr>
        <w:top w:val="none" w:sz="0" w:space="0" w:color="auto"/>
        <w:left w:val="none" w:sz="0" w:space="0" w:color="auto"/>
        <w:bottom w:val="none" w:sz="0" w:space="0" w:color="auto"/>
        <w:right w:val="none" w:sz="0" w:space="0" w:color="auto"/>
      </w:divBdr>
    </w:div>
    <w:div w:id="214123126">
      <w:marLeft w:val="0"/>
      <w:marRight w:val="0"/>
      <w:marTop w:val="0"/>
      <w:marBottom w:val="0"/>
      <w:divBdr>
        <w:top w:val="none" w:sz="0" w:space="0" w:color="auto"/>
        <w:left w:val="none" w:sz="0" w:space="0" w:color="auto"/>
        <w:bottom w:val="none" w:sz="0" w:space="0" w:color="auto"/>
        <w:right w:val="none" w:sz="0" w:space="0" w:color="auto"/>
      </w:divBdr>
      <w:divsChild>
        <w:div w:id="687370238">
          <w:marLeft w:val="0"/>
          <w:marRight w:val="0"/>
          <w:marTop w:val="60"/>
          <w:marBottom w:val="180"/>
          <w:divBdr>
            <w:top w:val="none" w:sz="0" w:space="0" w:color="auto"/>
            <w:left w:val="none" w:sz="0" w:space="0" w:color="auto"/>
            <w:bottom w:val="none" w:sz="0" w:space="0" w:color="auto"/>
            <w:right w:val="none" w:sz="0" w:space="0" w:color="auto"/>
          </w:divBdr>
        </w:div>
      </w:divsChild>
    </w:div>
    <w:div w:id="214199225">
      <w:marLeft w:val="0"/>
      <w:marRight w:val="0"/>
      <w:marTop w:val="60"/>
      <w:marBottom w:val="60"/>
      <w:divBdr>
        <w:top w:val="none" w:sz="0" w:space="0" w:color="auto"/>
        <w:left w:val="none" w:sz="0" w:space="0" w:color="auto"/>
        <w:bottom w:val="none" w:sz="0" w:space="0" w:color="auto"/>
        <w:right w:val="none" w:sz="0" w:space="0" w:color="auto"/>
      </w:divBdr>
    </w:div>
    <w:div w:id="214584596">
      <w:marLeft w:val="0"/>
      <w:marRight w:val="0"/>
      <w:marTop w:val="180"/>
      <w:marBottom w:val="60"/>
      <w:divBdr>
        <w:top w:val="none" w:sz="0" w:space="0" w:color="auto"/>
        <w:left w:val="none" w:sz="0" w:space="0" w:color="auto"/>
        <w:bottom w:val="none" w:sz="0" w:space="0" w:color="auto"/>
        <w:right w:val="none" w:sz="0" w:space="0" w:color="auto"/>
      </w:divBdr>
    </w:div>
    <w:div w:id="217132303">
      <w:marLeft w:val="0"/>
      <w:marRight w:val="0"/>
      <w:marTop w:val="180"/>
      <w:marBottom w:val="180"/>
      <w:divBdr>
        <w:top w:val="none" w:sz="0" w:space="0" w:color="auto"/>
        <w:left w:val="none" w:sz="0" w:space="0" w:color="auto"/>
        <w:bottom w:val="none" w:sz="0" w:space="0" w:color="auto"/>
        <w:right w:val="none" w:sz="0" w:space="0" w:color="auto"/>
      </w:divBdr>
    </w:div>
    <w:div w:id="217478005">
      <w:marLeft w:val="0"/>
      <w:marRight w:val="0"/>
      <w:marTop w:val="60"/>
      <w:marBottom w:val="60"/>
      <w:divBdr>
        <w:top w:val="none" w:sz="0" w:space="0" w:color="auto"/>
        <w:left w:val="none" w:sz="0" w:space="0" w:color="auto"/>
        <w:bottom w:val="none" w:sz="0" w:space="0" w:color="auto"/>
        <w:right w:val="none" w:sz="0" w:space="0" w:color="auto"/>
      </w:divBdr>
    </w:div>
    <w:div w:id="218130875">
      <w:marLeft w:val="0"/>
      <w:marRight w:val="0"/>
      <w:marTop w:val="60"/>
      <w:marBottom w:val="60"/>
      <w:divBdr>
        <w:top w:val="none" w:sz="0" w:space="0" w:color="auto"/>
        <w:left w:val="none" w:sz="0" w:space="0" w:color="auto"/>
        <w:bottom w:val="none" w:sz="0" w:space="0" w:color="auto"/>
        <w:right w:val="none" w:sz="0" w:space="0" w:color="auto"/>
      </w:divBdr>
    </w:div>
    <w:div w:id="218590115">
      <w:marLeft w:val="0"/>
      <w:marRight w:val="0"/>
      <w:marTop w:val="180"/>
      <w:marBottom w:val="180"/>
      <w:divBdr>
        <w:top w:val="none" w:sz="0" w:space="0" w:color="auto"/>
        <w:left w:val="none" w:sz="0" w:space="0" w:color="auto"/>
        <w:bottom w:val="none" w:sz="0" w:space="0" w:color="auto"/>
        <w:right w:val="none" w:sz="0" w:space="0" w:color="auto"/>
      </w:divBdr>
    </w:div>
    <w:div w:id="218639648">
      <w:marLeft w:val="0"/>
      <w:marRight w:val="0"/>
      <w:marTop w:val="180"/>
      <w:marBottom w:val="180"/>
      <w:divBdr>
        <w:top w:val="none" w:sz="0" w:space="0" w:color="auto"/>
        <w:left w:val="none" w:sz="0" w:space="0" w:color="auto"/>
        <w:bottom w:val="none" w:sz="0" w:space="0" w:color="auto"/>
        <w:right w:val="none" w:sz="0" w:space="0" w:color="auto"/>
      </w:divBdr>
    </w:div>
    <w:div w:id="219171615">
      <w:marLeft w:val="0"/>
      <w:marRight w:val="0"/>
      <w:marTop w:val="180"/>
      <w:marBottom w:val="180"/>
      <w:divBdr>
        <w:top w:val="none" w:sz="0" w:space="0" w:color="auto"/>
        <w:left w:val="none" w:sz="0" w:space="0" w:color="auto"/>
        <w:bottom w:val="none" w:sz="0" w:space="0" w:color="auto"/>
        <w:right w:val="none" w:sz="0" w:space="0" w:color="auto"/>
      </w:divBdr>
    </w:div>
    <w:div w:id="219902430">
      <w:marLeft w:val="0"/>
      <w:marRight w:val="0"/>
      <w:marTop w:val="180"/>
      <w:marBottom w:val="60"/>
      <w:divBdr>
        <w:top w:val="none" w:sz="0" w:space="0" w:color="auto"/>
        <w:left w:val="none" w:sz="0" w:space="0" w:color="auto"/>
        <w:bottom w:val="none" w:sz="0" w:space="0" w:color="auto"/>
        <w:right w:val="none" w:sz="0" w:space="0" w:color="auto"/>
      </w:divBdr>
    </w:div>
    <w:div w:id="220480252">
      <w:marLeft w:val="0"/>
      <w:marRight w:val="0"/>
      <w:marTop w:val="0"/>
      <w:marBottom w:val="60"/>
      <w:divBdr>
        <w:top w:val="none" w:sz="0" w:space="0" w:color="auto"/>
        <w:left w:val="none" w:sz="0" w:space="0" w:color="auto"/>
        <w:bottom w:val="none" w:sz="0" w:space="0" w:color="auto"/>
        <w:right w:val="none" w:sz="0" w:space="0" w:color="auto"/>
      </w:divBdr>
    </w:div>
    <w:div w:id="221992376">
      <w:marLeft w:val="0"/>
      <w:marRight w:val="0"/>
      <w:marTop w:val="180"/>
      <w:marBottom w:val="180"/>
      <w:divBdr>
        <w:top w:val="none" w:sz="0" w:space="0" w:color="auto"/>
        <w:left w:val="none" w:sz="0" w:space="0" w:color="auto"/>
        <w:bottom w:val="none" w:sz="0" w:space="0" w:color="auto"/>
        <w:right w:val="none" w:sz="0" w:space="0" w:color="auto"/>
      </w:divBdr>
    </w:div>
    <w:div w:id="223182065">
      <w:marLeft w:val="0"/>
      <w:marRight w:val="0"/>
      <w:marTop w:val="180"/>
      <w:marBottom w:val="180"/>
      <w:divBdr>
        <w:top w:val="none" w:sz="0" w:space="0" w:color="auto"/>
        <w:left w:val="none" w:sz="0" w:space="0" w:color="auto"/>
        <w:bottom w:val="none" w:sz="0" w:space="0" w:color="auto"/>
        <w:right w:val="none" w:sz="0" w:space="0" w:color="auto"/>
      </w:divBdr>
    </w:div>
    <w:div w:id="224417682">
      <w:marLeft w:val="0"/>
      <w:marRight w:val="0"/>
      <w:marTop w:val="180"/>
      <w:marBottom w:val="180"/>
      <w:divBdr>
        <w:top w:val="none" w:sz="0" w:space="0" w:color="auto"/>
        <w:left w:val="none" w:sz="0" w:space="0" w:color="auto"/>
        <w:bottom w:val="none" w:sz="0" w:space="0" w:color="auto"/>
        <w:right w:val="none" w:sz="0" w:space="0" w:color="auto"/>
      </w:divBdr>
    </w:div>
    <w:div w:id="226889866">
      <w:marLeft w:val="0"/>
      <w:marRight w:val="0"/>
      <w:marTop w:val="180"/>
      <w:marBottom w:val="180"/>
      <w:divBdr>
        <w:top w:val="none" w:sz="0" w:space="0" w:color="auto"/>
        <w:left w:val="none" w:sz="0" w:space="0" w:color="auto"/>
        <w:bottom w:val="none" w:sz="0" w:space="0" w:color="auto"/>
        <w:right w:val="none" w:sz="0" w:space="0" w:color="auto"/>
      </w:divBdr>
    </w:div>
    <w:div w:id="227032472">
      <w:marLeft w:val="0"/>
      <w:marRight w:val="0"/>
      <w:marTop w:val="180"/>
      <w:marBottom w:val="180"/>
      <w:divBdr>
        <w:top w:val="none" w:sz="0" w:space="0" w:color="auto"/>
        <w:left w:val="none" w:sz="0" w:space="0" w:color="auto"/>
        <w:bottom w:val="none" w:sz="0" w:space="0" w:color="auto"/>
        <w:right w:val="none" w:sz="0" w:space="0" w:color="auto"/>
      </w:divBdr>
    </w:div>
    <w:div w:id="227957621">
      <w:marLeft w:val="0"/>
      <w:marRight w:val="0"/>
      <w:marTop w:val="180"/>
      <w:marBottom w:val="180"/>
      <w:divBdr>
        <w:top w:val="none" w:sz="0" w:space="0" w:color="auto"/>
        <w:left w:val="none" w:sz="0" w:space="0" w:color="auto"/>
        <w:bottom w:val="none" w:sz="0" w:space="0" w:color="auto"/>
        <w:right w:val="none" w:sz="0" w:space="0" w:color="auto"/>
      </w:divBdr>
    </w:div>
    <w:div w:id="228923437">
      <w:marLeft w:val="0"/>
      <w:marRight w:val="0"/>
      <w:marTop w:val="180"/>
      <w:marBottom w:val="180"/>
      <w:divBdr>
        <w:top w:val="none" w:sz="0" w:space="0" w:color="auto"/>
        <w:left w:val="none" w:sz="0" w:space="0" w:color="auto"/>
        <w:bottom w:val="none" w:sz="0" w:space="0" w:color="auto"/>
        <w:right w:val="none" w:sz="0" w:space="0" w:color="auto"/>
      </w:divBdr>
    </w:div>
    <w:div w:id="231626476">
      <w:marLeft w:val="0"/>
      <w:marRight w:val="0"/>
      <w:marTop w:val="180"/>
      <w:marBottom w:val="180"/>
      <w:divBdr>
        <w:top w:val="none" w:sz="0" w:space="0" w:color="auto"/>
        <w:left w:val="none" w:sz="0" w:space="0" w:color="auto"/>
        <w:bottom w:val="none" w:sz="0" w:space="0" w:color="auto"/>
        <w:right w:val="none" w:sz="0" w:space="0" w:color="auto"/>
      </w:divBdr>
    </w:div>
    <w:div w:id="233012796">
      <w:marLeft w:val="0"/>
      <w:marRight w:val="0"/>
      <w:marTop w:val="180"/>
      <w:marBottom w:val="180"/>
      <w:divBdr>
        <w:top w:val="none" w:sz="0" w:space="0" w:color="auto"/>
        <w:left w:val="none" w:sz="0" w:space="0" w:color="auto"/>
        <w:bottom w:val="none" w:sz="0" w:space="0" w:color="auto"/>
        <w:right w:val="none" w:sz="0" w:space="0" w:color="auto"/>
      </w:divBdr>
    </w:div>
    <w:div w:id="233392321">
      <w:marLeft w:val="0"/>
      <w:marRight w:val="0"/>
      <w:marTop w:val="180"/>
      <w:marBottom w:val="180"/>
      <w:divBdr>
        <w:top w:val="none" w:sz="0" w:space="0" w:color="auto"/>
        <w:left w:val="none" w:sz="0" w:space="0" w:color="auto"/>
        <w:bottom w:val="none" w:sz="0" w:space="0" w:color="auto"/>
        <w:right w:val="none" w:sz="0" w:space="0" w:color="auto"/>
      </w:divBdr>
    </w:div>
    <w:div w:id="233859414">
      <w:marLeft w:val="0"/>
      <w:marRight w:val="0"/>
      <w:marTop w:val="60"/>
      <w:marBottom w:val="60"/>
      <w:divBdr>
        <w:top w:val="none" w:sz="0" w:space="0" w:color="auto"/>
        <w:left w:val="none" w:sz="0" w:space="0" w:color="auto"/>
        <w:bottom w:val="none" w:sz="0" w:space="0" w:color="auto"/>
        <w:right w:val="none" w:sz="0" w:space="0" w:color="auto"/>
      </w:divBdr>
    </w:div>
    <w:div w:id="234510519">
      <w:marLeft w:val="0"/>
      <w:marRight w:val="0"/>
      <w:marTop w:val="0"/>
      <w:marBottom w:val="0"/>
      <w:divBdr>
        <w:top w:val="none" w:sz="0" w:space="0" w:color="auto"/>
        <w:left w:val="none" w:sz="0" w:space="0" w:color="auto"/>
        <w:bottom w:val="none" w:sz="0" w:space="0" w:color="auto"/>
        <w:right w:val="none" w:sz="0" w:space="0" w:color="auto"/>
      </w:divBdr>
      <w:divsChild>
        <w:div w:id="1559435643">
          <w:marLeft w:val="0"/>
          <w:marRight w:val="0"/>
          <w:marTop w:val="0"/>
          <w:marBottom w:val="0"/>
          <w:divBdr>
            <w:top w:val="none" w:sz="0" w:space="0" w:color="auto"/>
            <w:left w:val="none" w:sz="0" w:space="0" w:color="auto"/>
            <w:bottom w:val="none" w:sz="0" w:space="0" w:color="auto"/>
            <w:right w:val="none" w:sz="0" w:space="0" w:color="auto"/>
          </w:divBdr>
          <w:divsChild>
            <w:div w:id="146959481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34752155">
      <w:marLeft w:val="0"/>
      <w:marRight w:val="0"/>
      <w:marTop w:val="0"/>
      <w:marBottom w:val="0"/>
      <w:divBdr>
        <w:top w:val="none" w:sz="0" w:space="0" w:color="auto"/>
        <w:left w:val="none" w:sz="0" w:space="0" w:color="auto"/>
        <w:bottom w:val="none" w:sz="0" w:space="0" w:color="auto"/>
        <w:right w:val="none" w:sz="0" w:space="0" w:color="auto"/>
      </w:divBdr>
      <w:divsChild>
        <w:div w:id="469130650">
          <w:marLeft w:val="0"/>
          <w:marRight w:val="0"/>
          <w:marTop w:val="0"/>
          <w:marBottom w:val="0"/>
          <w:divBdr>
            <w:top w:val="none" w:sz="0" w:space="0" w:color="auto"/>
            <w:left w:val="none" w:sz="0" w:space="0" w:color="auto"/>
            <w:bottom w:val="none" w:sz="0" w:space="0" w:color="auto"/>
            <w:right w:val="none" w:sz="0" w:space="0" w:color="auto"/>
          </w:divBdr>
          <w:divsChild>
            <w:div w:id="151344964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36718309">
      <w:marLeft w:val="0"/>
      <w:marRight w:val="0"/>
      <w:marTop w:val="180"/>
      <w:marBottom w:val="180"/>
      <w:divBdr>
        <w:top w:val="none" w:sz="0" w:space="0" w:color="auto"/>
        <w:left w:val="none" w:sz="0" w:space="0" w:color="auto"/>
        <w:bottom w:val="none" w:sz="0" w:space="0" w:color="auto"/>
        <w:right w:val="none" w:sz="0" w:space="0" w:color="auto"/>
      </w:divBdr>
    </w:div>
    <w:div w:id="238250190">
      <w:marLeft w:val="0"/>
      <w:marRight w:val="0"/>
      <w:marTop w:val="60"/>
      <w:marBottom w:val="60"/>
      <w:divBdr>
        <w:top w:val="none" w:sz="0" w:space="0" w:color="auto"/>
        <w:left w:val="none" w:sz="0" w:space="0" w:color="auto"/>
        <w:bottom w:val="none" w:sz="0" w:space="0" w:color="auto"/>
        <w:right w:val="none" w:sz="0" w:space="0" w:color="auto"/>
      </w:divBdr>
      <w:divsChild>
        <w:div w:id="1597517980">
          <w:marLeft w:val="0"/>
          <w:marRight w:val="0"/>
          <w:marTop w:val="0"/>
          <w:marBottom w:val="0"/>
          <w:divBdr>
            <w:top w:val="none" w:sz="0" w:space="0" w:color="auto"/>
            <w:left w:val="none" w:sz="0" w:space="0" w:color="auto"/>
            <w:bottom w:val="none" w:sz="0" w:space="0" w:color="auto"/>
            <w:right w:val="none" w:sz="0" w:space="0" w:color="auto"/>
          </w:divBdr>
        </w:div>
      </w:divsChild>
    </w:div>
    <w:div w:id="239028161">
      <w:marLeft w:val="0"/>
      <w:marRight w:val="0"/>
      <w:marTop w:val="180"/>
      <w:marBottom w:val="180"/>
      <w:divBdr>
        <w:top w:val="none" w:sz="0" w:space="0" w:color="auto"/>
        <w:left w:val="none" w:sz="0" w:space="0" w:color="auto"/>
        <w:bottom w:val="none" w:sz="0" w:space="0" w:color="auto"/>
        <w:right w:val="none" w:sz="0" w:space="0" w:color="auto"/>
      </w:divBdr>
    </w:div>
    <w:div w:id="239413696">
      <w:marLeft w:val="0"/>
      <w:marRight w:val="0"/>
      <w:marTop w:val="180"/>
      <w:marBottom w:val="180"/>
      <w:divBdr>
        <w:top w:val="none" w:sz="0" w:space="0" w:color="auto"/>
        <w:left w:val="none" w:sz="0" w:space="0" w:color="auto"/>
        <w:bottom w:val="none" w:sz="0" w:space="0" w:color="auto"/>
        <w:right w:val="none" w:sz="0" w:space="0" w:color="auto"/>
      </w:divBdr>
    </w:div>
    <w:div w:id="239560692">
      <w:marLeft w:val="0"/>
      <w:marRight w:val="0"/>
      <w:marTop w:val="60"/>
      <w:marBottom w:val="60"/>
      <w:divBdr>
        <w:top w:val="none" w:sz="0" w:space="0" w:color="auto"/>
        <w:left w:val="none" w:sz="0" w:space="0" w:color="auto"/>
        <w:bottom w:val="none" w:sz="0" w:space="0" w:color="auto"/>
        <w:right w:val="none" w:sz="0" w:space="0" w:color="auto"/>
      </w:divBdr>
    </w:div>
    <w:div w:id="241063366">
      <w:marLeft w:val="0"/>
      <w:marRight w:val="0"/>
      <w:marTop w:val="180"/>
      <w:marBottom w:val="180"/>
      <w:divBdr>
        <w:top w:val="none" w:sz="0" w:space="0" w:color="auto"/>
        <w:left w:val="none" w:sz="0" w:space="0" w:color="auto"/>
        <w:bottom w:val="none" w:sz="0" w:space="0" w:color="auto"/>
        <w:right w:val="none" w:sz="0" w:space="0" w:color="auto"/>
      </w:divBdr>
    </w:div>
    <w:div w:id="241263563">
      <w:marLeft w:val="0"/>
      <w:marRight w:val="0"/>
      <w:marTop w:val="180"/>
      <w:marBottom w:val="180"/>
      <w:divBdr>
        <w:top w:val="none" w:sz="0" w:space="0" w:color="auto"/>
        <w:left w:val="none" w:sz="0" w:space="0" w:color="auto"/>
        <w:bottom w:val="none" w:sz="0" w:space="0" w:color="auto"/>
        <w:right w:val="none" w:sz="0" w:space="0" w:color="auto"/>
      </w:divBdr>
    </w:div>
    <w:div w:id="243491908">
      <w:marLeft w:val="0"/>
      <w:marRight w:val="0"/>
      <w:marTop w:val="180"/>
      <w:marBottom w:val="180"/>
      <w:divBdr>
        <w:top w:val="none" w:sz="0" w:space="0" w:color="auto"/>
        <w:left w:val="none" w:sz="0" w:space="0" w:color="auto"/>
        <w:bottom w:val="none" w:sz="0" w:space="0" w:color="auto"/>
        <w:right w:val="none" w:sz="0" w:space="0" w:color="auto"/>
      </w:divBdr>
      <w:divsChild>
        <w:div w:id="865019450">
          <w:marLeft w:val="0"/>
          <w:marRight w:val="0"/>
          <w:marTop w:val="0"/>
          <w:marBottom w:val="0"/>
          <w:divBdr>
            <w:top w:val="none" w:sz="0" w:space="0" w:color="auto"/>
            <w:left w:val="none" w:sz="0" w:space="0" w:color="auto"/>
            <w:bottom w:val="none" w:sz="0" w:space="0" w:color="auto"/>
            <w:right w:val="none" w:sz="0" w:space="0" w:color="auto"/>
          </w:divBdr>
        </w:div>
        <w:div w:id="589779516">
          <w:marLeft w:val="0"/>
          <w:marRight w:val="0"/>
          <w:marTop w:val="0"/>
          <w:marBottom w:val="0"/>
          <w:divBdr>
            <w:top w:val="none" w:sz="0" w:space="0" w:color="auto"/>
            <w:left w:val="none" w:sz="0" w:space="0" w:color="auto"/>
            <w:bottom w:val="none" w:sz="0" w:space="0" w:color="auto"/>
            <w:right w:val="none" w:sz="0" w:space="0" w:color="auto"/>
          </w:divBdr>
        </w:div>
      </w:divsChild>
    </w:div>
    <w:div w:id="243808416">
      <w:marLeft w:val="0"/>
      <w:marRight w:val="0"/>
      <w:marTop w:val="180"/>
      <w:marBottom w:val="180"/>
      <w:divBdr>
        <w:top w:val="none" w:sz="0" w:space="0" w:color="auto"/>
        <w:left w:val="none" w:sz="0" w:space="0" w:color="auto"/>
        <w:bottom w:val="none" w:sz="0" w:space="0" w:color="auto"/>
        <w:right w:val="none" w:sz="0" w:space="0" w:color="auto"/>
      </w:divBdr>
    </w:div>
    <w:div w:id="243879313">
      <w:marLeft w:val="0"/>
      <w:marRight w:val="0"/>
      <w:marTop w:val="180"/>
      <w:marBottom w:val="180"/>
      <w:divBdr>
        <w:top w:val="none" w:sz="0" w:space="0" w:color="auto"/>
        <w:left w:val="none" w:sz="0" w:space="0" w:color="auto"/>
        <w:bottom w:val="none" w:sz="0" w:space="0" w:color="auto"/>
        <w:right w:val="none" w:sz="0" w:space="0" w:color="auto"/>
      </w:divBdr>
    </w:div>
    <w:div w:id="244146291">
      <w:marLeft w:val="0"/>
      <w:marRight w:val="0"/>
      <w:marTop w:val="180"/>
      <w:marBottom w:val="180"/>
      <w:divBdr>
        <w:top w:val="none" w:sz="0" w:space="0" w:color="auto"/>
        <w:left w:val="none" w:sz="0" w:space="0" w:color="auto"/>
        <w:bottom w:val="none" w:sz="0" w:space="0" w:color="auto"/>
        <w:right w:val="none" w:sz="0" w:space="0" w:color="auto"/>
      </w:divBdr>
    </w:div>
    <w:div w:id="244806731">
      <w:marLeft w:val="0"/>
      <w:marRight w:val="0"/>
      <w:marTop w:val="180"/>
      <w:marBottom w:val="180"/>
      <w:divBdr>
        <w:top w:val="none" w:sz="0" w:space="0" w:color="auto"/>
        <w:left w:val="none" w:sz="0" w:space="0" w:color="auto"/>
        <w:bottom w:val="none" w:sz="0" w:space="0" w:color="auto"/>
        <w:right w:val="none" w:sz="0" w:space="0" w:color="auto"/>
      </w:divBdr>
    </w:div>
    <w:div w:id="246427785">
      <w:marLeft w:val="0"/>
      <w:marRight w:val="0"/>
      <w:marTop w:val="180"/>
      <w:marBottom w:val="180"/>
      <w:divBdr>
        <w:top w:val="none" w:sz="0" w:space="0" w:color="auto"/>
        <w:left w:val="none" w:sz="0" w:space="0" w:color="auto"/>
        <w:bottom w:val="none" w:sz="0" w:space="0" w:color="auto"/>
        <w:right w:val="none" w:sz="0" w:space="0" w:color="auto"/>
      </w:divBdr>
    </w:div>
    <w:div w:id="248739669">
      <w:marLeft w:val="0"/>
      <w:marRight w:val="0"/>
      <w:marTop w:val="180"/>
      <w:marBottom w:val="180"/>
      <w:divBdr>
        <w:top w:val="none" w:sz="0" w:space="0" w:color="auto"/>
        <w:left w:val="none" w:sz="0" w:space="0" w:color="auto"/>
        <w:bottom w:val="none" w:sz="0" w:space="0" w:color="auto"/>
        <w:right w:val="none" w:sz="0" w:space="0" w:color="auto"/>
      </w:divBdr>
    </w:div>
    <w:div w:id="249199981">
      <w:marLeft w:val="0"/>
      <w:marRight w:val="0"/>
      <w:marTop w:val="180"/>
      <w:marBottom w:val="180"/>
      <w:divBdr>
        <w:top w:val="none" w:sz="0" w:space="0" w:color="auto"/>
        <w:left w:val="none" w:sz="0" w:space="0" w:color="auto"/>
        <w:bottom w:val="none" w:sz="0" w:space="0" w:color="auto"/>
        <w:right w:val="none" w:sz="0" w:space="0" w:color="auto"/>
      </w:divBdr>
    </w:div>
    <w:div w:id="249781038">
      <w:marLeft w:val="0"/>
      <w:marRight w:val="0"/>
      <w:marTop w:val="180"/>
      <w:marBottom w:val="180"/>
      <w:divBdr>
        <w:top w:val="none" w:sz="0" w:space="0" w:color="auto"/>
        <w:left w:val="none" w:sz="0" w:space="0" w:color="auto"/>
        <w:bottom w:val="none" w:sz="0" w:space="0" w:color="auto"/>
        <w:right w:val="none" w:sz="0" w:space="0" w:color="auto"/>
      </w:divBdr>
    </w:div>
    <w:div w:id="249969439">
      <w:marLeft w:val="0"/>
      <w:marRight w:val="0"/>
      <w:marTop w:val="180"/>
      <w:marBottom w:val="180"/>
      <w:divBdr>
        <w:top w:val="none" w:sz="0" w:space="0" w:color="auto"/>
        <w:left w:val="none" w:sz="0" w:space="0" w:color="auto"/>
        <w:bottom w:val="none" w:sz="0" w:space="0" w:color="auto"/>
        <w:right w:val="none" w:sz="0" w:space="0" w:color="auto"/>
      </w:divBdr>
    </w:div>
    <w:div w:id="252129222">
      <w:marLeft w:val="0"/>
      <w:marRight w:val="0"/>
      <w:marTop w:val="180"/>
      <w:marBottom w:val="180"/>
      <w:divBdr>
        <w:top w:val="none" w:sz="0" w:space="0" w:color="auto"/>
        <w:left w:val="none" w:sz="0" w:space="0" w:color="auto"/>
        <w:bottom w:val="none" w:sz="0" w:space="0" w:color="auto"/>
        <w:right w:val="none" w:sz="0" w:space="0" w:color="auto"/>
      </w:divBdr>
    </w:div>
    <w:div w:id="252322650">
      <w:marLeft w:val="0"/>
      <w:marRight w:val="0"/>
      <w:marTop w:val="0"/>
      <w:marBottom w:val="0"/>
      <w:divBdr>
        <w:top w:val="none" w:sz="0" w:space="0" w:color="auto"/>
        <w:left w:val="none" w:sz="0" w:space="0" w:color="auto"/>
        <w:bottom w:val="none" w:sz="0" w:space="0" w:color="auto"/>
        <w:right w:val="none" w:sz="0" w:space="0" w:color="auto"/>
      </w:divBdr>
    </w:div>
    <w:div w:id="253591066">
      <w:marLeft w:val="0"/>
      <w:marRight w:val="0"/>
      <w:marTop w:val="60"/>
      <w:marBottom w:val="60"/>
      <w:divBdr>
        <w:top w:val="none" w:sz="0" w:space="0" w:color="auto"/>
        <w:left w:val="none" w:sz="0" w:space="0" w:color="auto"/>
        <w:bottom w:val="none" w:sz="0" w:space="0" w:color="auto"/>
        <w:right w:val="none" w:sz="0" w:space="0" w:color="auto"/>
      </w:divBdr>
    </w:div>
    <w:div w:id="256063073">
      <w:marLeft w:val="0"/>
      <w:marRight w:val="0"/>
      <w:marTop w:val="180"/>
      <w:marBottom w:val="180"/>
      <w:divBdr>
        <w:top w:val="none" w:sz="0" w:space="0" w:color="auto"/>
        <w:left w:val="none" w:sz="0" w:space="0" w:color="auto"/>
        <w:bottom w:val="none" w:sz="0" w:space="0" w:color="auto"/>
        <w:right w:val="none" w:sz="0" w:space="0" w:color="auto"/>
      </w:divBdr>
    </w:div>
    <w:div w:id="257563649">
      <w:marLeft w:val="0"/>
      <w:marRight w:val="0"/>
      <w:marTop w:val="100"/>
      <w:marBottom w:val="0"/>
      <w:divBdr>
        <w:top w:val="none" w:sz="0" w:space="0" w:color="auto"/>
        <w:left w:val="none" w:sz="0" w:space="0" w:color="auto"/>
        <w:bottom w:val="none" w:sz="0" w:space="0" w:color="auto"/>
        <w:right w:val="none" w:sz="0" w:space="0" w:color="auto"/>
      </w:divBdr>
      <w:divsChild>
        <w:div w:id="1693459423">
          <w:marLeft w:val="0"/>
          <w:marRight w:val="0"/>
          <w:marTop w:val="0"/>
          <w:marBottom w:val="0"/>
          <w:divBdr>
            <w:top w:val="none" w:sz="0" w:space="0" w:color="auto"/>
            <w:left w:val="none" w:sz="0" w:space="0" w:color="auto"/>
            <w:bottom w:val="none" w:sz="0" w:space="0" w:color="auto"/>
            <w:right w:val="none" w:sz="0" w:space="0" w:color="auto"/>
          </w:divBdr>
        </w:div>
      </w:divsChild>
    </w:div>
    <w:div w:id="259265498">
      <w:marLeft w:val="0"/>
      <w:marRight w:val="0"/>
      <w:marTop w:val="180"/>
      <w:marBottom w:val="180"/>
      <w:divBdr>
        <w:top w:val="none" w:sz="0" w:space="0" w:color="auto"/>
        <w:left w:val="none" w:sz="0" w:space="0" w:color="auto"/>
        <w:bottom w:val="none" w:sz="0" w:space="0" w:color="auto"/>
        <w:right w:val="none" w:sz="0" w:space="0" w:color="auto"/>
      </w:divBdr>
    </w:div>
    <w:div w:id="259946110">
      <w:marLeft w:val="0"/>
      <w:marRight w:val="0"/>
      <w:marTop w:val="0"/>
      <w:marBottom w:val="15"/>
      <w:divBdr>
        <w:top w:val="none" w:sz="0" w:space="0" w:color="auto"/>
        <w:left w:val="none" w:sz="0" w:space="0" w:color="auto"/>
        <w:bottom w:val="none" w:sz="0" w:space="0" w:color="auto"/>
        <w:right w:val="none" w:sz="0" w:space="0" w:color="auto"/>
      </w:divBdr>
    </w:div>
    <w:div w:id="260072218">
      <w:marLeft w:val="0"/>
      <w:marRight w:val="0"/>
      <w:marTop w:val="0"/>
      <w:marBottom w:val="0"/>
      <w:divBdr>
        <w:top w:val="none" w:sz="0" w:space="0" w:color="auto"/>
        <w:left w:val="none" w:sz="0" w:space="0" w:color="auto"/>
        <w:bottom w:val="none" w:sz="0" w:space="0" w:color="auto"/>
        <w:right w:val="none" w:sz="0" w:space="0" w:color="auto"/>
      </w:divBdr>
      <w:divsChild>
        <w:div w:id="296496512">
          <w:marLeft w:val="0"/>
          <w:marRight w:val="0"/>
          <w:marTop w:val="0"/>
          <w:marBottom w:val="0"/>
          <w:divBdr>
            <w:top w:val="none" w:sz="0" w:space="0" w:color="auto"/>
            <w:left w:val="none" w:sz="0" w:space="0" w:color="auto"/>
            <w:bottom w:val="none" w:sz="0" w:space="0" w:color="auto"/>
            <w:right w:val="none" w:sz="0" w:space="0" w:color="auto"/>
          </w:divBdr>
          <w:divsChild>
            <w:div w:id="57875664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60332430">
      <w:marLeft w:val="0"/>
      <w:marRight w:val="0"/>
      <w:marTop w:val="60"/>
      <w:marBottom w:val="60"/>
      <w:divBdr>
        <w:top w:val="none" w:sz="0" w:space="0" w:color="auto"/>
        <w:left w:val="none" w:sz="0" w:space="0" w:color="auto"/>
        <w:bottom w:val="none" w:sz="0" w:space="0" w:color="auto"/>
        <w:right w:val="none" w:sz="0" w:space="0" w:color="auto"/>
      </w:divBdr>
    </w:div>
    <w:div w:id="261301965">
      <w:marLeft w:val="0"/>
      <w:marRight w:val="0"/>
      <w:marTop w:val="180"/>
      <w:marBottom w:val="180"/>
      <w:divBdr>
        <w:top w:val="none" w:sz="0" w:space="0" w:color="auto"/>
        <w:left w:val="none" w:sz="0" w:space="0" w:color="auto"/>
        <w:bottom w:val="none" w:sz="0" w:space="0" w:color="auto"/>
        <w:right w:val="none" w:sz="0" w:space="0" w:color="auto"/>
      </w:divBdr>
    </w:div>
    <w:div w:id="261882711">
      <w:marLeft w:val="0"/>
      <w:marRight w:val="0"/>
      <w:marTop w:val="60"/>
      <w:marBottom w:val="60"/>
      <w:divBdr>
        <w:top w:val="none" w:sz="0" w:space="0" w:color="auto"/>
        <w:left w:val="none" w:sz="0" w:space="0" w:color="auto"/>
        <w:bottom w:val="none" w:sz="0" w:space="0" w:color="auto"/>
        <w:right w:val="none" w:sz="0" w:space="0" w:color="auto"/>
      </w:divBdr>
    </w:div>
    <w:div w:id="262155868">
      <w:marLeft w:val="0"/>
      <w:marRight w:val="0"/>
      <w:marTop w:val="100"/>
      <w:marBottom w:val="60"/>
      <w:divBdr>
        <w:top w:val="none" w:sz="0" w:space="0" w:color="auto"/>
        <w:left w:val="none" w:sz="0" w:space="0" w:color="auto"/>
        <w:bottom w:val="none" w:sz="0" w:space="0" w:color="auto"/>
        <w:right w:val="none" w:sz="0" w:space="0" w:color="auto"/>
      </w:divBdr>
    </w:div>
    <w:div w:id="262225355">
      <w:marLeft w:val="0"/>
      <w:marRight w:val="0"/>
      <w:marTop w:val="180"/>
      <w:marBottom w:val="60"/>
      <w:divBdr>
        <w:top w:val="none" w:sz="0" w:space="0" w:color="auto"/>
        <w:left w:val="none" w:sz="0" w:space="0" w:color="auto"/>
        <w:bottom w:val="none" w:sz="0" w:space="0" w:color="auto"/>
        <w:right w:val="none" w:sz="0" w:space="0" w:color="auto"/>
      </w:divBdr>
    </w:div>
    <w:div w:id="263733975">
      <w:marLeft w:val="0"/>
      <w:marRight w:val="0"/>
      <w:marTop w:val="60"/>
      <w:marBottom w:val="60"/>
      <w:divBdr>
        <w:top w:val="none" w:sz="0" w:space="0" w:color="auto"/>
        <w:left w:val="none" w:sz="0" w:space="0" w:color="auto"/>
        <w:bottom w:val="none" w:sz="0" w:space="0" w:color="auto"/>
        <w:right w:val="none" w:sz="0" w:space="0" w:color="auto"/>
      </w:divBdr>
    </w:div>
    <w:div w:id="264534239">
      <w:marLeft w:val="0"/>
      <w:marRight w:val="0"/>
      <w:marTop w:val="180"/>
      <w:marBottom w:val="180"/>
      <w:divBdr>
        <w:top w:val="none" w:sz="0" w:space="0" w:color="auto"/>
        <w:left w:val="none" w:sz="0" w:space="0" w:color="auto"/>
        <w:bottom w:val="none" w:sz="0" w:space="0" w:color="auto"/>
        <w:right w:val="none" w:sz="0" w:space="0" w:color="auto"/>
      </w:divBdr>
    </w:div>
    <w:div w:id="266817765">
      <w:marLeft w:val="0"/>
      <w:marRight w:val="0"/>
      <w:marTop w:val="180"/>
      <w:marBottom w:val="180"/>
      <w:divBdr>
        <w:top w:val="none" w:sz="0" w:space="0" w:color="auto"/>
        <w:left w:val="none" w:sz="0" w:space="0" w:color="auto"/>
        <w:bottom w:val="none" w:sz="0" w:space="0" w:color="auto"/>
        <w:right w:val="none" w:sz="0" w:space="0" w:color="auto"/>
      </w:divBdr>
    </w:div>
    <w:div w:id="267003958">
      <w:marLeft w:val="0"/>
      <w:marRight w:val="0"/>
      <w:marTop w:val="180"/>
      <w:marBottom w:val="60"/>
      <w:divBdr>
        <w:top w:val="none" w:sz="0" w:space="0" w:color="auto"/>
        <w:left w:val="none" w:sz="0" w:space="0" w:color="auto"/>
        <w:bottom w:val="none" w:sz="0" w:space="0" w:color="auto"/>
        <w:right w:val="none" w:sz="0" w:space="0" w:color="auto"/>
      </w:divBdr>
    </w:div>
    <w:div w:id="271976513">
      <w:marLeft w:val="0"/>
      <w:marRight w:val="0"/>
      <w:marTop w:val="180"/>
      <w:marBottom w:val="180"/>
      <w:divBdr>
        <w:top w:val="none" w:sz="0" w:space="0" w:color="auto"/>
        <w:left w:val="none" w:sz="0" w:space="0" w:color="auto"/>
        <w:bottom w:val="none" w:sz="0" w:space="0" w:color="auto"/>
        <w:right w:val="none" w:sz="0" w:space="0" w:color="auto"/>
      </w:divBdr>
    </w:div>
    <w:div w:id="273170184">
      <w:marLeft w:val="0"/>
      <w:marRight w:val="0"/>
      <w:marTop w:val="120"/>
      <w:marBottom w:val="120"/>
      <w:divBdr>
        <w:top w:val="none" w:sz="0" w:space="0" w:color="auto"/>
        <w:left w:val="none" w:sz="0" w:space="0" w:color="auto"/>
        <w:bottom w:val="none" w:sz="0" w:space="0" w:color="auto"/>
        <w:right w:val="none" w:sz="0" w:space="0" w:color="auto"/>
      </w:divBdr>
    </w:div>
    <w:div w:id="275137176">
      <w:marLeft w:val="0"/>
      <w:marRight w:val="0"/>
      <w:marTop w:val="180"/>
      <w:marBottom w:val="180"/>
      <w:divBdr>
        <w:top w:val="none" w:sz="0" w:space="0" w:color="auto"/>
        <w:left w:val="none" w:sz="0" w:space="0" w:color="auto"/>
        <w:bottom w:val="none" w:sz="0" w:space="0" w:color="auto"/>
        <w:right w:val="none" w:sz="0" w:space="0" w:color="auto"/>
      </w:divBdr>
    </w:div>
    <w:div w:id="277375195">
      <w:marLeft w:val="0"/>
      <w:marRight w:val="0"/>
      <w:marTop w:val="60"/>
      <w:marBottom w:val="60"/>
      <w:divBdr>
        <w:top w:val="none" w:sz="0" w:space="0" w:color="auto"/>
        <w:left w:val="none" w:sz="0" w:space="0" w:color="auto"/>
        <w:bottom w:val="none" w:sz="0" w:space="0" w:color="auto"/>
        <w:right w:val="none" w:sz="0" w:space="0" w:color="auto"/>
      </w:divBdr>
    </w:div>
    <w:div w:id="281308050">
      <w:marLeft w:val="0"/>
      <w:marRight w:val="0"/>
      <w:marTop w:val="180"/>
      <w:marBottom w:val="180"/>
      <w:divBdr>
        <w:top w:val="none" w:sz="0" w:space="0" w:color="auto"/>
        <w:left w:val="none" w:sz="0" w:space="0" w:color="auto"/>
        <w:bottom w:val="none" w:sz="0" w:space="0" w:color="auto"/>
        <w:right w:val="none" w:sz="0" w:space="0" w:color="auto"/>
      </w:divBdr>
    </w:div>
    <w:div w:id="283268712">
      <w:marLeft w:val="0"/>
      <w:marRight w:val="0"/>
      <w:marTop w:val="180"/>
      <w:marBottom w:val="180"/>
      <w:divBdr>
        <w:top w:val="none" w:sz="0" w:space="0" w:color="auto"/>
        <w:left w:val="none" w:sz="0" w:space="0" w:color="auto"/>
        <w:bottom w:val="none" w:sz="0" w:space="0" w:color="auto"/>
        <w:right w:val="none" w:sz="0" w:space="0" w:color="auto"/>
      </w:divBdr>
    </w:div>
    <w:div w:id="283579073">
      <w:marLeft w:val="0"/>
      <w:marRight w:val="0"/>
      <w:marTop w:val="0"/>
      <w:marBottom w:val="0"/>
      <w:divBdr>
        <w:top w:val="none" w:sz="0" w:space="0" w:color="auto"/>
        <w:left w:val="none" w:sz="0" w:space="0" w:color="auto"/>
        <w:bottom w:val="none" w:sz="0" w:space="0" w:color="auto"/>
        <w:right w:val="none" w:sz="0" w:space="0" w:color="auto"/>
      </w:divBdr>
      <w:divsChild>
        <w:div w:id="1296184594">
          <w:marLeft w:val="0"/>
          <w:marRight w:val="0"/>
          <w:marTop w:val="180"/>
          <w:marBottom w:val="180"/>
          <w:divBdr>
            <w:top w:val="none" w:sz="0" w:space="0" w:color="auto"/>
            <w:left w:val="none" w:sz="0" w:space="0" w:color="auto"/>
            <w:bottom w:val="none" w:sz="0" w:space="0" w:color="auto"/>
            <w:right w:val="none" w:sz="0" w:space="0" w:color="auto"/>
          </w:divBdr>
        </w:div>
      </w:divsChild>
    </w:div>
    <w:div w:id="283579867">
      <w:marLeft w:val="0"/>
      <w:marRight w:val="0"/>
      <w:marTop w:val="60"/>
      <w:marBottom w:val="60"/>
      <w:divBdr>
        <w:top w:val="none" w:sz="0" w:space="0" w:color="auto"/>
        <w:left w:val="none" w:sz="0" w:space="0" w:color="auto"/>
        <w:bottom w:val="none" w:sz="0" w:space="0" w:color="auto"/>
        <w:right w:val="none" w:sz="0" w:space="0" w:color="auto"/>
      </w:divBdr>
    </w:div>
    <w:div w:id="286737296">
      <w:marLeft w:val="0"/>
      <w:marRight w:val="0"/>
      <w:marTop w:val="0"/>
      <w:marBottom w:val="0"/>
      <w:divBdr>
        <w:top w:val="none" w:sz="0" w:space="0" w:color="auto"/>
        <w:left w:val="none" w:sz="0" w:space="0" w:color="auto"/>
        <w:bottom w:val="none" w:sz="0" w:space="0" w:color="auto"/>
        <w:right w:val="none" w:sz="0" w:space="0" w:color="auto"/>
      </w:divBdr>
      <w:divsChild>
        <w:div w:id="1250237169">
          <w:marLeft w:val="0"/>
          <w:marRight w:val="0"/>
          <w:marTop w:val="0"/>
          <w:marBottom w:val="0"/>
          <w:divBdr>
            <w:top w:val="none" w:sz="0" w:space="0" w:color="auto"/>
            <w:left w:val="none" w:sz="0" w:space="0" w:color="auto"/>
            <w:bottom w:val="none" w:sz="0" w:space="0" w:color="auto"/>
            <w:right w:val="none" w:sz="0" w:space="0" w:color="auto"/>
          </w:divBdr>
          <w:divsChild>
            <w:div w:id="159601580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88123202">
      <w:marLeft w:val="0"/>
      <w:marRight w:val="0"/>
      <w:marTop w:val="180"/>
      <w:marBottom w:val="180"/>
      <w:divBdr>
        <w:top w:val="none" w:sz="0" w:space="0" w:color="auto"/>
        <w:left w:val="none" w:sz="0" w:space="0" w:color="auto"/>
        <w:bottom w:val="none" w:sz="0" w:space="0" w:color="auto"/>
        <w:right w:val="none" w:sz="0" w:space="0" w:color="auto"/>
      </w:divBdr>
    </w:div>
    <w:div w:id="290945032">
      <w:marLeft w:val="0"/>
      <w:marRight w:val="0"/>
      <w:marTop w:val="180"/>
      <w:marBottom w:val="180"/>
      <w:divBdr>
        <w:top w:val="none" w:sz="0" w:space="0" w:color="auto"/>
        <w:left w:val="none" w:sz="0" w:space="0" w:color="auto"/>
        <w:bottom w:val="none" w:sz="0" w:space="0" w:color="auto"/>
        <w:right w:val="none" w:sz="0" w:space="0" w:color="auto"/>
      </w:divBdr>
    </w:div>
    <w:div w:id="294337904">
      <w:marLeft w:val="0"/>
      <w:marRight w:val="0"/>
      <w:marTop w:val="0"/>
      <w:marBottom w:val="0"/>
      <w:divBdr>
        <w:top w:val="none" w:sz="0" w:space="0" w:color="auto"/>
        <w:left w:val="none" w:sz="0" w:space="0" w:color="auto"/>
        <w:bottom w:val="none" w:sz="0" w:space="0" w:color="auto"/>
        <w:right w:val="none" w:sz="0" w:space="0" w:color="auto"/>
      </w:divBdr>
      <w:divsChild>
        <w:div w:id="515734690">
          <w:marLeft w:val="0"/>
          <w:marRight w:val="0"/>
          <w:marTop w:val="180"/>
          <w:marBottom w:val="180"/>
          <w:divBdr>
            <w:top w:val="none" w:sz="0" w:space="0" w:color="auto"/>
            <w:left w:val="none" w:sz="0" w:space="0" w:color="auto"/>
            <w:bottom w:val="none" w:sz="0" w:space="0" w:color="auto"/>
            <w:right w:val="none" w:sz="0" w:space="0" w:color="auto"/>
          </w:divBdr>
        </w:div>
      </w:divsChild>
    </w:div>
    <w:div w:id="295450624">
      <w:marLeft w:val="0"/>
      <w:marRight w:val="0"/>
      <w:marTop w:val="0"/>
      <w:marBottom w:val="0"/>
      <w:divBdr>
        <w:top w:val="none" w:sz="0" w:space="0" w:color="auto"/>
        <w:left w:val="none" w:sz="0" w:space="0" w:color="auto"/>
        <w:bottom w:val="none" w:sz="0" w:space="0" w:color="auto"/>
        <w:right w:val="none" w:sz="0" w:space="0" w:color="auto"/>
      </w:divBdr>
      <w:divsChild>
        <w:div w:id="1314220023">
          <w:marLeft w:val="0"/>
          <w:marRight w:val="0"/>
          <w:marTop w:val="0"/>
          <w:marBottom w:val="0"/>
          <w:divBdr>
            <w:top w:val="none" w:sz="0" w:space="0" w:color="auto"/>
            <w:left w:val="none" w:sz="0" w:space="0" w:color="auto"/>
            <w:bottom w:val="none" w:sz="0" w:space="0" w:color="auto"/>
            <w:right w:val="none" w:sz="0" w:space="0" w:color="auto"/>
          </w:divBdr>
          <w:divsChild>
            <w:div w:id="141632107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97272104">
      <w:marLeft w:val="0"/>
      <w:marRight w:val="0"/>
      <w:marTop w:val="180"/>
      <w:marBottom w:val="180"/>
      <w:divBdr>
        <w:top w:val="none" w:sz="0" w:space="0" w:color="auto"/>
        <w:left w:val="none" w:sz="0" w:space="0" w:color="auto"/>
        <w:bottom w:val="none" w:sz="0" w:space="0" w:color="auto"/>
        <w:right w:val="none" w:sz="0" w:space="0" w:color="auto"/>
      </w:divBdr>
    </w:div>
    <w:div w:id="297687088">
      <w:marLeft w:val="0"/>
      <w:marRight w:val="0"/>
      <w:marTop w:val="180"/>
      <w:marBottom w:val="180"/>
      <w:divBdr>
        <w:top w:val="none" w:sz="0" w:space="0" w:color="auto"/>
        <w:left w:val="none" w:sz="0" w:space="0" w:color="auto"/>
        <w:bottom w:val="none" w:sz="0" w:space="0" w:color="auto"/>
        <w:right w:val="none" w:sz="0" w:space="0" w:color="auto"/>
      </w:divBdr>
    </w:div>
    <w:div w:id="298152449">
      <w:marLeft w:val="0"/>
      <w:marRight w:val="0"/>
      <w:marTop w:val="60"/>
      <w:marBottom w:val="60"/>
      <w:divBdr>
        <w:top w:val="none" w:sz="0" w:space="0" w:color="auto"/>
        <w:left w:val="none" w:sz="0" w:space="0" w:color="auto"/>
        <w:bottom w:val="none" w:sz="0" w:space="0" w:color="auto"/>
        <w:right w:val="none" w:sz="0" w:space="0" w:color="auto"/>
      </w:divBdr>
    </w:div>
    <w:div w:id="298539188">
      <w:marLeft w:val="0"/>
      <w:marRight w:val="0"/>
      <w:marTop w:val="180"/>
      <w:marBottom w:val="180"/>
      <w:divBdr>
        <w:top w:val="none" w:sz="0" w:space="0" w:color="auto"/>
        <w:left w:val="none" w:sz="0" w:space="0" w:color="auto"/>
        <w:bottom w:val="none" w:sz="0" w:space="0" w:color="auto"/>
        <w:right w:val="none" w:sz="0" w:space="0" w:color="auto"/>
      </w:divBdr>
    </w:div>
    <w:div w:id="299921220">
      <w:marLeft w:val="0"/>
      <w:marRight w:val="0"/>
      <w:marTop w:val="180"/>
      <w:marBottom w:val="180"/>
      <w:divBdr>
        <w:top w:val="none" w:sz="0" w:space="0" w:color="auto"/>
        <w:left w:val="none" w:sz="0" w:space="0" w:color="auto"/>
        <w:bottom w:val="none" w:sz="0" w:space="0" w:color="auto"/>
        <w:right w:val="none" w:sz="0" w:space="0" w:color="auto"/>
      </w:divBdr>
    </w:div>
    <w:div w:id="301691915">
      <w:marLeft w:val="0"/>
      <w:marRight w:val="0"/>
      <w:marTop w:val="60"/>
      <w:marBottom w:val="60"/>
      <w:divBdr>
        <w:top w:val="none" w:sz="0" w:space="0" w:color="auto"/>
        <w:left w:val="none" w:sz="0" w:space="0" w:color="auto"/>
        <w:bottom w:val="none" w:sz="0" w:space="0" w:color="auto"/>
        <w:right w:val="none" w:sz="0" w:space="0" w:color="auto"/>
      </w:divBdr>
    </w:div>
    <w:div w:id="303707266">
      <w:marLeft w:val="0"/>
      <w:marRight w:val="0"/>
      <w:marTop w:val="180"/>
      <w:marBottom w:val="180"/>
      <w:divBdr>
        <w:top w:val="none" w:sz="0" w:space="0" w:color="auto"/>
        <w:left w:val="none" w:sz="0" w:space="0" w:color="auto"/>
        <w:bottom w:val="none" w:sz="0" w:space="0" w:color="auto"/>
        <w:right w:val="none" w:sz="0" w:space="0" w:color="auto"/>
      </w:divBdr>
    </w:div>
    <w:div w:id="303851014">
      <w:marLeft w:val="0"/>
      <w:marRight w:val="0"/>
      <w:marTop w:val="180"/>
      <w:marBottom w:val="180"/>
      <w:divBdr>
        <w:top w:val="none" w:sz="0" w:space="0" w:color="auto"/>
        <w:left w:val="none" w:sz="0" w:space="0" w:color="auto"/>
        <w:bottom w:val="none" w:sz="0" w:space="0" w:color="auto"/>
        <w:right w:val="none" w:sz="0" w:space="0" w:color="auto"/>
      </w:divBdr>
    </w:div>
    <w:div w:id="304166476">
      <w:marLeft w:val="0"/>
      <w:marRight w:val="0"/>
      <w:marTop w:val="0"/>
      <w:marBottom w:val="0"/>
      <w:divBdr>
        <w:top w:val="none" w:sz="0" w:space="0" w:color="auto"/>
        <w:left w:val="none" w:sz="0" w:space="0" w:color="auto"/>
        <w:bottom w:val="none" w:sz="0" w:space="0" w:color="auto"/>
        <w:right w:val="none" w:sz="0" w:space="0" w:color="auto"/>
      </w:divBdr>
      <w:divsChild>
        <w:div w:id="98717215">
          <w:marLeft w:val="0"/>
          <w:marRight w:val="0"/>
          <w:marTop w:val="0"/>
          <w:marBottom w:val="0"/>
          <w:divBdr>
            <w:top w:val="none" w:sz="0" w:space="0" w:color="auto"/>
            <w:left w:val="none" w:sz="0" w:space="0" w:color="auto"/>
            <w:bottom w:val="none" w:sz="0" w:space="0" w:color="auto"/>
            <w:right w:val="none" w:sz="0" w:space="0" w:color="auto"/>
          </w:divBdr>
          <w:divsChild>
            <w:div w:id="93598715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05554617">
      <w:marLeft w:val="0"/>
      <w:marRight w:val="0"/>
      <w:marTop w:val="0"/>
      <w:marBottom w:val="0"/>
      <w:divBdr>
        <w:top w:val="none" w:sz="0" w:space="0" w:color="auto"/>
        <w:left w:val="none" w:sz="0" w:space="0" w:color="auto"/>
        <w:bottom w:val="none" w:sz="0" w:space="0" w:color="auto"/>
        <w:right w:val="none" w:sz="0" w:space="0" w:color="auto"/>
      </w:divBdr>
    </w:div>
    <w:div w:id="305859625">
      <w:marLeft w:val="0"/>
      <w:marRight w:val="0"/>
      <w:marTop w:val="180"/>
      <w:marBottom w:val="180"/>
      <w:divBdr>
        <w:top w:val="none" w:sz="0" w:space="0" w:color="auto"/>
        <w:left w:val="none" w:sz="0" w:space="0" w:color="auto"/>
        <w:bottom w:val="none" w:sz="0" w:space="0" w:color="auto"/>
        <w:right w:val="none" w:sz="0" w:space="0" w:color="auto"/>
      </w:divBdr>
    </w:div>
    <w:div w:id="306857892">
      <w:marLeft w:val="0"/>
      <w:marRight w:val="0"/>
      <w:marTop w:val="180"/>
      <w:marBottom w:val="180"/>
      <w:divBdr>
        <w:top w:val="none" w:sz="0" w:space="0" w:color="auto"/>
        <w:left w:val="none" w:sz="0" w:space="0" w:color="auto"/>
        <w:bottom w:val="none" w:sz="0" w:space="0" w:color="auto"/>
        <w:right w:val="none" w:sz="0" w:space="0" w:color="auto"/>
      </w:divBdr>
    </w:div>
    <w:div w:id="306976162">
      <w:marLeft w:val="0"/>
      <w:marRight w:val="0"/>
      <w:marTop w:val="60"/>
      <w:marBottom w:val="60"/>
      <w:divBdr>
        <w:top w:val="none" w:sz="0" w:space="0" w:color="auto"/>
        <w:left w:val="none" w:sz="0" w:space="0" w:color="auto"/>
        <w:bottom w:val="none" w:sz="0" w:space="0" w:color="auto"/>
        <w:right w:val="none" w:sz="0" w:space="0" w:color="auto"/>
      </w:divBdr>
    </w:div>
    <w:div w:id="307708003">
      <w:marLeft w:val="0"/>
      <w:marRight w:val="0"/>
      <w:marTop w:val="60"/>
      <w:marBottom w:val="60"/>
      <w:divBdr>
        <w:top w:val="none" w:sz="0" w:space="0" w:color="auto"/>
        <w:left w:val="none" w:sz="0" w:space="0" w:color="auto"/>
        <w:bottom w:val="none" w:sz="0" w:space="0" w:color="auto"/>
        <w:right w:val="none" w:sz="0" w:space="0" w:color="auto"/>
      </w:divBdr>
    </w:div>
    <w:div w:id="308560445">
      <w:marLeft w:val="0"/>
      <w:marRight w:val="0"/>
      <w:marTop w:val="180"/>
      <w:marBottom w:val="180"/>
      <w:divBdr>
        <w:top w:val="none" w:sz="0" w:space="0" w:color="auto"/>
        <w:left w:val="none" w:sz="0" w:space="0" w:color="auto"/>
        <w:bottom w:val="none" w:sz="0" w:space="0" w:color="auto"/>
        <w:right w:val="none" w:sz="0" w:space="0" w:color="auto"/>
      </w:divBdr>
    </w:div>
    <w:div w:id="310796463">
      <w:marLeft w:val="0"/>
      <w:marRight w:val="0"/>
      <w:marTop w:val="180"/>
      <w:marBottom w:val="180"/>
      <w:divBdr>
        <w:top w:val="none" w:sz="0" w:space="0" w:color="auto"/>
        <w:left w:val="none" w:sz="0" w:space="0" w:color="auto"/>
        <w:bottom w:val="none" w:sz="0" w:space="0" w:color="auto"/>
        <w:right w:val="none" w:sz="0" w:space="0" w:color="auto"/>
      </w:divBdr>
    </w:div>
    <w:div w:id="311371935">
      <w:marLeft w:val="0"/>
      <w:marRight w:val="0"/>
      <w:marTop w:val="0"/>
      <w:marBottom w:val="0"/>
      <w:divBdr>
        <w:top w:val="none" w:sz="0" w:space="0" w:color="auto"/>
        <w:left w:val="none" w:sz="0" w:space="0" w:color="auto"/>
        <w:bottom w:val="none" w:sz="0" w:space="0" w:color="auto"/>
        <w:right w:val="none" w:sz="0" w:space="0" w:color="auto"/>
      </w:divBdr>
      <w:divsChild>
        <w:div w:id="1864585659">
          <w:marLeft w:val="0"/>
          <w:marRight w:val="0"/>
          <w:marTop w:val="0"/>
          <w:marBottom w:val="0"/>
          <w:divBdr>
            <w:top w:val="none" w:sz="0" w:space="0" w:color="auto"/>
            <w:left w:val="none" w:sz="0" w:space="0" w:color="auto"/>
            <w:bottom w:val="none" w:sz="0" w:space="0" w:color="auto"/>
            <w:right w:val="none" w:sz="0" w:space="0" w:color="auto"/>
          </w:divBdr>
          <w:divsChild>
            <w:div w:id="97768999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11756250">
      <w:marLeft w:val="0"/>
      <w:marRight w:val="0"/>
      <w:marTop w:val="180"/>
      <w:marBottom w:val="180"/>
      <w:divBdr>
        <w:top w:val="none" w:sz="0" w:space="0" w:color="auto"/>
        <w:left w:val="none" w:sz="0" w:space="0" w:color="auto"/>
        <w:bottom w:val="none" w:sz="0" w:space="0" w:color="auto"/>
        <w:right w:val="none" w:sz="0" w:space="0" w:color="auto"/>
      </w:divBdr>
    </w:div>
    <w:div w:id="312174426">
      <w:marLeft w:val="0"/>
      <w:marRight w:val="0"/>
      <w:marTop w:val="0"/>
      <w:marBottom w:val="0"/>
      <w:divBdr>
        <w:top w:val="none" w:sz="0" w:space="0" w:color="auto"/>
        <w:left w:val="none" w:sz="0" w:space="0" w:color="auto"/>
        <w:bottom w:val="none" w:sz="0" w:space="0" w:color="auto"/>
        <w:right w:val="none" w:sz="0" w:space="0" w:color="auto"/>
      </w:divBdr>
    </w:div>
    <w:div w:id="313414850">
      <w:marLeft w:val="0"/>
      <w:marRight w:val="0"/>
      <w:marTop w:val="180"/>
      <w:marBottom w:val="180"/>
      <w:divBdr>
        <w:top w:val="none" w:sz="0" w:space="0" w:color="auto"/>
        <w:left w:val="none" w:sz="0" w:space="0" w:color="auto"/>
        <w:bottom w:val="none" w:sz="0" w:space="0" w:color="auto"/>
        <w:right w:val="none" w:sz="0" w:space="0" w:color="auto"/>
      </w:divBdr>
    </w:div>
    <w:div w:id="314339188">
      <w:marLeft w:val="0"/>
      <w:marRight w:val="0"/>
      <w:marTop w:val="0"/>
      <w:marBottom w:val="0"/>
      <w:divBdr>
        <w:top w:val="none" w:sz="0" w:space="0" w:color="auto"/>
        <w:left w:val="none" w:sz="0" w:space="0" w:color="auto"/>
        <w:bottom w:val="none" w:sz="0" w:space="0" w:color="auto"/>
        <w:right w:val="none" w:sz="0" w:space="0" w:color="auto"/>
      </w:divBdr>
    </w:div>
    <w:div w:id="314604602">
      <w:marLeft w:val="0"/>
      <w:marRight w:val="0"/>
      <w:marTop w:val="180"/>
      <w:marBottom w:val="180"/>
      <w:divBdr>
        <w:top w:val="none" w:sz="0" w:space="0" w:color="auto"/>
        <w:left w:val="none" w:sz="0" w:space="0" w:color="auto"/>
        <w:bottom w:val="none" w:sz="0" w:space="0" w:color="auto"/>
        <w:right w:val="none" w:sz="0" w:space="0" w:color="auto"/>
      </w:divBdr>
    </w:div>
    <w:div w:id="317268905">
      <w:marLeft w:val="0"/>
      <w:marRight w:val="0"/>
      <w:marTop w:val="240"/>
      <w:marBottom w:val="180"/>
      <w:divBdr>
        <w:top w:val="none" w:sz="0" w:space="0" w:color="auto"/>
        <w:left w:val="none" w:sz="0" w:space="0" w:color="auto"/>
        <w:bottom w:val="none" w:sz="0" w:space="0" w:color="auto"/>
        <w:right w:val="none" w:sz="0" w:space="0" w:color="auto"/>
      </w:divBdr>
    </w:div>
    <w:div w:id="318074030">
      <w:marLeft w:val="0"/>
      <w:marRight w:val="0"/>
      <w:marTop w:val="180"/>
      <w:marBottom w:val="60"/>
      <w:divBdr>
        <w:top w:val="none" w:sz="0" w:space="0" w:color="auto"/>
        <w:left w:val="none" w:sz="0" w:space="0" w:color="auto"/>
        <w:bottom w:val="none" w:sz="0" w:space="0" w:color="auto"/>
        <w:right w:val="none" w:sz="0" w:space="0" w:color="auto"/>
      </w:divBdr>
    </w:div>
    <w:div w:id="319429775">
      <w:marLeft w:val="0"/>
      <w:marRight w:val="0"/>
      <w:marTop w:val="0"/>
      <w:marBottom w:val="0"/>
      <w:divBdr>
        <w:top w:val="none" w:sz="0" w:space="0" w:color="auto"/>
        <w:left w:val="none" w:sz="0" w:space="0" w:color="auto"/>
        <w:bottom w:val="none" w:sz="0" w:space="0" w:color="auto"/>
        <w:right w:val="none" w:sz="0" w:space="0" w:color="auto"/>
      </w:divBdr>
      <w:divsChild>
        <w:div w:id="40637402">
          <w:marLeft w:val="0"/>
          <w:marRight w:val="0"/>
          <w:marTop w:val="180"/>
          <w:marBottom w:val="180"/>
          <w:divBdr>
            <w:top w:val="none" w:sz="0" w:space="0" w:color="auto"/>
            <w:left w:val="none" w:sz="0" w:space="0" w:color="auto"/>
            <w:bottom w:val="none" w:sz="0" w:space="0" w:color="auto"/>
            <w:right w:val="none" w:sz="0" w:space="0" w:color="auto"/>
          </w:divBdr>
        </w:div>
      </w:divsChild>
    </w:div>
    <w:div w:id="321154745">
      <w:marLeft w:val="0"/>
      <w:marRight w:val="0"/>
      <w:marTop w:val="180"/>
      <w:marBottom w:val="180"/>
      <w:divBdr>
        <w:top w:val="none" w:sz="0" w:space="0" w:color="auto"/>
        <w:left w:val="none" w:sz="0" w:space="0" w:color="auto"/>
        <w:bottom w:val="none" w:sz="0" w:space="0" w:color="auto"/>
        <w:right w:val="none" w:sz="0" w:space="0" w:color="auto"/>
      </w:divBdr>
    </w:div>
    <w:div w:id="322244382">
      <w:marLeft w:val="0"/>
      <w:marRight w:val="0"/>
      <w:marTop w:val="180"/>
      <w:marBottom w:val="60"/>
      <w:divBdr>
        <w:top w:val="none" w:sz="0" w:space="0" w:color="auto"/>
        <w:left w:val="none" w:sz="0" w:space="0" w:color="auto"/>
        <w:bottom w:val="none" w:sz="0" w:space="0" w:color="auto"/>
        <w:right w:val="none" w:sz="0" w:space="0" w:color="auto"/>
      </w:divBdr>
    </w:div>
    <w:div w:id="323360328">
      <w:marLeft w:val="0"/>
      <w:marRight w:val="0"/>
      <w:marTop w:val="180"/>
      <w:marBottom w:val="180"/>
      <w:divBdr>
        <w:top w:val="none" w:sz="0" w:space="0" w:color="auto"/>
        <w:left w:val="none" w:sz="0" w:space="0" w:color="auto"/>
        <w:bottom w:val="none" w:sz="0" w:space="0" w:color="auto"/>
        <w:right w:val="none" w:sz="0" w:space="0" w:color="auto"/>
      </w:divBdr>
    </w:div>
    <w:div w:id="324238522">
      <w:marLeft w:val="0"/>
      <w:marRight w:val="0"/>
      <w:marTop w:val="180"/>
      <w:marBottom w:val="180"/>
      <w:divBdr>
        <w:top w:val="none" w:sz="0" w:space="0" w:color="auto"/>
        <w:left w:val="none" w:sz="0" w:space="0" w:color="auto"/>
        <w:bottom w:val="none" w:sz="0" w:space="0" w:color="auto"/>
        <w:right w:val="none" w:sz="0" w:space="0" w:color="auto"/>
      </w:divBdr>
    </w:div>
    <w:div w:id="325329796">
      <w:marLeft w:val="0"/>
      <w:marRight w:val="0"/>
      <w:marTop w:val="60"/>
      <w:marBottom w:val="60"/>
      <w:divBdr>
        <w:top w:val="none" w:sz="0" w:space="0" w:color="auto"/>
        <w:left w:val="none" w:sz="0" w:space="0" w:color="auto"/>
        <w:bottom w:val="none" w:sz="0" w:space="0" w:color="auto"/>
        <w:right w:val="none" w:sz="0" w:space="0" w:color="auto"/>
      </w:divBdr>
    </w:div>
    <w:div w:id="326129993">
      <w:marLeft w:val="0"/>
      <w:marRight w:val="0"/>
      <w:marTop w:val="0"/>
      <w:marBottom w:val="0"/>
      <w:divBdr>
        <w:top w:val="none" w:sz="0" w:space="0" w:color="auto"/>
        <w:left w:val="none" w:sz="0" w:space="0" w:color="auto"/>
        <w:bottom w:val="none" w:sz="0" w:space="0" w:color="auto"/>
        <w:right w:val="none" w:sz="0" w:space="0" w:color="auto"/>
      </w:divBdr>
    </w:div>
    <w:div w:id="328336323">
      <w:marLeft w:val="0"/>
      <w:marRight w:val="0"/>
      <w:marTop w:val="0"/>
      <w:marBottom w:val="0"/>
      <w:divBdr>
        <w:top w:val="none" w:sz="0" w:space="0" w:color="auto"/>
        <w:left w:val="none" w:sz="0" w:space="0" w:color="auto"/>
        <w:bottom w:val="none" w:sz="0" w:space="0" w:color="auto"/>
        <w:right w:val="none" w:sz="0" w:space="0" w:color="auto"/>
      </w:divBdr>
    </w:div>
    <w:div w:id="329141346">
      <w:marLeft w:val="0"/>
      <w:marRight w:val="0"/>
      <w:marTop w:val="0"/>
      <w:marBottom w:val="0"/>
      <w:divBdr>
        <w:top w:val="none" w:sz="0" w:space="0" w:color="auto"/>
        <w:left w:val="none" w:sz="0" w:space="0" w:color="auto"/>
        <w:bottom w:val="none" w:sz="0" w:space="0" w:color="auto"/>
        <w:right w:val="none" w:sz="0" w:space="0" w:color="auto"/>
      </w:divBdr>
    </w:div>
    <w:div w:id="330720482">
      <w:marLeft w:val="0"/>
      <w:marRight w:val="0"/>
      <w:marTop w:val="180"/>
      <w:marBottom w:val="60"/>
      <w:divBdr>
        <w:top w:val="none" w:sz="0" w:space="0" w:color="auto"/>
        <w:left w:val="none" w:sz="0" w:space="0" w:color="auto"/>
        <w:bottom w:val="none" w:sz="0" w:space="0" w:color="auto"/>
        <w:right w:val="none" w:sz="0" w:space="0" w:color="auto"/>
      </w:divBdr>
    </w:div>
    <w:div w:id="330909181">
      <w:marLeft w:val="0"/>
      <w:marRight w:val="0"/>
      <w:marTop w:val="180"/>
      <w:marBottom w:val="180"/>
      <w:divBdr>
        <w:top w:val="none" w:sz="0" w:space="0" w:color="auto"/>
        <w:left w:val="none" w:sz="0" w:space="0" w:color="auto"/>
        <w:bottom w:val="none" w:sz="0" w:space="0" w:color="auto"/>
        <w:right w:val="none" w:sz="0" w:space="0" w:color="auto"/>
      </w:divBdr>
    </w:div>
    <w:div w:id="331228552">
      <w:marLeft w:val="0"/>
      <w:marRight w:val="0"/>
      <w:marTop w:val="60"/>
      <w:marBottom w:val="60"/>
      <w:divBdr>
        <w:top w:val="none" w:sz="0" w:space="0" w:color="auto"/>
        <w:left w:val="none" w:sz="0" w:space="0" w:color="auto"/>
        <w:bottom w:val="none" w:sz="0" w:space="0" w:color="auto"/>
        <w:right w:val="none" w:sz="0" w:space="0" w:color="auto"/>
      </w:divBdr>
    </w:div>
    <w:div w:id="331757025">
      <w:marLeft w:val="0"/>
      <w:marRight w:val="0"/>
      <w:marTop w:val="180"/>
      <w:marBottom w:val="60"/>
      <w:divBdr>
        <w:top w:val="none" w:sz="0" w:space="0" w:color="auto"/>
        <w:left w:val="none" w:sz="0" w:space="0" w:color="auto"/>
        <w:bottom w:val="none" w:sz="0" w:space="0" w:color="auto"/>
        <w:right w:val="none" w:sz="0" w:space="0" w:color="auto"/>
      </w:divBdr>
    </w:div>
    <w:div w:id="331951782">
      <w:marLeft w:val="0"/>
      <w:marRight w:val="0"/>
      <w:marTop w:val="0"/>
      <w:marBottom w:val="0"/>
      <w:divBdr>
        <w:top w:val="none" w:sz="0" w:space="0" w:color="auto"/>
        <w:left w:val="none" w:sz="0" w:space="0" w:color="auto"/>
        <w:bottom w:val="none" w:sz="0" w:space="0" w:color="auto"/>
        <w:right w:val="none" w:sz="0" w:space="0" w:color="auto"/>
      </w:divBdr>
    </w:div>
    <w:div w:id="332034161">
      <w:marLeft w:val="0"/>
      <w:marRight w:val="0"/>
      <w:marTop w:val="100"/>
      <w:marBottom w:val="180"/>
      <w:divBdr>
        <w:top w:val="none" w:sz="0" w:space="0" w:color="auto"/>
        <w:left w:val="none" w:sz="0" w:space="0" w:color="auto"/>
        <w:bottom w:val="none" w:sz="0" w:space="0" w:color="auto"/>
        <w:right w:val="none" w:sz="0" w:space="0" w:color="auto"/>
      </w:divBdr>
    </w:div>
    <w:div w:id="332145743">
      <w:marLeft w:val="0"/>
      <w:marRight w:val="0"/>
      <w:marTop w:val="180"/>
      <w:marBottom w:val="60"/>
      <w:divBdr>
        <w:top w:val="none" w:sz="0" w:space="0" w:color="auto"/>
        <w:left w:val="none" w:sz="0" w:space="0" w:color="auto"/>
        <w:bottom w:val="none" w:sz="0" w:space="0" w:color="auto"/>
        <w:right w:val="none" w:sz="0" w:space="0" w:color="auto"/>
      </w:divBdr>
    </w:div>
    <w:div w:id="332219496">
      <w:marLeft w:val="0"/>
      <w:marRight w:val="0"/>
      <w:marTop w:val="180"/>
      <w:marBottom w:val="180"/>
      <w:divBdr>
        <w:top w:val="none" w:sz="0" w:space="0" w:color="auto"/>
        <w:left w:val="none" w:sz="0" w:space="0" w:color="auto"/>
        <w:bottom w:val="none" w:sz="0" w:space="0" w:color="auto"/>
        <w:right w:val="none" w:sz="0" w:space="0" w:color="auto"/>
      </w:divBdr>
    </w:div>
    <w:div w:id="332951418">
      <w:marLeft w:val="0"/>
      <w:marRight w:val="0"/>
      <w:marTop w:val="180"/>
      <w:marBottom w:val="180"/>
      <w:divBdr>
        <w:top w:val="none" w:sz="0" w:space="0" w:color="auto"/>
        <w:left w:val="none" w:sz="0" w:space="0" w:color="auto"/>
        <w:bottom w:val="none" w:sz="0" w:space="0" w:color="auto"/>
        <w:right w:val="none" w:sz="0" w:space="0" w:color="auto"/>
      </w:divBdr>
    </w:div>
    <w:div w:id="333192982">
      <w:marLeft w:val="0"/>
      <w:marRight w:val="0"/>
      <w:marTop w:val="180"/>
      <w:marBottom w:val="180"/>
      <w:divBdr>
        <w:top w:val="none" w:sz="0" w:space="0" w:color="auto"/>
        <w:left w:val="none" w:sz="0" w:space="0" w:color="auto"/>
        <w:bottom w:val="none" w:sz="0" w:space="0" w:color="auto"/>
        <w:right w:val="none" w:sz="0" w:space="0" w:color="auto"/>
      </w:divBdr>
    </w:div>
    <w:div w:id="333655363">
      <w:marLeft w:val="0"/>
      <w:marRight w:val="0"/>
      <w:marTop w:val="180"/>
      <w:marBottom w:val="180"/>
      <w:divBdr>
        <w:top w:val="none" w:sz="0" w:space="0" w:color="auto"/>
        <w:left w:val="none" w:sz="0" w:space="0" w:color="auto"/>
        <w:bottom w:val="none" w:sz="0" w:space="0" w:color="auto"/>
        <w:right w:val="none" w:sz="0" w:space="0" w:color="auto"/>
      </w:divBdr>
    </w:div>
    <w:div w:id="333806414">
      <w:marLeft w:val="0"/>
      <w:marRight w:val="0"/>
      <w:marTop w:val="0"/>
      <w:marBottom w:val="0"/>
      <w:divBdr>
        <w:top w:val="none" w:sz="0" w:space="0" w:color="auto"/>
        <w:left w:val="none" w:sz="0" w:space="0" w:color="auto"/>
        <w:bottom w:val="none" w:sz="0" w:space="0" w:color="auto"/>
        <w:right w:val="none" w:sz="0" w:space="0" w:color="auto"/>
      </w:divBdr>
      <w:divsChild>
        <w:div w:id="1615362180">
          <w:marLeft w:val="0"/>
          <w:marRight w:val="0"/>
          <w:marTop w:val="0"/>
          <w:marBottom w:val="0"/>
          <w:divBdr>
            <w:top w:val="none" w:sz="0" w:space="0" w:color="auto"/>
            <w:left w:val="none" w:sz="0" w:space="0" w:color="auto"/>
            <w:bottom w:val="none" w:sz="0" w:space="0" w:color="auto"/>
            <w:right w:val="none" w:sz="0" w:space="0" w:color="auto"/>
          </w:divBdr>
          <w:divsChild>
            <w:div w:id="74006093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36928497">
      <w:marLeft w:val="0"/>
      <w:marRight w:val="0"/>
      <w:marTop w:val="60"/>
      <w:marBottom w:val="60"/>
      <w:divBdr>
        <w:top w:val="none" w:sz="0" w:space="0" w:color="auto"/>
        <w:left w:val="none" w:sz="0" w:space="0" w:color="auto"/>
        <w:bottom w:val="none" w:sz="0" w:space="0" w:color="auto"/>
        <w:right w:val="none" w:sz="0" w:space="0" w:color="auto"/>
      </w:divBdr>
    </w:div>
    <w:div w:id="337974847">
      <w:marLeft w:val="0"/>
      <w:marRight w:val="0"/>
      <w:marTop w:val="180"/>
      <w:marBottom w:val="180"/>
      <w:divBdr>
        <w:top w:val="none" w:sz="0" w:space="0" w:color="auto"/>
        <w:left w:val="none" w:sz="0" w:space="0" w:color="auto"/>
        <w:bottom w:val="none" w:sz="0" w:space="0" w:color="auto"/>
        <w:right w:val="none" w:sz="0" w:space="0" w:color="auto"/>
      </w:divBdr>
    </w:div>
    <w:div w:id="338774447">
      <w:marLeft w:val="0"/>
      <w:marRight w:val="0"/>
      <w:marTop w:val="180"/>
      <w:marBottom w:val="180"/>
      <w:divBdr>
        <w:top w:val="none" w:sz="0" w:space="0" w:color="auto"/>
        <w:left w:val="none" w:sz="0" w:space="0" w:color="auto"/>
        <w:bottom w:val="none" w:sz="0" w:space="0" w:color="auto"/>
        <w:right w:val="none" w:sz="0" w:space="0" w:color="auto"/>
      </w:divBdr>
    </w:div>
    <w:div w:id="339815846">
      <w:marLeft w:val="0"/>
      <w:marRight w:val="0"/>
      <w:marTop w:val="0"/>
      <w:marBottom w:val="0"/>
      <w:divBdr>
        <w:top w:val="none" w:sz="0" w:space="0" w:color="auto"/>
        <w:left w:val="none" w:sz="0" w:space="0" w:color="auto"/>
        <w:bottom w:val="none" w:sz="0" w:space="0" w:color="auto"/>
        <w:right w:val="none" w:sz="0" w:space="0" w:color="auto"/>
      </w:divBdr>
      <w:divsChild>
        <w:div w:id="1300922311">
          <w:marLeft w:val="0"/>
          <w:marRight w:val="0"/>
          <w:marTop w:val="0"/>
          <w:marBottom w:val="0"/>
          <w:divBdr>
            <w:top w:val="none" w:sz="0" w:space="0" w:color="auto"/>
            <w:left w:val="none" w:sz="0" w:space="0" w:color="auto"/>
            <w:bottom w:val="none" w:sz="0" w:space="0" w:color="auto"/>
            <w:right w:val="none" w:sz="0" w:space="0" w:color="auto"/>
          </w:divBdr>
          <w:divsChild>
            <w:div w:id="36683400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42441617">
      <w:marLeft w:val="0"/>
      <w:marRight w:val="0"/>
      <w:marTop w:val="0"/>
      <w:marBottom w:val="0"/>
      <w:divBdr>
        <w:top w:val="none" w:sz="0" w:space="0" w:color="auto"/>
        <w:left w:val="none" w:sz="0" w:space="0" w:color="auto"/>
        <w:bottom w:val="none" w:sz="0" w:space="0" w:color="auto"/>
        <w:right w:val="none" w:sz="0" w:space="0" w:color="auto"/>
      </w:divBdr>
      <w:divsChild>
        <w:div w:id="2141528644">
          <w:marLeft w:val="0"/>
          <w:marRight w:val="0"/>
          <w:marTop w:val="180"/>
          <w:marBottom w:val="180"/>
          <w:divBdr>
            <w:top w:val="none" w:sz="0" w:space="0" w:color="auto"/>
            <w:left w:val="none" w:sz="0" w:space="0" w:color="auto"/>
            <w:bottom w:val="none" w:sz="0" w:space="0" w:color="auto"/>
            <w:right w:val="none" w:sz="0" w:space="0" w:color="auto"/>
          </w:divBdr>
        </w:div>
      </w:divsChild>
    </w:div>
    <w:div w:id="344022625">
      <w:marLeft w:val="0"/>
      <w:marRight w:val="0"/>
      <w:marTop w:val="180"/>
      <w:marBottom w:val="180"/>
      <w:divBdr>
        <w:top w:val="none" w:sz="0" w:space="0" w:color="auto"/>
        <w:left w:val="none" w:sz="0" w:space="0" w:color="auto"/>
        <w:bottom w:val="none" w:sz="0" w:space="0" w:color="auto"/>
        <w:right w:val="none" w:sz="0" w:space="0" w:color="auto"/>
      </w:divBdr>
    </w:div>
    <w:div w:id="344064637">
      <w:marLeft w:val="0"/>
      <w:marRight w:val="0"/>
      <w:marTop w:val="60"/>
      <w:marBottom w:val="60"/>
      <w:divBdr>
        <w:top w:val="none" w:sz="0" w:space="0" w:color="auto"/>
        <w:left w:val="none" w:sz="0" w:space="0" w:color="auto"/>
        <w:bottom w:val="none" w:sz="0" w:space="0" w:color="auto"/>
        <w:right w:val="none" w:sz="0" w:space="0" w:color="auto"/>
      </w:divBdr>
    </w:div>
    <w:div w:id="346761611">
      <w:marLeft w:val="0"/>
      <w:marRight w:val="0"/>
      <w:marTop w:val="0"/>
      <w:marBottom w:val="0"/>
      <w:divBdr>
        <w:top w:val="none" w:sz="0" w:space="0" w:color="auto"/>
        <w:left w:val="none" w:sz="0" w:space="0" w:color="auto"/>
        <w:bottom w:val="none" w:sz="0" w:space="0" w:color="auto"/>
        <w:right w:val="none" w:sz="0" w:space="0" w:color="auto"/>
      </w:divBdr>
      <w:divsChild>
        <w:div w:id="1300649810">
          <w:marLeft w:val="0"/>
          <w:marRight w:val="0"/>
          <w:marTop w:val="0"/>
          <w:marBottom w:val="0"/>
          <w:divBdr>
            <w:top w:val="none" w:sz="0" w:space="0" w:color="auto"/>
            <w:left w:val="none" w:sz="0" w:space="0" w:color="auto"/>
            <w:bottom w:val="none" w:sz="0" w:space="0" w:color="auto"/>
            <w:right w:val="none" w:sz="0" w:space="0" w:color="auto"/>
          </w:divBdr>
          <w:divsChild>
            <w:div w:id="152281824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47562204">
      <w:marLeft w:val="0"/>
      <w:marRight w:val="0"/>
      <w:marTop w:val="100"/>
      <w:marBottom w:val="60"/>
      <w:divBdr>
        <w:top w:val="none" w:sz="0" w:space="0" w:color="auto"/>
        <w:left w:val="none" w:sz="0" w:space="0" w:color="auto"/>
        <w:bottom w:val="none" w:sz="0" w:space="0" w:color="auto"/>
        <w:right w:val="none" w:sz="0" w:space="0" w:color="auto"/>
      </w:divBdr>
    </w:div>
    <w:div w:id="348680192">
      <w:marLeft w:val="0"/>
      <w:marRight w:val="0"/>
      <w:marTop w:val="180"/>
      <w:marBottom w:val="180"/>
      <w:divBdr>
        <w:top w:val="none" w:sz="0" w:space="0" w:color="auto"/>
        <w:left w:val="none" w:sz="0" w:space="0" w:color="auto"/>
        <w:bottom w:val="none" w:sz="0" w:space="0" w:color="auto"/>
        <w:right w:val="none" w:sz="0" w:space="0" w:color="auto"/>
      </w:divBdr>
    </w:div>
    <w:div w:id="348724461">
      <w:marLeft w:val="0"/>
      <w:marRight w:val="0"/>
      <w:marTop w:val="180"/>
      <w:marBottom w:val="180"/>
      <w:divBdr>
        <w:top w:val="none" w:sz="0" w:space="0" w:color="auto"/>
        <w:left w:val="none" w:sz="0" w:space="0" w:color="auto"/>
        <w:bottom w:val="none" w:sz="0" w:space="0" w:color="auto"/>
        <w:right w:val="none" w:sz="0" w:space="0" w:color="auto"/>
      </w:divBdr>
    </w:div>
    <w:div w:id="349651539">
      <w:marLeft w:val="0"/>
      <w:marRight w:val="0"/>
      <w:marTop w:val="180"/>
      <w:marBottom w:val="180"/>
      <w:divBdr>
        <w:top w:val="none" w:sz="0" w:space="0" w:color="auto"/>
        <w:left w:val="none" w:sz="0" w:space="0" w:color="auto"/>
        <w:bottom w:val="none" w:sz="0" w:space="0" w:color="auto"/>
        <w:right w:val="none" w:sz="0" w:space="0" w:color="auto"/>
      </w:divBdr>
    </w:div>
    <w:div w:id="351566494">
      <w:marLeft w:val="0"/>
      <w:marRight w:val="0"/>
      <w:marTop w:val="0"/>
      <w:marBottom w:val="0"/>
      <w:divBdr>
        <w:top w:val="none" w:sz="0" w:space="0" w:color="auto"/>
        <w:left w:val="none" w:sz="0" w:space="0" w:color="auto"/>
        <w:bottom w:val="none" w:sz="0" w:space="0" w:color="auto"/>
        <w:right w:val="none" w:sz="0" w:space="0" w:color="auto"/>
      </w:divBdr>
    </w:div>
    <w:div w:id="351878781">
      <w:marLeft w:val="0"/>
      <w:marRight w:val="0"/>
      <w:marTop w:val="180"/>
      <w:marBottom w:val="180"/>
      <w:divBdr>
        <w:top w:val="none" w:sz="0" w:space="0" w:color="auto"/>
        <w:left w:val="none" w:sz="0" w:space="0" w:color="auto"/>
        <w:bottom w:val="none" w:sz="0" w:space="0" w:color="auto"/>
        <w:right w:val="none" w:sz="0" w:space="0" w:color="auto"/>
      </w:divBdr>
    </w:div>
    <w:div w:id="351995859">
      <w:marLeft w:val="0"/>
      <w:marRight w:val="0"/>
      <w:marTop w:val="180"/>
      <w:marBottom w:val="180"/>
      <w:divBdr>
        <w:top w:val="none" w:sz="0" w:space="0" w:color="auto"/>
        <w:left w:val="none" w:sz="0" w:space="0" w:color="auto"/>
        <w:bottom w:val="none" w:sz="0" w:space="0" w:color="auto"/>
        <w:right w:val="none" w:sz="0" w:space="0" w:color="auto"/>
      </w:divBdr>
    </w:div>
    <w:div w:id="355733185">
      <w:marLeft w:val="0"/>
      <w:marRight w:val="0"/>
      <w:marTop w:val="180"/>
      <w:marBottom w:val="180"/>
      <w:divBdr>
        <w:top w:val="none" w:sz="0" w:space="0" w:color="auto"/>
        <w:left w:val="none" w:sz="0" w:space="0" w:color="auto"/>
        <w:bottom w:val="none" w:sz="0" w:space="0" w:color="auto"/>
        <w:right w:val="none" w:sz="0" w:space="0" w:color="auto"/>
      </w:divBdr>
    </w:div>
    <w:div w:id="356348502">
      <w:marLeft w:val="0"/>
      <w:marRight w:val="0"/>
      <w:marTop w:val="60"/>
      <w:marBottom w:val="60"/>
      <w:divBdr>
        <w:top w:val="none" w:sz="0" w:space="0" w:color="auto"/>
        <w:left w:val="none" w:sz="0" w:space="0" w:color="auto"/>
        <w:bottom w:val="none" w:sz="0" w:space="0" w:color="auto"/>
        <w:right w:val="none" w:sz="0" w:space="0" w:color="auto"/>
      </w:divBdr>
    </w:div>
    <w:div w:id="356664317">
      <w:marLeft w:val="0"/>
      <w:marRight w:val="0"/>
      <w:marTop w:val="180"/>
      <w:marBottom w:val="180"/>
      <w:divBdr>
        <w:top w:val="none" w:sz="0" w:space="0" w:color="auto"/>
        <w:left w:val="none" w:sz="0" w:space="0" w:color="auto"/>
        <w:bottom w:val="none" w:sz="0" w:space="0" w:color="auto"/>
        <w:right w:val="none" w:sz="0" w:space="0" w:color="auto"/>
      </w:divBdr>
    </w:div>
    <w:div w:id="358161613">
      <w:marLeft w:val="0"/>
      <w:marRight w:val="0"/>
      <w:marTop w:val="180"/>
      <w:marBottom w:val="180"/>
      <w:divBdr>
        <w:top w:val="none" w:sz="0" w:space="0" w:color="auto"/>
        <w:left w:val="none" w:sz="0" w:space="0" w:color="auto"/>
        <w:bottom w:val="none" w:sz="0" w:space="0" w:color="auto"/>
        <w:right w:val="none" w:sz="0" w:space="0" w:color="auto"/>
      </w:divBdr>
    </w:div>
    <w:div w:id="358165829">
      <w:marLeft w:val="0"/>
      <w:marRight w:val="0"/>
      <w:marTop w:val="180"/>
      <w:marBottom w:val="180"/>
      <w:divBdr>
        <w:top w:val="none" w:sz="0" w:space="0" w:color="auto"/>
        <w:left w:val="none" w:sz="0" w:space="0" w:color="auto"/>
        <w:bottom w:val="none" w:sz="0" w:space="0" w:color="auto"/>
        <w:right w:val="none" w:sz="0" w:space="0" w:color="auto"/>
      </w:divBdr>
    </w:div>
    <w:div w:id="359207496">
      <w:marLeft w:val="0"/>
      <w:marRight w:val="0"/>
      <w:marTop w:val="0"/>
      <w:marBottom w:val="0"/>
      <w:divBdr>
        <w:top w:val="none" w:sz="0" w:space="0" w:color="auto"/>
        <w:left w:val="none" w:sz="0" w:space="0" w:color="auto"/>
        <w:bottom w:val="none" w:sz="0" w:space="0" w:color="auto"/>
        <w:right w:val="none" w:sz="0" w:space="0" w:color="auto"/>
      </w:divBdr>
      <w:divsChild>
        <w:div w:id="13263069">
          <w:marLeft w:val="0"/>
          <w:marRight w:val="0"/>
          <w:marTop w:val="180"/>
          <w:marBottom w:val="180"/>
          <w:divBdr>
            <w:top w:val="none" w:sz="0" w:space="0" w:color="auto"/>
            <w:left w:val="none" w:sz="0" w:space="0" w:color="auto"/>
            <w:bottom w:val="none" w:sz="0" w:space="0" w:color="auto"/>
            <w:right w:val="none" w:sz="0" w:space="0" w:color="auto"/>
          </w:divBdr>
        </w:div>
      </w:divsChild>
    </w:div>
    <w:div w:id="360056549">
      <w:marLeft w:val="0"/>
      <w:marRight w:val="0"/>
      <w:marTop w:val="180"/>
      <w:marBottom w:val="180"/>
      <w:divBdr>
        <w:top w:val="none" w:sz="0" w:space="0" w:color="auto"/>
        <w:left w:val="none" w:sz="0" w:space="0" w:color="auto"/>
        <w:bottom w:val="none" w:sz="0" w:space="0" w:color="auto"/>
        <w:right w:val="none" w:sz="0" w:space="0" w:color="auto"/>
      </w:divBdr>
    </w:div>
    <w:div w:id="360205334">
      <w:marLeft w:val="0"/>
      <w:marRight w:val="0"/>
      <w:marTop w:val="180"/>
      <w:marBottom w:val="60"/>
      <w:divBdr>
        <w:top w:val="none" w:sz="0" w:space="0" w:color="auto"/>
        <w:left w:val="none" w:sz="0" w:space="0" w:color="auto"/>
        <w:bottom w:val="none" w:sz="0" w:space="0" w:color="auto"/>
        <w:right w:val="none" w:sz="0" w:space="0" w:color="auto"/>
      </w:divBdr>
    </w:div>
    <w:div w:id="360401522">
      <w:marLeft w:val="0"/>
      <w:marRight w:val="0"/>
      <w:marTop w:val="0"/>
      <w:marBottom w:val="0"/>
      <w:divBdr>
        <w:top w:val="none" w:sz="0" w:space="0" w:color="auto"/>
        <w:left w:val="none" w:sz="0" w:space="0" w:color="auto"/>
        <w:bottom w:val="none" w:sz="0" w:space="0" w:color="auto"/>
        <w:right w:val="none" w:sz="0" w:space="0" w:color="auto"/>
      </w:divBdr>
    </w:div>
    <w:div w:id="362050092">
      <w:marLeft w:val="0"/>
      <w:marRight w:val="0"/>
      <w:marTop w:val="180"/>
      <w:marBottom w:val="180"/>
      <w:divBdr>
        <w:top w:val="none" w:sz="0" w:space="0" w:color="auto"/>
        <w:left w:val="none" w:sz="0" w:space="0" w:color="auto"/>
        <w:bottom w:val="none" w:sz="0" w:space="0" w:color="auto"/>
        <w:right w:val="none" w:sz="0" w:space="0" w:color="auto"/>
      </w:divBdr>
    </w:div>
    <w:div w:id="364140357">
      <w:marLeft w:val="0"/>
      <w:marRight w:val="0"/>
      <w:marTop w:val="180"/>
      <w:marBottom w:val="60"/>
      <w:divBdr>
        <w:top w:val="none" w:sz="0" w:space="0" w:color="auto"/>
        <w:left w:val="none" w:sz="0" w:space="0" w:color="auto"/>
        <w:bottom w:val="none" w:sz="0" w:space="0" w:color="auto"/>
        <w:right w:val="none" w:sz="0" w:space="0" w:color="auto"/>
      </w:divBdr>
    </w:div>
    <w:div w:id="364719901">
      <w:marLeft w:val="0"/>
      <w:marRight w:val="0"/>
      <w:marTop w:val="60"/>
      <w:marBottom w:val="60"/>
      <w:divBdr>
        <w:top w:val="none" w:sz="0" w:space="0" w:color="auto"/>
        <w:left w:val="none" w:sz="0" w:space="0" w:color="auto"/>
        <w:bottom w:val="none" w:sz="0" w:space="0" w:color="auto"/>
        <w:right w:val="none" w:sz="0" w:space="0" w:color="auto"/>
      </w:divBdr>
    </w:div>
    <w:div w:id="364793265">
      <w:marLeft w:val="0"/>
      <w:marRight w:val="0"/>
      <w:marTop w:val="180"/>
      <w:marBottom w:val="180"/>
      <w:divBdr>
        <w:top w:val="none" w:sz="0" w:space="0" w:color="auto"/>
        <w:left w:val="none" w:sz="0" w:space="0" w:color="auto"/>
        <w:bottom w:val="none" w:sz="0" w:space="0" w:color="auto"/>
        <w:right w:val="none" w:sz="0" w:space="0" w:color="auto"/>
      </w:divBdr>
    </w:div>
    <w:div w:id="365376007">
      <w:marLeft w:val="0"/>
      <w:marRight w:val="0"/>
      <w:marTop w:val="180"/>
      <w:marBottom w:val="180"/>
      <w:divBdr>
        <w:top w:val="none" w:sz="0" w:space="0" w:color="auto"/>
        <w:left w:val="none" w:sz="0" w:space="0" w:color="auto"/>
        <w:bottom w:val="none" w:sz="0" w:space="0" w:color="auto"/>
        <w:right w:val="none" w:sz="0" w:space="0" w:color="auto"/>
      </w:divBdr>
    </w:div>
    <w:div w:id="367098714">
      <w:marLeft w:val="0"/>
      <w:marRight w:val="0"/>
      <w:marTop w:val="180"/>
      <w:marBottom w:val="180"/>
      <w:divBdr>
        <w:top w:val="none" w:sz="0" w:space="0" w:color="auto"/>
        <w:left w:val="none" w:sz="0" w:space="0" w:color="auto"/>
        <w:bottom w:val="none" w:sz="0" w:space="0" w:color="auto"/>
        <w:right w:val="none" w:sz="0" w:space="0" w:color="auto"/>
      </w:divBdr>
    </w:div>
    <w:div w:id="367410959">
      <w:marLeft w:val="0"/>
      <w:marRight w:val="0"/>
      <w:marTop w:val="0"/>
      <w:marBottom w:val="0"/>
      <w:divBdr>
        <w:top w:val="none" w:sz="0" w:space="0" w:color="auto"/>
        <w:left w:val="none" w:sz="0" w:space="0" w:color="auto"/>
        <w:bottom w:val="none" w:sz="0" w:space="0" w:color="auto"/>
        <w:right w:val="none" w:sz="0" w:space="0" w:color="auto"/>
      </w:divBdr>
    </w:div>
    <w:div w:id="368576784">
      <w:marLeft w:val="0"/>
      <w:marRight w:val="0"/>
      <w:marTop w:val="180"/>
      <w:marBottom w:val="180"/>
      <w:divBdr>
        <w:top w:val="none" w:sz="0" w:space="0" w:color="auto"/>
        <w:left w:val="none" w:sz="0" w:space="0" w:color="auto"/>
        <w:bottom w:val="none" w:sz="0" w:space="0" w:color="auto"/>
        <w:right w:val="none" w:sz="0" w:space="0" w:color="auto"/>
      </w:divBdr>
    </w:div>
    <w:div w:id="369262588">
      <w:marLeft w:val="0"/>
      <w:marRight w:val="0"/>
      <w:marTop w:val="0"/>
      <w:marBottom w:val="0"/>
      <w:divBdr>
        <w:top w:val="none" w:sz="0" w:space="0" w:color="auto"/>
        <w:left w:val="none" w:sz="0" w:space="0" w:color="auto"/>
        <w:bottom w:val="none" w:sz="0" w:space="0" w:color="auto"/>
        <w:right w:val="none" w:sz="0" w:space="0" w:color="auto"/>
      </w:divBdr>
      <w:divsChild>
        <w:div w:id="84270">
          <w:marLeft w:val="0"/>
          <w:marRight w:val="0"/>
          <w:marTop w:val="0"/>
          <w:marBottom w:val="0"/>
          <w:divBdr>
            <w:top w:val="none" w:sz="0" w:space="0" w:color="auto"/>
            <w:left w:val="none" w:sz="0" w:space="0" w:color="auto"/>
            <w:bottom w:val="none" w:sz="0" w:space="0" w:color="auto"/>
            <w:right w:val="none" w:sz="0" w:space="0" w:color="auto"/>
          </w:divBdr>
          <w:divsChild>
            <w:div w:id="189033796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70345348">
      <w:marLeft w:val="0"/>
      <w:marRight w:val="0"/>
      <w:marTop w:val="0"/>
      <w:marBottom w:val="0"/>
      <w:divBdr>
        <w:top w:val="none" w:sz="0" w:space="0" w:color="auto"/>
        <w:left w:val="none" w:sz="0" w:space="0" w:color="auto"/>
        <w:bottom w:val="none" w:sz="0" w:space="0" w:color="auto"/>
        <w:right w:val="none" w:sz="0" w:space="0" w:color="auto"/>
      </w:divBdr>
      <w:divsChild>
        <w:div w:id="1935243867">
          <w:marLeft w:val="0"/>
          <w:marRight w:val="0"/>
          <w:marTop w:val="0"/>
          <w:marBottom w:val="0"/>
          <w:divBdr>
            <w:top w:val="none" w:sz="0" w:space="0" w:color="auto"/>
            <w:left w:val="none" w:sz="0" w:space="0" w:color="auto"/>
            <w:bottom w:val="none" w:sz="0" w:space="0" w:color="auto"/>
            <w:right w:val="none" w:sz="0" w:space="0" w:color="auto"/>
          </w:divBdr>
          <w:divsChild>
            <w:div w:id="60006321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70616652">
      <w:marLeft w:val="0"/>
      <w:marRight w:val="0"/>
      <w:marTop w:val="60"/>
      <w:marBottom w:val="60"/>
      <w:divBdr>
        <w:top w:val="none" w:sz="0" w:space="0" w:color="auto"/>
        <w:left w:val="none" w:sz="0" w:space="0" w:color="auto"/>
        <w:bottom w:val="none" w:sz="0" w:space="0" w:color="auto"/>
        <w:right w:val="none" w:sz="0" w:space="0" w:color="auto"/>
      </w:divBdr>
    </w:div>
    <w:div w:id="371199999">
      <w:marLeft w:val="0"/>
      <w:marRight w:val="0"/>
      <w:marTop w:val="180"/>
      <w:marBottom w:val="180"/>
      <w:divBdr>
        <w:top w:val="none" w:sz="0" w:space="0" w:color="auto"/>
        <w:left w:val="none" w:sz="0" w:space="0" w:color="auto"/>
        <w:bottom w:val="none" w:sz="0" w:space="0" w:color="auto"/>
        <w:right w:val="none" w:sz="0" w:space="0" w:color="auto"/>
      </w:divBdr>
    </w:div>
    <w:div w:id="372198435">
      <w:marLeft w:val="0"/>
      <w:marRight w:val="0"/>
      <w:marTop w:val="180"/>
      <w:marBottom w:val="180"/>
      <w:divBdr>
        <w:top w:val="none" w:sz="0" w:space="0" w:color="auto"/>
        <w:left w:val="none" w:sz="0" w:space="0" w:color="auto"/>
        <w:bottom w:val="none" w:sz="0" w:space="0" w:color="auto"/>
        <w:right w:val="none" w:sz="0" w:space="0" w:color="auto"/>
      </w:divBdr>
    </w:div>
    <w:div w:id="373048193">
      <w:marLeft w:val="0"/>
      <w:marRight w:val="0"/>
      <w:marTop w:val="0"/>
      <w:marBottom w:val="0"/>
      <w:divBdr>
        <w:top w:val="none" w:sz="0" w:space="0" w:color="auto"/>
        <w:left w:val="none" w:sz="0" w:space="0" w:color="auto"/>
        <w:bottom w:val="none" w:sz="0" w:space="0" w:color="auto"/>
        <w:right w:val="none" w:sz="0" w:space="0" w:color="auto"/>
      </w:divBdr>
      <w:divsChild>
        <w:div w:id="659964643">
          <w:marLeft w:val="0"/>
          <w:marRight w:val="0"/>
          <w:marTop w:val="0"/>
          <w:marBottom w:val="0"/>
          <w:divBdr>
            <w:top w:val="none" w:sz="0" w:space="0" w:color="auto"/>
            <w:left w:val="none" w:sz="0" w:space="0" w:color="auto"/>
            <w:bottom w:val="none" w:sz="0" w:space="0" w:color="auto"/>
            <w:right w:val="none" w:sz="0" w:space="0" w:color="auto"/>
          </w:divBdr>
          <w:divsChild>
            <w:div w:id="7374334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73123582">
      <w:marLeft w:val="0"/>
      <w:marRight w:val="0"/>
      <w:marTop w:val="0"/>
      <w:marBottom w:val="0"/>
      <w:divBdr>
        <w:top w:val="none" w:sz="0" w:space="0" w:color="auto"/>
        <w:left w:val="none" w:sz="0" w:space="0" w:color="auto"/>
        <w:bottom w:val="none" w:sz="0" w:space="0" w:color="auto"/>
        <w:right w:val="none" w:sz="0" w:space="0" w:color="auto"/>
      </w:divBdr>
      <w:divsChild>
        <w:div w:id="180828238">
          <w:marLeft w:val="0"/>
          <w:marRight w:val="0"/>
          <w:marTop w:val="0"/>
          <w:marBottom w:val="0"/>
          <w:divBdr>
            <w:top w:val="none" w:sz="0" w:space="0" w:color="auto"/>
            <w:left w:val="none" w:sz="0" w:space="0" w:color="auto"/>
            <w:bottom w:val="none" w:sz="0" w:space="0" w:color="auto"/>
            <w:right w:val="none" w:sz="0" w:space="0" w:color="auto"/>
          </w:divBdr>
          <w:divsChild>
            <w:div w:id="137634603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73425443">
      <w:marLeft w:val="0"/>
      <w:marRight w:val="0"/>
      <w:marTop w:val="180"/>
      <w:marBottom w:val="180"/>
      <w:divBdr>
        <w:top w:val="none" w:sz="0" w:space="0" w:color="auto"/>
        <w:left w:val="none" w:sz="0" w:space="0" w:color="auto"/>
        <w:bottom w:val="none" w:sz="0" w:space="0" w:color="auto"/>
        <w:right w:val="none" w:sz="0" w:space="0" w:color="auto"/>
      </w:divBdr>
    </w:div>
    <w:div w:id="375475477">
      <w:marLeft w:val="0"/>
      <w:marRight w:val="0"/>
      <w:marTop w:val="180"/>
      <w:marBottom w:val="180"/>
      <w:divBdr>
        <w:top w:val="none" w:sz="0" w:space="0" w:color="auto"/>
        <w:left w:val="none" w:sz="0" w:space="0" w:color="auto"/>
        <w:bottom w:val="none" w:sz="0" w:space="0" w:color="auto"/>
        <w:right w:val="none" w:sz="0" w:space="0" w:color="auto"/>
      </w:divBdr>
      <w:divsChild>
        <w:div w:id="1819298619">
          <w:marLeft w:val="0"/>
          <w:marRight w:val="0"/>
          <w:marTop w:val="0"/>
          <w:marBottom w:val="0"/>
          <w:divBdr>
            <w:top w:val="none" w:sz="0" w:space="0" w:color="auto"/>
            <w:left w:val="none" w:sz="0" w:space="0" w:color="auto"/>
            <w:bottom w:val="none" w:sz="0" w:space="0" w:color="auto"/>
            <w:right w:val="none" w:sz="0" w:space="0" w:color="auto"/>
          </w:divBdr>
        </w:div>
        <w:div w:id="763378908">
          <w:marLeft w:val="0"/>
          <w:marRight w:val="0"/>
          <w:marTop w:val="0"/>
          <w:marBottom w:val="0"/>
          <w:divBdr>
            <w:top w:val="none" w:sz="0" w:space="0" w:color="auto"/>
            <w:left w:val="none" w:sz="0" w:space="0" w:color="auto"/>
            <w:bottom w:val="none" w:sz="0" w:space="0" w:color="auto"/>
            <w:right w:val="none" w:sz="0" w:space="0" w:color="auto"/>
          </w:divBdr>
        </w:div>
        <w:div w:id="1557617697">
          <w:marLeft w:val="0"/>
          <w:marRight w:val="0"/>
          <w:marTop w:val="0"/>
          <w:marBottom w:val="0"/>
          <w:divBdr>
            <w:top w:val="none" w:sz="0" w:space="0" w:color="auto"/>
            <w:left w:val="none" w:sz="0" w:space="0" w:color="auto"/>
            <w:bottom w:val="none" w:sz="0" w:space="0" w:color="auto"/>
            <w:right w:val="none" w:sz="0" w:space="0" w:color="auto"/>
          </w:divBdr>
        </w:div>
        <w:div w:id="174614011">
          <w:marLeft w:val="0"/>
          <w:marRight w:val="0"/>
          <w:marTop w:val="0"/>
          <w:marBottom w:val="0"/>
          <w:divBdr>
            <w:top w:val="none" w:sz="0" w:space="0" w:color="auto"/>
            <w:left w:val="none" w:sz="0" w:space="0" w:color="auto"/>
            <w:bottom w:val="none" w:sz="0" w:space="0" w:color="auto"/>
            <w:right w:val="none" w:sz="0" w:space="0" w:color="auto"/>
          </w:divBdr>
        </w:div>
        <w:div w:id="2071952355">
          <w:marLeft w:val="0"/>
          <w:marRight w:val="0"/>
          <w:marTop w:val="0"/>
          <w:marBottom w:val="0"/>
          <w:divBdr>
            <w:top w:val="none" w:sz="0" w:space="0" w:color="auto"/>
            <w:left w:val="none" w:sz="0" w:space="0" w:color="auto"/>
            <w:bottom w:val="none" w:sz="0" w:space="0" w:color="auto"/>
            <w:right w:val="none" w:sz="0" w:space="0" w:color="auto"/>
          </w:divBdr>
        </w:div>
        <w:div w:id="1934127755">
          <w:marLeft w:val="0"/>
          <w:marRight w:val="0"/>
          <w:marTop w:val="0"/>
          <w:marBottom w:val="0"/>
          <w:divBdr>
            <w:top w:val="none" w:sz="0" w:space="0" w:color="auto"/>
            <w:left w:val="none" w:sz="0" w:space="0" w:color="auto"/>
            <w:bottom w:val="none" w:sz="0" w:space="0" w:color="auto"/>
            <w:right w:val="none" w:sz="0" w:space="0" w:color="auto"/>
          </w:divBdr>
        </w:div>
      </w:divsChild>
    </w:div>
    <w:div w:id="377366351">
      <w:marLeft w:val="0"/>
      <w:marRight w:val="0"/>
      <w:marTop w:val="0"/>
      <w:marBottom w:val="0"/>
      <w:divBdr>
        <w:top w:val="none" w:sz="0" w:space="0" w:color="auto"/>
        <w:left w:val="none" w:sz="0" w:space="0" w:color="auto"/>
        <w:bottom w:val="none" w:sz="0" w:space="0" w:color="auto"/>
        <w:right w:val="none" w:sz="0" w:space="0" w:color="auto"/>
      </w:divBdr>
      <w:divsChild>
        <w:div w:id="181894003">
          <w:marLeft w:val="0"/>
          <w:marRight w:val="0"/>
          <w:marTop w:val="60"/>
          <w:marBottom w:val="180"/>
          <w:divBdr>
            <w:top w:val="none" w:sz="0" w:space="0" w:color="auto"/>
            <w:left w:val="none" w:sz="0" w:space="0" w:color="auto"/>
            <w:bottom w:val="none" w:sz="0" w:space="0" w:color="auto"/>
            <w:right w:val="none" w:sz="0" w:space="0" w:color="auto"/>
          </w:divBdr>
        </w:div>
      </w:divsChild>
    </w:div>
    <w:div w:id="379940126">
      <w:marLeft w:val="0"/>
      <w:marRight w:val="0"/>
      <w:marTop w:val="0"/>
      <w:marBottom w:val="0"/>
      <w:divBdr>
        <w:top w:val="none" w:sz="0" w:space="0" w:color="auto"/>
        <w:left w:val="none" w:sz="0" w:space="0" w:color="auto"/>
        <w:bottom w:val="none" w:sz="0" w:space="0" w:color="auto"/>
        <w:right w:val="none" w:sz="0" w:space="0" w:color="auto"/>
      </w:divBdr>
      <w:divsChild>
        <w:div w:id="1942108194">
          <w:marLeft w:val="0"/>
          <w:marRight w:val="0"/>
          <w:marTop w:val="0"/>
          <w:marBottom w:val="0"/>
          <w:divBdr>
            <w:top w:val="none" w:sz="0" w:space="0" w:color="auto"/>
            <w:left w:val="none" w:sz="0" w:space="0" w:color="auto"/>
            <w:bottom w:val="none" w:sz="0" w:space="0" w:color="auto"/>
            <w:right w:val="none" w:sz="0" w:space="0" w:color="auto"/>
          </w:divBdr>
          <w:divsChild>
            <w:div w:id="152647632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80058995">
      <w:marLeft w:val="0"/>
      <w:marRight w:val="0"/>
      <w:marTop w:val="180"/>
      <w:marBottom w:val="180"/>
      <w:divBdr>
        <w:top w:val="none" w:sz="0" w:space="0" w:color="auto"/>
        <w:left w:val="none" w:sz="0" w:space="0" w:color="auto"/>
        <w:bottom w:val="none" w:sz="0" w:space="0" w:color="auto"/>
        <w:right w:val="none" w:sz="0" w:space="0" w:color="auto"/>
      </w:divBdr>
    </w:div>
    <w:div w:id="381712901">
      <w:marLeft w:val="0"/>
      <w:marRight w:val="0"/>
      <w:marTop w:val="60"/>
      <w:marBottom w:val="60"/>
      <w:divBdr>
        <w:top w:val="none" w:sz="0" w:space="0" w:color="auto"/>
        <w:left w:val="none" w:sz="0" w:space="0" w:color="auto"/>
        <w:bottom w:val="none" w:sz="0" w:space="0" w:color="auto"/>
        <w:right w:val="none" w:sz="0" w:space="0" w:color="auto"/>
      </w:divBdr>
    </w:div>
    <w:div w:id="381757037">
      <w:marLeft w:val="0"/>
      <w:marRight w:val="0"/>
      <w:marTop w:val="180"/>
      <w:marBottom w:val="180"/>
      <w:divBdr>
        <w:top w:val="none" w:sz="0" w:space="0" w:color="auto"/>
        <w:left w:val="none" w:sz="0" w:space="0" w:color="auto"/>
        <w:bottom w:val="none" w:sz="0" w:space="0" w:color="auto"/>
        <w:right w:val="none" w:sz="0" w:space="0" w:color="auto"/>
      </w:divBdr>
    </w:div>
    <w:div w:id="383482210">
      <w:marLeft w:val="0"/>
      <w:marRight w:val="0"/>
      <w:marTop w:val="180"/>
      <w:marBottom w:val="180"/>
      <w:divBdr>
        <w:top w:val="none" w:sz="0" w:space="0" w:color="auto"/>
        <w:left w:val="none" w:sz="0" w:space="0" w:color="auto"/>
        <w:bottom w:val="none" w:sz="0" w:space="0" w:color="auto"/>
        <w:right w:val="none" w:sz="0" w:space="0" w:color="auto"/>
      </w:divBdr>
    </w:div>
    <w:div w:id="384068620">
      <w:marLeft w:val="0"/>
      <w:marRight w:val="0"/>
      <w:marTop w:val="0"/>
      <w:marBottom w:val="0"/>
      <w:divBdr>
        <w:top w:val="none" w:sz="0" w:space="0" w:color="auto"/>
        <w:left w:val="none" w:sz="0" w:space="0" w:color="auto"/>
        <w:bottom w:val="none" w:sz="0" w:space="0" w:color="auto"/>
        <w:right w:val="none" w:sz="0" w:space="0" w:color="auto"/>
      </w:divBdr>
    </w:div>
    <w:div w:id="386494838">
      <w:marLeft w:val="0"/>
      <w:marRight w:val="0"/>
      <w:marTop w:val="180"/>
      <w:marBottom w:val="180"/>
      <w:divBdr>
        <w:top w:val="none" w:sz="0" w:space="0" w:color="auto"/>
        <w:left w:val="none" w:sz="0" w:space="0" w:color="auto"/>
        <w:bottom w:val="none" w:sz="0" w:space="0" w:color="auto"/>
        <w:right w:val="none" w:sz="0" w:space="0" w:color="auto"/>
      </w:divBdr>
    </w:div>
    <w:div w:id="387924199">
      <w:marLeft w:val="0"/>
      <w:marRight w:val="0"/>
      <w:marTop w:val="180"/>
      <w:marBottom w:val="180"/>
      <w:divBdr>
        <w:top w:val="none" w:sz="0" w:space="0" w:color="auto"/>
        <w:left w:val="none" w:sz="0" w:space="0" w:color="auto"/>
        <w:bottom w:val="none" w:sz="0" w:space="0" w:color="auto"/>
        <w:right w:val="none" w:sz="0" w:space="0" w:color="auto"/>
      </w:divBdr>
    </w:div>
    <w:div w:id="390621545">
      <w:marLeft w:val="0"/>
      <w:marRight w:val="0"/>
      <w:marTop w:val="180"/>
      <w:marBottom w:val="180"/>
      <w:divBdr>
        <w:top w:val="none" w:sz="0" w:space="0" w:color="auto"/>
        <w:left w:val="none" w:sz="0" w:space="0" w:color="auto"/>
        <w:bottom w:val="none" w:sz="0" w:space="0" w:color="auto"/>
        <w:right w:val="none" w:sz="0" w:space="0" w:color="auto"/>
      </w:divBdr>
    </w:div>
    <w:div w:id="390887433">
      <w:marLeft w:val="0"/>
      <w:marRight w:val="0"/>
      <w:marTop w:val="180"/>
      <w:marBottom w:val="180"/>
      <w:divBdr>
        <w:top w:val="none" w:sz="0" w:space="0" w:color="auto"/>
        <w:left w:val="none" w:sz="0" w:space="0" w:color="auto"/>
        <w:bottom w:val="none" w:sz="0" w:space="0" w:color="auto"/>
        <w:right w:val="none" w:sz="0" w:space="0" w:color="auto"/>
      </w:divBdr>
    </w:div>
    <w:div w:id="393772552">
      <w:marLeft w:val="0"/>
      <w:marRight w:val="0"/>
      <w:marTop w:val="0"/>
      <w:marBottom w:val="0"/>
      <w:divBdr>
        <w:top w:val="none" w:sz="0" w:space="0" w:color="auto"/>
        <w:left w:val="none" w:sz="0" w:space="0" w:color="auto"/>
        <w:bottom w:val="none" w:sz="0" w:space="0" w:color="auto"/>
        <w:right w:val="none" w:sz="0" w:space="0" w:color="auto"/>
      </w:divBdr>
      <w:divsChild>
        <w:div w:id="1159075689">
          <w:marLeft w:val="0"/>
          <w:marRight w:val="0"/>
          <w:marTop w:val="0"/>
          <w:marBottom w:val="0"/>
          <w:divBdr>
            <w:top w:val="none" w:sz="0" w:space="0" w:color="auto"/>
            <w:left w:val="none" w:sz="0" w:space="0" w:color="auto"/>
            <w:bottom w:val="none" w:sz="0" w:space="0" w:color="auto"/>
            <w:right w:val="none" w:sz="0" w:space="0" w:color="auto"/>
          </w:divBdr>
          <w:divsChild>
            <w:div w:id="52705967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94162983">
      <w:marLeft w:val="0"/>
      <w:marRight w:val="0"/>
      <w:marTop w:val="0"/>
      <w:marBottom w:val="0"/>
      <w:divBdr>
        <w:top w:val="none" w:sz="0" w:space="0" w:color="auto"/>
        <w:left w:val="none" w:sz="0" w:space="0" w:color="auto"/>
        <w:bottom w:val="none" w:sz="0" w:space="0" w:color="auto"/>
        <w:right w:val="none" w:sz="0" w:space="0" w:color="auto"/>
      </w:divBdr>
      <w:divsChild>
        <w:div w:id="1277041">
          <w:marLeft w:val="0"/>
          <w:marRight w:val="0"/>
          <w:marTop w:val="0"/>
          <w:marBottom w:val="0"/>
          <w:divBdr>
            <w:top w:val="none" w:sz="0" w:space="0" w:color="auto"/>
            <w:left w:val="none" w:sz="0" w:space="0" w:color="auto"/>
            <w:bottom w:val="none" w:sz="0" w:space="0" w:color="auto"/>
            <w:right w:val="none" w:sz="0" w:space="0" w:color="auto"/>
          </w:divBdr>
          <w:divsChild>
            <w:div w:id="54476067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95669368">
      <w:marLeft w:val="0"/>
      <w:marRight w:val="0"/>
      <w:marTop w:val="180"/>
      <w:marBottom w:val="180"/>
      <w:divBdr>
        <w:top w:val="none" w:sz="0" w:space="0" w:color="auto"/>
        <w:left w:val="none" w:sz="0" w:space="0" w:color="auto"/>
        <w:bottom w:val="none" w:sz="0" w:space="0" w:color="auto"/>
        <w:right w:val="none" w:sz="0" w:space="0" w:color="auto"/>
      </w:divBdr>
    </w:div>
    <w:div w:id="395860988">
      <w:marLeft w:val="0"/>
      <w:marRight w:val="0"/>
      <w:marTop w:val="180"/>
      <w:marBottom w:val="180"/>
      <w:divBdr>
        <w:top w:val="none" w:sz="0" w:space="0" w:color="auto"/>
        <w:left w:val="none" w:sz="0" w:space="0" w:color="auto"/>
        <w:bottom w:val="none" w:sz="0" w:space="0" w:color="auto"/>
        <w:right w:val="none" w:sz="0" w:space="0" w:color="auto"/>
      </w:divBdr>
    </w:div>
    <w:div w:id="396439144">
      <w:marLeft w:val="0"/>
      <w:marRight w:val="0"/>
      <w:marTop w:val="180"/>
      <w:marBottom w:val="180"/>
      <w:divBdr>
        <w:top w:val="none" w:sz="0" w:space="0" w:color="auto"/>
        <w:left w:val="none" w:sz="0" w:space="0" w:color="auto"/>
        <w:bottom w:val="none" w:sz="0" w:space="0" w:color="auto"/>
        <w:right w:val="none" w:sz="0" w:space="0" w:color="auto"/>
      </w:divBdr>
    </w:div>
    <w:div w:id="396786525">
      <w:marLeft w:val="0"/>
      <w:marRight w:val="0"/>
      <w:marTop w:val="180"/>
      <w:marBottom w:val="180"/>
      <w:divBdr>
        <w:top w:val="none" w:sz="0" w:space="0" w:color="auto"/>
        <w:left w:val="none" w:sz="0" w:space="0" w:color="auto"/>
        <w:bottom w:val="none" w:sz="0" w:space="0" w:color="auto"/>
        <w:right w:val="none" w:sz="0" w:space="0" w:color="auto"/>
      </w:divBdr>
    </w:div>
    <w:div w:id="396829063">
      <w:marLeft w:val="0"/>
      <w:marRight w:val="0"/>
      <w:marTop w:val="100"/>
      <w:marBottom w:val="0"/>
      <w:divBdr>
        <w:top w:val="none" w:sz="0" w:space="0" w:color="auto"/>
        <w:left w:val="none" w:sz="0" w:space="0" w:color="auto"/>
        <w:bottom w:val="none" w:sz="0" w:space="0" w:color="auto"/>
        <w:right w:val="none" w:sz="0" w:space="0" w:color="auto"/>
      </w:divBdr>
    </w:div>
    <w:div w:id="396975868">
      <w:marLeft w:val="0"/>
      <w:marRight w:val="0"/>
      <w:marTop w:val="180"/>
      <w:marBottom w:val="180"/>
      <w:divBdr>
        <w:top w:val="none" w:sz="0" w:space="0" w:color="auto"/>
        <w:left w:val="none" w:sz="0" w:space="0" w:color="auto"/>
        <w:bottom w:val="none" w:sz="0" w:space="0" w:color="auto"/>
        <w:right w:val="none" w:sz="0" w:space="0" w:color="auto"/>
      </w:divBdr>
    </w:div>
    <w:div w:id="397093148">
      <w:marLeft w:val="0"/>
      <w:marRight w:val="0"/>
      <w:marTop w:val="0"/>
      <w:marBottom w:val="0"/>
      <w:divBdr>
        <w:top w:val="none" w:sz="0" w:space="0" w:color="auto"/>
        <w:left w:val="none" w:sz="0" w:space="0" w:color="auto"/>
        <w:bottom w:val="none" w:sz="0" w:space="0" w:color="auto"/>
        <w:right w:val="none" w:sz="0" w:space="0" w:color="auto"/>
      </w:divBdr>
      <w:divsChild>
        <w:div w:id="32266674">
          <w:marLeft w:val="0"/>
          <w:marRight w:val="0"/>
          <w:marTop w:val="0"/>
          <w:marBottom w:val="0"/>
          <w:divBdr>
            <w:top w:val="none" w:sz="0" w:space="0" w:color="auto"/>
            <w:left w:val="none" w:sz="0" w:space="0" w:color="auto"/>
            <w:bottom w:val="none" w:sz="0" w:space="0" w:color="auto"/>
            <w:right w:val="none" w:sz="0" w:space="0" w:color="auto"/>
          </w:divBdr>
          <w:divsChild>
            <w:div w:id="122475635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97554478">
      <w:marLeft w:val="0"/>
      <w:marRight w:val="0"/>
      <w:marTop w:val="180"/>
      <w:marBottom w:val="180"/>
      <w:divBdr>
        <w:top w:val="none" w:sz="0" w:space="0" w:color="auto"/>
        <w:left w:val="none" w:sz="0" w:space="0" w:color="auto"/>
        <w:bottom w:val="none" w:sz="0" w:space="0" w:color="auto"/>
        <w:right w:val="none" w:sz="0" w:space="0" w:color="auto"/>
      </w:divBdr>
    </w:div>
    <w:div w:id="397946304">
      <w:marLeft w:val="0"/>
      <w:marRight w:val="0"/>
      <w:marTop w:val="60"/>
      <w:marBottom w:val="60"/>
      <w:divBdr>
        <w:top w:val="none" w:sz="0" w:space="0" w:color="auto"/>
        <w:left w:val="none" w:sz="0" w:space="0" w:color="auto"/>
        <w:bottom w:val="none" w:sz="0" w:space="0" w:color="auto"/>
        <w:right w:val="none" w:sz="0" w:space="0" w:color="auto"/>
      </w:divBdr>
    </w:div>
    <w:div w:id="398016871">
      <w:marLeft w:val="0"/>
      <w:marRight w:val="0"/>
      <w:marTop w:val="180"/>
      <w:marBottom w:val="180"/>
      <w:divBdr>
        <w:top w:val="none" w:sz="0" w:space="0" w:color="auto"/>
        <w:left w:val="none" w:sz="0" w:space="0" w:color="auto"/>
        <w:bottom w:val="none" w:sz="0" w:space="0" w:color="auto"/>
        <w:right w:val="none" w:sz="0" w:space="0" w:color="auto"/>
      </w:divBdr>
    </w:div>
    <w:div w:id="400716894">
      <w:marLeft w:val="0"/>
      <w:marRight w:val="0"/>
      <w:marTop w:val="0"/>
      <w:marBottom w:val="0"/>
      <w:divBdr>
        <w:top w:val="none" w:sz="0" w:space="0" w:color="auto"/>
        <w:left w:val="none" w:sz="0" w:space="0" w:color="auto"/>
        <w:bottom w:val="none" w:sz="0" w:space="0" w:color="auto"/>
        <w:right w:val="none" w:sz="0" w:space="0" w:color="auto"/>
      </w:divBdr>
    </w:div>
    <w:div w:id="402678033">
      <w:marLeft w:val="0"/>
      <w:marRight w:val="0"/>
      <w:marTop w:val="180"/>
      <w:marBottom w:val="180"/>
      <w:divBdr>
        <w:top w:val="none" w:sz="0" w:space="0" w:color="auto"/>
        <w:left w:val="none" w:sz="0" w:space="0" w:color="auto"/>
        <w:bottom w:val="none" w:sz="0" w:space="0" w:color="auto"/>
        <w:right w:val="none" w:sz="0" w:space="0" w:color="auto"/>
      </w:divBdr>
    </w:div>
    <w:div w:id="405343667">
      <w:marLeft w:val="0"/>
      <w:marRight w:val="0"/>
      <w:marTop w:val="180"/>
      <w:marBottom w:val="180"/>
      <w:divBdr>
        <w:top w:val="none" w:sz="0" w:space="0" w:color="auto"/>
        <w:left w:val="none" w:sz="0" w:space="0" w:color="auto"/>
        <w:bottom w:val="none" w:sz="0" w:space="0" w:color="auto"/>
        <w:right w:val="none" w:sz="0" w:space="0" w:color="auto"/>
      </w:divBdr>
    </w:div>
    <w:div w:id="405760206">
      <w:marLeft w:val="0"/>
      <w:marRight w:val="0"/>
      <w:marTop w:val="180"/>
      <w:marBottom w:val="180"/>
      <w:divBdr>
        <w:top w:val="none" w:sz="0" w:space="0" w:color="auto"/>
        <w:left w:val="none" w:sz="0" w:space="0" w:color="auto"/>
        <w:bottom w:val="none" w:sz="0" w:space="0" w:color="auto"/>
        <w:right w:val="none" w:sz="0" w:space="0" w:color="auto"/>
      </w:divBdr>
    </w:div>
    <w:div w:id="405886335">
      <w:marLeft w:val="0"/>
      <w:marRight w:val="0"/>
      <w:marTop w:val="180"/>
      <w:marBottom w:val="180"/>
      <w:divBdr>
        <w:top w:val="none" w:sz="0" w:space="0" w:color="auto"/>
        <w:left w:val="none" w:sz="0" w:space="0" w:color="auto"/>
        <w:bottom w:val="none" w:sz="0" w:space="0" w:color="auto"/>
        <w:right w:val="none" w:sz="0" w:space="0" w:color="auto"/>
      </w:divBdr>
    </w:div>
    <w:div w:id="407192402">
      <w:marLeft w:val="0"/>
      <w:marRight w:val="0"/>
      <w:marTop w:val="60"/>
      <w:marBottom w:val="60"/>
      <w:divBdr>
        <w:top w:val="none" w:sz="0" w:space="0" w:color="auto"/>
        <w:left w:val="none" w:sz="0" w:space="0" w:color="auto"/>
        <w:bottom w:val="none" w:sz="0" w:space="0" w:color="auto"/>
        <w:right w:val="none" w:sz="0" w:space="0" w:color="auto"/>
      </w:divBdr>
    </w:div>
    <w:div w:id="410464835">
      <w:marLeft w:val="0"/>
      <w:marRight w:val="0"/>
      <w:marTop w:val="0"/>
      <w:marBottom w:val="0"/>
      <w:divBdr>
        <w:top w:val="none" w:sz="0" w:space="0" w:color="auto"/>
        <w:left w:val="none" w:sz="0" w:space="0" w:color="auto"/>
        <w:bottom w:val="none" w:sz="0" w:space="0" w:color="auto"/>
        <w:right w:val="none" w:sz="0" w:space="0" w:color="auto"/>
      </w:divBdr>
      <w:divsChild>
        <w:div w:id="1968049207">
          <w:marLeft w:val="0"/>
          <w:marRight w:val="0"/>
          <w:marTop w:val="180"/>
          <w:marBottom w:val="180"/>
          <w:divBdr>
            <w:top w:val="none" w:sz="0" w:space="0" w:color="auto"/>
            <w:left w:val="none" w:sz="0" w:space="0" w:color="auto"/>
            <w:bottom w:val="none" w:sz="0" w:space="0" w:color="auto"/>
            <w:right w:val="none" w:sz="0" w:space="0" w:color="auto"/>
          </w:divBdr>
        </w:div>
      </w:divsChild>
    </w:div>
    <w:div w:id="410736375">
      <w:marLeft w:val="0"/>
      <w:marRight w:val="0"/>
      <w:marTop w:val="180"/>
      <w:marBottom w:val="180"/>
      <w:divBdr>
        <w:top w:val="none" w:sz="0" w:space="0" w:color="auto"/>
        <w:left w:val="none" w:sz="0" w:space="0" w:color="auto"/>
        <w:bottom w:val="none" w:sz="0" w:space="0" w:color="auto"/>
        <w:right w:val="none" w:sz="0" w:space="0" w:color="auto"/>
      </w:divBdr>
    </w:div>
    <w:div w:id="411202057">
      <w:marLeft w:val="0"/>
      <w:marRight w:val="0"/>
      <w:marTop w:val="180"/>
      <w:marBottom w:val="180"/>
      <w:divBdr>
        <w:top w:val="none" w:sz="0" w:space="0" w:color="auto"/>
        <w:left w:val="none" w:sz="0" w:space="0" w:color="auto"/>
        <w:bottom w:val="none" w:sz="0" w:space="0" w:color="auto"/>
        <w:right w:val="none" w:sz="0" w:space="0" w:color="auto"/>
      </w:divBdr>
    </w:div>
    <w:div w:id="411660355">
      <w:marLeft w:val="0"/>
      <w:marRight w:val="0"/>
      <w:marTop w:val="180"/>
      <w:marBottom w:val="180"/>
      <w:divBdr>
        <w:top w:val="none" w:sz="0" w:space="0" w:color="auto"/>
        <w:left w:val="none" w:sz="0" w:space="0" w:color="auto"/>
        <w:bottom w:val="none" w:sz="0" w:space="0" w:color="auto"/>
        <w:right w:val="none" w:sz="0" w:space="0" w:color="auto"/>
      </w:divBdr>
    </w:div>
    <w:div w:id="412555890">
      <w:marLeft w:val="0"/>
      <w:marRight w:val="0"/>
      <w:marTop w:val="0"/>
      <w:marBottom w:val="0"/>
      <w:divBdr>
        <w:top w:val="none" w:sz="0" w:space="0" w:color="auto"/>
        <w:left w:val="none" w:sz="0" w:space="0" w:color="auto"/>
        <w:bottom w:val="none" w:sz="0" w:space="0" w:color="auto"/>
        <w:right w:val="none" w:sz="0" w:space="0" w:color="auto"/>
      </w:divBdr>
      <w:divsChild>
        <w:div w:id="1250432636">
          <w:marLeft w:val="0"/>
          <w:marRight w:val="0"/>
          <w:marTop w:val="0"/>
          <w:marBottom w:val="0"/>
          <w:divBdr>
            <w:top w:val="none" w:sz="0" w:space="0" w:color="auto"/>
            <w:left w:val="none" w:sz="0" w:space="0" w:color="auto"/>
            <w:bottom w:val="none" w:sz="0" w:space="0" w:color="auto"/>
            <w:right w:val="none" w:sz="0" w:space="0" w:color="auto"/>
          </w:divBdr>
          <w:divsChild>
            <w:div w:id="1751479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13207236">
      <w:marLeft w:val="0"/>
      <w:marRight w:val="0"/>
      <w:marTop w:val="0"/>
      <w:marBottom w:val="60"/>
      <w:divBdr>
        <w:top w:val="none" w:sz="0" w:space="0" w:color="auto"/>
        <w:left w:val="none" w:sz="0" w:space="0" w:color="auto"/>
        <w:bottom w:val="none" w:sz="0" w:space="0" w:color="auto"/>
        <w:right w:val="none" w:sz="0" w:space="0" w:color="auto"/>
      </w:divBdr>
    </w:div>
    <w:div w:id="413667717">
      <w:marLeft w:val="0"/>
      <w:marRight w:val="0"/>
      <w:marTop w:val="180"/>
      <w:marBottom w:val="180"/>
      <w:divBdr>
        <w:top w:val="none" w:sz="0" w:space="0" w:color="auto"/>
        <w:left w:val="none" w:sz="0" w:space="0" w:color="auto"/>
        <w:bottom w:val="none" w:sz="0" w:space="0" w:color="auto"/>
        <w:right w:val="none" w:sz="0" w:space="0" w:color="auto"/>
      </w:divBdr>
    </w:div>
    <w:div w:id="414671968">
      <w:marLeft w:val="0"/>
      <w:marRight w:val="0"/>
      <w:marTop w:val="0"/>
      <w:marBottom w:val="0"/>
      <w:divBdr>
        <w:top w:val="none" w:sz="0" w:space="0" w:color="auto"/>
        <w:left w:val="none" w:sz="0" w:space="0" w:color="auto"/>
        <w:bottom w:val="none" w:sz="0" w:space="0" w:color="auto"/>
        <w:right w:val="none" w:sz="0" w:space="0" w:color="auto"/>
      </w:divBdr>
      <w:divsChild>
        <w:div w:id="894974133">
          <w:marLeft w:val="0"/>
          <w:marRight w:val="0"/>
          <w:marTop w:val="0"/>
          <w:marBottom w:val="0"/>
          <w:divBdr>
            <w:top w:val="none" w:sz="0" w:space="0" w:color="auto"/>
            <w:left w:val="none" w:sz="0" w:space="0" w:color="auto"/>
            <w:bottom w:val="none" w:sz="0" w:space="0" w:color="auto"/>
            <w:right w:val="none" w:sz="0" w:space="0" w:color="auto"/>
          </w:divBdr>
          <w:divsChild>
            <w:div w:id="3573766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15131450">
      <w:marLeft w:val="0"/>
      <w:marRight w:val="0"/>
      <w:marTop w:val="180"/>
      <w:marBottom w:val="60"/>
      <w:divBdr>
        <w:top w:val="none" w:sz="0" w:space="0" w:color="auto"/>
        <w:left w:val="none" w:sz="0" w:space="0" w:color="auto"/>
        <w:bottom w:val="none" w:sz="0" w:space="0" w:color="auto"/>
        <w:right w:val="none" w:sz="0" w:space="0" w:color="auto"/>
      </w:divBdr>
    </w:div>
    <w:div w:id="416438628">
      <w:marLeft w:val="0"/>
      <w:marRight w:val="0"/>
      <w:marTop w:val="180"/>
      <w:marBottom w:val="180"/>
      <w:divBdr>
        <w:top w:val="none" w:sz="0" w:space="0" w:color="auto"/>
        <w:left w:val="none" w:sz="0" w:space="0" w:color="auto"/>
        <w:bottom w:val="none" w:sz="0" w:space="0" w:color="auto"/>
        <w:right w:val="none" w:sz="0" w:space="0" w:color="auto"/>
      </w:divBdr>
    </w:div>
    <w:div w:id="417169069">
      <w:marLeft w:val="0"/>
      <w:marRight w:val="0"/>
      <w:marTop w:val="60"/>
      <w:marBottom w:val="60"/>
      <w:divBdr>
        <w:top w:val="none" w:sz="0" w:space="0" w:color="auto"/>
        <w:left w:val="none" w:sz="0" w:space="0" w:color="auto"/>
        <w:bottom w:val="none" w:sz="0" w:space="0" w:color="auto"/>
        <w:right w:val="none" w:sz="0" w:space="0" w:color="auto"/>
      </w:divBdr>
    </w:div>
    <w:div w:id="417288392">
      <w:marLeft w:val="0"/>
      <w:marRight w:val="0"/>
      <w:marTop w:val="240"/>
      <w:marBottom w:val="180"/>
      <w:divBdr>
        <w:top w:val="none" w:sz="0" w:space="0" w:color="auto"/>
        <w:left w:val="none" w:sz="0" w:space="0" w:color="auto"/>
        <w:bottom w:val="none" w:sz="0" w:space="0" w:color="auto"/>
        <w:right w:val="none" w:sz="0" w:space="0" w:color="auto"/>
      </w:divBdr>
    </w:div>
    <w:div w:id="417554589">
      <w:marLeft w:val="0"/>
      <w:marRight w:val="0"/>
      <w:marTop w:val="0"/>
      <w:marBottom w:val="0"/>
      <w:divBdr>
        <w:top w:val="none" w:sz="0" w:space="0" w:color="auto"/>
        <w:left w:val="none" w:sz="0" w:space="0" w:color="auto"/>
        <w:bottom w:val="none" w:sz="0" w:space="0" w:color="auto"/>
        <w:right w:val="none" w:sz="0" w:space="0" w:color="auto"/>
      </w:divBdr>
      <w:divsChild>
        <w:div w:id="1542092345">
          <w:marLeft w:val="0"/>
          <w:marRight w:val="0"/>
          <w:marTop w:val="0"/>
          <w:marBottom w:val="0"/>
          <w:divBdr>
            <w:top w:val="none" w:sz="0" w:space="0" w:color="auto"/>
            <w:left w:val="none" w:sz="0" w:space="0" w:color="auto"/>
            <w:bottom w:val="none" w:sz="0" w:space="0" w:color="auto"/>
            <w:right w:val="none" w:sz="0" w:space="0" w:color="auto"/>
          </w:divBdr>
          <w:divsChild>
            <w:div w:id="162623200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20298052">
      <w:marLeft w:val="0"/>
      <w:marRight w:val="0"/>
      <w:marTop w:val="180"/>
      <w:marBottom w:val="180"/>
      <w:divBdr>
        <w:top w:val="none" w:sz="0" w:space="0" w:color="auto"/>
        <w:left w:val="none" w:sz="0" w:space="0" w:color="auto"/>
        <w:bottom w:val="none" w:sz="0" w:space="0" w:color="auto"/>
        <w:right w:val="none" w:sz="0" w:space="0" w:color="auto"/>
      </w:divBdr>
    </w:div>
    <w:div w:id="420493999">
      <w:marLeft w:val="0"/>
      <w:marRight w:val="0"/>
      <w:marTop w:val="180"/>
      <w:marBottom w:val="180"/>
      <w:divBdr>
        <w:top w:val="none" w:sz="0" w:space="0" w:color="auto"/>
        <w:left w:val="none" w:sz="0" w:space="0" w:color="auto"/>
        <w:bottom w:val="none" w:sz="0" w:space="0" w:color="auto"/>
        <w:right w:val="none" w:sz="0" w:space="0" w:color="auto"/>
      </w:divBdr>
      <w:divsChild>
        <w:div w:id="471949258">
          <w:marLeft w:val="0"/>
          <w:marRight w:val="0"/>
          <w:marTop w:val="0"/>
          <w:marBottom w:val="0"/>
          <w:divBdr>
            <w:top w:val="none" w:sz="0" w:space="0" w:color="auto"/>
            <w:left w:val="none" w:sz="0" w:space="0" w:color="auto"/>
            <w:bottom w:val="none" w:sz="0" w:space="0" w:color="auto"/>
            <w:right w:val="none" w:sz="0" w:space="0" w:color="auto"/>
          </w:divBdr>
        </w:div>
        <w:div w:id="1555702204">
          <w:marLeft w:val="0"/>
          <w:marRight w:val="0"/>
          <w:marTop w:val="0"/>
          <w:marBottom w:val="0"/>
          <w:divBdr>
            <w:top w:val="none" w:sz="0" w:space="0" w:color="auto"/>
            <w:left w:val="none" w:sz="0" w:space="0" w:color="auto"/>
            <w:bottom w:val="none" w:sz="0" w:space="0" w:color="auto"/>
            <w:right w:val="none" w:sz="0" w:space="0" w:color="auto"/>
          </w:divBdr>
        </w:div>
        <w:div w:id="897132055">
          <w:marLeft w:val="0"/>
          <w:marRight w:val="0"/>
          <w:marTop w:val="0"/>
          <w:marBottom w:val="0"/>
          <w:divBdr>
            <w:top w:val="none" w:sz="0" w:space="0" w:color="auto"/>
            <w:left w:val="none" w:sz="0" w:space="0" w:color="auto"/>
            <w:bottom w:val="none" w:sz="0" w:space="0" w:color="auto"/>
            <w:right w:val="none" w:sz="0" w:space="0" w:color="auto"/>
          </w:divBdr>
        </w:div>
        <w:div w:id="1710228605">
          <w:marLeft w:val="0"/>
          <w:marRight w:val="0"/>
          <w:marTop w:val="0"/>
          <w:marBottom w:val="0"/>
          <w:divBdr>
            <w:top w:val="none" w:sz="0" w:space="0" w:color="auto"/>
            <w:left w:val="none" w:sz="0" w:space="0" w:color="auto"/>
            <w:bottom w:val="none" w:sz="0" w:space="0" w:color="auto"/>
            <w:right w:val="none" w:sz="0" w:space="0" w:color="auto"/>
          </w:divBdr>
        </w:div>
        <w:div w:id="1261334735">
          <w:marLeft w:val="0"/>
          <w:marRight w:val="0"/>
          <w:marTop w:val="0"/>
          <w:marBottom w:val="0"/>
          <w:divBdr>
            <w:top w:val="none" w:sz="0" w:space="0" w:color="auto"/>
            <w:left w:val="none" w:sz="0" w:space="0" w:color="auto"/>
            <w:bottom w:val="none" w:sz="0" w:space="0" w:color="auto"/>
            <w:right w:val="none" w:sz="0" w:space="0" w:color="auto"/>
          </w:divBdr>
        </w:div>
        <w:div w:id="1444810120">
          <w:marLeft w:val="0"/>
          <w:marRight w:val="0"/>
          <w:marTop w:val="0"/>
          <w:marBottom w:val="0"/>
          <w:divBdr>
            <w:top w:val="none" w:sz="0" w:space="0" w:color="auto"/>
            <w:left w:val="none" w:sz="0" w:space="0" w:color="auto"/>
            <w:bottom w:val="none" w:sz="0" w:space="0" w:color="auto"/>
            <w:right w:val="none" w:sz="0" w:space="0" w:color="auto"/>
          </w:divBdr>
        </w:div>
        <w:div w:id="821392732">
          <w:marLeft w:val="0"/>
          <w:marRight w:val="0"/>
          <w:marTop w:val="0"/>
          <w:marBottom w:val="0"/>
          <w:divBdr>
            <w:top w:val="none" w:sz="0" w:space="0" w:color="auto"/>
            <w:left w:val="none" w:sz="0" w:space="0" w:color="auto"/>
            <w:bottom w:val="none" w:sz="0" w:space="0" w:color="auto"/>
            <w:right w:val="none" w:sz="0" w:space="0" w:color="auto"/>
          </w:divBdr>
        </w:div>
        <w:div w:id="1880125616">
          <w:marLeft w:val="0"/>
          <w:marRight w:val="0"/>
          <w:marTop w:val="0"/>
          <w:marBottom w:val="0"/>
          <w:divBdr>
            <w:top w:val="none" w:sz="0" w:space="0" w:color="auto"/>
            <w:left w:val="none" w:sz="0" w:space="0" w:color="auto"/>
            <w:bottom w:val="none" w:sz="0" w:space="0" w:color="auto"/>
            <w:right w:val="none" w:sz="0" w:space="0" w:color="auto"/>
          </w:divBdr>
        </w:div>
        <w:div w:id="684525712">
          <w:marLeft w:val="0"/>
          <w:marRight w:val="0"/>
          <w:marTop w:val="0"/>
          <w:marBottom w:val="0"/>
          <w:divBdr>
            <w:top w:val="none" w:sz="0" w:space="0" w:color="auto"/>
            <w:left w:val="none" w:sz="0" w:space="0" w:color="auto"/>
            <w:bottom w:val="none" w:sz="0" w:space="0" w:color="auto"/>
            <w:right w:val="none" w:sz="0" w:space="0" w:color="auto"/>
          </w:divBdr>
        </w:div>
      </w:divsChild>
    </w:div>
    <w:div w:id="421415622">
      <w:marLeft w:val="0"/>
      <w:marRight w:val="0"/>
      <w:marTop w:val="180"/>
      <w:marBottom w:val="60"/>
      <w:divBdr>
        <w:top w:val="none" w:sz="0" w:space="0" w:color="auto"/>
        <w:left w:val="none" w:sz="0" w:space="0" w:color="auto"/>
        <w:bottom w:val="none" w:sz="0" w:space="0" w:color="auto"/>
        <w:right w:val="none" w:sz="0" w:space="0" w:color="auto"/>
      </w:divBdr>
    </w:div>
    <w:div w:id="421805566">
      <w:marLeft w:val="0"/>
      <w:marRight w:val="0"/>
      <w:marTop w:val="180"/>
      <w:marBottom w:val="180"/>
      <w:divBdr>
        <w:top w:val="none" w:sz="0" w:space="0" w:color="auto"/>
        <w:left w:val="none" w:sz="0" w:space="0" w:color="auto"/>
        <w:bottom w:val="none" w:sz="0" w:space="0" w:color="auto"/>
        <w:right w:val="none" w:sz="0" w:space="0" w:color="auto"/>
      </w:divBdr>
    </w:div>
    <w:div w:id="422456206">
      <w:marLeft w:val="0"/>
      <w:marRight w:val="0"/>
      <w:marTop w:val="0"/>
      <w:marBottom w:val="0"/>
      <w:divBdr>
        <w:top w:val="none" w:sz="0" w:space="0" w:color="auto"/>
        <w:left w:val="none" w:sz="0" w:space="0" w:color="auto"/>
        <w:bottom w:val="none" w:sz="0" w:space="0" w:color="auto"/>
        <w:right w:val="none" w:sz="0" w:space="0" w:color="auto"/>
      </w:divBdr>
      <w:divsChild>
        <w:div w:id="386227167">
          <w:marLeft w:val="0"/>
          <w:marRight w:val="0"/>
          <w:marTop w:val="180"/>
          <w:marBottom w:val="180"/>
          <w:divBdr>
            <w:top w:val="none" w:sz="0" w:space="0" w:color="auto"/>
            <w:left w:val="none" w:sz="0" w:space="0" w:color="auto"/>
            <w:bottom w:val="none" w:sz="0" w:space="0" w:color="auto"/>
            <w:right w:val="none" w:sz="0" w:space="0" w:color="auto"/>
          </w:divBdr>
        </w:div>
      </w:divsChild>
    </w:div>
    <w:div w:id="422992551">
      <w:marLeft w:val="0"/>
      <w:marRight w:val="0"/>
      <w:marTop w:val="60"/>
      <w:marBottom w:val="60"/>
      <w:divBdr>
        <w:top w:val="none" w:sz="0" w:space="0" w:color="auto"/>
        <w:left w:val="none" w:sz="0" w:space="0" w:color="auto"/>
        <w:bottom w:val="none" w:sz="0" w:space="0" w:color="auto"/>
        <w:right w:val="none" w:sz="0" w:space="0" w:color="auto"/>
      </w:divBdr>
    </w:div>
    <w:div w:id="423452728">
      <w:marLeft w:val="0"/>
      <w:marRight w:val="0"/>
      <w:marTop w:val="0"/>
      <w:marBottom w:val="0"/>
      <w:divBdr>
        <w:top w:val="none" w:sz="0" w:space="0" w:color="auto"/>
        <w:left w:val="none" w:sz="0" w:space="0" w:color="auto"/>
        <w:bottom w:val="none" w:sz="0" w:space="0" w:color="auto"/>
        <w:right w:val="none" w:sz="0" w:space="0" w:color="auto"/>
      </w:divBdr>
    </w:div>
    <w:div w:id="423768042">
      <w:marLeft w:val="0"/>
      <w:marRight w:val="0"/>
      <w:marTop w:val="180"/>
      <w:marBottom w:val="180"/>
      <w:divBdr>
        <w:top w:val="none" w:sz="0" w:space="0" w:color="auto"/>
        <w:left w:val="none" w:sz="0" w:space="0" w:color="auto"/>
        <w:bottom w:val="none" w:sz="0" w:space="0" w:color="auto"/>
        <w:right w:val="none" w:sz="0" w:space="0" w:color="auto"/>
      </w:divBdr>
    </w:div>
    <w:div w:id="426341964">
      <w:marLeft w:val="0"/>
      <w:marRight w:val="0"/>
      <w:marTop w:val="0"/>
      <w:marBottom w:val="0"/>
      <w:divBdr>
        <w:top w:val="none" w:sz="0" w:space="0" w:color="auto"/>
        <w:left w:val="none" w:sz="0" w:space="0" w:color="auto"/>
        <w:bottom w:val="none" w:sz="0" w:space="0" w:color="auto"/>
        <w:right w:val="none" w:sz="0" w:space="0" w:color="auto"/>
      </w:divBdr>
    </w:div>
    <w:div w:id="427432026">
      <w:marLeft w:val="0"/>
      <w:marRight w:val="0"/>
      <w:marTop w:val="180"/>
      <w:marBottom w:val="180"/>
      <w:divBdr>
        <w:top w:val="none" w:sz="0" w:space="0" w:color="auto"/>
        <w:left w:val="none" w:sz="0" w:space="0" w:color="auto"/>
        <w:bottom w:val="none" w:sz="0" w:space="0" w:color="auto"/>
        <w:right w:val="none" w:sz="0" w:space="0" w:color="auto"/>
      </w:divBdr>
    </w:div>
    <w:div w:id="427581444">
      <w:marLeft w:val="0"/>
      <w:marRight w:val="0"/>
      <w:marTop w:val="60"/>
      <w:marBottom w:val="60"/>
      <w:divBdr>
        <w:top w:val="none" w:sz="0" w:space="0" w:color="auto"/>
        <w:left w:val="none" w:sz="0" w:space="0" w:color="auto"/>
        <w:bottom w:val="none" w:sz="0" w:space="0" w:color="auto"/>
        <w:right w:val="none" w:sz="0" w:space="0" w:color="auto"/>
      </w:divBdr>
    </w:div>
    <w:div w:id="428045232">
      <w:marLeft w:val="0"/>
      <w:marRight w:val="0"/>
      <w:marTop w:val="180"/>
      <w:marBottom w:val="180"/>
      <w:divBdr>
        <w:top w:val="none" w:sz="0" w:space="0" w:color="auto"/>
        <w:left w:val="none" w:sz="0" w:space="0" w:color="auto"/>
        <w:bottom w:val="none" w:sz="0" w:space="0" w:color="auto"/>
        <w:right w:val="none" w:sz="0" w:space="0" w:color="auto"/>
      </w:divBdr>
    </w:div>
    <w:div w:id="428893346">
      <w:marLeft w:val="0"/>
      <w:marRight w:val="0"/>
      <w:marTop w:val="0"/>
      <w:marBottom w:val="0"/>
      <w:divBdr>
        <w:top w:val="none" w:sz="0" w:space="0" w:color="auto"/>
        <w:left w:val="none" w:sz="0" w:space="0" w:color="auto"/>
        <w:bottom w:val="none" w:sz="0" w:space="0" w:color="auto"/>
        <w:right w:val="none" w:sz="0" w:space="0" w:color="auto"/>
      </w:divBdr>
      <w:divsChild>
        <w:div w:id="2100785901">
          <w:marLeft w:val="0"/>
          <w:marRight w:val="0"/>
          <w:marTop w:val="0"/>
          <w:marBottom w:val="0"/>
          <w:divBdr>
            <w:top w:val="none" w:sz="0" w:space="0" w:color="auto"/>
            <w:left w:val="none" w:sz="0" w:space="0" w:color="auto"/>
            <w:bottom w:val="none" w:sz="0" w:space="0" w:color="auto"/>
            <w:right w:val="none" w:sz="0" w:space="0" w:color="auto"/>
          </w:divBdr>
          <w:divsChild>
            <w:div w:id="176325978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28933361">
      <w:marLeft w:val="0"/>
      <w:marRight w:val="0"/>
      <w:marTop w:val="180"/>
      <w:marBottom w:val="60"/>
      <w:divBdr>
        <w:top w:val="none" w:sz="0" w:space="0" w:color="auto"/>
        <w:left w:val="none" w:sz="0" w:space="0" w:color="auto"/>
        <w:bottom w:val="none" w:sz="0" w:space="0" w:color="auto"/>
        <w:right w:val="none" w:sz="0" w:space="0" w:color="auto"/>
      </w:divBdr>
      <w:divsChild>
        <w:div w:id="44186239">
          <w:marLeft w:val="0"/>
          <w:marRight w:val="0"/>
          <w:marTop w:val="0"/>
          <w:marBottom w:val="0"/>
          <w:divBdr>
            <w:top w:val="none" w:sz="0" w:space="0" w:color="auto"/>
            <w:left w:val="none" w:sz="0" w:space="0" w:color="auto"/>
            <w:bottom w:val="none" w:sz="0" w:space="0" w:color="auto"/>
            <w:right w:val="none" w:sz="0" w:space="0" w:color="auto"/>
          </w:divBdr>
        </w:div>
      </w:divsChild>
    </w:div>
    <w:div w:id="429084352">
      <w:marLeft w:val="0"/>
      <w:marRight w:val="0"/>
      <w:marTop w:val="180"/>
      <w:marBottom w:val="180"/>
      <w:divBdr>
        <w:top w:val="none" w:sz="0" w:space="0" w:color="auto"/>
        <w:left w:val="none" w:sz="0" w:space="0" w:color="auto"/>
        <w:bottom w:val="none" w:sz="0" w:space="0" w:color="auto"/>
        <w:right w:val="none" w:sz="0" w:space="0" w:color="auto"/>
      </w:divBdr>
    </w:div>
    <w:div w:id="430512226">
      <w:marLeft w:val="0"/>
      <w:marRight w:val="0"/>
      <w:marTop w:val="180"/>
      <w:marBottom w:val="180"/>
      <w:divBdr>
        <w:top w:val="none" w:sz="0" w:space="0" w:color="auto"/>
        <w:left w:val="none" w:sz="0" w:space="0" w:color="auto"/>
        <w:bottom w:val="none" w:sz="0" w:space="0" w:color="auto"/>
        <w:right w:val="none" w:sz="0" w:space="0" w:color="auto"/>
      </w:divBdr>
    </w:div>
    <w:div w:id="431362442">
      <w:marLeft w:val="0"/>
      <w:marRight w:val="0"/>
      <w:marTop w:val="60"/>
      <w:marBottom w:val="60"/>
      <w:divBdr>
        <w:top w:val="none" w:sz="0" w:space="0" w:color="auto"/>
        <w:left w:val="none" w:sz="0" w:space="0" w:color="auto"/>
        <w:bottom w:val="none" w:sz="0" w:space="0" w:color="auto"/>
        <w:right w:val="none" w:sz="0" w:space="0" w:color="auto"/>
      </w:divBdr>
    </w:div>
    <w:div w:id="433791468">
      <w:marLeft w:val="0"/>
      <w:marRight w:val="0"/>
      <w:marTop w:val="180"/>
      <w:marBottom w:val="180"/>
      <w:divBdr>
        <w:top w:val="none" w:sz="0" w:space="0" w:color="auto"/>
        <w:left w:val="none" w:sz="0" w:space="0" w:color="auto"/>
        <w:bottom w:val="none" w:sz="0" w:space="0" w:color="auto"/>
        <w:right w:val="none" w:sz="0" w:space="0" w:color="auto"/>
      </w:divBdr>
    </w:div>
    <w:div w:id="435906274">
      <w:marLeft w:val="0"/>
      <w:marRight w:val="0"/>
      <w:marTop w:val="180"/>
      <w:marBottom w:val="180"/>
      <w:divBdr>
        <w:top w:val="none" w:sz="0" w:space="0" w:color="auto"/>
        <w:left w:val="none" w:sz="0" w:space="0" w:color="auto"/>
        <w:bottom w:val="none" w:sz="0" w:space="0" w:color="auto"/>
        <w:right w:val="none" w:sz="0" w:space="0" w:color="auto"/>
      </w:divBdr>
    </w:div>
    <w:div w:id="436829155">
      <w:marLeft w:val="0"/>
      <w:marRight w:val="0"/>
      <w:marTop w:val="180"/>
      <w:marBottom w:val="180"/>
      <w:divBdr>
        <w:top w:val="none" w:sz="0" w:space="0" w:color="auto"/>
        <w:left w:val="none" w:sz="0" w:space="0" w:color="auto"/>
        <w:bottom w:val="none" w:sz="0" w:space="0" w:color="auto"/>
        <w:right w:val="none" w:sz="0" w:space="0" w:color="auto"/>
      </w:divBdr>
    </w:div>
    <w:div w:id="437484974">
      <w:marLeft w:val="0"/>
      <w:marRight w:val="0"/>
      <w:marTop w:val="180"/>
      <w:marBottom w:val="180"/>
      <w:divBdr>
        <w:top w:val="none" w:sz="0" w:space="0" w:color="auto"/>
        <w:left w:val="none" w:sz="0" w:space="0" w:color="auto"/>
        <w:bottom w:val="none" w:sz="0" w:space="0" w:color="auto"/>
        <w:right w:val="none" w:sz="0" w:space="0" w:color="auto"/>
      </w:divBdr>
    </w:div>
    <w:div w:id="438448271">
      <w:marLeft w:val="0"/>
      <w:marRight w:val="0"/>
      <w:marTop w:val="60"/>
      <w:marBottom w:val="60"/>
      <w:divBdr>
        <w:top w:val="none" w:sz="0" w:space="0" w:color="auto"/>
        <w:left w:val="none" w:sz="0" w:space="0" w:color="auto"/>
        <w:bottom w:val="none" w:sz="0" w:space="0" w:color="auto"/>
        <w:right w:val="none" w:sz="0" w:space="0" w:color="auto"/>
      </w:divBdr>
    </w:div>
    <w:div w:id="438835426">
      <w:marLeft w:val="0"/>
      <w:marRight w:val="0"/>
      <w:marTop w:val="0"/>
      <w:marBottom w:val="0"/>
      <w:divBdr>
        <w:top w:val="none" w:sz="0" w:space="0" w:color="auto"/>
        <w:left w:val="none" w:sz="0" w:space="0" w:color="auto"/>
        <w:bottom w:val="none" w:sz="0" w:space="0" w:color="auto"/>
        <w:right w:val="none" w:sz="0" w:space="0" w:color="auto"/>
      </w:divBdr>
      <w:divsChild>
        <w:div w:id="457988516">
          <w:marLeft w:val="0"/>
          <w:marRight w:val="0"/>
          <w:marTop w:val="60"/>
          <w:marBottom w:val="180"/>
          <w:divBdr>
            <w:top w:val="none" w:sz="0" w:space="0" w:color="auto"/>
            <w:left w:val="none" w:sz="0" w:space="0" w:color="auto"/>
            <w:bottom w:val="none" w:sz="0" w:space="0" w:color="auto"/>
            <w:right w:val="none" w:sz="0" w:space="0" w:color="auto"/>
          </w:divBdr>
        </w:div>
      </w:divsChild>
    </w:div>
    <w:div w:id="440032462">
      <w:marLeft w:val="0"/>
      <w:marRight w:val="0"/>
      <w:marTop w:val="180"/>
      <w:marBottom w:val="180"/>
      <w:divBdr>
        <w:top w:val="none" w:sz="0" w:space="0" w:color="auto"/>
        <w:left w:val="none" w:sz="0" w:space="0" w:color="auto"/>
        <w:bottom w:val="none" w:sz="0" w:space="0" w:color="auto"/>
        <w:right w:val="none" w:sz="0" w:space="0" w:color="auto"/>
      </w:divBdr>
    </w:div>
    <w:div w:id="440104684">
      <w:marLeft w:val="0"/>
      <w:marRight w:val="0"/>
      <w:marTop w:val="180"/>
      <w:marBottom w:val="180"/>
      <w:divBdr>
        <w:top w:val="none" w:sz="0" w:space="0" w:color="auto"/>
        <w:left w:val="none" w:sz="0" w:space="0" w:color="auto"/>
        <w:bottom w:val="none" w:sz="0" w:space="0" w:color="auto"/>
        <w:right w:val="none" w:sz="0" w:space="0" w:color="auto"/>
      </w:divBdr>
    </w:div>
    <w:div w:id="442500737">
      <w:marLeft w:val="0"/>
      <w:marRight w:val="0"/>
      <w:marTop w:val="0"/>
      <w:marBottom w:val="0"/>
      <w:divBdr>
        <w:top w:val="none" w:sz="0" w:space="0" w:color="auto"/>
        <w:left w:val="none" w:sz="0" w:space="0" w:color="auto"/>
        <w:bottom w:val="none" w:sz="0" w:space="0" w:color="auto"/>
        <w:right w:val="none" w:sz="0" w:space="0" w:color="auto"/>
      </w:divBdr>
      <w:divsChild>
        <w:div w:id="1991207777">
          <w:marLeft w:val="0"/>
          <w:marRight w:val="0"/>
          <w:marTop w:val="0"/>
          <w:marBottom w:val="0"/>
          <w:divBdr>
            <w:top w:val="none" w:sz="0" w:space="0" w:color="auto"/>
            <w:left w:val="none" w:sz="0" w:space="0" w:color="auto"/>
            <w:bottom w:val="none" w:sz="0" w:space="0" w:color="auto"/>
            <w:right w:val="none" w:sz="0" w:space="0" w:color="auto"/>
          </w:divBdr>
          <w:divsChild>
            <w:div w:id="23589447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42844737">
      <w:marLeft w:val="0"/>
      <w:marRight w:val="0"/>
      <w:marTop w:val="180"/>
      <w:marBottom w:val="180"/>
      <w:divBdr>
        <w:top w:val="none" w:sz="0" w:space="0" w:color="auto"/>
        <w:left w:val="none" w:sz="0" w:space="0" w:color="auto"/>
        <w:bottom w:val="none" w:sz="0" w:space="0" w:color="auto"/>
        <w:right w:val="none" w:sz="0" w:space="0" w:color="auto"/>
      </w:divBdr>
    </w:div>
    <w:div w:id="442965723">
      <w:marLeft w:val="0"/>
      <w:marRight w:val="0"/>
      <w:marTop w:val="180"/>
      <w:marBottom w:val="180"/>
      <w:divBdr>
        <w:top w:val="none" w:sz="0" w:space="0" w:color="auto"/>
        <w:left w:val="none" w:sz="0" w:space="0" w:color="auto"/>
        <w:bottom w:val="none" w:sz="0" w:space="0" w:color="auto"/>
        <w:right w:val="none" w:sz="0" w:space="0" w:color="auto"/>
      </w:divBdr>
    </w:div>
    <w:div w:id="443227782">
      <w:marLeft w:val="0"/>
      <w:marRight w:val="0"/>
      <w:marTop w:val="180"/>
      <w:marBottom w:val="180"/>
      <w:divBdr>
        <w:top w:val="none" w:sz="0" w:space="0" w:color="auto"/>
        <w:left w:val="none" w:sz="0" w:space="0" w:color="auto"/>
        <w:bottom w:val="none" w:sz="0" w:space="0" w:color="auto"/>
        <w:right w:val="none" w:sz="0" w:space="0" w:color="auto"/>
      </w:divBdr>
    </w:div>
    <w:div w:id="443503994">
      <w:marLeft w:val="0"/>
      <w:marRight w:val="0"/>
      <w:marTop w:val="180"/>
      <w:marBottom w:val="180"/>
      <w:divBdr>
        <w:top w:val="none" w:sz="0" w:space="0" w:color="auto"/>
        <w:left w:val="none" w:sz="0" w:space="0" w:color="auto"/>
        <w:bottom w:val="none" w:sz="0" w:space="0" w:color="auto"/>
        <w:right w:val="none" w:sz="0" w:space="0" w:color="auto"/>
      </w:divBdr>
    </w:div>
    <w:div w:id="446048318">
      <w:marLeft w:val="0"/>
      <w:marRight w:val="0"/>
      <w:marTop w:val="180"/>
      <w:marBottom w:val="60"/>
      <w:divBdr>
        <w:top w:val="none" w:sz="0" w:space="0" w:color="auto"/>
        <w:left w:val="none" w:sz="0" w:space="0" w:color="auto"/>
        <w:bottom w:val="none" w:sz="0" w:space="0" w:color="auto"/>
        <w:right w:val="none" w:sz="0" w:space="0" w:color="auto"/>
      </w:divBdr>
    </w:div>
    <w:div w:id="446121285">
      <w:marLeft w:val="0"/>
      <w:marRight w:val="0"/>
      <w:marTop w:val="180"/>
      <w:marBottom w:val="180"/>
      <w:divBdr>
        <w:top w:val="none" w:sz="0" w:space="0" w:color="auto"/>
        <w:left w:val="none" w:sz="0" w:space="0" w:color="auto"/>
        <w:bottom w:val="none" w:sz="0" w:space="0" w:color="auto"/>
        <w:right w:val="none" w:sz="0" w:space="0" w:color="auto"/>
      </w:divBdr>
    </w:div>
    <w:div w:id="446849962">
      <w:marLeft w:val="0"/>
      <w:marRight w:val="0"/>
      <w:marTop w:val="180"/>
      <w:marBottom w:val="180"/>
      <w:divBdr>
        <w:top w:val="none" w:sz="0" w:space="0" w:color="auto"/>
        <w:left w:val="none" w:sz="0" w:space="0" w:color="auto"/>
        <w:bottom w:val="none" w:sz="0" w:space="0" w:color="auto"/>
        <w:right w:val="none" w:sz="0" w:space="0" w:color="auto"/>
      </w:divBdr>
    </w:div>
    <w:div w:id="447117370">
      <w:marLeft w:val="0"/>
      <w:marRight w:val="0"/>
      <w:marTop w:val="180"/>
      <w:marBottom w:val="180"/>
      <w:divBdr>
        <w:top w:val="none" w:sz="0" w:space="0" w:color="auto"/>
        <w:left w:val="none" w:sz="0" w:space="0" w:color="auto"/>
        <w:bottom w:val="none" w:sz="0" w:space="0" w:color="auto"/>
        <w:right w:val="none" w:sz="0" w:space="0" w:color="auto"/>
      </w:divBdr>
    </w:div>
    <w:div w:id="448428810">
      <w:marLeft w:val="0"/>
      <w:marRight w:val="0"/>
      <w:marTop w:val="180"/>
      <w:marBottom w:val="60"/>
      <w:divBdr>
        <w:top w:val="none" w:sz="0" w:space="0" w:color="auto"/>
        <w:left w:val="none" w:sz="0" w:space="0" w:color="auto"/>
        <w:bottom w:val="none" w:sz="0" w:space="0" w:color="auto"/>
        <w:right w:val="none" w:sz="0" w:space="0" w:color="auto"/>
      </w:divBdr>
    </w:div>
    <w:div w:id="448746591">
      <w:marLeft w:val="0"/>
      <w:marRight w:val="0"/>
      <w:marTop w:val="60"/>
      <w:marBottom w:val="60"/>
      <w:divBdr>
        <w:top w:val="none" w:sz="0" w:space="0" w:color="auto"/>
        <w:left w:val="none" w:sz="0" w:space="0" w:color="auto"/>
        <w:bottom w:val="none" w:sz="0" w:space="0" w:color="auto"/>
        <w:right w:val="none" w:sz="0" w:space="0" w:color="auto"/>
      </w:divBdr>
    </w:div>
    <w:div w:id="449471963">
      <w:marLeft w:val="0"/>
      <w:marRight w:val="0"/>
      <w:marTop w:val="180"/>
      <w:marBottom w:val="180"/>
      <w:divBdr>
        <w:top w:val="none" w:sz="0" w:space="0" w:color="auto"/>
        <w:left w:val="none" w:sz="0" w:space="0" w:color="auto"/>
        <w:bottom w:val="none" w:sz="0" w:space="0" w:color="auto"/>
        <w:right w:val="none" w:sz="0" w:space="0" w:color="auto"/>
      </w:divBdr>
    </w:div>
    <w:div w:id="449782904">
      <w:marLeft w:val="0"/>
      <w:marRight w:val="0"/>
      <w:marTop w:val="180"/>
      <w:marBottom w:val="60"/>
      <w:divBdr>
        <w:top w:val="none" w:sz="0" w:space="0" w:color="auto"/>
        <w:left w:val="none" w:sz="0" w:space="0" w:color="auto"/>
        <w:bottom w:val="none" w:sz="0" w:space="0" w:color="auto"/>
        <w:right w:val="none" w:sz="0" w:space="0" w:color="auto"/>
      </w:divBdr>
    </w:div>
    <w:div w:id="449935167">
      <w:marLeft w:val="0"/>
      <w:marRight w:val="0"/>
      <w:marTop w:val="60"/>
      <w:marBottom w:val="60"/>
      <w:divBdr>
        <w:top w:val="none" w:sz="0" w:space="0" w:color="auto"/>
        <w:left w:val="none" w:sz="0" w:space="0" w:color="auto"/>
        <w:bottom w:val="none" w:sz="0" w:space="0" w:color="auto"/>
        <w:right w:val="none" w:sz="0" w:space="0" w:color="auto"/>
      </w:divBdr>
    </w:div>
    <w:div w:id="450827358">
      <w:marLeft w:val="0"/>
      <w:marRight w:val="0"/>
      <w:marTop w:val="60"/>
      <w:marBottom w:val="60"/>
      <w:divBdr>
        <w:top w:val="none" w:sz="0" w:space="0" w:color="auto"/>
        <w:left w:val="none" w:sz="0" w:space="0" w:color="auto"/>
        <w:bottom w:val="none" w:sz="0" w:space="0" w:color="auto"/>
        <w:right w:val="none" w:sz="0" w:space="0" w:color="auto"/>
      </w:divBdr>
    </w:div>
    <w:div w:id="452871876">
      <w:marLeft w:val="0"/>
      <w:marRight w:val="0"/>
      <w:marTop w:val="0"/>
      <w:marBottom w:val="0"/>
      <w:divBdr>
        <w:top w:val="none" w:sz="0" w:space="0" w:color="auto"/>
        <w:left w:val="none" w:sz="0" w:space="0" w:color="auto"/>
        <w:bottom w:val="none" w:sz="0" w:space="0" w:color="auto"/>
        <w:right w:val="none" w:sz="0" w:space="0" w:color="auto"/>
      </w:divBdr>
      <w:divsChild>
        <w:div w:id="173956840">
          <w:marLeft w:val="0"/>
          <w:marRight w:val="0"/>
          <w:marTop w:val="0"/>
          <w:marBottom w:val="0"/>
          <w:divBdr>
            <w:top w:val="none" w:sz="0" w:space="0" w:color="auto"/>
            <w:left w:val="none" w:sz="0" w:space="0" w:color="auto"/>
            <w:bottom w:val="none" w:sz="0" w:space="0" w:color="auto"/>
            <w:right w:val="none" w:sz="0" w:space="0" w:color="auto"/>
          </w:divBdr>
          <w:divsChild>
            <w:div w:id="23324528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53132127">
      <w:marLeft w:val="0"/>
      <w:marRight w:val="0"/>
      <w:marTop w:val="180"/>
      <w:marBottom w:val="180"/>
      <w:divBdr>
        <w:top w:val="none" w:sz="0" w:space="0" w:color="auto"/>
        <w:left w:val="none" w:sz="0" w:space="0" w:color="auto"/>
        <w:bottom w:val="none" w:sz="0" w:space="0" w:color="auto"/>
        <w:right w:val="none" w:sz="0" w:space="0" w:color="auto"/>
      </w:divBdr>
    </w:div>
    <w:div w:id="454254624">
      <w:marLeft w:val="0"/>
      <w:marRight w:val="0"/>
      <w:marTop w:val="60"/>
      <w:marBottom w:val="60"/>
      <w:divBdr>
        <w:top w:val="none" w:sz="0" w:space="0" w:color="auto"/>
        <w:left w:val="none" w:sz="0" w:space="0" w:color="auto"/>
        <w:bottom w:val="none" w:sz="0" w:space="0" w:color="auto"/>
        <w:right w:val="none" w:sz="0" w:space="0" w:color="auto"/>
      </w:divBdr>
    </w:div>
    <w:div w:id="455105928">
      <w:marLeft w:val="0"/>
      <w:marRight w:val="0"/>
      <w:marTop w:val="180"/>
      <w:marBottom w:val="180"/>
      <w:divBdr>
        <w:top w:val="none" w:sz="0" w:space="0" w:color="auto"/>
        <w:left w:val="none" w:sz="0" w:space="0" w:color="auto"/>
        <w:bottom w:val="none" w:sz="0" w:space="0" w:color="auto"/>
        <w:right w:val="none" w:sz="0" w:space="0" w:color="auto"/>
      </w:divBdr>
    </w:div>
    <w:div w:id="456529094">
      <w:marLeft w:val="0"/>
      <w:marRight w:val="0"/>
      <w:marTop w:val="0"/>
      <w:marBottom w:val="0"/>
      <w:divBdr>
        <w:top w:val="none" w:sz="0" w:space="0" w:color="auto"/>
        <w:left w:val="none" w:sz="0" w:space="0" w:color="auto"/>
        <w:bottom w:val="none" w:sz="0" w:space="0" w:color="auto"/>
        <w:right w:val="none" w:sz="0" w:space="0" w:color="auto"/>
      </w:divBdr>
      <w:divsChild>
        <w:div w:id="1994411464">
          <w:marLeft w:val="0"/>
          <w:marRight w:val="0"/>
          <w:marTop w:val="0"/>
          <w:marBottom w:val="0"/>
          <w:divBdr>
            <w:top w:val="none" w:sz="0" w:space="0" w:color="auto"/>
            <w:left w:val="none" w:sz="0" w:space="0" w:color="auto"/>
            <w:bottom w:val="none" w:sz="0" w:space="0" w:color="auto"/>
            <w:right w:val="none" w:sz="0" w:space="0" w:color="auto"/>
          </w:divBdr>
          <w:divsChild>
            <w:div w:id="168193316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57455333">
      <w:marLeft w:val="0"/>
      <w:marRight w:val="0"/>
      <w:marTop w:val="180"/>
      <w:marBottom w:val="180"/>
      <w:divBdr>
        <w:top w:val="none" w:sz="0" w:space="0" w:color="auto"/>
        <w:left w:val="none" w:sz="0" w:space="0" w:color="auto"/>
        <w:bottom w:val="none" w:sz="0" w:space="0" w:color="auto"/>
        <w:right w:val="none" w:sz="0" w:space="0" w:color="auto"/>
      </w:divBdr>
    </w:div>
    <w:div w:id="458181899">
      <w:marLeft w:val="0"/>
      <w:marRight w:val="0"/>
      <w:marTop w:val="60"/>
      <w:marBottom w:val="60"/>
      <w:divBdr>
        <w:top w:val="none" w:sz="0" w:space="0" w:color="auto"/>
        <w:left w:val="none" w:sz="0" w:space="0" w:color="auto"/>
        <w:bottom w:val="none" w:sz="0" w:space="0" w:color="auto"/>
        <w:right w:val="none" w:sz="0" w:space="0" w:color="auto"/>
      </w:divBdr>
      <w:divsChild>
        <w:div w:id="1073048330">
          <w:marLeft w:val="0"/>
          <w:marRight w:val="0"/>
          <w:marTop w:val="0"/>
          <w:marBottom w:val="0"/>
          <w:divBdr>
            <w:top w:val="none" w:sz="0" w:space="0" w:color="auto"/>
            <w:left w:val="none" w:sz="0" w:space="0" w:color="auto"/>
            <w:bottom w:val="none" w:sz="0" w:space="0" w:color="auto"/>
            <w:right w:val="none" w:sz="0" w:space="0" w:color="auto"/>
          </w:divBdr>
        </w:div>
      </w:divsChild>
    </w:div>
    <w:div w:id="460732307">
      <w:marLeft w:val="0"/>
      <w:marRight w:val="0"/>
      <w:marTop w:val="180"/>
      <w:marBottom w:val="180"/>
      <w:divBdr>
        <w:top w:val="none" w:sz="0" w:space="0" w:color="auto"/>
        <w:left w:val="none" w:sz="0" w:space="0" w:color="auto"/>
        <w:bottom w:val="none" w:sz="0" w:space="0" w:color="auto"/>
        <w:right w:val="none" w:sz="0" w:space="0" w:color="auto"/>
      </w:divBdr>
    </w:div>
    <w:div w:id="461000696">
      <w:marLeft w:val="0"/>
      <w:marRight w:val="0"/>
      <w:marTop w:val="180"/>
      <w:marBottom w:val="180"/>
      <w:divBdr>
        <w:top w:val="none" w:sz="0" w:space="0" w:color="auto"/>
        <w:left w:val="none" w:sz="0" w:space="0" w:color="auto"/>
        <w:bottom w:val="none" w:sz="0" w:space="0" w:color="auto"/>
        <w:right w:val="none" w:sz="0" w:space="0" w:color="auto"/>
      </w:divBdr>
    </w:div>
    <w:div w:id="461969098">
      <w:marLeft w:val="0"/>
      <w:marRight w:val="0"/>
      <w:marTop w:val="180"/>
      <w:marBottom w:val="180"/>
      <w:divBdr>
        <w:top w:val="none" w:sz="0" w:space="0" w:color="auto"/>
        <w:left w:val="none" w:sz="0" w:space="0" w:color="auto"/>
        <w:bottom w:val="none" w:sz="0" w:space="0" w:color="auto"/>
        <w:right w:val="none" w:sz="0" w:space="0" w:color="auto"/>
      </w:divBdr>
    </w:div>
    <w:div w:id="462968148">
      <w:marLeft w:val="0"/>
      <w:marRight w:val="0"/>
      <w:marTop w:val="180"/>
      <w:marBottom w:val="180"/>
      <w:divBdr>
        <w:top w:val="none" w:sz="0" w:space="0" w:color="auto"/>
        <w:left w:val="none" w:sz="0" w:space="0" w:color="auto"/>
        <w:bottom w:val="none" w:sz="0" w:space="0" w:color="auto"/>
        <w:right w:val="none" w:sz="0" w:space="0" w:color="auto"/>
      </w:divBdr>
    </w:div>
    <w:div w:id="463041622">
      <w:marLeft w:val="0"/>
      <w:marRight w:val="0"/>
      <w:marTop w:val="180"/>
      <w:marBottom w:val="180"/>
      <w:divBdr>
        <w:top w:val="none" w:sz="0" w:space="0" w:color="auto"/>
        <w:left w:val="none" w:sz="0" w:space="0" w:color="auto"/>
        <w:bottom w:val="none" w:sz="0" w:space="0" w:color="auto"/>
        <w:right w:val="none" w:sz="0" w:space="0" w:color="auto"/>
      </w:divBdr>
    </w:div>
    <w:div w:id="464589292">
      <w:marLeft w:val="0"/>
      <w:marRight w:val="0"/>
      <w:marTop w:val="180"/>
      <w:marBottom w:val="180"/>
      <w:divBdr>
        <w:top w:val="none" w:sz="0" w:space="0" w:color="auto"/>
        <w:left w:val="none" w:sz="0" w:space="0" w:color="auto"/>
        <w:bottom w:val="none" w:sz="0" w:space="0" w:color="auto"/>
        <w:right w:val="none" w:sz="0" w:space="0" w:color="auto"/>
      </w:divBdr>
    </w:div>
    <w:div w:id="468405291">
      <w:marLeft w:val="0"/>
      <w:marRight w:val="0"/>
      <w:marTop w:val="0"/>
      <w:marBottom w:val="0"/>
      <w:divBdr>
        <w:top w:val="none" w:sz="0" w:space="0" w:color="auto"/>
        <w:left w:val="none" w:sz="0" w:space="0" w:color="auto"/>
        <w:bottom w:val="none" w:sz="0" w:space="0" w:color="auto"/>
        <w:right w:val="none" w:sz="0" w:space="0" w:color="auto"/>
      </w:divBdr>
      <w:divsChild>
        <w:div w:id="495418938">
          <w:marLeft w:val="0"/>
          <w:marRight w:val="0"/>
          <w:marTop w:val="0"/>
          <w:marBottom w:val="0"/>
          <w:divBdr>
            <w:top w:val="none" w:sz="0" w:space="0" w:color="auto"/>
            <w:left w:val="none" w:sz="0" w:space="0" w:color="auto"/>
            <w:bottom w:val="none" w:sz="0" w:space="0" w:color="auto"/>
            <w:right w:val="none" w:sz="0" w:space="0" w:color="auto"/>
          </w:divBdr>
          <w:divsChild>
            <w:div w:id="196669105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68673346">
      <w:marLeft w:val="0"/>
      <w:marRight w:val="0"/>
      <w:marTop w:val="0"/>
      <w:marBottom w:val="0"/>
      <w:divBdr>
        <w:top w:val="none" w:sz="0" w:space="0" w:color="auto"/>
        <w:left w:val="none" w:sz="0" w:space="0" w:color="auto"/>
        <w:bottom w:val="none" w:sz="0" w:space="0" w:color="auto"/>
        <w:right w:val="none" w:sz="0" w:space="0" w:color="auto"/>
      </w:divBdr>
      <w:divsChild>
        <w:div w:id="1140804714">
          <w:marLeft w:val="0"/>
          <w:marRight w:val="0"/>
          <w:marTop w:val="60"/>
          <w:marBottom w:val="60"/>
          <w:divBdr>
            <w:top w:val="none" w:sz="0" w:space="0" w:color="auto"/>
            <w:left w:val="none" w:sz="0" w:space="0" w:color="auto"/>
            <w:bottom w:val="none" w:sz="0" w:space="0" w:color="auto"/>
            <w:right w:val="none" w:sz="0" w:space="0" w:color="auto"/>
          </w:divBdr>
        </w:div>
      </w:divsChild>
    </w:div>
    <w:div w:id="468792503">
      <w:marLeft w:val="0"/>
      <w:marRight w:val="0"/>
      <w:marTop w:val="60"/>
      <w:marBottom w:val="60"/>
      <w:divBdr>
        <w:top w:val="none" w:sz="0" w:space="0" w:color="auto"/>
        <w:left w:val="none" w:sz="0" w:space="0" w:color="auto"/>
        <w:bottom w:val="none" w:sz="0" w:space="0" w:color="auto"/>
        <w:right w:val="none" w:sz="0" w:space="0" w:color="auto"/>
      </w:divBdr>
    </w:div>
    <w:div w:id="469178181">
      <w:marLeft w:val="0"/>
      <w:marRight w:val="0"/>
      <w:marTop w:val="180"/>
      <w:marBottom w:val="180"/>
      <w:divBdr>
        <w:top w:val="none" w:sz="0" w:space="0" w:color="auto"/>
        <w:left w:val="none" w:sz="0" w:space="0" w:color="auto"/>
        <w:bottom w:val="none" w:sz="0" w:space="0" w:color="auto"/>
        <w:right w:val="none" w:sz="0" w:space="0" w:color="auto"/>
      </w:divBdr>
    </w:div>
    <w:div w:id="469329997">
      <w:marLeft w:val="0"/>
      <w:marRight w:val="0"/>
      <w:marTop w:val="0"/>
      <w:marBottom w:val="0"/>
      <w:divBdr>
        <w:top w:val="none" w:sz="0" w:space="0" w:color="auto"/>
        <w:left w:val="none" w:sz="0" w:space="0" w:color="auto"/>
        <w:bottom w:val="none" w:sz="0" w:space="0" w:color="auto"/>
        <w:right w:val="none" w:sz="0" w:space="0" w:color="auto"/>
      </w:divBdr>
    </w:div>
    <w:div w:id="471019580">
      <w:marLeft w:val="0"/>
      <w:marRight w:val="0"/>
      <w:marTop w:val="0"/>
      <w:marBottom w:val="0"/>
      <w:divBdr>
        <w:top w:val="none" w:sz="0" w:space="0" w:color="auto"/>
        <w:left w:val="none" w:sz="0" w:space="0" w:color="auto"/>
        <w:bottom w:val="none" w:sz="0" w:space="0" w:color="auto"/>
        <w:right w:val="none" w:sz="0" w:space="0" w:color="auto"/>
      </w:divBdr>
      <w:divsChild>
        <w:div w:id="990065808">
          <w:marLeft w:val="0"/>
          <w:marRight w:val="0"/>
          <w:marTop w:val="60"/>
          <w:marBottom w:val="180"/>
          <w:divBdr>
            <w:top w:val="none" w:sz="0" w:space="0" w:color="auto"/>
            <w:left w:val="none" w:sz="0" w:space="0" w:color="auto"/>
            <w:bottom w:val="none" w:sz="0" w:space="0" w:color="auto"/>
            <w:right w:val="none" w:sz="0" w:space="0" w:color="auto"/>
          </w:divBdr>
        </w:div>
      </w:divsChild>
    </w:div>
    <w:div w:id="471219866">
      <w:marLeft w:val="0"/>
      <w:marRight w:val="0"/>
      <w:marTop w:val="180"/>
      <w:marBottom w:val="180"/>
      <w:divBdr>
        <w:top w:val="none" w:sz="0" w:space="0" w:color="auto"/>
        <w:left w:val="none" w:sz="0" w:space="0" w:color="auto"/>
        <w:bottom w:val="none" w:sz="0" w:space="0" w:color="auto"/>
        <w:right w:val="none" w:sz="0" w:space="0" w:color="auto"/>
      </w:divBdr>
    </w:div>
    <w:div w:id="472252948">
      <w:marLeft w:val="0"/>
      <w:marRight w:val="0"/>
      <w:marTop w:val="180"/>
      <w:marBottom w:val="180"/>
      <w:divBdr>
        <w:top w:val="none" w:sz="0" w:space="0" w:color="auto"/>
        <w:left w:val="none" w:sz="0" w:space="0" w:color="auto"/>
        <w:bottom w:val="none" w:sz="0" w:space="0" w:color="auto"/>
        <w:right w:val="none" w:sz="0" w:space="0" w:color="auto"/>
      </w:divBdr>
    </w:div>
    <w:div w:id="472984932">
      <w:marLeft w:val="0"/>
      <w:marRight w:val="0"/>
      <w:marTop w:val="100"/>
      <w:marBottom w:val="0"/>
      <w:divBdr>
        <w:top w:val="none" w:sz="0" w:space="0" w:color="auto"/>
        <w:left w:val="none" w:sz="0" w:space="0" w:color="auto"/>
        <w:bottom w:val="none" w:sz="0" w:space="0" w:color="auto"/>
        <w:right w:val="none" w:sz="0" w:space="0" w:color="auto"/>
      </w:divBdr>
      <w:divsChild>
        <w:div w:id="198131493">
          <w:marLeft w:val="0"/>
          <w:marRight w:val="0"/>
          <w:marTop w:val="0"/>
          <w:marBottom w:val="0"/>
          <w:divBdr>
            <w:top w:val="none" w:sz="0" w:space="0" w:color="auto"/>
            <w:left w:val="none" w:sz="0" w:space="0" w:color="auto"/>
            <w:bottom w:val="none" w:sz="0" w:space="0" w:color="auto"/>
            <w:right w:val="none" w:sz="0" w:space="0" w:color="auto"/>
          </w:divBdr>
        </w:div>
        <w:div w:id="2017490408">
          <w:marLeft w:val="0"/>
          <w:marRight w:val="0"/>
          <w:marTop w:val="0"/>
          <w:marBottom w:val="0"/>
          <w:divBdr>
            <w:top w:val="none" w:sz="0" w:space="0" w:color="auto"/>
            <w:left w:val="none" w:sz="0" w:space="0" w:color="auto"/>
            <w:bottom w:val="none" w:sz="0" w:space="0" w:color="auto"/>
            <w:right w:val="none" w:sz="0" w:space="0" w:color="auto"/>
          </w:divBdr>
        </w:div>
        <w:div w:id="1821649969">
          <w:marLeft w:val="0"/>
          <w:marRight w:val="0"/>
          <w:marTop w:val="0"/>
          <w:marBottom w:val="0"/>
          <w:divBdr>
            <w:top w:val="none" w:sz="0" w:space="0" w:color="auto"/>
            <w:left w:val="none" w:sz="0" w:space="0" w:color="auto"/>
            <w:bottom w:val="none" w:sz="0" w:space="0" w:color="auto"/>
            <w:right w:val="none" w:sz="0" w:space="0" w:color="auto"/>
          </w:divBdr>
        </w:div>
        <w:div w:id="1599948906">
          <w:marLeft w:val="0"/>
          <w:marRight w:val="0"/>
          <w:marTop w:val="0"/>
          <w:marBottom w:val="0"/>
          <w:divBdr>
            <w:top w:val="none" w:sz="0" w:space="0" w:color="auto"/>
            <w:left w:val="none" w:sz="0" w:space="0" w:color="auto"/>
            <w:bottom w:val="none" w:sz="0" w:space="0" w:color="auto"/>
            <w:right w:val="none" w:sz="0" w:space="0" w:color="auto"/>
          </w:divBdr>
        </w:div>
        <w:div w:id="822425854">
          <w:marLeft w:val="0"/>
          <w:marRight w:val="0"/>
          <w:marTop w:val="0"/>
          <w:marBottom w:val="0"/>
          <w:divBdr>
            <w:top w:val="none" w:sz="0" w:space="0" w:color="auto"/>
            <w:left w:val="none" w:sz="0" w:space="0" w:color="auto"/>
            <w:bottom w:val="none" w:sz="0" w:space="0" w:color="auto"/>
            <w:right w:val="none" w:sz="0" w:space="0" w:color="auto"/>
          </w:divBdr>
        </w:div>
        <w:div w:id="230891585">
          <w:marLeft w:val="0"/>
          <w:marRight w:val="0"/>
          <w:marTop w:val="0"/>
          <w:marBottom w:val="0"/>
          <w:divBdr>
            <w:top w:val="none" w:sz="0" w:space="0" w:color="auto"/>
            <w:left w:val="none" w:sz="0" w:space="0" w:color="auto"/>
            <w:bottom w:val="none" w:sz="0" w:space="0" w:color="auto"/>
            <w:right w:val="none" w:sz="0" w:space="0" w:color="auto"/>
          </w:divBdr>
        </w:div>
        <w:div w:id="2109424528">
          <w:marLeft w:val="0"/>
          <w:marRight w:val="0"/>
          <w:marTop w:val="0"/>
          <w:marBottom w:val="0"/>
          <w:divBdr>
            <w:top w:val="none" w:sz="0" w:space="0" w:color="auto"/>
            <w:left w:val="none" w:sz="0" w:space="0" w:color="auto"/>
            <w:bottom w:val="none" w:sz="0" w:space="0" w:color="auto"/>
            <w:right w:val="none" w:sz="0" w:space="0" w:color="auto"/>
          </w:divBdr>
        </w:div>
        <w:div w:id="368335548">
          <w:marLeft w:val="0"/>
          <w:marRight w:val="0"/>
          <w:marTop w:val="0"/>
          <w:marBottom w:val="0"/>
          <w:divBdr>
            <w:top w:val="none" w:sz="0" w:space="0" w:color="auto"/>
            <w:left w:val="none" w:sz="0" w:space="0" w:color="auto"/>
            <w:bottom w:val="none" w:sz="0" w:space="0" w:color="auto"/>
            <w:right w:val="none" w:sz="0" w:space="0" w:color="auto"/>
          </w:divBdr>
        </w:div>
        <w:div w:id="2057510016">
          <w:marLeft w:val="0"/>
          <w:marRight w:val="0"/>
          <w:marTop w:val="0"/>
          <w:marBottom w:val="0"/>
          <w:divBdr>
            <w:top w:val="none" w:sz="0" w:space="0" w:color="auto"/>
            <w:left w:val="none" w:sz="0" w:space="0" w:color="auto"/>
            <w:bottom w:val="none" w:sz="0" w:space="0" w:color="auto"/>
            <w:right w:val="none" w:sz="0" w:space="0" w:color="auto"/>
          </w:divBdr>
        </w:div>
        <w:div w:id="1524585308">
          <w:marLeft w:val="0"/>
          <w:marRight w:val="0"/>
          <w:marTop w:val="0"/>
          <w:marBottom w:val="0"/>
          <w:divBdr>
            <w:top w:val="none" w:sz="0" w:space="0" w:color="auto"/>
            <w:left w:val="none" w:sz="0" w:space="0" w:color="auto"/>
            <w:bottom w:val="none" w:sz="0" w:space="0" w:color="auto"/>
            <w:right w:val="none" w:sz="0" w:space="0" w:color="auto"/>
          </w:divBdr>
        </w:div>
        <w:div w:id="149248006">
          <w:marLeft w:val="0"/>
          <w:marRight w:val="0"/>
          <w:marTop w:val="0"/>
          <w:marBottom w:val="0"/>
          <w:divBdr>
            <w:top w:val="none" w:sz="0" w:space="0" w:color="auto"/>
            <w:left w:val="none" w:sz="0" w:space="0" w:color="auto"/>
            <w:bottom w:val="none" w:sz="0" w:space="0" w:color="auto"/>
            <w:right w:val="none" w:sz="0" w:space="0" w:color="auto"/>
          </w:divBdr>
        </w:div>
        <w:div w:id="111441011">
          <w:marLeft w:val="0"/>
          <w:marRight w:val="0"/>
          <w:marTop w:val="0"/>
          <w:marBottom w:val="0"/>
          <w:divBdr>
            <w:top w:val="none" w:sz="0" w:space="0" w:color="auto"/>
            <w:left w:val="none" w:sz="0" w:space="0" w:color="auto"/>
            <w:bottom w:val="none" w:sz="0" w:space="0" w:color="auto"/>
            <w:right w:val="none" w:sz="0" w:space="0" w:color="auto"/>
          </w:divBdr>
        </w:div>
        <w:div w:id="363211815">
          <w:marLeft w:val="0"/>
          <w:marRight w:val="0"/>
          <w:marTop w:val="0"/>
          <w:marBottom w:val="0"/>
          <w:divBdr>
            <w:top w:val="none" w:sz="0" w:space="0" w:color="auto"/>
            <w:left w:val="none" w:sz="0" w:space="0" w:color="auto"/>
            <w:bottom w:val="none" w:sz="0" w:space="0" w:color="auto"/>
            <w:right w:val="none" w:sz="0" w:space="0" w:color="auto"/>
          </w:divBdr>
        </w:div>
        <w:div w:id="1523936359">
          <w:marLeft w:val="0"/>
          <w:marRight w:val="0"/>
          <w:marTop w:val="0"/>
          <w:marBottom w:val="0"/>
          <w:divBdr>
            <w:top w:val="none" w:sz="0" w:space="0" w:color="auto"/>
            <w:left w:val="none" w:sz="0" w:space="0" w:color="auto"/>
            <w:bottom w:val="none" w:sz="0" w:space="0" w:color="auto"/>
            <w:right w:val="none" w:sz="0" w:space="0" w:color="auto"/>
          </w:divBdr>
        </w:div>
        <w:div w:id="1580603647">
          <w:marLeft w:val="0"/>
          <w:marRight w:val="0"/>
          <w:marTop w:val="0"/>
          <w:marBottom w:val="0"/>
          <w:divBdr>
            <w:top w:val="none" w:sz="0" w:space="0" w:color="auto"/>
            <w:left w:val="none" w:sz="0" w:space="0" w:color="auto"/>
            <w:bottom w:val="none" w:sz="0" w:space="0" w:color="auto"/>
            <w:right w:val="none" w:sz="0" w:space="0" w:color="auto"/>
          </w:divBdr>
        </w:div>
        <w:div w:id="1823961737">
          <w:marLeft w:val="0"/>
          <w:marRight w:val="0"/>
          <w:marTop w:val="0"/>
          <w:marBottom w:val="0"/>
          <w:divBdr>
            <w:top w:val="none" w:sz="0" w:space="0" w:color="auto"/>
            <w:left w:val="none" w:sz="0" w:space="0" w:color="auto"/>
            <w:bottom w:val="none" w:sz="0" w:space="0" w:color="auto"/>
            <w:right w:val="none" w:sz="0" w:space="0" w:color="auto"/>
          </w:divBdr>
        </w:div>
        <w:div w:id="749428385">
          <w:marLeft w:val="0"/>
          <w:marRight w:val="0"/>
          <w:marTop w:val="0"/>
          <w:marBottom w:val="0"/>
          <w:divBdr>
            <w:top w:val="none" w:sz="0" w:space="0" w:color="auto"/>
            <w:left w:val="none" w:sz="0" w:space="0" w:color="auto"/>
            <w:bottom w:val="none" w:sz="0" w:space="0" w:color="auto"/>
            <w:right w:val="none" w:sz="0" w:space="0" w:color="auto"/>
          </w:divBdr>
        </w:div>
        <w:div w:id="1667393550">
          <w:marLeft w:val="0"/>
          <w:marRight w:val="0"/>
          <w:marTop w:val="0"/>
          <w:marBottom w:val="0"/>
          <w:divBdr>
            <w:top w:val="none" w:sz="0" w:space="0" w:color="auto"/>
            <w:left w:val="none" w:sz="0" w:space="0" w:color="auto"/>
            <w:bottom w:val="none" w:sz="0" w:space="0" w:color="auto"/>
            <w:right w:val="none" w:sz="0" w:space="0" w:color="auto"/>
          </w:divBdr>
        </w:div>
        <w:div w:id="315037529">
          <w:marLeft w:val="0"/>
          <w:marRight w:val="0"/>
          <w:marTop w:val="0"/>
          <w:marBottom w:val="0"/>
          <w:divBdr>
            <w:top w:val="none" w:sz="0" w:space="0" w:color="auto"/>
            <w:left w:val="none" w:sz="0" w:space="0" w:color="auto"/>
            <w:bottom w:val="none" w:sz="0" w:space="0" w:color="auto"/>
            <w:right w:val="none" w:sz="0" w:space="0" w:color="auto"/>
          </w:divBdr>
        </w:div>
        <w:div w:id="914123667">
          <w:marLeft w:val="0"/>
          <w:marRight w:val="0"/>
          <w:marTop w:val="0"/>
          <w:marBottom w:val="0"/>
          <w:divBdr>
            <w:top w:val="none" w:sz="0" w:space="0" w:color="auto"/>
            <w:left w:val="none" w:sz="0" w:space="0" w:color="auto"/>
            <w:bottom w:val="none" w:sz="0" w:space="0" w:color="auto"/>
            <w:right w:val="none" w:sz="0" w:space="0" w:color="auto"/>
          </w:divBdr>
        </w:div>
        <w:div w:id="83259402">
          <w:marLeft w:val="0"/>
          <w:marRight w:val="0"/>
          <w:marTop w:val="0"/>
          <w:marBottom w:val="0"/>
          <w:divBdr>
            <w:top w:val="none" w:sz="0" w:space="0" w:color="auto"/>
            <w:left w:val="none" w:sz="0" w:space="0" w:color="auto"/>
            <w:bottom w:val="none" w:sz="0" w:space="0" w:color="auto"/>
            <w:right w:val="none" w:sz="0" w:space="0" w:color="auto"/>
          </w:divBdr>
        </w:div>
        <w:div w:id="1337728105">
          <w:marLeft w:val="0"/>
          <w:marRight w:val="0"/>
          <w:marTop w:val="0"/>
          <w:marBottom w:val="0"/>
          <w:divBdr>
            <w:top w:val="none" w:sz="0" w:space="0" w:color="auto"/>
            <w:left w:val="none" w:sz="0" w:space="0" w:color="auto"/>
            <w:bottom w:val="none" w:sz="0" w:space="0" w:color="auto"/>
            <w:right w:val="none" w:sz="0" w:space="0" w:color="auto"/>
          </w:divBdr>
        </w:div>
        <w:div w:id="1875389446">
          <w:marLeft w:val="0"/>
          <w:marRight w:val="0"/>
          <w:marTop w:val="0"/>
          <w:marBottom w:val="0"/>
          <w:divBdr>
            <w:top w:val="none" w:sz="0" w:space="0" w:color="auto"/>
            <w:left w:val="none" w:sz="0" w:space="0" w:color="auto"/>
            <w:bottom w:val="none" w:sz="0" w:space="0" w:color="auto"/>
            <w:right w:val="none" w:sz="0" w:space="0" w:color="auto"/>
          </w:divBdr>
        </w:div>
        <w:div w:id="156851695">
          <w:marLeft w:val="0"/>
          <w:marRight w:val="0"/>
          <w:marTop w:val="0"/>
          <w:marBottom w:val="0"/>
          <w:divBdr>
            <w:top w:val="none" w:sz="0" w:space="0" w:color="auto"/>
            <w:left w:val="none" w:sz="0" w:space="0" w:color="auto"/>
            <w:bottom w:val="none" w:sz="0" w:space="0" w:color="auto"/>
            <w:right w:val="none" w:sz="0" w:space="0" w:color="auto"/>
          </w:divBdr>
        </w:div>
        <w:div w:id="916668761">
          <w:marLeft w:val="0"/>
          <w:marRight w:val="0"/>
          <w:marTop w:val="0"/>
          <w:marBottom w:val="0"/>
          <w:divBdr>
            <w:top w:val="none" w:sz="0" w:space="0" w:color="auto"/>
            <w:left w:val="none" w:sz="0" w:space="0" w:color="auto"/>
            <w:bottom w:val="none" w:sz="0" w:space="0" w:color="auto"/>
            <w:right w:val="none" w:sz="0" w:space="0" w:color="auto"/>
          </w:divBdr>
        </w:div>
        <w:div w:id="222302273">
          <w:marLeft w:val="0"/>
          <w:marRight w:val="0"/>
          <w:marTop w:val="0"/>
          <w:marBottom w:val="0"/>
          <w:divBdr>
            <w:top w:val="none" w:sz="0" w:space="0" w:color="auto"/>
            <w:left w:val="none" w:sz="0" w:space="0" w:color="auto"/>
            <w:bottom w:val="none" w:sz="0" w:space="0" w:color="auto"/>
            <w:right w:val="none" w:sz="0" w:space="0" w:color="auto"/>
          </w:divBdr>
        </w:div>
        <w:div w:id="192498380">
          <w:marLeft w:val="0"/>
          <w:marRight w:val="0"/>
          <w:marTop w:val="0"/>
          <w:marBottom w:val="0"/>
          <w:divBdr>
            <w:top w:val="none" w:sz="0" w:space="0" w:color="auto"/>
            <w:left w:val="none" w:sz="0" w:space="0" w:color="auto"/>
            <w:bottom w:val="none" w:sz="0" w:space="0" w:color="auto"/>
            <w:right w:val="none" w:sz="0" w:space="0" w:color="auto"/>
          </w:divBdr>
        </w:div>
        <w:div w:id="132407811">
          <w:marLeft w:val="0"/>
          <w:marRight w:val="0"/>
          <w:marTop w:val="0"/>
          <w:marBottom w:val="0"/>
          <w:divBdr>
            <w:top w:val="none" w:sz="0" w:space="0" w:color="auto"/>
            <w:left w:val="none" w:sz="0" w:space="0" w:color="auto"/>
            <w:bottom w:val="none" w:sz="0" w:space="0" w:color="auto"/>
            <w:right w:val="none" w:sz="0" w:space="0" w:color="auto"/>
          </w:divBdr>
        </w:div>
        <w:div w:id="782384513">
          <w:marLeft w:val="0"/>
          <w:marRight w:val="0"/>
          <w:marTop w:val="0"/>
          <w:marBottom w:val="0"/>
          <w:divBdr>
            <w:top w:val="none" w:sz="0" w:space="0" w:color="auto"/>
            <w:left w:val="none" w:sz="0" w:space="0" w:color="auto"/>
            <w:bottom w:val="none" w:sz="0" w:space="0" w:color="auto"/>
            <w:right w:val="none" w:sz="0" w:space="0" w:color="auto"/>
          </w:divBdr>
        </w:div>
        <w:div w:id="621889681">
          <w:marLeft w:val="0"/>
          <w:marRight w:val="0"/>
          <w:marTop w:val="0"/>
          <w:marBottom w:val="0"/>
          <w:divBdr>
            <w:top w:val="none" w:sz="0" w:space="0" w:color="auto"/>
            <w:left w:val="none" w:sz="0" w:space="0" w:color="auto"/>
            <w:bottom w:val="none" w:sz="0" w:space="0" w:color="auto"/>
            <w:right w:val="none" w:sz="0" w:space="0" w:color="auto"/>
          </w:divBdr>
        </w:div>
        <w:div w:id="1862549355">
          <w:marLeft w:val="0"/>
          <w:marRight w:val="0"/>
          <w:marTop w:val="0"/>
          <w:marBottom w:val="0"/>
          <w:divBdr>
            <w:top w:val="none" w:sz="0" w:space="0" w:color="auto"/>
            <w:left w:val="none" w:sz="0" w:space="0" w:color="auto"/>
            <w:bottom w:val="none" w:sz="0" w:space="0" w:color="auto"/>
            <w:right w:val="none" w:sz="0" w:space="0" w:color="auto"/>
          </w:divBdr>
        </w:div>
        <w:div w:id="2067679490">
          <w:marLeft w:val="0"/>
          <w:marRight w:val="0"/>
          <w:marTop w:val="0"/>
          <w:marBottom w:val="0"/>
          <w:divBdr>
            <w:top w:val="none" w:sz="0" w:space="0" w:color="auto"/>
            <w:left w:val="none" w:sz="0" w:space="0" w:color="auto"/>
            <w:bottom w:val="none" w:sz="0" w:space="0" w:color="auto"/>
            <w:right w:val="none" w:sz="0" w:space="0" w:color="auto"/>
          </w:divBdr>
        </w:div>
        <w:div w:id="1811941005">
          <w:marLeft w:val="0"/>
          <w:marRight w:val="0"/>
          <w:marTop w:val="0"/>
          <w:marBottom w:val="0"/>
          <w:divBdr>
            <w:top w:val="none" w:sz="0" w:space="0" w:color="auto"/>
            <w:left w:val="none" w:sz="0" w:space="0" w:color="auto"/>
            <w:bottom w:val="none" w:sz="0" w:space="0" w:color="auto"/>
            <w:right w:val="none" w:sz="0" w:space="0" w:color="auto"/>
          </w:divBdr>
        </w:div>
        <w:div w:id="1428237031">
          <w:marLeft w:val="0"/>
          <w:marRight w:val="0"/>
          <w:marTop w:val="0"/>
          <w:marBottom w:val="0"/>
          <w:divBdr>
            <w:top w:val="none" w:sz="0" w:space="0" w:color="auto"/>
            <w:left w:val="none" w:sz="0" w:space="0" w:color="auto"/>
            <w:bottom w:val="none" w:sz="0" w:space="0" w:color="auto"/>
            <w:right w:val="none" w:sz="0" w:space="0" w:color="auto"/>
          </w:divBdr>
        </w:div>
        <w:div w:id="1861772088">
          <w:marLeft w:val="0"/>
          <w:marRight w:val="0"/>
          <w:marTop w:val="0"/>
          <w:marBottom w:val="0"/>
          <w:divBdr>
            <w:top w:val="none" w:sz="0" w:space="0" w:color="auto"/>
            <w:left w:val="none" w:sz="0" w:space="0" w:color="auto"/>
            <w:bottom w:val="none" w:sz="0" w:space="0" w:color="auto"/>
            <w:right w:val="none" w:sz="0" w:space="0" w:color="auto"/>
          </w:divBdr>
        </w:div>
        <w:div w:id="1868831974">
          <w:marLeft w:val="0"/>
          <w:marRight w:val="0"/>
          <w:marTop w:val="0"/>
          <w:marBottom w:val="0"/>
          <w:divBdr>
            <w:top w:val="none" w:sz="0" w:space="0" w:color="auto"/>
            <w:left w:val="none" w:sz="0" w:space="0" w:color="auto"/>
            <w:bottom w:val="none" w:sz="0" w:space="0" w:color="auto"/>
            <w:right w:val="none" w:sz="0" w:space="0" w:color="auto"/>
          </w:divBdr>
        </w:div>
        <w:div w:id="760419058">
          <w:marLeft w:val="0"/>
          <w:marRight w:val="0"/>
          <w:marTop w:val="0"/>
          <w:marBottom w:val="0"/>
          <w:divBdr>
            <w:top w:val="none" w:sz="0" w:space="0" w:color="auto"/>
            <w:left w:val="none" w:sz="0" w:space="0" w:color="auto"/>
            <w:bottom w:val="none" w:sz="0" w:space="0" w:color="auto"/>
            <w:right w:val="none" w:sz="0" w:space="0" w:color="auto"/>
          </w:divBdr>
        </w:div>
        <w:div w:id="1318996754">
          <w:marLeft w:val="0"/>
          <w:marRight w:val="0"/>
          <w:marTop w:val="0"/>
          <w:marBottom w:val="0"/>
          <w:divBdr>
            <w:top w:val="none" w:sz="0" w:space="0" w:color="auto"/>
            <w:left w:val="none" w:sz="0" w:space="0" w:color="auto"/>
            <w:bottom w:val="none" w:sz="0" w:space="0" w:color="auto"/>
            <w:right w:val="none" w:sz="0" w:space="0" w:color="auto"/>
          </w:divBdr>
        </w:div>
        <w:div w:id="335885883">
          <w:marLeft w:val="0"/>
          <w:marRight w:val="0"/>
          <w:marTop w:val="0"/>
          <w:marBottom w:val="0"/>
          <w:divBdr>
            <w:top w:val="none" w:sz="0" w:space="0" w:color="auto"/>
            <w:left w:val="none" w:sz="0" w:space="0" w:color="auto"/>
            <w:bottom w:val="none" w:sz="0" w:space="0" w:color="auto"/>
            <w:right w:val="none" w:sz="0" w:space="0" w:color="auto"/>
          </w:divBdr>
        </w:div>
        <w:div w:id="417219857">
          <w:marLeft w:val="0"/>
          <w:marRight w:val="0"/>
          <w:marTop w:val="0"/>
          <w:marBottom w:val="0"/>
          <w:divBdr>
            <w:top w:val="none" w:sz="0" w:space="0" w:color="auto"/>
            <w:left w:val="none" w:sz="0" w:space="0" w:color="auto"/>
            <w:bottom w:val="none" w:sz="0" w:space="0" w:color="auto"/>
            <w:right w:val="none" w:sz="0" w:space="0" w:color="auto"/>
          </w:divBdr>
        </w:div>
        <w:div w:id="837620960">
          <w:marLeft w:val="0"/>
          <w:marRight w:val="0"/>
          <w:marTop w:val="0"/>
          <w:marBottom w:val="0"/>
          <w:divBdr>
            <w:top w:val="none" w:sz="0" w:space="0" w:color="auto"/>
            <w:left w:val="none" w:sz="0" w:space="0" w:color="auto"/>
            <w:bottom w:val="none" w:sz="0" w:space="0" w:color="auto"/>
            <w:right w:val="none" w:sz="0" w:space="0" w:color="auto"/>
          </w:divBdr>
        </w:div>
        <w:div w:id="1764494163">
          <w:marLeft w:val="0"/>
          <w:marRight w:val="0"/>
          <w:marTop w:val="0"/>
          <w:marBottom w:val="0"/>
          <w:divBdr>
            <w:top w:val="none" w:sz="0" w:space="0" w:color="auto"/>
            <w:left w:val="none" w:sz="0" w:space="0" w:color="auto"/>
            <w:bottom w:val="none" w:sz="0" w:space="0" w:color="auto"/>
            <w:right w:val="none" w:sz="0" w:space="0" w:color="auto"/>
          </w:divBdr>
        </w:div>
        <w:div w:id="1822229624">
          <w:marLeft w:val="0"/>
          <w:marRight w:val="0"/>
          <w:marTop w:val="0"/>
          <w:marBottom w:val="0"/>
          <w:divBdr>
            <w:top w:val="none" w:sz="0" w:space="0" w:color="auto"/>
            <w:left w:val="none" w:sz="0" w:space="0" w:color="auto"/>
            <w:bottom w:val="none" w:sz="0" w:space="0" w:color="auto"/>
            <w:right w:val="none" w:sz="0" w:space="0" w:color="auto"/>
          </w:divBdr>
        </w:div>
        <w:div w:id="50230961">
          <w:marLeft w:val="0"/>
          <w:marRight w:val="0"/>
          <w:marTop w:val="0"/>
          <w:marBottom w:val="0"/>
          <w:divBdr>
            <w:top w:val="none" w:sz="0" w:space="0" w:color="auto"/>
            <w:left w:val="none" w:sz="0" w:space="0" w:color="auto"/>
            <w:bottom w:val="none" w:sz="0" w:space="0" w:color="auto"/>
            <w:right w:val="none" w:sz="0" w:space="0" w:color="auto"/>
          </w:divBdr>
        </w:div>
        <w:div w:id="25372586">
          <w:marLeft w:val="0"/>
          <w:marRight w:val="0"/>
          <w:marTop w:val="0"/>
          <w:marBottom w:val="0"/>
          <w:divBdr>
            <w:top w:val="none" w:sz="0" w:space="0" w:color="auto"/>
            <w:left w:val="none" w:sz="0" w:space="0" w:color="auto"/>
            <w:bottom w:val="none" w:sz="0" w:space="0" w:color="auto"/>
            <w:right w:val="none" w:sz="0" w:space="0" w:color="auto"/>
          </w:divBdr>
        </w:div>
        <w:div w:id="649939899">
          <w:marLeft w:val="0"/>
          <w:marRight w:val="0"/>
          <w:marTop w:val="0"/>
          <w:marBottom w:val="0"/>
          <w:divBdr>
            <w:top w:val="none" w:sz="0" w:space="0" w:color="auto"/>
            <w:left w:val="none" w:sz="0" w:space="0" w:color="auto"/>
            <w:bottom w:val="none" w:sz="0" w:space="0" w:color="auto"/>
            <w:right w:val="none" w:sz="0" w:space="0" w:color="auto"/>
          </w:divBdr>
        </w:div>
        <w:div w:id="1610313660">
          <w:marLeft w:val="0"/>
          <w:marRight w:val="0"/>
          <w:marTop w:val="0"/>
          <w:marBottom w:val="0"/>
          <w:divBdr>
            <w:top w:val="none" w:sz="0" w:space="0" w:color="auto"/>
            <w:left w:val="none" w:sz="0" w:space="0" w:color="auto"/>
            <w:bottom w:val="none" w:sz="0" w:space="0" w:color="auto"/>
            <w:right w:val="none" w:sz="0" w:space="0" w:color="auto"/>
          </w:divBdr>
        </w:div>
        <w:div w:id="708602378">
          <w:marLeft w:val="0"/>
          <w:marRight w:val="0"/>
          <w:marTop w:val="0"/>
          <w:marBottom w:val="0"/>
          <w:divBdr>
            <w:top w:val="none" w:sz="0" w:space="0" w:color="auto"/>
            <w:left w:val="none" w:sz="0" w:space="0" w:color="auto"/>
            <w:bottom w:val="none" w:sz="0" w:space="0" w:color="auto"/>
            <w:right w:val="none" w:sz="0" w:space="0" w:color="auto"/>
          </w:divBdr>
        </w:div>
      </w:divsChild>
    </w:div>
    <w:div w:id="473910136">
      <w:marLeft w:val="0"/>
      <w:marRight w:val="0"/>
      <w:marTop w:val="180"/>
      <w:marBottom w:val="180"/>
      <w:divBdr>
        <w:top w:val="none" w:sz="0" w:space="0" w:color="auto"/>
        <w:left w:val="none" w:sz="0" w:space="0" w:color="auto"/>
        <w:bottom w:val="none" w:sz="0" w:space="0" w:color="auto"/>
        <w:right w:val="none" w:sz="0" w:space="0" w:color="auto"/>
      </w:divBdr>
    </w:div>
    <w:div w:id="474758599">
      <w:marLeft w:val="0"/>
      <w:marRight w:val="0"/>
      <w:marTop w:val="180"/>
      <w:marBottom w:val="180"/>
      <w:divBdr>
        <w:top w:val="none" w:sz="0" w:space="0" w:color="auto"/>
        <w:left w:val="none" w:sz="0" w:space="0" w:color="auto"/>
        <w:bottom w:val="none" w:sz="0" w:space="0" w:color="auto"/>
        <w:right w:val="none" w:sz="0" w:space="0" w:color="auto"/>
      </w:divBdr>
    </w:div>
    <w:div w:id="475143890">
      <w:marLeft w:val="0"/>
      <w:marRight w:val="0"/>
      <w:marTop w:val="0"/>
      <w:marBottom w:val="0"/>
      <w:divBdr>
        <w:top w:val="none" w:sz="0" w:space="0" w:color="auto"/>
        <w:left w:val="none" w:sz="0" w:space="0" w:color="auto"/>
        <w:bottom w:val="none" w:sz="0" w:space="0" w:color="auto"/>
        <w:right w:val="none" w:sz="0" w:space="0" w:color="auto"/>
      </w:divBdr>
      <w:divsChild>
        <w:div w:id="1195653148">
          <w:marLeft w:val="0"/>
          <w:marRight w:val="0"/>
          <w:marTop w:val="0"/>
          <w:marBottom w:val="0"/>
          <w:divBdr>
            <w:top w:val="none" w:sz="0" w:space="0" w:color="auto"/>
            <w:left w:val="none" w:sz="0" w:space="0" w:color="auto"/>
            <w:bottom w:val="none" w:sz="0" w:space="0" w:color="auto"/>
            <w:right w:val="none" w:sz="0" w:space="0" w:color="auto"/>
          </w:divBdr>
          <w:divsChild>
            <w:div w:id="170034866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76192618">
      <w:marLeft w:val="0"/>
      <w:marRight w:val="0"/>
      <w:marTop w:val="0"/>
      <w:marBottom w:val="0"/>
      <w:divBdr>
        <w:top w:val="none" w:sz="0" w:space="0" w:color="auto"/>
        <w:left w:val="none" w:sz="0" w:space="0" w:color="auto"/>
        <w:bottom w:val="none" w:sz="0" w:space="0" w:color="auto"/>
        <w:right w:val="none" w:sz="0" w:space="0" w:color="auto"/>
      </w:divBdr>
    </w:div>
    <w:div w:id="476535956">
      <w:marLeft w:val="0"/>
      <w:marRight w:val="0"/>
      <w:marTop w:val="0"/>
      <w:marBottom w:val="0"/>
      <w:divBdr>
        <w:top w:val="none" w:sz="0" w:space="0" w:color="auto"/>
        <w:left w:val="none" w:sz="0" w:space="0" w:color="auto"/>
        <w:bottom w:val="none" w:sz="0" w:space="0" w:color="auto"/>
        <w:right w:val="none" w:sz="0" w:space="0" w:color="auto"/>
      </w:divBdr>
    </w:div>
    <w:div w:id="476731435">
      <w:marLeft w:val="0"/>
      <w:marRight w:val="0"/>
      <w:marTop w:val="60"/>
      <w:marBottom w:val="60"/>
      <w:divBdr>
        <w:top w:val="none" w:sz="0" w:space="0" w:color="auto"/>
        <w:left w:val="none" w:sz="0" w:space="0" w:color="auto"/>
        <w:bottom w:val="none" w:sz="0" w:space="0" w:color="auto"/>
        <w:right w:val="none" w:sz="0" w:space="0" w:color="auto"/>
      </w:divBdr>
    </w:div>
    <w:div w:id="476996617">
      <w:marLeft w:val="0"/>
      <w:marRight w:val="0"/>
      <w:marTop w:val="180"/>
      <w:marBottom w:val="180"/>
      <w:divBdr>
        <w:top w:val="none" w:sz="0" w:space="0" w:color="auto"/>
        <w:left w:val="none" w:sz="0" w:space="0" w:color="auto"/>
        <w:bottom w:val="none" w:sz="0" w:space="0" w:color="auto"/>
        <w:right w:val="none" w:sz="0" w:space="0" w:color="auto"/>
      </w:divBdr>
    </w:div>
    <w:div w:id="477578760">
      <w:marLeft w:val="0"/>
      <w:marRight w:val="0"/>
      <w:marTop w:val="180"/>
      <w:marBottom w:val="180"/>
      <w:divBdr>
        <w:top w:val="none" w:sz="0" w:space="0" w:color="auto"/>
        <w:left w:val="none" w:sz="0" w:space="0" w:color="auto"/>
        <w:bottom w:val="none" w:sz="0" w:space="0" w:color="auto"/>
        <w:right w:val="none" w:sz="0" w:space="0" w:color="auto"/>
      </w:divBdr>
    </w:div>
    <w:div w:id="478614392">
      <w:marLeft w:val="0"/>
      <w:marRight w:val="0"/>
      <w:marTop w:val="0"/>
      <w:marBottom w:val="0"/>
      <w:divBdr>
        <w:top w:val="none" w:sz="0" w:space="0" w:color="auto"/>
        <w:left w:val="none" w:sz="0" w:space="0" w:color="auto"/>
        <w:bottom w:val="none" w:sz="0" w:space="0" w:color="auto"/>
        <w:right w:val="none" w:sz="0" w:space="0" w:color="auto"/>
      </w:divBdr>
      <w:divsChild>
        <w:div w:id="1230532523">
          <w:marLeft w:val="0"/>
          <w:marRight w:val="0"/>
          <w:marTop w:val="0"/>
          <w:marBottom w:val="0"/>
          <w:divBdr>
            <w:top w:val="none" w:sz="0" w:space="0" w:color="auto"/>
            <w:left w:val="none" w:sz="0" w:space="0" w:color="auto"/>
            <w:bottom w:val="none" w:sz="0" w:space="0" w:color="auto"/>
            <w:right w:val="none" w:sz="0" w:space="0" w:color="auto"/>
          </w:divBdr>
          <w:divsChild>
            <w:div w:id="119750642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78887645">
      <w:marLeft w:val="0"/>
      <w:marRight w:val="0"/>
      <w:marTop w:val="180"/>
      <w:marBottom w:val="180"/>
      <w:divBdr>
        <w:top w:val="none" w:sz="0" w:space="0" w:color="auto"/>
        <w:left w:val="none" w:sz="0" w:space="0" w:color="auto"/>
        <w:bottom w:val="none" w:sz="0" w:space="0" w:color="auto"/>
        <w:right w:val="none" w:sz="0" w:space="0" w:color="auto"/>
      </w:divBdr>
    </w:div>
    <w:div w:id="479228794">
      <w:marLeft w:val="0"/>
      <w:marRight w:val="0"/>
      <w:marTop w:val="60"/>
      <w:marBottom w:val="60"/>
      <w:divBdr>
        <w:top w:val="none" w:sz="0" w:space="0" w:color="auto"/>
        <w:left w:val="none" w:sz="0" w:space="0" w:color="auto"/>
        <w:bottom w:val="none" w:sz="0" w:space="0" w:color="auto"/>
        <w:right w:val="none" w:sz="0" w:space="0" w:color="auto"/>
      </w:divBdr>
    </w:div>
    <w:div w:id="479812457">
      <w:marLeft w:val="0"/>
      <w:marRight w:val="0"/>
      <w:marTop w:val="180"/>
      <w:marBottom w:val="60"/>
      <w:divBdr>
        <w:top w:val="none" w:sz="0" w:space="0" w:color="auto"/>
        <w:left w:val="none" w:sz="0" w:space="0" w:color="auto"/>
        <w:bottom w:val="none" w:sz="0" w:space="0" w:color="auto"/>
        <w:right w:val="none" w:sz="0" w:space="0" w:color="auto"/>
      </w:divBdr>
      <w:divsChild>
        <w:div w:id="596912253">
          <w:marLeft w:val="0"/>
          <w:marRight w:val="0"/>
          <w:marTop w:val="0"/>
          <w:marBottom w:val="0"/>
          <w:divBdr>
            <w:top w:val="none" w:sz="0" w:space="0" w:color="auto"/>
            <w:left w:val="none" w:sz="0" w:space="0" w:color="auto"/>
            <w:bottom w:val="none" w:sz="0" w:space="0" w:color="auto"/>
            <w:right w:val="none" w:sz="0" w:space="0" w:color="auto"/>
          </w:divBdr>
        </w:div>
        <w:div w:id="1767772671">
          <w:marLeft w:val="0"/>
          <w:marRight w:val="0"/>
          <w:marTop w:val="0"/>
          <w:marBottom w:val="0"/>
          <w:divBdr>
            <w:top w:val="none" w:sz="0" w:space="0" w:color="auto"/>
            <w:left w:val="none" w:sz="0" w:space="0" w:color="auto"/>
            <w:bottom w:val="none" w:sz="0" w:space="0" w:color="auto"/>
            <w:right w:val="none" w:sz="0" w:space="0" w:color="auto"/>
          </w:divBdr>
        </w:div>
        <w:div w:id="22170067">
          <w:marLeft w:val="0"/>
          <w:marRight w:val="0"/>
          <w:marTop w:val="0"/>
          <w:marBottom w:val="0"/>
          <w:divBdr>
            <w:top w:val="none" w:sz="0" w:space="0" w:color="auto"/>
            <w:left w:val="none" w:sz="0" w:space="0" w:color="auto"/>
            <w:bottom w:val="none" w:sz="0" w:space="0" w:color="auto"/>
            <w:right w:val="none" w:sz="0" w:space="0" w:color="auto"/>
          </w:divBdr>
        </w:div>
        <w:div w:id="928273233">
          <w:marLeft w:val="0"/>
          <w:marRight w:val="0"/>
          <w:marTop w:val="0"/>
          <w:marBottom w:val="0"/>
          <w:divBdr>
            <w:top w:val="none" w:sz="0" w:space="0" w:color="auto"/>
            <w:left w:val="none" w:sz="0" w:space="0" w:color="auto"/>
            <w:bottom w:val="none" w:sz="0" w:space="0" w:color="auto"/>
            <w:right w:val="none" w:sz="0" w:space="0" w:color="auto"/>
          </w:divBdr>
        </w:div>
      </w:divsChild>
    </w:div>
    <w:div w:id="479882171">
      <w:marLeft w:val="0"/>
      <w:marRight w:val="0"/>
      <w:marTop w:val="180"/>
      <w:marBottom w:val="180"/>
      <w:divBdr>
        <w:top w:val="none" w:sz="0" w:space="0" w:color="auto"/>
        <w:left w:val="none" w:sz="0" w:space="0" w:color="auto"/>
        <w:bottom w:val="none" w:sz="0" w:space="0" w:color="auto"/>
        <w:right w:val="none" w:sz="0" w:space="0" w:color="auto"/>
      </w:divBdr>
    </w:div>
    <w:div w:id="481311583">
      <w:marLeft w:val="0"/>
      <w:marRight w:val="0"/>
      <w:marTop w:val="180"/>
      <w:marBottom w:val="180"/>
      <w:divBdr>
        <w:top w:val="none" w:sz="0" w:space="0" w:color="auto"/>
        <w:left w:val="none" w:sz="0" w:space="0" w:color="auto"/>
        <w:bottom w:val="none" w:sz="0" w:space="0" w:color="auto"/>
        <w:right w:val="none" w:sz="0" w:space="0" w:color="auto"/>
      </w:divBdr>
    </w:div>
    <w:div w:id="483552497">
      <w:marLeft w:val="0"/>
      <w:marRight w:val="0"/>
      <w:marTop w:val="180"/>
      <w:marBottom w:val="0"/>
      <w:divBdr>
        <w:top w:val="none" w:sz="0" w:space="0" w:color="auto"/>
        <w:left w:val="none" w:sz="0" w:space="0" w:color="auto"/>
        <w:bottom w:val="none" w:sz="0" w:space="0" w:color="auto"/>
        <w:right w:val="none" w:sz="0" w:space="0" w:color="auto"/>
      </w:divBdr>
    </w:div>
    <w:div w:id="485903283">
      <w:marLeft w:val="0"/>
      <w:marRight w:val="0"/>
      <w:marTop w:val="180"/>
      <w:marBottom w:val="180"/>
      <w:divBdr>
        <w:top w:val="none" w:sz="0" w:space="0" w:color="auto"/>
        <w:left w:val="none" w:sz="0" w:space="0" w:color="auto"/>
        <w:bottom w:val="none" w:sz="0" w:space="0" w:color="auto"/>
        <w:right w:val="none" w:sz="0" w:space="0" w:color="auto"/>
      </w:divBdr>
    </w:div>
    <w:div w:id="486702958">
      <w:marLeft w:val="0"/>
      <w:marRight w:val="0"/>
      <w:marTop w:val="0"/>
      <w:marBottom w:val="0"/>
      <w:divBdr>
        <w:top w:val="none" w:sz="0" w:space="0" w:color="auto"/>
        <w:left w:val="none" w:sz="0" w:space="0" w:color="auto"/>
        <w:bottom w:val="none" w:sz="0" w:space="0" w:color="auto"/>
        <w:right w:val="none" w:sz="0" w:space="0" w:color="auto"/>
      </w:divBdr>
    </w:div>
    <w:div w:id="489250908">
      <w:marLeft w:val="0"/>
      <w:marRight w:val="0"/>
      <w:marTop w:val="0"/>
      <w:marBottom w:val="0"/>
      <w:divBdr>
        <w:top w:val="none" w:sz="0" w:space="0" w:color="auto"/>
        <w:left w:val="none" w:sz="0" w:space="0" w:color="auto"/>
        <w:bottom w:val="none" w:sz="0" w:space="0" w:color="auto"/>
        <w:right w:val="none" w:sz="0" w:space="0" w:color="auto"/>
      </w:divBdr>
      <w:divsChild>
        <w:div w:id="1679773145">
          <w:marLeft w:val="0"/>
          <w:marRight w:val="0"/>
          <w:marTop w:val="0"/>
          <w:marBottom w:val="0"/>
          <w:divBdr>
            <w:top w:val="none" w:sz="0" w:space="0" w:color="auto"/>
            <w:left w:val="none" w:sz="0" w:space="0" w:color="auto"/>
            <w:bottom w:val="none" w:sz="0" w:space="0" w:color="auto"/>
            <w:right w:val="none" w:sz="0" w:space="0" w:color="auto"/>
          </w:divBdr>
          <w:divsChild>
            <w:div w:id="87662736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89640332">
      <w:marLeft w:val="0"/>
      <w:marRight w:val="0"/>
      <w:marTop w:val="100"/>
      <w:marBottom w:val="0"/>
      <w:divBdr>
        <w:top w:val="none" w:sz="0" w:space="0" w:color="auto"/>
        <w:left w:val="none" w:sz="0" w:space="0" w:color="auto"/>
        <w:bottom w:val="none" w:sz="0" w:space="0" w:color="auto"/>
        <w:right w:val="none" w:sz="0" w:space="0" w:color="auto"/>
      </w:divBdr>
      <w:divsChild>
        <w:div w:id="1358315573">
          <w:marLeft w:val="0"/>
          <w:marRight w:val="0"/>
          <w:marTop w:val="0"/>
          <w:marBottom w:val="0"/>
          <w:divBdr>
            <w:top w:val="none" w:sz="0" w:space="0" w:color="auto"/>
            <w:left w:val="none" w:sz="0" w:space="0" w:color="auto"/>
            <w:bottom w:val="none" w:sz="0" w:space="0" w:color="auto"/>
            <w:right w:val="none" w:sz="0" w:space="0" w:color="auto"/>
          </w:divBdr>
        </w:div>
        <w:div w:id="1168518608">
          <w:marLeft w:val="0"/>
          <w:marRight w:val="0"/>
          <w:marTop w:val="0"/>
          <w:marBottom w:val="0"/>
          <w:divBdr>
            <w:top w:val="none" w:sz="0" w:space="0" w:color="auto"/>
            <w:left w:val="none" w:sz="0" w:space="0" w:color="auto"/>
            <w:bottom w:val="none" w:sz="0" w:space="0" w:color="auto"/>
            <w:right w:val="none" w:sz="0" w:space="0" w:color="auto"/>
          </w:divBdr>
        </w:div>
        <w:div w:id="500511398">
          <w:marLeft w:val="0"/>
          <w:marRight w:val="0"/>
          <w:marTop w:val="0"/>
          <w:marBottom w:val="0"/>
          <w:divBdr>
            <w:top w:val="none" w:sz="0" w:space="0" w:color="auto"/>
            <w:left w:val="none" w:sz="0" w:space="0" w:color="auto"/>
            <w:bottom w:val="none" w:sz="0" w:space="0" w:color="auto"/>
            <w:right w:val="none" w:sz="0" w:space="0" w:color="auto"/>
          </w:divBdr>
        </w:div>
        <w:div w:id="357856389">
          <w:marLeft w:val="0"/>
          <w:marRight w:val="0"/>
          <w:marTop w:val="0"/>
          <w:marBottom w:val="0"/>
          <w:divBdr>
            <w:top w:val="none" w:sz="0" w:space="0" w:color="auto"/>
            <w:left w:val="none" w:sz="0" w:space="0" w:color="auto"/>
            <w:bottom w:val="none" w:sz="0" w:space="0" w:color="auto"/>
            <w:right w:val="none" w:sz="0" w:space="0" w:color="auto"/>
          </w:divBdr>
        </w:div>
        <w:div w:id="821625058">
          <w:marLeft w:val="0"/>
          <w:marRight w:val="0"/>
          <w:marTop w:val="0"/>
          <w:marBottom w:val="0"/>
          <w:divBdr>
            <w:top w:val="none" w:sz="0" w:space="0" w:color="auto"/>
            <w:left w:val="none" w:sz="0" w:space="0" w:color="auto"/>
            <w:bottom w:val="none" w:sz="0" w:space="0" w:color="auto"/>
            <w:right w:val="none" w:sz="0" w:space="0" w:color="auto"/>
          </w:divBdr>
        </w:div>
        <w:div w:id="1928298213">
          <w:marLeft w:val="0"/>
          <w:marRight w:val="0"/>
          <w:marTop w:val="0"/>
          <w:marBottom w:val="0"/>
          <w:divBdr>
            <w:top w:val="none" w:sz="0" w:space="0" w:color="auto"/>
            <w:left w:val="none" w:sz="0" w:space="0" w:color="auto"/>
            <w:bottom w:val="none" w:sz="0" w:space="0" w:color="auto"/>
            <w:right w:val="none" w:sz="0" w:space="0" w:color="auto"/>
          </w:divBdr>
        </w:div>
        <w:div w:id="1278487227">
          <w:marLeft w:val="0"/>
          <w:marRight w:val="0"/>
          <w:marTop w:val="0"/>
          <w:marBottom w:val="0"/>
          <w:divBdr>
            <w:top w:val="none" w:sz="0" w:space="0" w:color="auto"/>
            <w:left w:val="none" w:sz="0" w:space="0" w:color="auto"/>
            <w:bottom w:val="none" w:sz="0" w:space="0" w:color="auto"/>
            <w:right w:val="none" w:sz="0" w:space="0" w:color="auto"/>
          </w:divBdr>
        </w:div>
        <w:div w:id="1862160508">
          <w:marLeft w:val="0"/>
          <w:marRight w:val="0"/>
          <w:marTop w:val="0"/>
          <w:marBottom w:val="0"/>
          <w:divBdr>
            <w:top w:val="none" w:sz="0" w:space="0" w:color="auto"/>
            <w:left w:val="none" w:sz="0" w:space="0" w:color="auto"/>
            <w:bottom w:val="none" w:sz="0" w:space="0" w:color="auto"/>
            <w:right w:val="none" w:sz="0" w:space="0" w:color="auto"/>
          </w:divBdr>
        </w:div>
        <w:div w:id="1336953246">
          <w:marLeft w:val="0"/>
          <w:marRight w:val="0"/>
          <w:marTop w:val="0"/>
          <w:marBottom w:val="0"/>
          <w:divBdr>
            <w:top w:val="none" w:sz="0" w:space="0" w:color="auto"/>
            <w:left w:val="none" w:sz="0" w:space="0" w:color="auto"/>
            <w:bottom w:val="none" w:sz="0" w:space="0" w:color="auto"/>
            <w:right w:val="none" w:sz="0" w:space="0" w:color="auto"/>
          </w:divBdr>
        </w:div>
        <w:div w:id="1410347998">
          <w:marLeft w:val="0"/>
          <w:marRight w:val="0"/>
          <w:marTop w:val="0"/>
          <w:marBottom w:val="0"/>
          <w:divBdr>
            <w:top w:val="none" w:sz="0" w:space="0" w:color="auto"/>
            <w:left w:val="none" w:sz="0" w:space="0" w:color="auto"/>
            <w:bottom w:val="none" w:sz="0" w:space="0" w:color="auto"/>
            <w:right w:val="none" w:sz="0" w:space="0" w:color="auto"/>
          </w:divBdr>
        </w:div>
      </w:divsChild>
    </w:div>
    <w:div w:id="490947392">
      <w:marLeft w:val="0"/>
      <w:marRight w:val="0"/>
      <w:marTop w:val="180"/>
      <w:marBottom w:val="180"/>
      <w:divBdr>
        <w:top w:val="none" w:sz="0" w:space="0" w:color="auto"/>
        <w:left w:val="none" w:sz="0" w:space="0" w:color="auto"/>
        <w:bottom w:val="none" w:sz="0" w:space="0" w:color="auto"/>
        <w:right w:val="none" w:sz="0" w:space="0" w:color="auto"/>
      </w:divBdr>
    </w:div>
    <w:div w:id="492571651">
      <w:marLeft w:val="0"/>
      <w:marRight w:val="0"/>
      <w:marTop w:val="180"/>
      <w:marBottom w:val="180"/>
      <w:divBdr>
        <w:top w:val="none" w:sz="0" w:space="0" w:color="auto"/>
        <w:left w:val="none" w:sz="0" w:space="0" w:color="auto"/>
        <w:bottom w:val="none" w:sz="0" w:space="0" w:color="auto"/>
        <w:right w:val="none" w:sz="0" w:space="0" w:color="auto"/>
      </w:divBdr>
    </w:div>
    <w:div w:id="494078925">
      <w:marLeft w:val="0"/>
      <w:marRight w:val="0"/>
      <w:marTop w:val="0"/>
      <w:marBottom w:val="0"/>
      <w:divBdr>
        <w:top w:val="none" w:sz="0" w:space="0" w:color="auto"/>
        <w:left w:val="none" w:sz="0" w:space="0" w:color="auto"/>
        <w:bottom w:val="none" w:sz="0" w:space="0" w:color="auto"/>
        <w:right w:val="none" w:sz="0" w:space="0" w:color="auto"/>
      </w:divBdr>
      <w:divsChild>
        <w:div w:id="1807431648">
          <w:marLeft w:val="0"/>
          <w:marRight w:val="0"/>
          <w:marTop w:val="0"/>
          <w:marBottom w:val="0"/>
          <w:divBdr>
            <w:top w:val="none" w:sz="0" w:space="0" w:color="auto"/>
            <w:left w:val="none" w:sz="0" w:space="0" w:color="auto"/>
            <w:bottom w:val="none" w:sz="0" w:space="0" w:color="auto"/>
            <w:right w:val="none" w:sz="0" w:space="0" w:color="auto"/>
          </w:divBdr>
          <w:divsChild>
            <w:div w:id="208641357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95075625">
      <w:marLeft w:val="0"/>
      <w:marRight w:val="0"/>
      <w:marTop w:val="180"/>
      <w:marBottom w:val="180"/>
      <w:divBdr>
        <w:top w:val="none" w:sz="0" w:space="0" w:color="auto"/>
        <w:left w:val="none" w:sz="0" w:space="0" w:color="auto"/>
        <w:bottom w:val="none" w:sz="0" w:space="0" w:color="auto"/>
        <w:right w:val="none" w:sz="0" w:space="0" w:color="auto"/>
      </w:divBdr>
    </w:div>
    <w:div w:id="495388997">
      <w:marLeft w:val="0"/>
      <w:marRight w:val="0"/>
      <w:marTop w:val="180"/>
      <w:marBottom w:val="180"/>
      <w:divBdr>
        <w:top w:val="none" w:sz="0" w:space="0" w:color="auto"/>
        <w:left w:val="none" w:sz="0" w:space="0" w:color="auto"/>
        <w:bottom w:val="none" w:sz="0" w:space="0" w:color="auto"/>
        <w:right w:val="none" w:sz="0" w:space="0" w:color="auto"/>
      </w:divBdr>
    </w:div>
    <w:div w:id="495923063">
      <w:marLeft w:val="0"/>
      <w:marRight w:val="0"/>
      <w:marTop w:val="180"/>
      <w:marBottom w:val="180"/>
      <w:divBdr>
        <w:top w:val="none" w:sz="0" w:space="0" w:color="auto"/>
        <w:left w:val="none" w:sz="0" w:space="0" w:color="auto"/>
        <w:bottom w:val="none" w:sz="0" w:space="0" w:color="auto"/>
        <w:right w:val="none" w:sz="0" w:space="0" w:color="auto"/>
      </w:divBdr>
    </w:div>
    <w:div w:id="496925697">
      <w:marLeft w:val="0"/>
      <w:marRight w:val="0"/>
      <w:marTop w:val="0"/>
      <w:marBottom w:val="0"/>
      <w:divBdr>
        <w:top w:val="none" w:sz="0" w:space="0" w:color="auto"/>
        <w:left w:val="none" w:sz="0" w:space="0" w:color="auto"/>
        <w:bottom w:val="none" w:sz="0" w:space="0" w:color="auto"/>
        <w:right w:val="none" w:sz="0" w:space="0" w:color="auto"/>
      </w:divBdr>
    </w:div>
    <w:div w:id="496968213">
      <w:marLeft w:val="0"/>
      <w:marRight w:val="0"/>
      <w:marTop w:val="180"/>
      <w:marBottom w:val="180"/>
      <w:divBdr>
        <w:top w:val="none" w:sz="0" w:space="0" w:color="auto"/>
        <w:left w:val="none" w:sz="0" w:space="0" w:color="auto"/>
        <w:bottom w:val="none" w:sz="0" w:space="0" w:color="auto"/>
        <w:right w:val="none" w:sz="0" w:space="0" w:color="auto"/>
      </w:divBdr>
    </w:div>
    <w:div w:id="497576576">
      <w:marLeft w:val="0"/>
      <w:marRight w:val="0"/>
      <w:marTop w:val="60"/>
      <w:marBottom w:val="60"/>
      <w:divBdr>
        <w:top w:val="none" w:sz="0" w:space="0" w:color="auto"/>
        <w:left w:val="none" w:sz="0" w:space="0" w:color="auto"/>
        <w:bottom w:val="none" w:sz="0" w:space="0" w:color="auto"/>
        <w:right w:val="none" w:sz="0" w:space="0" w:color="auto"/>
      </w:divBdr>
    </w:div>
    <w:div w:id="497618370">
      <w:marLeft w:val="0"/>
      <w:marRight w:val="0"/>
      <w:marTop w:val="180"/>
      <w:marBottom w:val="180"/>
      <w:divBdr>
        <w:top w:val="none" w:sz="0" w:space="0" w:color="auto"/>
        <w:left w:val="none" w:sz="0" w:space="0" w:color="auto"/>
        <w:bottom w:val="none" w:sz="0" w:space="0" w:color="auto"/>
        <w:right w:val="none" w:sz="0" w:space="0" w:color="auto"/>
      </w:divBdr>
    </w:div>
    <w:div w:id="498233169">
      <w:marLeft w:val="0"/>
      <w:marRight w:val="0"/>
      <w:marTop w:val="180"/>
      <w:marBottom w:val="180"/>
      <w:divBdr>
        <w:top w:val="none" w:sz="0" w:space="0" w:color="auto"/>
        <w:left w:val="none" w:sz="0" w:space="0" w:color="auto"/>
        <w:bottom w:val="none" w:sz="0" w:space="0" w:color="auto"/>
        <w:right w:val="none" w:sz="0" w:space="0" w:color="auto"/>
      </w:divBdr>
    </w:div>
    <w:div w:id="498927205">
      <w:marLeft w:val="0"/>
      <w:marRight w:val="0"/>
      <w:marTop w:val="180"/>
      <w:marBottom w:val="60"/>
      <w:divBdr>
        <w:top w:val="none" w:sz="0" w:space="0" w:color="auto"/>
        <w:left w:val="none" w:sz="0" w:space="0" w:color="auto"/>
        <w:bottom w:val="none" w:sz="0" w:space="0" w:color="auto"/>
        <w:right w:val="none" w:sz="0" w:space="0" w:color="auto"/>
      </w:divBdr>
    </w:div>
    <w:div w:id="500510955">
      <w:marLeft w:val="0"/>
      <w:marRight w:val="0"/>
      <w:marTop w:val="0"/>
      <w:marBottom w:val="0"/>
      <w:divBdr>
        <w:top w:val="none" w:sz="0" w:space="0" w:color="auto"/>
        <w:left w:val="none" w:sz="0" w:space="0" w:color="auto"/>
        <w:bottom w:val="none" w:sz="0" w:space="0" w:color="auto"/>
        <w:right w:val="none" w:sz="0" w:space="0" w:color="auto"/>
      </w:divBdr>
      <w:divsChild>
        <w:div w:id="1203054162">
          <w:marLeft w:val="0"/>
          <w:marRight w:val="0"/>
          <w:marTop w:val="180"/>
          <w:marBottom w:val="180"/>
          <w:divBdr>
            <w:top w:val="none" w:sz="0" w:space="0" w:color="auto"/>
            <w:left w:val="none" w:sz="0" w:space="0" w:color="auto"/>
            <w:bottom w:val="none" w:sz="0" w:space="0" w:color="auto"/>
            <w:right w:val="none" w:sz="0" w:space="0" w:color="auto"/>
          </w:divBdr>
        </w:div>
      </w:divsChild>
    </w:div>
    <w:div w:id="500700123">
      <w:marLeft w:val="0"/>
      <w:marRight w:val="0"/>
      <w:marTop w:val="0"/>
      <w:marBottom w:val="0"/>
      <w:divBdr>
        <w:top w:val="none" w:sz="0" w:space="0" w:color="auto"/>
        <w:left w:val="none" w:sz="0" w:space="0" w:color="auto"/>
        <w:bottom w:val="none" w:sz="0" w:space="0" w:color="auto"/>
        <w:right w:val="none" w:sz="0" w:space="0" w:color="auto"/>
      </w:divBdr>
    </w:div>
    <w:div w:id="503017272">
      <w:marLeft w:val="0"/>
      <w:marRight w:val="0"/>
      <w:marTop w:val="180"/>
      <w:marBottom w:val="180"/>
      <w:divBdr>
        <w:top w:val="none" w:sz="0" w:space="0" w:color="auto"/>
        <w:left w:val="none" w:sz="0" w:space="0" w:color="auto"/>
        <w:bottom w:val="none" w:sz="0" w:space="0" w:color="auto"/>
        <w:right w:val="none" w:sz="0" w:space="0" w:color="auto"/>
      </w:divBdr>
    </w:div>
    <w:div w:id="503202713">
      <w:marLeft w:val="0"/>
      <w:marRight w:val="0"/>
      <w:marTop w:val="180"/>
      <w:marBottom w:val="180"/>
      <w:divBdr>
        <w:top w:val="none" w:sz="0" w:space="0" w:color="auto"/>
        <w:left w:val="none" w:sz="0" w:space="0" w:color="auto"/>
        <w:bottom w:val="none" w:sz="0" w:space="0" w:color="auto"/>
        <w:right w:val="none" w:sz="0" w:space="0" w:color="auto"/>
      </w:divBdr>
    </w:div>
    <w:div w:id="503589215">
      <w:marLeft w:val="0"/>
      <w:marRight w:val="0"/>
      <w:marTop w:val="180"/>
      <w:marBottom w:val="180"/>
      <w:divBdr>
        <w:top w:val="none" w:sz="0" w:space="0" w:color="auto"/>
        <w:left w:val="none" w:sz="0" w:space="0" w:color="auto"/>
        <w:bottom w:val="none" w:sz="0" w:space="0" w:color="auto"/>
        <w:right w:val="none" w:sz="0" w:space="0" w:color="auto"/>
      </w:divBdr>
    </w:div>
    <w:div w:id="503786922">
      <w:marLeft w:val="0"/>
      <w:marRight w:val="0"/>
      <w:marTop w:val="180"/>
      <w:marBottom w:val="180"/>
      <w:divBdr>
        <w:top w:val="none" w:sz="0" w:space="0" w:color="auto"/>
        <w:left w:val="none" w:sz="0" w:space="0" w:color="auto"/>
        <w:bottom w:val="none" w:sz="0" w:space="0" w:color="auto"/>
        <w:right w:val="none" w:sz="0" w:space="0" w:color="auto"/>
      </w:divBdr>
    </w:div>
    <w:div w:id="503789277">
      <w:marLeft w:val="0"/>
      <w:marRight w:val="0"/>
      <w:marTop w:val="60"/>
      <w:marBottom w:val="60"/>
      <w:divBdr>
        <w:top w:val="none" w:sz="0" w:space="0" w:color="auto"/>
        <w:left w:val="none" w:sz="0" w:space="0" w:color="auto"/>
        <w:bottom w:val="none" w:sz="0" w:space="0" w:color="auto"/>
        <w:right w:val="none" w:sz="0" w:space="0" w:color="auto"/>
      </w:divBdr>
    </w:div>
    <w:div w:id="504052420">
      <w:marLeft w:val="0"/>
      <w:marRight w:val="0"/>
      <w:marTop w:val="60"/>
      <w:marBottom w:val="60"/>
      <w:divBdr>
        <w:top w:val="none" w:sz="0" w:space="0" w:color="auto"/>
        <w:left w:val="none" w:sz="0" w:space="0" w:color="auto"/>
        <w:bottom w:val="none" w:sz="0" w:space="0" w:color="auto"/>
        <w:right w:val="none" w:sz="0" w:space="0" w:color="auto"/>
      </w:divBdr>
    </w:div>
    <w:div w:id="504250246">
      <w:marLeft w:val="0"/>
      <w:marRight w:val="0"/>
      <w:marTop w:val="180"/>
      <w:marBottom w:val="180"/>
      <w:divBdr>
        <w:top w:val="none" w:sz="0" w:space="0" w:color="auto"/>
        <w:left w:val="none" w:sz="0" w:space="0" w:color="auto"/>
        <w:bottom w:val="none" w:sz="0" w:space="0" w:color="auto"/>
        <w:right w:val="none" w:sz="0" w:space="0" w:color="auto"/>
      </w:divBdr>
    </w:div>
    <w:div w:id="505097267">
      <w:marLeft w:val="0"/>
      <w:marRight w:val="0"/>
      <w:marTop w:val="180"/>
      <w:marBottom w:val="180"/>
      <w:divBdr>
        <w:top w:val="none" w:sz="0" w:space="0" w:color="auto"/>
        <w:left w:val="none" w:sz="0" w:space="0" w:color="auto"/>
        <w:bottom w:val="none" w:sz="0" w:space="0" w:color="auto"/>
        <w:right w:val="none" w:sz="0" w:space="0" w:color="auto"/>
      </w:divBdr>
    </w:div>
    <w:div w:id="505553849">
      <w:marLeft w:val="0"/>
      <w:marRight w:val="0"/>
      <w:marTop w:val="180"/>
      <w:marBottom w:val="180"/>
      <w:divBdr>
        <w:top w:val="none" w:sz="0" w:space="0" w:color="auto"/>
        <w:left w:val="none" w:sz="0" w:space="0" w:color="auto"/>
        <w:bottom w:val="none" w:sz="0" w:space="0" w:color="auto"/>
        <w:right w:val="none" w:sz="0" w:space="0" w:color="auto"/>
      </w:divBdr>
    </w:div>
    <w:div w:id="505637525">
      <w:marLeft w:val="0"/>
      <w:marRight w:val="0"/>
      <w:marTop w:val="180"/>
      <w:marBottom w:val="60"/>
      <w:divBdr>
        <w:top w:val="none" w:sz="0" w:space="0" w:color="auto"/>
        <w:left w:val="none" w:sz="0" w:space="0" w:color="auto"/>
        <w:bottom w:val="none" w:sz="0" w:space="0" w:color="auto"/>
        <w:right w:val="none" w:sz="0" w:space="0" w:color="auto"/>
      </w:divBdr>
    </w:div>
    <w:div w:id="505873630">
      <w:marLeft w:val="0"/>
      <w:marRight w:val="0"/>
      <w:marTop w:val="180"/>
      <w:marBottom w:val="180"/>
      <w:divBdr>
        <w:top w:val="none" w:sz="0" w:space="0" w:color="auto"/>
        <w:left w:val="none" w:sz="0" w:space="0" w:color="auto"/>
        <w:bottom w:val="none" w:sz="0" w:space="0" w:color="auto"/>
        <w:right w:val="none" w:sz="0" w:space="0" w:color="auto"/>
      </w:divBdr>
    </w:div>
    <w:div w:id="506870402">
      <w:marLeft w:val="0"/>
      <w:marRight w:val="0"/>
      <w:marTop w:val="180"/>
      <w:marBottom w:val="180"/>
      <w:divBdr>
        <w:top w:val="none" w:sz="0" w:space="0" w:color="auto"/>
        <w:left w:val="none" w:sz="0" w:space="0" w:color="auto"/>
        <w:bottom w:val="none" w:sz="0" w:space="0" w:color="auto"/>
        <w:right w:val="none" w:sz="0" w:space="0" w:color="auto"/>
      </w:divBdr>
    </w:div>
    <w:div w:id="509225676">
      <w:marLeft w:val="0"/>
      <w:marRight w:val="0"/>
      <w:marTop w:val="180"/>
      <w:marBottom w:val="180"/>
      <w:divBdr>
        <w:top w:val="none" w:sz="0" w:space="0" w:color="auto"/>
        <w:left w:val="none" w:sz="0" w:space="0" w:color="auto"/>
        <w:bottom w:val="none" w:sz="0" w:space="0" w:color="auto"/>
        <w:right w:val="none" w:sz="0" w:space="0" w:color="auto"/>
      </w:divBdr>
    </w:div>
    <w:div w:id="509371041">
      <w:marLeft w:val="0"/>
      <w:marRight w:val="0"/>
      <w:marTop w:val="180"/>
      <w:marBottom w:val="60"/>
      <w:divBdr>
        <w:top w:val="none" w:sz="0" w:space="0" w:color="auto"/>
        <w:left w:val="none" w:sz="0" w:space="0" w:color="auto"/>
        <w:bottom w:val="none" w:sz="0" w:space="0" w:color="auto"/>
        <w:right w:val="none" w:sz="0" w:space="0" w:color="auto"/>
      </w:divBdr>
    </w:div>
    <w:div w:id="509491638">
      <w:marLeft w:val="0"/>
      <w:marRight w:val="0"/>
      <w:marTop w:val="0"/>
      <w:marBottom w:val="0"/>
      <w:divBdr>
        <w:top w:val="none" w:sz="0" w:space="0" w:color="auto"/>
        <w:left w:val="none" w:sz="0" w:space="0" w:color="auto"/>
        <w:bottom w:val="none" w:sz="0" w:space="0" w:color="auto"/>
        <w:right w:val="none" w:sz="0" w:space="0" w:color="auto"/>
      </w:divBdr>
    </w:div>
    <w:div w:id="509493774">
      <w:marLeft w:val="0"/>
      <w:marRight w:val="0"/>
      <w:marTop w:val="0"/>
      <w:marBottom w:val="0"/>
      <w:divBdr>
        <w:top w:val="none" w:sz="0" w:space="0" w:color="auto"/>
        <w:left w:val="none" w:sz="0" w:space="0" w:color="auto"/>
        <w:bottom w:val="none" w:sz="0" w:space="0" w:color="auto"/>
        <w:right w:val="none" w:sz="0" w:space="0" w:color="auto"/>
      </w:divBdr>
      <w:divsChild>
        <w:div w:id="433522199">
          <w:marLeft w:val="0"/>
          <w:marRight w:val="0"/>
          <w:marTop w:val="60"/>
          <w:marBottom w:val="180"/>
          <w:divBdr>
            <w:top w:val="none" w:sz="0" w:space="0" w:color="auto"/>
            <w:left w:val="none" w:sz="0" w:space="0" w:color="auto"/>
            <w:bottom w:val="none" w:sz="0" w:space="0" w:color="auto"/>
            <w:right w:val="none" w:sz="0" w:space="0" w:color="auto"/>
          </w:divBdr>
        </w:div>
      </w:divsChild>
    </w:div>
    <w:div w:id="509683907">
      <w:marLeft w:val="0"/>
      <w:marRight w:val="0"/>
      <w:marTop w:val="0"/>
      <w:marBottom w:val="15"/>
      <w:divBdr>
        <w:top w:val="none" w:sz="0" w:space="0" w:color="auto"/>
        <w:left w:val="none" w:sz="0" w:space="0" w:color="auto"/>
        <w:bottom w:val="none" w:sz="0" w:space="0" w:color="auto"/>
        <w:right w:val="none" w:sz="0" w:space="0" w:color="auto"/>
      </w:divBdr>
    </w:div>
    <w:div w:id="510603445">
      <w:marLeft w:val="0"/>
      <w:marRight w:val="0"/>
      <w:marTop w:val="180"/>
      <w:marBottom w:val="180"/>
      <w:divBdr>
        <w:top w:val="none" w:sz="0" w:space="0" w:color="auto"/>
        <w:left w:val="none" w:sz="0" w:space="0" w:color="auto"/>
        <w:bottom w:val="none" w:sz="0" w:space="0" w:color="auto"/>
        <w:right w:val="none" w:sz="0" w:space="0" w:color="auto"/>
      </w:divBdr>
    </w:div>
    <w:div w:id="510880358">
      <w:marLeft w:val="0"/>
      <w:marRight w:val="0"/>
      <w:marTop w:val="180"/>
      <w:marBottom w:val="60"/>
      <w:divBdr>
        <w:top w:val="none" w:sz="0" w:space="0" w:color="auto"/>
        <w:left w:val="none" w:sz="0" w:space="0" w:color="auto"/>
        <w:bottom w:val="none" w:sz="0" w:space="0" w:color="auto"/>
        <w:right w:val="none" w:sz="0" w:space="0" w:color="auto"/>
      </w:divBdr>
    </w:div>
    <w:div w:id="516382155">
      <w:marLeft w:val="0"/>
      <w:marRight w:val="0"/>
      <w:marTop w:val="0"/>
      <w:marBottom w:val="0"/>
      <w:divBdr>
        <w:top w:val="none" w:sz="0" w:space="0" w:color="auto"/>
        <w:left w:val="none" w:sz="0" w:space="0" w:color="auto"/>
        <w:bottom w:val="none" w:sz="0" w:space="0" w:color="auto"/>
        <w:right w:val="none" w:sz="0" w:space="0" w:color="auto"/>
      </w:divBdr>
      <w:divsChild>
        <w:div w:id="179702011">
          <w:marLeft w:val="0"/>
          <w:marRight w:val="0"/>
          <w:marTop w:val="0"/>
          <w:marBottom w:val="0"/>
          <w:divBdr>
            <w:top w:val="none" w:sz="0" w:space="0" w:color="auto"/>
            <w:left w:val="none" w:sz="0" w:space="0" w:color="auto"/>
            <w:bottom w:val="none" w:sz="0" w:space="0" w:color="auto"/>
            <w:right w:val="none" w:sz="0" w:space="0" w:color="auto"/>
          </w:divBdr>
          <w:divsChild>
            <w:div w:id="126858207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17543591">
      <w:marLeft w:val="0"/>
      <w:marRight w:val="0"/>
      <w:marTop w:val="180"/>
      <w:marBottom w:val="180"/>
      <w:divBdr>
        <w:top w:val="none" w:sz="0" w:space="0" w:color="auto"/>
        <w:left w:val="none" w:sz="0" w:space="0" w:color="auto"/>
        <w:bottom w:val="none" w:sz="0" w:space="0" w:color="auto"/>
        <w:right w:val="none" w:sz="0" w:space="0" w:color="auto"/>
      </w:divBdr>
    </w:div>
    <w:div w:id="518009635">
      <w:marLeft w:val="0"/>
      <w:marRight w:val="0"/>
      <w:marTop w:val="60"/>
      <w:marBottom w:val="60"/>
      <w:divBdr>
        <w:top w:val="none" w:sz="0" w:space="0" w:color="auto"/>
        <w:left w:val="none" w:sz="0" w:space="0" w:color="auto"/>
        <w:bottom w:val="none" w:sz="0" w:space="0" w:color="auto"/>
        <w:right w:val="none" w:sz="0" w:space="0" w:color="auto"/>
      </w:divBdr>
    </w:div>
    <w:div w:id="518130241">
      <w:marLeft w:val="0"/>
      <w:marRight w:val="0"/>
      <w:marTop w:val="0"/>
      <w:marBottom w:val="0"/>
      <w:divBdr>
        <w:top w:val="none" w:sz="0" w:space="0" w:color="auto"/>
        <w:left w:val="none" w:sz="0" w:space="0" w:color="auto"/>
        <w:bottom w:val="none" w:sz="0" w:space="0" w:color="auto"/>
        <w:right w:val="none" w:sz="0" w:space="0" w:color="auto"/>
      </w:divBdr>
      <w:divsChild>
        <w:div w:id="1065222752">
          <w:marLeft w:val="0"/>
          <w:marRight w:val="0"/>
          <w:marTop w:val="60"/>
          <w:marBottom w:val="180"/>
          <w:divBdr>
            <w:top w:val="none" w:sz="0" w:space="0" w:color="auto"/>
            <w:left w:val="none" w:sz="0" w:space="0" w:color="auto"/>
            <w:bottom w:val="none" w:sz="0" w:space="0" w:color="auto"/>
            <w:right w:val="none" w:sz="0" w:space="0" w:color="auto"/>
          </w:divBdr>
        </w:div>
      </w:divsChild>
    </w:div>
    <w:div w:id="520707086">
      <w:marLeft w:val="0"/>
      <w:marRight w:val="0"/>
      <w:marTop w:val="180"/>
      <w:marBottom w:val="60"/>
      <w:divBdr>
        <w:top w:val="none" w:sz="0" w:space="0" w:color="auto"/>
        <w:left w:val="none" w:sz="0" w:space="0" w:color="auto"/>
        <w:bottom w:val="none" w:sz="0" w:space="0" w:color="auto"/>
        <w:right w:val="none" w:sz="0" w:space="0" w:color="auto"/>
      </w:divBdr>
    </w:div>
    <w:div w:id="521090563">
      <w:marLeft w:val="0"/>
      <w:marRight w:val="0"/>
      <w:marTop w:val="60"/>
      <w:marBottom w:val="60"/>
      <w:divBdr>
        <w:top w:val="none" w:sz="0" w:space="0" w:color="auto"/>
        <w:left w:val="none" w:sz="0" w:space="0" w:color="auto"/>
        <w:bottom w:val="none" w:sz="0" w:space="0" w:color="auto"/>
        <w:right w:val="none" w:sz="0" w:space="0" w:color="auto"/>
      </w:divBdr>
    </w:div>
    <w:div w:id="524053365">
      <w:marLeft w:val="0"/>
      <w:marRight w:val="0"/>
      <w:marTop w:val="120"/>
      <w:marBottom w:val="120"/>
      <w:divBdr>
        <w:top w:val="none" w:sz="0" w:space="0" w:color="auto"/>
        <w:left w:val="none" w:sz="0" w:space="0" w:color="auto"/>
        <w:bottom w:val="none" w:sz="0" w:space="0" w:color="auto"/>
        <w:right w:val="none" w:sz="0" w:space="0" w:color="auto"/>
      </w:divBdr>
    </w:div>
    <w:div w:id="525170352">
      <w:marLeft w:val="0"/>
      <w:marRight w:val="0"/>
      <w:marTop w:val="0"/>
      <w:marBottom w:val="0"/>
      <w:divBdr>
        <w:top w:val="none" w:sz="0" w:space="0" w:color="auto"/>
        <w:left w:val="none" w:sz="0" w:space="0" w:color="auto"/>
        <w:bottom w:val="none" w:sz="0" w:space="0" w:color="auto"/>
        <w:right w:val="none" w:sz="0" w:space="0" w:color="auto"/>
      </w:divBdr>
    </w:div>
    <w:div w:id="526334901">
      <w:marLeft w:val="0"/>
      <w:marRight w:val="0"/>
      <w:marTop w:val="120"/>
      <w:marBottom w:val="120"/>
      <w:divBdr>
        <w:top w:val="none" w:sz="0" w:space="0" w:color="auto"/>
        <w:left w:val="none" w:sz="0" w:space="0" w:color="auto"/>
        <w:bottom w:val="none" w:sz="0" w:space="0" w:color="auto"/>
        <w:right w:val="none" w:sz="0" w:space="0" w:color="auto"/>
      </w:divBdr>
    </w:div>
    <w:div w:id="526719368">
      <w:marLeft w:val="0"/>
      <w:marRight w:val="0"/>
      <w:marTop w:val="0"/>
      <w:marBottom w:val="0"/>
      <w:divBdr>
        <w:top w:val="none" w:sz="0" w:space="0" w:color="auto"/>
        <w:left w:val="none" w:sz="0" w:space="0" w:color="auto"/>
        <w:bottom w:val="none" w:sz="0" w:space="0" w:color="auto"/>
        <w:right w:val="none" w:sz="0" w:space="0" w:color="auto"/>
      </w:divBdr>
      <w:divsChild>
        <w:div w:id="455803264">
          <w:marLeft w:val="0"/>
          <w:marRight w:val="0"/>
          <w:marTop w:val="0"/>
          <w:marBottom w:val="0"/>
          <w:divBdr>
            <w:top w:val="none" w:sz="0" w:space="0" w:color="auto"/>
            <w:left w:val="none" w:sz="0" w:space="0" w:color="auto"/>
            <w:bottom w:val="none" w:sz="0" w:space="0" w:color="auto"/>
            <w:right w:val="none" w:sz="0" w:space="0" w:color="auto"/>
          </w:divBdr>
          <w:divsChild>
            <w:div w:id="28293091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27570912">
      <w:marLeft w:val="0"/>
      <w:marRight w:val="0"/>
      <w:marTop w:val="180"/>
      <w:marBottom w:val="180"/>
      <w:divBdr>
        <w:top w:val="none" w:sz="0" w:space="0" w:color="auto"/>
        <w:left w:val="none" w:sz="0" w:space="0" w:color="auto"/>
        <w:bottom w:val="none" w:sz="0" w:space="0" w:color="auto"/>
        <w:right w:val="none" w:sz="0" w:space="0" w:color="auto"/>
      </w:divBdr>
    </w:div>
    <w:div w:id="527989668">
      <w:marLeft w:val="0"/>
      <w:marRight w:val="0"/>
      <w:marTop w:val="0"/>
      <w:marBottom w:val="0"/>
      <w:divBdr>
        <w:top w:val="none" w:sz="0" w:space="0" w:color="auto"/>
        <w:left w:val="none" w:sz="0" w:space="0" w:color="auto"/>
        <w:bottom w:val="none" w:sz="0" w:space="0" w:color="auto"/>
        <w:right w:val="none" w:sz="0" w:space="0" w:color="auto"/>
      </w:divBdr>
      <w:divsChild>
        <w:div w:id="364602636">
          <w:marLeft w:val="0"/>
          <w:marRight w:val="0"/>
          <w:marTop w:val="180"/>
          <w:marBottom w:val="180"/>
          <w:divBdr>
            <w:top w:val="none" w:sz="0" w:space="0" w:color="auto"/>
            <w:left w:val="none" w:sz="0" w:space="0" w:color="auto"/>
            <w:bottom w:val="none" w:sz="0" w:space="0" w:color="auto"/>
            <w:right w:val="none" w:sz="0" w:space="0" w:color="auto"/>
          </w:divBdr>
        </w:div>
      </w:divsChild>
    </w:div>
    <w:div w:id="528104080">
      <w:marLeft w:val="0"/>
      <w:marRight w:val="0"/>
      <w:marTop w:val="180"/>
      <w:marBottom w:val="180"/>
      <w:divBdr>
        <w:top w:val="none" w:sz="0" w:space="0" w:color="auto"/>
        <w:left w:val="none" w:sz="0" w:space="0" w:color="auto"/>
        <w:bottom w:val="none" w:sz="0" w:space="0" w:color="auto"/>
        <w:right w:val="none" w:sz="0" w:space="0" w:color="auto"/>
      </w:divBdr>
    </w:div>
    <w:div w:id="528496958">
      <w:marLeft w:val="0"/>
      <w:marRight w:val="0"/>
      <w:marTop w:val="140"/>
      <w:marBottom w:val="180"/>
      <w:divBdr>
        <w:top w:val="none" w:sz="0" w:space="0" w:color="auto"/>
        <w:left w:val="none" w:sz="0" w:space="0" w:color="auto"/>
        <w:bottom w:val="none" w:sz="0" w:space="0" w:color="auto"/>
        <w:right w:val="none" w:sz="0" w:space="0" w:color="auto"/>
      </w:divBdr>
    </w:div>
    <w:div w:id="528565756">
      <w:marLeft w:val="0"/>
      <w:marRight w:val="0"/>
      <w:marTop w:val="60"/>
      <w:marBottom w:val="60"/>
      <w:divBdr>
        <w:top w:val="none" w:sz="0" w:space="0" w:color="auto"/>
        <w:left w:val="none" w:sz="0" w:space="0" w:color="auto"/>
        <w:bottom w:val="none" w:sz="0" w:space="0" w:color="auto"/>
        <w:right w:val="none" w:sz="0" w:space="0" w:color="auto"/>
      </w:divBdr>
    </w:div>
    <w:div w:id="529539165">
      <w:marLeft w:val="0"/>
      <w:marRight w:val="0"/>
      <w:marTop w:val="180"/>
      <w:marBottom w:val="180"/>
      <w:divBdr>
        <w:top w:val="none" w:sz="0" w:space="0" w:color="auto"/>
        <w:left w:val="none" w:sz="0" w:space="0" w:color="auto"/>
        <w:bottom w:val="none" w:sz="0" w:space="0" w:color="auto"/>
        <w:right w:val="none" w:sz="0" w:space="0" w:color="auto"/>
      </w:divBdr>
    </w:div>
    <w:div w:id="530069886">
      <w:marLeft w:val="0"/>
      <w:marRight w:val="0"/>
      <w:marTop w:val="0"/>
      <w:marBottom w:val="0"/>
      <w:divBdr>
        <w:top w:val="none" w:sz="0" w:space="0" w:color="auto"/>
        <w:left w:val="none" w:sz="0" w:space="0" w:color="auto"/>
        <w:bottom w:val="none" w:sz="0" w:space="0" w:color="auto"/>
        <w:right w:val="none" w:sz="0" w:space="0" w:color="auto"/>
      </w:divBdr>
      <w:divsChild>
        <w:div w:id="81874123">
          <w:marLeft w:val="0"/>
          <w:marRight w:val="0"/>
          <w:marTop w:val="0"/>
          <w:marBottom w:val="0"/>
          <w:divBdr>
            <w:top w:val="none" w:sz="0" w:space="0" w:color="auto"/>
            <w:left w:val="none" w:sz="0" w:space="0" w:color="auto"/>
            <w:bottom w:val="none" w:sz="0" w:space="0" w:color="auto"/>
            <w:right w:val="none" w:sz="0" w:space="0" w:color="auto"/>
          </w:divBdr>
          <w:divsChild>
            <w:div w:id="81830942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30535887">
      <w:marLeft w:val="0"/>
      <w:marRight w:val="0"/>
      <w:marTop w:val="180"/>
      <w:marBottom w:val="60"/>
      <w:divBdr>
        <w:top w:val="none" w:sz="0" w:space="0" w:color="auto"/>
        <w:left w:val="none" w:sz="0" w:space="0" w:color="auto"/>
        <w:bottom w:val="none" w:sz="0" w:space="0" w:color="auto"/>
        <w:right w:val="none" w:sz="0" w:space="0" w:color="auto"/>
      </w:divBdr>
    </w:div>
    <w:div w:id="530992590">
      <w:marLeft w:val="0"/>
      <w:marRight w:val="0"/>
      <w:marTop w:val="60"/>
      <w:marBottom w:val="60"/>
      <w:divBdr>
        <w:top w:val="none" w:sz="0" w:space="0" w:color="auto"/>
        <w:left w:val="none" w:sz="0" w:space="0" w:color="auto"/>
        <w:bottom w:val="none" w:sz="0" w:space="0" w:color="auto"/>
        <w:right w:val="none" w:sz="0" w:space="0" w:color="auto"/>
      </w:divBdr>
    </w:div>
    <w:div w:id="531960131">
      <w:marLeft w:val="0"/>
      <w:marRight w:val="0"/>
      <w:marTop w:val="60"/>
      <w:marBottom w:val="60"/>
      <w:divBdr>
        <w:top w:val="none" w:sz="0" w:space="0" w:color="auto"/>
        <w:left w:val="none" w:sz="0" w:space="0" w:color="auto"/>
        <w:bottom w:val="none" w:sz="0" w:space="0" w:color="auto"/>
        <w:right w:val="none" w:sz="0" w:space="0" w:color="auto"/>
      </w:divBdr>
    </w:div>
    <w:div w:id="532155811">
      <w:marLeft w:val="0"/>
      <w:marRight w:val="0"/>
      <w:marTop w:val="0"/>
      <w:marBottom w:val="0"/>
      <w:divBdr>
        <w:top w:val="none" w:sz="0" w:space="0" w:color="auto"/>
        <w:left w:val="none" w:sz="0" w:space="0" w:color="auto"/>
        <w:bottom w:val="none" w:sz="0" w:space="0" w:color="auto"/>
        <w:right w:val="none" w:sz="0" w:space="0" w:color="auto"/>
      </w:divBdr>
    </w:div>
    <w:div w:id="534125101">
      <w:marLeft w:val="0"/>
      <w:marRight w:val="0"/>
      <w:marTop w:val="180"/>
      <w:marBottom w:val="180"/>
      <w:divBdr>
        <w:top w:val="none" w:sz="0" w:space="0" w:color="auto"/>
        <w:left w:val="none" w:sz="0" w:space="0" w:color="auto"/>
        <w:bottom w:val="none" w:sz="0" w:space="0" w:color="auto"/>
        <w:right w:val="none" w:sz="0" w:space="0" w:color="auto"/>
      </w:divBdr>
    </w:div>
    <w:div w:id="535629099">
      <w:marLeft w:val="0"/>
      <w:marRight w:val="0"/>
      <w:marTop w:val="180"/>
      <w:marBottom w:val="180"/>
      <w:divBdr>
        <w:top w:val="none" w:sz="0" w:space="0" w:color="auto"/>
        <w:left w:val="none" w:sz="0" w:space="0" w:color="auto"/>
        <w:bottom w:val="none" w:sz="0" w:space="0" w:color="auto"/>
        <w:right w:val="none" w:sz="0" w:space="0" w:color="auto"/>
      </w:divBdr>
    </w:div>
    <w:div w:id="536310308">
      <w:marLeft w:val="0"/>
      <w:marRight w:val="0"/>
      <w:marTop w:val="240"/>
      <w:marBottom w:val="180"/>
      <w:divBdr>
        <w:top w:val="none" w:sz="0" w:space="0" w:color="auto"/>
        <w:left w:val="none" w:sz="0" w:space="0" w:color="auto"/>
        <w:bottom w:val="none" w:sz="0" w:space="0" w:color="auto"/>
        <w:right w:val="none" w:sz="0" w:space="0" w:color="auto"/>
      </w:divBdr>
    </w:div>
    <w:div w:id="536359074">
      <w:marLeft w:val="0"/>
      <w:marRight w:val="0"/>
      <w:marTop w:val="60"/>
      <w:marBottom w:val="60"/>
      <w:divBdr>
        <w:top w:val="none" w:sz="0" w:space="0" w:color="auto"/>
        <w:left w:val="none" w:sz="0" w:space="0" w:color="auto"/>
        <w:bottom w:val="none" w:sz="0" w:space="0" w:color="auto"/>
        <w:right w:val="none" w:sz="0" w:space="0" w:color="auto"/>
      </w:divBdr>
    </w:div>
    <w:div w:id="536696304">
      <w:marLeft w:val="0"/>
      <w:marRight w:val="0"/>
      <w:marTop w:val="180"/>
      <w:marBottom w:val="180"/>
      <w:divBdr>
        <w:top w:val="none" w:sz="0" w:space="0" w:color="auto"/>
        <w:left w:val="none" w:sz="0" w:space="0" w:color="auto"/>
        <w:bottom w:val="none" w:sz="0" w:space="0" w:color="auto"/>
        <w:right w:val="none" w:sz="0" w:space="0" w:color="auto"/>
      </w:divBdr>
    </w:div>
    <w:div w:id="538972779">
      <w:marLeft w:val="0"/>
      <w:marRight w:val="0"/>
      <w:marTop w:val="60"/>
      <w:marBottom w:val="60"/>
      <w:divBdr>
        <w:top w:val="none" w:sz="0" w:space="0" w:color="auto"/>
        <w:left w:val="none" w:sz="0" w:space="0" w:color="auto"/>
        <w:bottom w:val="none" w:sz="0" w:space="0" w:color="auto"/>
        <w:right w:val="none" w:sz="0" w:space="0" w:color="auto"/>
      </w:divBdr>
    </w:div>
    <w:div w:id="539243500">
      <w:marLeft w:val="0"/>
      <w:marRight w:val="0"/>
      <w:marTop w:val="180"/>
      <w:marBottom w:val="180"/>
      <w:divBdr>
        <w:top w:val="none" w:sz="0" w:space="0" w:color="auto"/>
        <w:left w:val="none" w:sz="0" w:space="0" w:color="auto"/>
        <w:bottom w:val="none" w:sz="0" w:space="0" w:color="auto"/>
        <w:right w:val="none" w:sz="0" w:space="0" w:color="auto"/>
      </w:divBdr>
    </w:div>
    <w:div w:id="539706815">
      <w:marLeft w:val="0"/>
      <w:marRight w:val="0"/>
      <w:marTop w:val="180"/>
      <w:marBottom w:val="0"/>
      <w:divBdr>
        <w:top w:val="none" w:sz="0" w:space="0" w:color="auto"/>
        <w:left w:val="none" w:sz="0" w:space="0" w:color="auto"/>
        <w:bottom w:val="none" w:sz="0" w:space="0" w:color="auto"/>
        <w:right w:val="none" w:sz="0" w:space="0" w:color="auto"/>
      </w:divBdr>
    </w:div>
    <w:div w:id="540438669">
      <w:marLeft w:val="0"/>
      <w:marRight w:val="0"/>
      <w:marTop w:val="60"/>
      <w:marBottom w:val="60"/>
      <w:divBdr>
        <w:top w:val="none" w:sz="0" w:space="0" w:color="auto"/>
        <w:left w:val="none" w:sz="0" w:space="0" w:color="auto"/>
        <w:bottom w:val="none" w:sz="0" w:space="0" w:color="auto"/>
        <w:right w:val="none" w:sz="0" w:space="0" w:color="auto"/>
      </w:divBdr>
    </w:div>
    <w:div w:id="541016503">
      <w:marLeft w:val="0"/>
      <w:marRight w:val="0"/>
      <w:marTop w:val="180"/>
      <w:marBottom w:val="180"/>
      <w:divBdr>
        <w:top w:val="none" w:sz="0" w:space="0" w:color="auto"/>
        <w:left w:val="none" w:sz="0" w:space="0" w:color="auto"/>
        <w:bottom w:val="none" w:sz="0" w:space="0" w:color="auto"/>
        <w:right w:val="none" w:sz="0" w:space="0" w:color="auto"/>
      </w:divBdr>
    </w:div>
    <w:div w:id="541400680">
      <w:marLeft w:val="0"/>
      <w:marRight w:val="0"/>
      <w:marTop w:val="0"/>
      <w:marBottom w:val="0"/>
      <w:divBdr>
        <w:top w:val="none" w:sz="0" w:space="0" w:color="auto"/>
        <w:left w:val="none" w:sz="0" w:space="0" w:color="auto"/>
        <w:bottom w:val="none" w:sz="0" w:space="0" w:color="auto"/>
        <w:right w:val="none" w:sz="0" w:space="0" w:color="auto"/>
      </w:divBdr>
      <w:divsChild>
        <w:div w:id="345451414">
          <w:marLeft w:val="0"/>
          <w:marRight w:val="0"/>
          <w:marTop w:val="0"/>
          <w:marBottom w:val="0"/>
          <w:divBdr>
            <w:top w:val="none" w:sz="0" w:space="0" w:color="auto"/>
            <w:left w:val="none" w:sz="0" w:space="0" w:color="auto"/>
            <w:bottom w:val="none" w:sz="0" w:space="0" w:color="auto"/>
            <w:right w:val="none" w:sz="0" w:space="0" w:color="auto"/>
          </w:divBdr>
          <w:divsChild>
            <w:div w:id="58237417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42255679">
      <w:marLeft w:val="0"/>
      <w:marRight w:val="0"/>
      <w:marTop w:val="0"/>
      <w:marBottom w:val="0"/>
      <w:divBdr>
        <w:top w:val="none" w:sz="0" w:space="0" w:color="auto"/>
        <w:left w:val="none" w:sz="0" w:space="0" w:color="auto"/>
        <w:bottom w:val="none" w:sz="0" w:space="0" w:color="auto"/>
        <w:right w:val="none" w:sz="0" w:space="0" w:color="auto"/>
      </w:divBdr>
      <w:divsChild>
        <w:div w:id="52704011">
          <w:marLeft w:val="0"/>
          <w:marRight w:val="0"/>
          <w:marTop w:val="0"/>
          <w:marBottom w:val="0"/>
          <w:divBdr>
            <w:top w:val="none" w:sz="0" w:space="0" w:color="auto"/>
            <w:left w:val="none" w:sz="0" w:space="0" w:color="auto"/>
            <w:bottom w:val="none" w:sz="0" w:space="0" w:color="auto"/>
            <w:right w:val="none" w:sz="0" w:space="0" w:color="auto"/>
          </w:divBdr>
        </w:div>
      </w:divsChild>
    </w:div>
    <w:div w:id="543174993">
      <w:marLeft w:val="0"/>
      <w:marRight w:val="0"/>
      <w:marTop w:val="180"/>
      <w:marBottom w:val="180"/>
      <w:divBdr>
        <w:top w:val="none" w:sz="0" w:space="0" w:color="auto"/>
        <w:left w:val="none" w:sz="0" w:space="0" w:color="auto"/>
        <w:bottom w:val="none" w:sz="0" w:space="0" w:color="auto"/>
        <w:right w:val="none" w:sz="0" w:space="0" w:color="auto"/>
      </w:divBdr>
    </w:div>
    <w:div w:id="543294153">
      <w:marLeft w:val="0"/>
      <w:marRight w:val="0"/>
      <w:marTop w:val="180"/>
      <w:marBottom w:val="60"/>
      <w:divBdr>
        <w:top w:val="none" w:sz="0" w:space="0" w:color="auto"/>
        <w:left w:val="none" w:sz="0" w:space="0" w:color="auto"/>
        <w:bottom w:val="none" w:sz="0" w:space="0" w:color="auto"/>
        <w:right w:val="none" w:sz="0" w:space="0" w:color="auto"/>
      </w:divBdr>
    </w:div>
    <w:div w:id="544027302">
      <w:marLeft w:val="0"/>
      <w:marRight w:val="0"/>
      <w:marTop w:val="180"/>
      <w:marBottom w:val="180"/>
      <w:divBdr>
        <w:top w:val="none" w:sz="0" w:space="0" w:color="auto"/>
        <w:left w:val="none" w:sz="0" w:space="0" w:color="auto"/>
        <w:bottom w:val="none" w:sz="0" w:space="0" w:color="auto"/>
        <w:right w:val="none" w:sz="0" w:space="0" w:color="auto"/>
      </w:divBdr>
    </w:div>
    <w:div w:id="545214026">
      <w:marLeft w:val="0"/>
      <w:marRight w:val="0"/>
      <w:marTop w:val="180"/>
      <w:marBottom w:val="180"/>
      <w:divBdr>
        <w:top w:val="none" w:sz="0" w:space="0" w:color="auto"/>
        <w:left w:val="none" w:sz="0" w:space="0" w:color="auto"/>
        <w:bottom w:val="none" w:sz="0" w:space="0" w:color="auto"/>
        <w:right w:val="none" w:sz="0" w:space="0" w:color="auto"/>
      </w:divBdr>
    </w:div>
    <w:div w:id="545681032">
      <w:marLeft w:val="0"/>
      <w:marRight w:val="0"/>
      <w:marTop w:val="0"/>
      <w:marBottom w:val="0"/>
      <w:divBdr>
        <w:top w:val="none" w:sz="0" w:space="0" w:color="auto"/>
        <w:left w:val="none" w:sz="0" w:space="0" w:color="auto"/>
        <w:bottom w:val="none" w:sz="0" w:space="0" w:color="auto"/>
        <w:right w:val="none" w:sz="0" w:space="0" w:color="auto"/>
      </w:divBdr>
      <w:divsChild>
        <w:div w:id="1569609331">
          <w:marLeft w:val="0"/>
          <w:marRight w:val="0"/>
          <w:marTop w:val="0"/>
          <w:marBottom w:val="0"/>
          <w:divBdr>
            <w:top w:val="none" w:sz="0" w:space="0" w:color="auto"/>
            <w:left w:val="none" w:sz="0" w:space="0" w:color="auto"/>
            <w:bottom w:val="none" w:sz="0" w:space="0" w:color="auto"/>
            <w:right w:val="none" w:sz="0" w:space="0" w:color="auto"/>
          </w:divBdr>
          <w:divsChild>
            <w:div w:id="176163491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45682049">
      <w:marLeft w:val="0"/>
      <w:marRight w:val="0"/>
      <w:marTop w:val="180"/>
      <w:marBottom w:val="180"/>
      <w:divBdr>
        <w:top w:val="none" w:sz="0" w:space="0" w:color="auto"/>
        <w:left w:val="none" w:sz="0" w:space="0" w:color="auto"/>
        <w:bottom w:val="none" w:sz="0" w:space="0" w:color="auto"/>
        <w:right w:val="none" w:sz="0" w:space="0" w:color="auto"/>
      </w:divBdr>
    </w:div>
    <w:div w:id="550384318">
      <w:marLeft w:val="0"/>
      <w:marRight w:val="0"/>
      <w:marTop w:val="0"/>
      <w:marBottom w:val="0"/>
      <w:divBdr>
        <w:top w:val="none" w:sz="0" w:space="0" w:color="auto"/>
        <w:left w:val="none" w:sz="0" w:space="0" w:color="auto"/>
        <w:bottom w:val="none" w:sz="0" w:space="0" w:color="auto"/>
        <w:right w:val="none" w:sz="0" w:space="0" w:color="auto"/>
      </w:divBdr>
      <w:divsChild>
        <w:div w:id="495077802">
          <w:marLeft w:val="0"/>
          <w:marRight w:val="0"/>
          <w:marTop w:val="0"/>
          <w:marBottom w:val="0"/>
          <w:divBdr>
            <w:top w:val="none" w:sz="0" w:space="0" w:color="auto"/>
            <w:left w:val="none" w:sz="0" w:space="0" w:color="auto"/>
            <w:bottom w:val="none" w:sz="0" w:space="0" w:color="auto"/>
            <w:right w:val="none" w:sz="0" w:space="0" w:color="auto"/>
          </w:divBdr>
          <w:divsChild>
            <w:div w:id="201025677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50506786">
      <w:marLeft w:val="0"/>
      <w:marRight w:val="0"/>
      <w:marTop w:val="180"/>
      <w:marBottom w:val="180"/>
      <w:divBdr>
        <w:top w:val="none" w:sz="0" w:space="0" w:color="auto"/>
        <w:left w:val="none" w:sz="0" w:space="0" w:color="auto"/>
        <w:bottom w:val="none" w:sz="0" w:space="0" w:color="auto"/>
        <w:right w:val="none" w:sz="0" w:space="0" w:color="auto"/>
      </w:divBdr>
    </w:div>
    <w:div w:id="550844768">
      <w:marLeft w:val="0"/>
      <w:marRight w:val="0"/>
      <w:marTop w:val="180"/>
      <w:marBottom w:val="180"/>
      <w:divBdr>
        <w:top w:val="none" w:sz="0" w:space="0" w:color="auto"/>
        <w:left w:val="none" w:sz="0" w:space="0" w:color="auto"/>
        <w:bottom w:val="none" w:sz="0" w:space="0" w:color="auto"/>
        <w:right w:val="none" w:sz="0" w:space="0" w:color="auto"/>
      </w:divBdr>
    </w:div>
    <w:div w:id="553734737">
      <w:marLeft w:val="0"/>
      <w:marRight w:val="0"/>
      <w:marTop w:val="180"/>
      <w:marBottom w:val="180"/>
      <w:divBdr>
        <w:top w:val="none" w:sz="0" w:space="0" w:color="auto"/>
        <w:left w:val="none" w:sz="0" w:space="0" w:color="auto"/>
        <w:bottom w:val="none" w:sz="0" w:space="0" w:color="auto"/>
        <w:right w:val="none" w:sz="0" w:space="0" w:color="auto"/>
      </w:divBdr>
    </w:div>
    <w:div w:id="557283768">
      <w:marLeft w:val="0"/>
      <w:marRight w:val="0"/>
      <w:marTop w:val="0"/>
      <w:marBottom w:val="0"/>
      <w:divBdr>
        <w:top w:val="none" w:sz="0" w:space="0" w:color="auto"/>
        <w:left w:val="none" w:sz="0" w:space="0" w:color="auto"/>
        <w:bottom w:val="none" w:sz="0" w:space="0" w:color="auto"/>
        <w:right w:val="none" w:sz="0" w:space="0" w:color="auto"/>
      </w:divBdr>
      <w:divsChild>
        <w:div w:id="1020010032">
          <w:marLeft w:val="0"/>
          <w:marRight w:val="0"/>
          <w:marTop w:val="180"/>
          <w:marBottom w:val="180"/>
          <w:divBdr>
            <w:top w:val="none" w:sz="0" w:space="0" w:color="auto"/>
            <w:left w:val="none" w:sz="0" w:space="0" w:color="auto"/>
            <w:bottom w:val="none" w:sz="0" w:space="0" w:color="auto"/>
            <w:right w:val="none" w:sz="0" w:space="0" w:color="auto"/>
          </w:divBdr>
        </w:div>
      </w:divsChild>
    </w:div>
    <w:div w:id="559364138">
      <w:marLeft w:val="0"/>
      <w:marRight w:val="0"/>
      <w:marTop w:val="0"/>
      <w:marBottom w:val="0"/>
      <w:divBdr>
        <w:top w:val="none" w:sz="0" w:space="0" w:color="auto"/>
        <w:left w:val="none" w:sz="0" w:space="0" w:color="auto"/>
        <w:bottom w:val="none" w:sz="0" w:space="0" w:color="auto"/>
        <w:right w:val="none" w:sz="0" w:space="0" w:color="auto"/>
      </w:divBdr>
      <w:divsChild>
        <w:div w:id="1546796958">
          <w:marLeft w:val="0"/>
          <w:marRight w:val="0"/>
          <w:marTop w:val="60"/>
          <w:marBottom w:val="180"/>
          <w:divBdr>
            <w:top w:val="none" w:sz="0" w:space="0" w:color="auto"/>
            <w:left w:val="none" w:sz="0" w:space="0" w:color="auto"/>
            <w:bottom w:val="none" w:sz="0" w:space="0" w:color="auto"/>
            <w:right w:val="none" w:sz="0" w:space="0" w:color="auto"/>
          </w:divBdr>
        </w:div>
      </w:divsChild>
    </w:div>
    <w:div w:id="559828928">
      <w:marLeft w:val="0"/>
      <w:marRight w:val="0"/>
      <w:marTop w:val="0"/>
      <w:marBottom w:val="0"/>
      <w:divBdr>
        <w:top w:val="none" w:sz="0" w:space="0" w:color="auto"/>
        <w:left w:val="none" w:sz="0" w:space="0" w:color="auto"/>
        <w:bottom w:val="none" w:sz="0" w:space="0" w:color="auto"/>
        <w:right w:val="none" w:sz="0" w:space="0" w:color="auto"/>
      </w:divBdr>
      <w:divsChild>
        <w:div w:id="1208569669">
          <w:marLeft w:val="0"/>
          <w:marRight w:val="0"/>
          <w:marTop w:val="0"/>
          <w:marBottom w:val="0"/>
          <w:divBdr>
            <w:top w:val="none" w:sz="0" w:space="0" w:color="auto"/>
            <w:left w:val="none" w:sz="0" w:space="0" w:color="auto"/>
            <w:bottom w:val="none" w:sz="0" w:space="0" w:color="auto"/>
            <w:right w:val="none" w:sz="0" w:space="0" w:color="auto"/>
          </w:divBdr>
          <w:divsChild>
            <w:div w:id="140510236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60792956">
      <w:marLeft w:val="0"/>
      <w:marRight w:val="0"/>
      <w:marTop w:val="0"/>
      <w:marBottom w:val="0"/>
      <w:divBdr>
        <w:top w:val="none" w:sz="0" w:space="0" w:color="auto"/>
        <w:left w:val="none" w:sz="0" w:space="0" w:color="auto"/>
        <w:bottom w:val="none" w:sz="0" w:space="0" w:color="auto"/>
        <w:right w:val="none" w:sz="0" w:space="0" w:color="auto"/>
      </w:divBdr>
    </w:div>
    <w:div w:id="560942489">
      <w:marLeft w:val="0"/>
      <w:marRight w:val="0"/>
      <w:marTop w:val="180"/>
      <w:marBottom w:val="180"/>
      <w:divBdr>
        <w:top w:val="none" w:sz="0" w:space="0" w:color="auto"/>
        <w:left w:val="none" w:sz="0" w:space="0" w:color="auto"/>
        <w:bottom w:val="none" w:sz="0" w:space="0" w:color="auto"/>
        <w:right w:val="none" w:sz="0" w:space="0" w:color="auto"/>
      </w:divBdr>
    </w:div>
    <w:div w:id="561673512">
      <w:marLeft w:val="0"/>
      <w:marRight w:val="0"/>
      <w:marTop w:val="180"/>
      <w:marBottom w:val="180"/>
      <w:divBdr>
        <w:top w:val="none" w:sz="0" w:space="0" w:color="auto"/>
        <w:left w:val="none" w:sz="0" w:space="0" w:color="auto"/>
        <w:bottom w:val="none" w:sz="0" w:space="0" w:color="auto"/>
        <w:right w:val="none" w:sz="0" w:space="0" w:color="auto"/>
      </w:divBdr>
    </w:div>
    <w:div w:id="561720023">
      <w:marLeft w:val="0"/>
      <w:marRight w:val="0"/>
      <w:marTop w:val="60"/>
      <w:marBottom w:val="60"/>
      <w:divBdr>
        <w:top w:val="none" w:sz="0" w:space="0" w:color="auto"/>
        <w:left w:val="none" w:sz="0" w:space="0" w:color="auto"/>
        <w:bottom w:val="none" w:sz="0" w:space="0" w:color="auto"/>
        <w:right w:val="none" w:sz="0" w:space="0" w:color="auto"/>
      </w:divBdr>
    </w:div>
    <w:div w:id="561915378">
      <w:marLeft w:val="0"/>
      <w:marRight w:val="0"/>
      <w:marTop w:val="180"/>
      <w:marBottom w:val="180"/>
      <w:divBdr>
        <w:top w:val="none" w:sz="0" w:space="0" w:color="auto"/>
        <w:left w:val="none" w:sz="0" w:space="0" w:color="auto"/>
        <w:bottom w:val="none" w:sz="0" w:space="0" w:color="auto"/>
        <w:right w:val="none" w:sz="0" w:space="0" w:color="auto"/>
      </w:divBdr>
    </w:div>
    <w:div w:id="562568648">
      <w:marLeft w:val="0"/>
      <w:marRight w:val="0"/>
      <w:marTop w:val="60"/>
      <w:marBottom w:val="60"/>
      <w:divBdr>
        <w:top w:val="none" w:sz="0" w:space="0" w:color="auto"/>
        <w:left w:val="none" w:sz="0" w:space="0" w:color="auto"/>
        <w:bottom w:val="none" w:sz="0" w:space="0" w:color="auto"/>
        <w:right w:val="none" w:sz="0" w:space="0" w:color="auto"/>
      </w:divBdr>
    </w:div>
    <w:div w:id="563835029">
      <w:marLeft w:val="0"/>
      <w:marRight w:val="0"/>
      <w:marTop w:val="180"/>
      <w:marBottom w:val="180"/>
      <w:divBdr>
        <w:top w:val="none" w:sz="0" w:space="0" w:color="auto"/>
        <w:left w:val="none" w:sz="0" w:space="0" w:color="auto"/>
        <w:bottom w:val="none" w:sz="0" w:space="0" w:color="auto"/>
        <w:right w:val="none" w:sz="0" w:space="0" w:color="auto"/>
      </w:divBdr>
    </w:div>
    <w:div w:id="564726239">
      <w:marLeft w:val="0"/>
      <w:marRight w:val="0"/>
      <w:marTop w:val="180"/>
      <w:marBottom w:val="180"/>
      <w:divBdr>
        <w:top w:val="none" w:sz="0" w:space="0" w:color="auto"/>
        <w:left w:val="none" w:sz="0" w:space="0" w:color="auto"/>
        <w:bottom w:val="none" w:sz="0" w:space="0" w:color="auto"/>
        <w:right w:val="none" w:sz="0" w:space="0" w:color="auto"/>
      </w:divBdr>
    </w:div>
    <w:div w:id="565411724">
      <w:marLeft w:val="0"/>
      <w:marRight w:val="0"/>
      <w:marTop w:val="180"/>
      <w:marBottom w:val="180"/>
      <w:divBdr>
        <w:top w:val="none" w:sz="0" w:space="0" w:color="auto"/>
        <w:left w:val="none" w:sz="0" w:space="0" w:color="auto"/>
        <w:bottom w:val="none" w:sz="0" w:space="0" w:color="auto"/>
        <w:right w:val="none" w:sz="0" w:space="0" w:color="auto"/>
      </w:divBdr>
    </w:div>
    <w:div w:id="567107065">
      <w:marLeft w:val="0"/>
      <w:marRight w:val="0"/>
      <w:marTop w:val="100"/>
      <w:marBottom w:val="0"/>
      <w:divBdr>
        <w:top w:val="none" w:sz="0" w:space="0" w:color="auto"/>
        <w:left w:val="none" w:sz="0" w:space="0" w:color="auto"/>
        <w:bottom w:val="none" w:sz="0" w:space="0" w:color="auto"/>
        <w:right w:val="none" w:sz="0" w:space="0" w:color="auto"/>
      </w:divBdr>
      <w:divsChild>
        <w:div w:id="72044904">
          <w:marLeft w:val="0"/>
          <w:marRight w:val="0"/>
          <w:marTop w:val="0"/>
          <w:marBottom w:val="0"/>
          <w:divBdr>
            <w:top w:val="none" w:sz="0" w:space="0" w:color="auto"/>
            <w:left w:val="none" w:sz="0" w:space="0" w:color="auto"/>
            <w:bottom w:val="none" w:sz="0" w:space="0" w:color="auto"/>
            <w:right w:val="none" w:sz="0" w:space="0" w:color="auto"/>
          </w:divBdr>
        </w:div>
        <w:div w:id="572859552">
          <w:marLeft w:val="0"/>
          <w:marRight w:val="0"/>
          <w:marTop w:val="0"/>
          <w:marBottom w:val="0"/>
          <w:divBdr>
            <w:top w:val="none" w:sz="0" w:space="0" w:color="auto"/>
            <w:left w:val="none" w:sz="0" w:space="0" w:color="auto"/>
            <w:bottom w:val="none" w:sz="0" w:space="0" w:color="auto"/>
            <w:right w:val="none" w:sz="0" w:space="0" w:color="auto"/>
          </w:divBdr>
        </w:div>
      </w:divsChild>
    </w:div>
    <w:div w:id="568006216">
      <w:marLeft w:val="0"/>
      <w:marRight w:val="0"/>
      <w:marTop w:val="180"/>
      <w:marBottom w:val="180"/>
      <w:divBdr>
        <w:top w:val="none" w:sz="0" w:space="0" w:color="auto"/>
        <w:left w:val="none" w:sz="0" w:space="0" w:color="auto"/>
        <w:bottom w:val="none" w:sz="0" w:space="0" w:color="auto"/>
        <w:right w:val="none" w:sz="0" w:space="0" w:color="auto"/>
      </w:divBdr>
    </w:div>
    <w:div w:id="568534792">
      <w:marLeft w:val="0"/>
      <w:marRight w:val="0"/>
      <w:marTop w:val="180"/>
      <w:marBottom w:val="180"/>
      <w:divBdr>
        <w:top w:val="none" w:sz="0" w:space="0" w:color="auto"/>
        <w:left w:val="none" w:sz="0" w:space="0" w:color="auto"/>
        <w:bottom w:val="none" w:sz="0" w:space="0" w:color="auto"/>
        <w:right w:val="none" w:sz="0" w:space="0" w:color="auto"/>
      </w:divBdr>
    </w:div>
    <w:div w:id="568808520">
      <w:marLeft w:val="0"/>
      <w:marRight w:val="0"/>
      <w:marTop w:val="180"/>
      <w:marBottom w:val="60"/>
      <w:divBdr>
        <w:top w:val="none" w:sz="0" w:space="0" w:color="auto"/>
        <w:left w:val="none" w:sz="0" w:space="0" w:color="auto"/>
        <w:bottom w:val="none" w:sz="0" w:space="0" w:color="auto"/>
        <w:right w:val="none" w:sz="0" w:space="0" w:color="auto"/>
      </w:divBdr>
    </w:div>
    <w:div w:id="568811427">
      <w:marLeft w:val="0"/>
      <w:marRight w:val="0"/>
      <w:marTop w:val="0"/>
      <w:marBottom w:val="0"/>
      <w:divBdr>
        <w:top w:val="none" w:sz="0" w:space="0" w:color="auto"/>
        <w:left w:val="none" w:sz="0" w:space="0" w:color="auto"/>
        <w:bottom w:val="none" w:sz="0" w:space="0" w:color="auto"/>
        <w:right w:val="none" w:sz="0" w:space="0" w:color="auto"/>
      </w:divBdr>
      <w:divsChild>
        <w:div w:id="2038845757">
          <w:marLeft w:val="0"/>
          <w:marRight w:val="0"/>
          <w:marTop w:val="0"/>
          <w:marBottom w:val="0"/>
          <w:divBdr>
            <w:top w:val="none" w:sz="0" w:space="0" w:color="auto"/>
            <w:left w:val="none" w:sz="0" w:space="0" w:color="auto"/>
            <w:bottom w:val="none" w:sz="0" w:space="0" w:color="auto"/>
            <w:right w:val="none" w:sz="0" w:space="0" w:color="auto"/>
          </w:divBdr>
          <w:divsChild>
            <w:div w:id="113124815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69461029">
      <w:marLeft w:val="0"/>
      <w:marRight w:val="0"/>
      <w:marTop w:val="180"/>
      <w:marBottom w:val="180"/>
      <w:divBdr>
        <w:top w:val="none" w:sz="0" w:space="0" w:color="auto"/>
        <w:left w:val="none" w:sz="0" w:space="0" w:color="auto"/>
        <w:bottom w:val="none" w:sz="0" w:space="0" w:color="auto"/>
        <w:right w:val="none" w:sz="0" w:space="0" w:color="auto"/>
      </w:divBdr>
    </w:div>
    <w:div w:id="570696380">
      <w:marLeft w:val="0"/>
      <w:marRight w:val="0"/>
      <w:marTop w:val="180"/>
      <w:marBottom w:val="180"/>
      <w:divBdr>
        <w:top w:val="none" w:sz="0" w:space="0" w:color="auto"/>
        <w:left w:val="none" w:sz="0" w:space="0" w:color="auto"/>
        <w:bottom w:val="none" w:sz="0" w:space="0" w:color="auto"/>
        <w:right w:val="none" w:sz="0" w:space="0" w:color="auto"/>
      </w:divBdr>
    </w:div>
    <w:div w:id="574894463">
      <w:marLeft w:val="0"/>
      <w:marRight w:val="0"/>
      <w:marTop w:val="0"/>
      <w:marBottom w:val="0"/>
      <w:divBdr>
        <w:top w:val="none" w:sz="0" w:space="0" w:color="auto"/>
        <w:left w:val="none" w:sz="0" w:space="0" w:color="auto"/>
        <w:bottom w:val="none" w:sz="0" w:space="0" w:color="auto"/>
        <w:right w:val="none" w:sz="0" w:space="0" w:color="auto"/>
      </w:divBdr>
    </w:div>
    <w:div w:id="575164913">
      <w:marLeft w:val="0"/>
      <w:marRight w:val="0"/>
      <w:marTop w:val="180"/>
      <w:marBottom w:val="180"/>
      <w:divBdr>
        <w:top w:val="none" w:sz="0" w:space="0" w:color="auto"/>
        <w:left w:val="none" w:sz="0" w:space="0" w:color="auto"/>
        <w:bottom w:val="none" w:sz="0" w:space="0" w:color="auto"/>
        <w:right w:val="none" w:sz="0" w:space="0" w:color="auto"/>
      </w:divBdr>
    </w:div>
    <w:div w:id="576286254">
      <w:marLeft w:val="0"/>
      <w:marRight w:val="0"/>
      <w:marTop w:val="180"/>
      <w:marBottom w:val="180"/>
      <w:divBdr>
        <w:top w:val="none" w:sz="0" w:space="0" w:color="auto"/>
        <w:left w:val="none" w:sz="0" w:space="0" w:color="auto"/>
        <w:bottom w:val="none" w:sz="0" w:space="0" w:color="auto"/>
        <w:right w:val="none" w:sz="0" w:space="0" w:color="auto"/>
      </w:divBdr>
    </w:div>
    <w:div w:id="576480580">
      <w:marLeft w:val="0"/>
      <w:marRight w:val="0"/>
      <w:marTop w:val="180"/>
      <w:marBottom w:val="180"/>
      <w:divBdr>
        <w:top w:val="none" w:sz="0" w:space="0" w:color="auto"/>
        <w:left w:val="none" w:sz="0" w:space="0" w:color="auto"/>
        <w:bottom w:val="none" w:sz="0" w:space="0" w:color="auto"/>
        <w:right w:val="none" w:sz="0" w:space="0" w:color="auto"/>
      </w:divBdr>
    </w:div>
    <w:div w:id="577440862">
      <w:marLeft w:val="0"/>
      <w:marRight w:val="0"/>
      <w:marTop w:val="180"/>
      <w:marBottom w:val="180"/>
      <w:divBdr>
        <w:top w:val="none" w:sz="0" w:space="0" w:color="auto"/>
        <w:left w:val="none" w:sz="0" w:space="0" w:color="auto"/>
        <w:bottom w:val="none" w:sz="0" w:space="0" w:color="auto"/>
        <w:right w:val="none" w:sz="0" w:space="0" w:color="auto"/>
      </w:divBdr>
    </w:div>
    <w:div w:id="577791627">
      <w:marLeft w:val="0"/>
      <w:marRight w:val="0"/>
      <w:marTop w:val="180"/>
      <w:marBottom w:val="180"/>
      <w:divBdr>
        <w:top w:val="none" w:sz="0" w:space="0" w:color="auto"/>
        <w:left w:val="none" w:sz="0" w:space="0" w:color="auto"/>
        <w:bottom w:val="none" w:sz="0" w:space="0" w:color="auto"/>
        <w:right w:val="none" w:sz="0" w:space="0" w:color="auto"/>
      </w:divBdr>
    </w:div>
    <w:div w:id="577978696">
      <w:marLeft w:val="0"/>
      <w:marRight w:val="0"/>
      <w:marTop w:val="180"/>
      <w:marBottom w:val="180"/>
      <w:divBdr>
        <w:top w:val="none" w:sz="0" w:space="0" w:color="auto"/>
        <w:left w:val="none" w:sz="0" w:space="0" w:color="auto"/>
        <w:bottom w:val="none" w:sz="0" w:space="0" w:color="auto"/>
        <w:right w:val="none" w:sz="0" w:space="0" w:color="auto"/>
      </w:divBdr>
    </w:div>
    <w:div w:id="578056823">
      <w:marLeft w:val="0"/>
      <w:marRight w:val="0"/>
      <w:marTop w:val="180"/>
      <w:marBottom w:val="180"/>
      <w:divBdr>
        <w:top w:val="none" w:sz="0" w:space="0" w:color="auto"/>
        <w:left w:val="none" w:sz="0" w:space="0" w:color="auto"/>
        <w:bottom w:val="none" w:sz="0" w:space="0" w:color="auto"/>
        <w:right w:val="none" w:sz="0" w:space="0" w:color="auto"/>
      </w:divBdr>
    </w:div>
    <w:div w:id="578297338">
      <w:marLeft w:val="0"/>
      <w:marRight w:val="0"/>
      <w:marTop w:val="180"/>
      <w:marBottom w:val="180"/>
      <w:divBdr>
        <w:top w:val="none" w:sz="0" w:space="0" w:color="auto"/>
        <w:left w:val="none" w:sz="0" w:space="0" w:color="auto"/>
        <w:bottom w:val="none" w:sz="0" w:space="0" w:color="auto"/>
        <w:right w:val="none" w:sz="0" w:space="0" w:color="auto"/>
      </w:divBdr>
    </w:div>
    <w:div w:id="578756149">
      <w:marLeft w:val="0"/>
      <w:marRight w:val="0"/>
      <w:marTop w:val="180"/>
      <w:marBottom w:val="180"/>
      <w:divBdr>
        <w:top w:val="none" w:sz="0" w:space="0" w:color="auto"/>
        <w:left w:val="none" w:sz="0" w:space="0" w:color="auto"/>
        <w:bottom w:val="none" w:sz="0" w:space="0" w:color="auto"/>
        <w:right w:val="none" w:sz="0" w:space="0" w:color="auto"/>
      </w:divBdr>
    </w:div>
    <w:div w:id="582034149">
      <w:marLeft w:val="0"/>
      <w:marRight w:val="0"/>
      <w:marTop w:val="180"/>
      <w:marBottom w:val="180"/>
      <w:divBdr>
        <w:top w:val="none" w:sz="0" w:space="0" w:color="auto"/>
        <w:left w:val="none" w:sz="0" w:space="0" w:color="auto"/>
        <w:bottom w:val="none" w:sz="0" w:space="0" w:color="auto"/>
        <w:right w:val="none" w:sz="0" w:space="0" w:color="auto"/>
      </w:divBdr>
    </w:div>
    <w:div w:id="586616572">
      <w:marLeft w:val="0"/>
      <w:marRight w:val="0"/>
      <w:marTop w:val="180"/>
      <w:marBottom w:val="180"/>
      <w:divBdr>
        <w:top w:val="none" w:sz="0" w:space="0" w:color="auto"/>
        <w:left w:val="none" w:sz="0" w:space="0" w:color="auto"/>
        <w:bottom w:val="none" w:sz="0" w:space="0" w:color="auto"/>
        <w:right w:val="none" w:sz="0" w:space="0" w:color="auto"/>
      </w:divBdr>
    </w:div>
    <w:div w:id="587928432">
      <w:marLeft w:val="0"/>
      <w:marRight w:val="0"/>
      <w:marTop w:val="0"/>
      <w:marBottom w:val="0"/>
      <w:divBdr>
        <w:top w:val="none" w:sz="0" w:space="0" w:color="auto"/>
        <w:left w:val="none" w:sz="0" w:space="0" w:color="auto"/>
        <w:bottom w:val="none" w:sz="0" w:space="0" w:color="auto"/>
        <w:right w:val="none" w:sz="0" w:space="0" w:color="auto"/>
      </w:divBdr>
    </w:div>
    <w:div w:id="589779145">
      <w:marLeft w:val="0"/>
      <w:marRight w:val="0"/>
      <w:marTop w:val="0"/>
      <w:marBottom w:val="0"/>
      <w:divBdr>
        <w:top w:val="none" w:sz="0" w:space="0" w:color="auto"/>
        <w:left w:val="none" w:sz="0" w:space="0" w:color="auto"/>
        <w:bottom w:val="none" w:sz="0" w:space="0" w:color="auto"/>
        <w:right w:val="none" w:sz="0" w:space="0" w:color="auto"/>
      </w:divBdr>
      <w:divsChild>
        <w:div w:id="183398329">
          <w:marLeft w:val="0"/>
          <w:marRight w:val="0"/>
          <w:marTop w:val="180"/>
          <w:marBottom w:val="180"/>
          <w:divBdr>
            <w:top w:val="none" w:sz="0" w:space="0" w:color="auto"/>
            <w:left w:val="none" w:sz="0" w:space="0" w:color="auto"/>
            <w:bottom w:val="none" w:sz="0" w:space="0" w:color="auto"/>
            <w:right w:val="none" w:sz="0" w:space="0" w:color="auto"/>
          </w:divBdr>
        </w:div>
      </w:divsChild>
    </w:div>
    <w:div w:id="590938792">
      <w:marLeft w:val="0"/>
      <w:marRight w:val="0"/>
      <w:marTop w:val="60"/>
      <w:marBottom w:val="60"/>
      <w:divBdr>
        <w:top w:val="none" w:sz="0" w:space="0" w:color="auto"/>
        <w:left w:val="none" w:sz="0" w:space="0" w:color="auto"/>
        <w:bottom w:val="none" w:sz="0" w:space="0" w:color="auto"/>
        <w:right w:val="none" w:sz="0" w:space="0" w:color="auto"/>
      </w:divBdr>
    </w:div>
    <w:div w:id="591014488">
      <w:marLeft w:val="0"/>
      <w:marRight w:val="0"/>
      <w:marTop w:val="0"/>
      <w:marBottom w:val="0"/>
      <w:divBdr>
        <w:top w:val="none" w:sz="0" w:space="0" w:color="auto"/>
        <w:left w:val="none" w:sz="0" w:space="0" w:color="auto"/>
        <w:bottom w:val="none" w:sz="0" w:space="0" w:color="auto"/>
        <w:right w:val="none" w:sz="0" w:space="0" w:color="auto"/>
      </w:divBdr>
      <w:divsChild>
        <w:div w:id="712580706">
          <w:marLeft w:val="0"/>
          <w:marRight w:val="0"/>
          <w:marTop w:val="180"/>
          <w:marBottom w:val="180"/>
          <w:divBdr>
            <w:top w:val="none" w:sz="0" w:space="0" w:color="auto"/>
            <w:left w:val="none" w:sz="0" w:space="0" w:color="auto"/>
            <w:bottom w:val="none" w:sz="0" w:space="0" w:color="auto"/>
            <w:right w:val="none" w:sz="0" w:space="0" w:color="auto"/>
          </w:divBdr>
        </w:div>
      </w:divsChild>
    </w:div>
    <w:div w:id="593320082">
      <w:marLeft w:val="0"/>
      <w:marRight w:val="0"/>
      <w:marTop w:val="180"/>
      <w:marBottom w:val="180"/>
      <w:divBdr>
        <w:top w:val="none" w:sz="0" w:space="0" w:color="auto"/>
        <w:left w:val="none" w:sz="0" w:space="0" w:color="auto"/>
        <w:bottom w:val="none" w:sz="0" w:space="0" w:color="auto"/>
        <w:right w:val="none" w:sz="0" w:space="0" w:color="auto"/>
      </w:divBdr>
    </w:div>
    <w:div w:id="593322090">
      <w:marLeft w:val="0"/>
      <w:marRight w:val="0"/>
      <w:marTop w:val="180"/>
      <w:marBottom w:val="180"/>
      <w:divBdr>
        <w:top w:val="none" w:sz="0" w:space="0" w:color="auto"/>
        <w:left w:val="none" w:sz="0" w:space="0" w:color="auto"/>
        <w:bottom w:val="none" w:sz="0" w:space="0" w:color="auto"/>
        <w:right w:val="none" w:sz="0" w:space="0" w:color="auto"/>
      </w:divBdr>
    </w:div>
    <w:div w:id="594484425">
      <w:marLeft w:val="0"/>
      <w:marRight w:val="0"/>
      <w:marTop w:val="60"/>
      <w:marBottom w:val="60"/>
      <w:divBdr>
        <w:top w:val="none" w:sz="0" w:space="0" w:color="auto"/>
        <w:left w:val="none" w:sz="0" w:space="0" w:color="auto"/>
        <w:bottom w:val="none" w:sz="0" w:space="0" w:color="auto"/>
        <w:right w:val="none" w:sz="0" w:space="0" w:color="auto"/>
      </w:divBdr>
    </w:div>
    <w:div w:id="594553817">
      <w:marLeft w:val="0"/>
      <w:marRight w:val="0"/>
      <w:marTop w:val="180"/>
      <w:marBottom w:val="180"/>
      <w:divBdr>
        <w:top w:val="none" w:sz="0" w:space="0" w:color="auto"/>
        <w:left w:val="none" w:sz="0" w:space="0" w:color="auto"/>
        <w:bottom w:val="none" w:sz="0" w:space="0" w:color="auto"/>
        <w:right w:val="none" w:sz="0" w:space="0" w:color="auto"/>
      </w:divBdr>
    </w:div>
    <w:div w:id="595551744">
      <w:marLeft w:val="0"/>
      <w:marRight w:val="0"/>
      <w:marTop w:val="180"/>
      <w:marBottom w:val="180"/>
      <w:divBdr>
        <w:top w:val="none" w:sz="0" w:space="0" w:color="auto"/>
        <w:left w:val="none" w:sz="0" w:space="0" w:color="auto"/>
        <w:bottom w:val="none" w:sz="0" w:space="0" w:color="auto"/>
        <w:right w:val="none" w:sz="0" w:space="0" w:color="auto"/>
      </w:divBdr>
    </w:div>
    <w:div w:id="597375713">
      <w:marLeft w:val="0"/>
      <w:marRight w:val="0"/>
      <w:marTop w:val="180"/>
      <w:marBottom w:val="180"/>
      <w:divBdr>
        <w:top w:val="none" w:sz="0" w:space="0" w:color="auto"/>
        <w:left w:val="none" w:sz="0" w:space="0" w:color="auto"/>
        <w:bottom w:val="none" w:sz="0" w:space="0" w:color="auto"/>
        <w:right w:val="none" w:sz="0" w:space="0" w:color="auto"/>
      </w:divBdr>
    </w:div>
    <w:div w:id="597905570">
      <w:marLeft w:val="0"/>
      <w:marRight w:val="0"/>
      <w:marTop w:val="0"/>
      <w:marBottom w:val="0"/>
      <w:divBdr>
        <w:top w:val="none" w:sz="0" w:space="0" w:color="auto"/>
        <w:left w:val="none" w:sz="0" w:space="0" w:color="auto"/>
        <w:bottom w:val="none" w:sz="0" w:space="0" w:color="auto"/>
        <w:right w:val="none" w:sz="0" w:space="0" w:color="auto"/>
      </w:divBdr>
      <w:divsChild>
        <w:div w:id="1624847965">
          <w:marLeft w:val="0"/>
          <w:marRight w:val="0"/>
          <w:marTop w:val="60"/>
          <w:marBottom w:val="180"/>
          <w:divBdr>
            <w:top w:val="none" w:sz="0" w:space="0" w:color="auto"/>
            <w:left w:val="none" w:sz="0" w:space="0" w:color="auto"/>
            <w:bottom w:val="none" w:sz="0" w:space="0" w:color="auto"/>
            <w:right w:val="none" w:sz="0" w:space="0" w:color="auto"/>
          </w:divBdr>
        </w:div>
      </w:divsChild>
    </w:div>
    <w:div w:id="598294026">
      <w:marLeft w:val="0"/>
      <w:marRight w:val="0"/>
      <w:marTop w:val="180"/>
      <w:marBottom w:val="180"/>
      <w:divBdr>
        <w:top w:val="none" w:sz="0" w:space="0" w:color="auto"/>
        <w:left w:val="none" w:sz="0" w:space="0" w:color="auto"/>
        <w:bottom w:val="none" w:sz="0" w:space="0" w:color="auto"/>
        <w:right w:val="none" w:sz="0" w:space="0" w:color="auto"/>
      </w:divBdr>
    </w:div>
    <w:div w:id="599800046">
      <w:marLeft w:val="0"/>
      <w:marRight w:val="0"/>
      <w:marTop w:val="180"/>
      <w:marBottom w:val="180"/>
      <w:divBdr>
        <w:top w:val="none" w:sz="0" w:space="0" w:color="auto"/>
        <w:left w:val="none" w:sz="0" w:space="0" w:color="auto"/>
        <w:bottom w:val="none" w:sz="0" w:space="0" w:color="auto"/>
        <w:right w:val="none" w:sz="0" w:space="0" w:color="auto"/>
      </w:divBdr>
    </w:div>
    <w:div w:id="600069625">
      <w:marLeft w:val="0"/>
      <w:marRight w:val="0"/>
      <w:marTop w:val="0"/>
      <w:marBottom w:val="0"/>
      <w:divBdr>
        <w:top w:val="none" w:sz="0" w:space="0" w:color="auto"/>
        <w:left w:val="none" w:sz="0" w:space="0" w:color="auto"/>
        <w:bottom w:val="none" w:sz="0" w:space="0" w:color="auto"/>
        <w:right w:val="none" w:sz="0" w:space="0" w:color="auto"/>
      </w:divBdr>
      <w:divsChild>
        <w:div w:id="1878621537">
          <w:marLeft w:val="0"/>
          <w:marRight w:val="0"/>
          <w:marTop w:val="60"/>
          <w:marBottom w:val="180"/>
          <w:divBdr>
            <w:top w:val="none" w:sz="0" w:space="0" w:color="auto"/>
            <w:left w:val="none" w:sz="0" w:space="0" w:color="auto"/>
            <w:bottom w:val="none" w:sz="0" w:space="0" w:color="auto"/>
            <w:right w:val="none" w:sz="0" w:space="0" w:color="auto"/>
          </w:divBdr>
        </w:div>
      </w:divsChild>
    </w:div>
    <w:div w:id="600531167">
      <w:marLeft w:val="0"/>
      <w:marRight w:val="0"/>
      <w:marTop w:val="0"/>
      <w:marBottom w:val="0"/>
      <w:divBdr>
        <w:top w:val="none" w:sz="0" w:space="0" w:color="auto"/>
        <w:left w:val="none" w:sz="0" w:space="0" w:color="auto"/>
        <w:bottom w:val="none" w:sz="0" w:space="0" w:color="auto"/>
        <w:right w:val="none" w:sz="0" w:space="0" w:color="auto"/>
      </w:divBdr>
    </w:div>
    <w:div w:id="600643000">
      <w:marLeft w:val="0"/>
      <w:marRight w:val="0"/>
      <w:marTop w:val="0"/>
      <w:marBottom w:val="0"/>
      <w:divBdr>
        <w:top w:val="none" w:sz="0" w:space="0" w:color="auto"/>
        <w:left w:val="none" w:sz="0" w:space="0" w:color="auto"/>
        <w:bottom w:val="none" w:sz="0" w:space="0" w:color="auto"/>
        <w:right w:val="none" w:sz="0" w:space="0" w:color="auto"/>
      </w:divBdr>
      <w:divsChild>
        <w:div w:id="1965652281">
          <w:marLeft w:val="0"/>
          <w:marRight w:val="0"/>
          <w:marTop w:val="0"/>
          <w:marBottom w:val="0"/>
          <w:divBdr>
            <w:top w:val="none" w:sz="0" w:space="0" w:color="auto"/>
            <w:left w:val="none" w:sz="0" w:space="0" w:color="auto"/>
            <w:bottom w:val="none" w:sz="0" w:space="0" w:color="auto"/>
            <w:right w:val="none" w:sz="0" w:space="0" w:color="auto"/>
          </w:divBdr>
          <w:divsChild>
            <w:div w:id="42719259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01181730">
      <w:marLeft w:val="0"/>
      <w:marRight w:val="0"/>
      <w:marTop w:val="60"/>
      <w:marBottom w:val="60"/>
      <w:divBdr>
        <w:top w:val="none" w:sz="0" w:space="0" w:color="auto"/>
        <w:left w:val="none" w:sz="0" w:space="0" w:color="auto"/>
        <w:bottom w:val="none" w:sz="0" w:space="0" w:color="auto"/>
        <w:right w:val="none" w:sz="0" w:space="0" w:color="auto"/>
      </w:divBdr>
      <w:divsChild>
        <w:div w:id="1807425840">
          <w:marLeft w:val="0"/>
          <w:marRight w:val="0"/>
          <w:marTop w:val="0"/>
          <w:marBottom w:val="0"/>
          <w:divBdr>
            <w:top w:val="none" w:sz="0" w:space="0" w:color="auto"/>
            <w:left w:val="none" w:sz="0" w:space="0" w:color="auto"/>
            <w:bottom w:val="none" w:sz="0" w:space="0" w:color="auto"/>
            <w:right w:val="none" w:sz="0" w:space="0" w:color="auto"/>
          </w:divBdr>
        </w:div>
        <w:div w:id="1164978164">
          <w:marLeft w:val="0"/>
          <w:marRight w:val="0"/>
          <w:marTop w:val="0"/>
          <w:marBottom w:val="0"/>
          <w:divBdr>
            <w:top w:val="none" w:sz="0" w:space="0" w:color="auto"/>
            <w:left w:val="none" w:sz="0" w:space="0" w:color="auto"/>
            <w:bottom w:val="none" w:sz="0" w:space="0" w:color="auto"/>
            <w:right w:val="none" w:sz="0" w:space="0" w:color="auto"/>
          </w:divBdr>
        </w:div>
      </w:divsChild>
    </w:div>
    <w:div w:id="601302459">
      <w:marLeft w:val="0"/>
      <w:marRight w:val="0"/>
      <w:marTop w:val="180"/>
      <w:marBottom w:val="180"/>
      <w:divBdr>
        <w:top w:val="none" w:sz="0" w:space="0" w:color="auto"/>
        <w:left w:val="none" w:sz="0" w:space="0" w:color="auto"/>
        <w:bottom w:val="none" w:sz="0" w:space="0" w:color="auto"/>
        <w:right w:val="none" w:sz="0" w:space="0" w:color="auto"/>
      </w:divBdr>
    </w:div>
    <w:div w:id="601373744">
      <w:marLeft w:val="0"/>
      <w:marRight w:val="0"/>
      <w:marTop w:val="180"/>
      <w:marBottom w:val="180"/>
      <w:divBdr>
        <w:top w:val="none" w:sz="0" w:space="0" w:color="auto"/>
        <w:left w:val="none" w:sz="0" w:space="0" w:color="auto"/>
        <w:bottom w:val="none" w:sz="0" w:space="0" w:color="auto"/>
        <w:right w:val="none" w:sz="0" w:space="0" w:color="auto"/>
      </w:divBdr>
    </w:div>
    <w:div w:id="602809165">
      <w:marLeft w:val="0"/>
      <w:marRight w:val="0"/>
      <w:marTop w:val="60"/>
      <w:marBottom w:val="60"/>
      <w:divBdr>
        <w:top w:val="none" w:sz="0" w:space="0" w:color="auto"/>
        <w:left w:val="none" w:sz="0" w:space="0" w:color="auto"/>
        <w:bottom w:val="none" w:sz="0" w:space="0" w:color="auto"/>
        <w:right w:val="none" w:sz="0" w:space="0" w:color="auto"/>
      </w:divBdr>
    </w:div>
    <w:div w:id="603999111">
      <w:marLeft w:val="0"/>
      <w:marRight w:val="0"/>
      <w:marTop w:val="180"/>
      <w:marBottom w:val="180"/>
      <w:divBdr>
        <w:top w:val="none" w:sz="0" w:space="0" w:color="auto"/>
        <w:left w:val="none" w:sz="0" w:space="0" w:color="auto"/>
        <w:bottom w:val="none" w:sz="0" w:space="0" w:color="auto"/>
        <w:right w:val="none" w:sz="0" w:space="0" w:color="auto"/>
      </w:divBdr>
    </w:div>
    <w:div w:id="604073977">
      <w:marLeft w:val="0"/>
      <w:marRight w:val="0"/>
      <w:marTop w:val="180"/>
      <w:marBottom w:val="180"/>
      <w:divBdr>
        <w:top w:val="none" w:sz="0" w:space="0" w:color="auto"/>
        <w:left w:val="none" w:sz="0" w:space="0" w:color="auto"/>
        <w:bottom w:val="none" w:sz="0" w:space="0" w:color="auto"/>
        <w:right w:val="none" w:sz="0" w:space="0" w:color="auto"/>
      </w:divBdr>
    </w:div>
    <w:div w:id="605969283">
      <w:marLeft w:val="0"/>
      <w:marRight w:val="0"/>
      <w:marTop w:val="180"/>
      <w:marBottom w:val="180"/>
      <w:divBdr>
        <w:top w:val="none" w:sz="0" w:space="0" w:color="auto"/>
        <w:left w:val="none" w:sz="0" w:space="0" w:color="auto"/>
        <w:bottom w:val="none" w:sz="0" w:space="0" w:color="auto"/>
        <w:right w:val="none" w:sz="0" w:space="0" w:color="auto"/>
      </w:divBdr>
    </w:div>
    <w:div w:id="606087306">
      <w:marLeft w:val="0"/>
      <w:marRight w:val="0"/>
      <w:marTop w:val="180"/>
      <w:marBottom w:val="180"/>
      <w:divBdr>
        <w:top w:val="none" w:sz="0" w:space="0" w:color="auto"/>
        <w:left w:val="none" w:sz="0" w:space="0" w:color="auto"/>
        <w:bottom w:val="none" w:sz="0" w:space="0" w:color="auto"/>
        <w:right w:val="none" w:sz="0" w:space="0" w:color="auto"/>
      </w:divBdr>
    </w:div>
    <w:div w:id="607590037">
      <w:marLeft w:val="0"/>
      <w:marRight w:val="0"/>
      <w:marTop w:val="120"/>
      <w:marBottom w:val="180"/>
      <w:divBdr>
        <w:top w:val="none" w:sz="0" w:space="0" w:color="auto"/>
        <w:left w:val="none" w:sz="0" w:space="0" w:color="auto"/>
        <w:bottom w:val="none" w:sz="0" w:space="0" w:color="auto"/>
        <w:right w:val="none" w:sz="0" w:space="0" w:color="auto"/>
      </w:divBdr>
    </w:div>
    <w:div w:id="607591035">
      <w:marLeft w:val="0"/>
      <w:marRight w:val="0"/>
      <w:marTop w:val="120"/>
      <w:marBottom w:val="0"/>
      <w:divBdr>
        <w:top w:val="none" w:sz="0" w:space="0" w:color="auto"/>
        <w:left w:val="none" w:sz="0" w:space="0" w:color="auto"/>
        <w:bottom w:val="none" w:sz="0" w:space="0" w:color="auto"/>
        <w:right w:val="none" w:sz="0" w:space="0" w:color="auto"/>
      </w:divBdr>
    </w:div>
    <w:div w:id="608198435">
      <w:marLeft w:val="0"/>
      <w:marRight w:val="0"/>
      <w:marTop w:val="100"/>
      <w:marBottom w:val="0"/>
      <w:divBdr>
        <w:top w:val="none" w:sz="0" w:space="0" w:color="auto"/>
        <w:left w:val="none" w:sz="0" w:space="0" w:color="auto"/>
        <w:bottom w:val="none" w:sz="0" w:space="0" w:color="auto"/>
        <w:right w:val="none" w:sz="0" w:space="0" w:color="auto"/>
      </w:divBdr>
      <w:divsChild>
        <w:div w:id="93282079">
          <w:marLeft w:val="0"/>
          <w:marRight w:val="0"/>
          <w:marTop w:val="0"/>
          <w:marBottom w:val="0"/>
          <w:divBdr>
            <w:top w:val="none" w:sz="0" w:space="0" w:color="auto"/>
            <w:left w:val="none" w:sz="0" w:space="0" w:color="auto"/>
            <w:bottom w:val="none" w:sz="0" w:space="0" w:color="auto"/>
            <w:right w:val="none" w:sz="0" w:space="0" w:color="auto"/>
          </w:divBdr>
        </w:div>
      </w:divsChild>
    </w:div>
    <w:div w:id="608388852">
      <w:marLeft w:val="0"/>
      <w:marRight w:val="0"/>
      <w:marTop w:val="180"/>
      <w:marBottom w:val="180"/>
      <w:divBdr>
        <w:top w:val="none" w:sz="0" w:space="0" w:color="auto"/>
        <w:left w:val="none" w:sz="0" w:space="0" w:color="auto"/>
        <w:bottom w:val="none" w:sz="0" w:space="0" w:color="auto"/>
        <w:right w:val="none" w:sz="0" w:space="0" w:color="auto"/>
      </w:divBdr>
    </w:div>
    <w:div w:id="611325286">
      <w:marLeft w:val="0"/>
      <w:marRight w:val="0"/>
      <w:marTop w:val="240"/>
      <w:marBottom w:val="180"/>
      <w:divBdr>
        <w:top w:val="none" w:sz="0" w:space="0" w:color="auto"/>
        <w:left w:val="none" w:sz="0" w:space="0" w:color="auto"/>
        <w:bottom w:val="none" w:sz="0" w:space="0" w:color="auto"/>
        <w:right w:val="none" w:sz="0" w:space="0" w:color="auto"/>
      </w:divBdr>
    </w:div>
    <w:div w:id="613902192">
      <w:marLeft w:val="0"/>
      <w:marRight w:val="0"/>
      <w:marTop w:val="180"/>
      <w:marBottom w:val="0"/>
      <w:divBdr>
        <w:top w:val="none" w:sz="0" w:space="0" w:color="auto"/>
        <w:left w:val="none" w:sz="0" w:space="0" w:color="auto"/>
        <w:bottom w:val="none" w:sz="0" w:space="0" w:color="auto"/>
        <w:right w:val="none" w:sz="0" w:space="0" w:color="auto"/>
      </w:divBdr>
    </w:div>
    <w:div w:id="613947081">
      <w:marLeft w:val="0"/>
      <w:marRight w:val="0"/>
      <w:marTop w:val="0"/>
      <w:marBottom w:val="0"/>
      <w:divBdr>
        <w:top w:val="none" w:sz="0" w:space="0" w:color="auto"/>
        <w:left w:val="none" w:sz="0" w:space="0" w:color="auto"/>
        <w:bottom w:val="none" w:sz="0" w:space="0" w:color="auto"/>
        <w:right w:val="none" w:sz="0" w:space="0" w:color="auto"/>
      </w:divBdr>
    </w:div>
    <w:div w:id="615452644">
      <w:marLeft w:val="0"/>
      <w:marRight w:val="0"/>
      <w:marTop w:val="60"/>
      <w:marBottom w:val="60"/>
      <w:divBdr>
        <w:top w:val="none" w:sz="0" w:space="0" w:color="auto"/>
        <w:left w:val="none" w:sz="0" w:space="0" w:color="auto"/>
        <w:bottom w:val="none" w:sz="0" w:space="0" w:color="auto"/>
        <w:right w:val="none" w:sz="0" w:space="0" w:color="auto"/>
      </w:divBdr>
    </w:div>
    <w:div w:id="616789410">
      <w:marLeft w:val="0"/>
      <w:marRight w:val="0"/>
      <w:marTop w:val="180"/>
      <w:marBottom w:val="180"/>
      <w:divBdr>
        <w:top w:val="none" w:sz="0" w:space="0" w:color="auto"/>
        <w:left w:val="none" w:sz="0" w:space="0" w:color="auto"/>
        <w:bottom w:val="none" w:sz="0" w:space="0" w:color="auto"/>
        <w:right w:val="none" w:sz="0" w:space="0" w:color="auto"/>
      </w:divBdr>
    </w:div>
    <w:div w:id="617221897">
      <w:marLeft w:val="0"/>
      <w:marRight w:val="0"/>
      <w:marTop w:val="180"/>
      <w:marBottom w:val="180"/>
      <w:divBdr>
        <w:top w:val="none" w:sz="0" w:space="0" w:color="auto"/>
        <w:left w:val="none" w:sz="0" w:space="0" w:color="auto"/>
        <w:bottom w:val="none" w:sz="0" w:space="0" w:color="auto"/>
        <w:right w:val="none" w:sz="0" w:space="0" w:color="auto"/>
      </w:divBdr>
    </w:div>
    <w:div w:id="621544728">
      <w:marLeft w:val="0"/>
      <w:marRight w:val="0"/>
      <w:marTop w:val="180"/>
      <w:marBottom w:val="180"/>
      <w:divBdr>
        <w:top w:val="none" w:sz="0" w:space="0" w:color="auto"/>
        <w:left w:val="none" w:sz="0" w:space="0" w:color="auto"/>
        <w:bottom w:val="none" w:sz="0" w:space="0" w:color="auto"/>
        <w:right w:val="none" w:sz="0" w:space="0" w:color="auto"/>
      </w:divBdr>
    </w:div>
    <w:div w:id="624309231">
      <w:marLeft w:val="0"/>
      <w:marRight w:val="0"/>
      <w:marTop w:val="180"/>
      <w:marBottom w:val="180"/>
      <w:divBdr>
        <w:top w:val="none" w:sz="0" w:space="0" w:color="auto"/>
        <w:left w:val="none" w:sz="0" w:space="0" w:color="auto"/>
        <w:bottom w:val="none" w:sz="0" w:space="0" w:color="auto"/>
        <w:right w:val="none" w:sz="0" w:space="0" w:color="auto"/>
      </w:divBdr>
    </w:div>
    <w:div w:id="624311937">
      <w:marLeft w:val="0"/>
      <w:marRight w:val="0"/>
      <w:marTop w:val="180"/>
      <w:marBottom w:val="0"/>
      <w:divBdr>
        <w:top w:val="none" w:sz="0" w:space="0" w:color="auto"/>
        <w:left w:val="none" w:sz="0" w:space="0" w:color="auto"/>
        <w:bottom w:val="none" w:sz="0" w:space="0" w:color="auto"/>
        <w:right w:val="none" w:sz="0" w:space="0" w:color="auto"/>
      </w:divBdr>
    </w:div>
    <w:div w:id="624384575">
      <w:marLeft w:val="0"/>
      <w:marRight w:val="0"/>
      <w:marTop w:val="180"/>
      <w:marBottom w:val="180"/>
      <w:divBdr>
        <w:top w:val="none" w:sz="0" w:space="0" w:color="auto"/>
        <w:left w:val="none" w:sz="0" w:space="0" w:color="auto"/>
        <w:bottom w:val="none" w:sz="0" w:space="0" w:color="auto"/>
        <w:right w:val="none" w:sz="0" w:space="0" w:color="auto"/>
      </w:divBdr>
    </w:div>
    <w:div w:id="625476884">
      <w:marLeft w:val="0"/>
      <w:marRight w:val="0"/>
      <w:marTop w:val="0"/>
      <w:marBottom w:val="0"/>
      <w:divBdr>
        <w:top w:val="none" w:sz="0" w:space="0" w:color="auto"/>
        <w:left w:val="none" w:sz="0" w:space="0" w:color="auto"/>
        <w:bottom w:val="none" w:sz="0" w:space="0" w:color="auto"/>
        <w:right w:val="none" w:sz="0" w:space="0" w:color="auto"/>
      </w:divBdr>
      <w:divsChild>
        <w:div w:id="1117066099">
          <w:marLeft w:val="0"/>
          <w:marRight w:val="0"/>
          <w:marTop w:val="180"/>
          <w:marBottom w:val="180"/>
          <w:divBdr>
            <w:top w:val="none" w:sz="0" w:space="0" w:color="auto"/>
            <w:left w:val="none" w:sz="0" w:space="0" w:color="auto"/>
            <w:bottom w:val="none" w:sz="0" w:space="0" w:color="auto"/>
            <w:right w:val="none" w:sz="0" w:space="0" w:color="auto"/>
          </w:divBdr>
        </w:div>
      </w:divsChild>
    </w:div>
    <w:div w:id="625505980">
      <w:marLeft w:val="0"/>
      <w:marRight w:val="0"/>
      <w:marTop w:val="180"/>
      <w:marBottom w:val="180"/>
      <w:divBdr>
        <w:top w:val="none" w:sz="0" w:space="0" w:color="auto"/>
        <w:left w:val="none" w:sz="0" w:space="0" w:color="auto"/>
        <w:bottom w:val="none" w:sz="0" w:space="0" w:color="auto"/>
        <w:right w:val="none" w:sz="0" w:space="0" w:color="auto"/>
      </w:divBdr>
    </w:div>
    <w:div w:id="627127082">
      <w:marLeft w:val="0"/>
      <w:marRight w:val="0"/>
      <w:marTop w:val="100"/>
      <w:marBottom w:val="0"/>
      <w:divBdr>
        <w:top w:val="none" w:sz="0" w:space="0" w:color="auto"/>
        <w:left w:val="none" w:sz="0" w:space="0" w:color="auto"/>
        <w:bottom w:val="none" w:sz="0" w:space="0" w:color="auto"/>
        <w:right w:val="none" w:sz="0" w:space="0" w:color="auto"/>
      </w:divBdr>
    </w:div>
    <w:div w:id="627587514">
      <w:marLeft w:val="0"/>
      <w:marRight w:val="0"/>
      <w:marTop w:val="0"/>
      <w:marBottom w:val="0"/>
      <w:divBdr>
        <w:top w:val="none" w:sz="0" w:space="0" w:color="auto"/>
        <w:left w:val="none" w:sz="0" w:space="0" w:color="auto"/>
        <w:bottom w:val="none" w:sz="0" w:space="0" w:color="auto"/>
        <w:right w:val="none" w:sz="0" w:space="0" w:color="auto"/>
      </w:divBdr>
    </w:div>
    <w:div w:id="627668496">
      <w:marLeft w:val="0"/>
      <w:marRight w:val="0"/>
      <w:marTop w:val="180"/>
      <w:marBottom w:val="180"/>
      <w:divBdr>
        <w:top w:val="none" w:sz="0" w:space="0" w:color="auto"/>
        <w:left w:val="none" w:sz="0" w:space="0" w:color="auto"/>
        <w:bottom w:val="none" w:sz="0" w:space="0" w:color="auto"/>
        <w:right w:val="none" w:sz="0" w:space="0" w:color="auto"/>
      </w:divBdr>
    </w:div>
    <w:div w:id="628366727">
      <w:marLeft w:val="0"/>
      <w:marRight w:val="0"/>
      <w:marTop w:val="180"/>
      <w:marBottom w:val="180"/>
      <w:divBdr>
        <w:top w:val="none" w:sz="0" w:space="0" w:color="auto"/>
        <w:left w:val="none" w:sz="0" w:space="0" w:color="auto"/>
        <w:bottom w:val="none" w:sz="0" w:space="0" w:color="auto"/>
        <w:right w:val="none" w:sz="0" w:space="0" w:color="auto"/>
      </w:divBdr>
    </w:div>
    <w:div w:id="628630012">
      <w:marLeft w:val="0"/>
      <w:marRight w:val="0"/>
      <w:marTop w:val="0"/>
      <w:marBottom w:val="0"/>
      <w:divBdr>
        <w:top w:val="none" w:sz="0" w:space="0" w:color="auto"/>
        <w:left w:val="none" w:sz="0" w:space="0" w:color="auto"/>
        <w:bottom w:val="none" w:sz="0" w:space="0" w:color="auto"/>
        <w:right w:val="none" w:sz="0" w:space="0" w:color="auto"/>
      </w:divBdr>
      <w:divsChild>
        <w:div w:id="1537355960">
          <w:marLeft w:val="0"/>
          <w:marRight w:val="0"/>
          <w:marTop w:val="0"/>
          <w:marBottom w:val="0"/>
          <w:divBdr>
            <w:top w:val="none" w:sz="0" w:space="0" w:color="auto"/>
            <w:left w:val="none" w:sz="0" w:space="0" w:color="auto"/>
            <w:bottom w:val="none" w:sz="0" w:space="0" w:color="auto"/>
            <w:right w:val="none" w:sz="0" w:space="0" w:color="auto"/>
          </w:divBdr>
          <w:divsChild>
            <w:div w:id="10893042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29745743">
      <w:marLeft w:val="0"/>
      <w:marRight w:val="0"/>
      <w:marTop w:val="180"/>
      <w:marBottom w:val="180"/>
      <w:divBdr>
        <w:top w:val="none" w:sz="0" w:space="0" w:color="auto"/>
        <w:left w:val="none" w:sz="0" w:space="0" w:color="auto"/>
        <w:bottom w:val="none" w:sz="0" w:space="0" w:color="auto"/>
        <w:right w:val="none" w:sz="0" w:space="0" w:color="auto"/>
      </w:divBdr>
    </w:div>
    <w:div w:id="631181178">
      <w:marLeft w:val="0"/>
      <w:marRight w:val="0"/>
      <w:marTop w:val="180"/>
      <w:marBottom w:val="180"/>
      <w:divBdr>
        <w:top w:val="none" w:sz="0" w:space="0" w:color="auto"/>
        <w:left w:val="none" w:sz="0" w:space="0" w:color="auto"/>
        <w:bottom w:val="none" w:sz="0" w:space="0" w:color="auto"/>
        <w:right w:val="none" w:sz="0" w:space="0" w:color="auto"/>
      </w:divBdr>
    </w:div>
    <w:div w:id="636647541">
      <w:marLeft w:val="0"/>
      <w:marRight w:val="0"/>
      <w:marTop w:val="60"/>
      <w:marBottom w:val="60"/>
      <w:divBdr>
        <w:top w:val="none" w:sz="0" w:space="0" w:color="auto"/>
        <w:left w:val="none" w:sz="0" w:space="0" w:color="auto"/>
        <w:bottom w:val="none" w:sz="0" w:space="0" w:color="auto"/>
        <w:right w:val="none" w:sz="0" w:space="0" w:color="auto"/>
      </w:divBdr>
    </w:div>
    <w:div w:id="637564526">
      <w:marLeft w:val="0"/>
      <w:marRight w:val="0"/>
      <w:marTop w:val="180"/>
      <w:marBottom w:val="60"/>
      <w:divBdr>
        <w:top w:val="none" w:sz="0" w:space="0" w:color="auto"/>
        <w:left w:val="none" w:sz="0" w:space="0" w:color="auto"/>
        <w:bottom w:val="none" w:sz="0" w:space="0" w:color="auto"/>
        <w:right w:val="none" w:sz="0" w:space="0" w:color="auto"/>
      </w:divBdr>
    </w:div>
    <w:div w:id="640421971">
      <w:marLeft w:val="0"/>
      <w:marRight w:val="0"/>
      <w:marTop w:val="60"/>
      <w:marBottom w:val="60"/>
      <w:divBdr>
        <w:top w:val="none" w:sz="0" w:space="0" w:color="auto"/>
        <w:left w:val="none" w:sz="0" w:space="0" w:color="auto"/>
        <w:bottom w:val="none" w:sz="0" w:space="0" w:color="auto"/>
        <w:right w:val="none" w:sz="0" w:space="0" w:color="auto"/>
      </w:divBdr>
      <w:divsChild>
        <w:div w:id="939408816">
          <w:marLeft w:val="0"/>
          <w:marRight w:val="0"/>
          <w:marTop w:val="0"/>
          <w:marBottom w:val="0"/>
          <w:divBdr>
            <w:top w:val="none" w:sz="0" w:space="0" w:color="auto"/>
            <w:left w:val="none" w:sz="0" w:space="0" w:color="auto"/>
            <w:bottom w:val="none" w:sz="0" w:space="0" w:color="auto"/>
            <w:right w:val="none" w:sz="0" w:space="0" w:color="auto"/>
          </w:divBdr>
        </w:div>
        <w:div w:id="765926473">
          <w:marLeft w:val="0"/>
          <w:marRight w:val="0"/>
          <w:marTop w:val="0"/>
          <w:marBottom w:val="0"/>
          <w:divBdr>
            <w:top w:val="none" w:sz="0" w:space="0" w:color="auto"/>
            <w:left w:val="none" w:sz="0" w:space="0" w:color="auto"/>
            <w:bottom w:val="none" w:sz="0" w:space="0" w:color="auto"/>
            <w:right w:val="none" w:sz="0" w:space="0" w:color="auto"/>
          </w:divBdr>
        </w:div>
      </w:divsChild>
    </w:div>
    <w:div w:id="641930420">
      <w:marLeft w:val="0"/>
      <w:marRight w:val="0"/>
      <w:marTop w:val="180"/>
      <w:marBottom w:val="180"/>
      <w:divBdr>
        <w:top w:val="none" w:sz="0" w:space="0" w:color="auto"/>
        <w:left w:val="none" w:sz="0" w:space="0" w:color="auto"/>
        <w:bottom w:val="none" w:sz="0" w:space="0" w:color="auto"/>
        <w:right w:val="none" w:sz="0" w:space="0" w:color="auto"/>
      </w:divBdr>
    </w:div>
    <w:div w:id="643433543">
      <w:marLeft w:val="0"/>
      <w:marRight w:val="0"/>
      <w:marTop w:val="0"/>
      <w:marBottom w:val="0"/>
      <w:divBdr>
        <w:top w:val="none" w:sz="0" w:space="0" w:color="auto"/>
        <w:left w:val="none" w:sz="0" w:space="0" w:color="auto"/>
        <w:bottom w:val="none" w:sz="0" w:space="0" w:color="auto"/>
        <w:right w:val="none" w:sz="0" w:space="0" w:color="auto"/>
      </w:divBdr>
    </w:div>
    <w:div w:id="645862818">
      <w:marLeft w:val="0"/>
      <w:marRight w:val="0"/>
      <w:marTop w:val="180"/>
      <w:marBottom w:val="180"/>
      <w:divBdr>
        <w:top w:val="none" w:sz="0" w:space="0" w:color="auto"/>
        <w:left w:val="none" w:sz="0" w:space="0" w:color="auto"/>
        <w:bottom w:val="none" w:sz="0" w:space="0" w:color="auto"/>
        <w:right w:val="none" w:sz="0" w:space="0" w:color="auto"/>
      </w:divBdr>
    </w:div>
    <w:div w:id="646058870">
      <w:marLeft w:val="0"/>
      <w:marRight w:val="0"/>
      <w:marTop w:val="60"/>
      <w:marBottom w:val="60"/>
      <w:divBdr>
        <w:top w:val="none" w:sz="0" w:space="0" w:color="auto"/>
        <w:left w:val="none" w:sz="0" w:space="0" w:color="auto"/>
        <w:bottom w:val="none" w:sz="0" w:space="0" w:color="auto"/>
        <w:right w:val="none" w:sz="0" w:space="0" w:color="auto"/>
      </w:divBdr>
    </w:div>
    <w:div w:id="646933369">
      <w:marLeft w:val="0"/>
      <w:marRight w:val="0"/>
      <w:marTop w:val="0"/>
      <w:marBottom w:val="0"/>
      <w:divBdr>
        <w:top w:val="none" w:sz="0" w:space="0" w:color="auto"/>
        <w:left w:val="none" w:sz="0" w:space="0" w:color="auto"/>
        <w:bottom w:val="none" w:sz="0" w:space="0" w:color="auto"/>
        <w:right w:val="none" w:sz="0" w:space="0" w:color="auto"/>
      </w:divBdr>
      <w:divsChild>
        <w:div w:id="1657681141">
          <w:marLeft w:val="0"/>
          <w:marRight w:val="0"/>
          <w:marTop w:val="60"/>
          <w:marBottom w:val="180"/>
          <w:divBdr>
            <w:top w:val="none" w:sz="0" w:space="0" w:color="auto"/>
            <w:left w:val="none" w:sz="0" w:space="0" w:color="auto"/>
            <w:bottom w:val="none" w:sz="0" w:space="0" w:color="auto"/>
            <w:right w:val="none" w:sz="0" w:space="0" w:color="auto"/>
          </w:divBdr>
        </w:div>
      </w:divsChild>
    </w:div>
    <w:div w:id="648439646">
      <w:marLeft w:val="0"/>
      <w:marRight w:val="0"/>
      <w:marTop w:val="60"/>
      <w:marBottom w:val="180"/>
      <w:divBdr>
        <w:top w:val="none" w:sz="0" w:space="0" w:color="auto"/>
        <w:left w:val="none" w:sz="0" w:space="0" w:color="auto"/>
        <w:bottom w:val="none" w:sz="0" w:space="0" w:color="auto"/>
        <w:right w:val="none" w:sz="0" w:space="0" w:color="auto"/>
      </w:divBdr>
      <w:divsChild>
        <w:div w:id="355542228">
          <w:marLeft w:val="0"/>
          <w:marRight w:val="0"/>
          <w:marTop w:val="0"/>
          <w:marBottom w:val="0"/>
          <w:divBdr>
            <w:top w:val="none" w:sz="0" w:space="0" w:color="auto"/>
            <w:left w:val="none" w:sz="0" w:space="0" w:color="auto"/>
            <w:bottom w:val="none" w:sz="0" w:space="0" w:color="auto"/>
            <w:right w:val="none" w:sz="0" w:space="0" w:color="auto"/>
          </w:divBdr>
        </w:div>
      </w:divsChild>
    </w:div>
    <w:div w:id="649597335">
      <w:marLeft w:val="0"/>
      <w:marRight w:val="0"/>
      <w:marTop w:val="180"/>
      <w:marBottom w:val="180"/>
      <w:divBdr>
        <w:top w:val="none" w:sz="0" w:space="0" w:color="auto"/>
        <w:left w:val="none" w:sz="0" w:space="0" w:color="auto"/>
        <w:bottom w:val="none" w:sz="0" w:space="0" w:color="auto"/>
        <w:right w:val="none" w:sz="0" w:space="0" w:color="auto"/>
      </w:divBdr>
    </w:div>
    <w:div w:id="649755054">
      <w:marLeft w:val="0"/>
      <w:marRight w:val="0"/>
      <w:marTop w:val="180"/>
      <w:marBottom w:val="60"/>
      <w:divBdr>
        <w:top w:val="none" w:sz="0" w:space="0" w:color="auto"/>
        <w:left w:val="none" w:sz="0" w:space="0" w:color="auto"/>
        <w:bottom w:val="none" w:sz="0" w:space="0" w:color="auto"/>
        <w:right w:val="none" w:sz="0" w:space="0" w:color="auto"/>
      </w:divBdr>
    </w:div>
    <w:div w:id="649990357">
      <w:marLeft w:val="0"/>
      <w:marRight w:val="0"/>
      <w:marTop w:val="60"/>
      <w:marBottom w:val="60"/>
      <w:divBdr>
        <w:top w:val="none" w:sz="0" w:space="0" w:color="auto"/>
        <w:left w:val="none" w:sz="0" w:space="0" w:color="auto"/>
        <w:bottom w:val="none" w:sz="0" w:space="0" w:color="auto"/>
        <w:right w:val="none" w:sz="0" w:space="0" w:color="auto"/>
      </w:divBdr>
    </w:div>
    <w:div w:id="650525520">
      <w:marLeft w:val="0"/>
      <w:marRight w:val="0"/>
      <w:marTop w:val="60"/>
      <w:marBottom w:val="180"/>
      <w:divBdr>
        <w:top w:val="none" w:sz="0" w:space="0" w:color="auto"/>
        <w:left w:val="none" w:sz="0" w:space="0" w:color="auto"/>
        <w:bottom w:val="none" w:sz="0" w:space="0" w:color="auto"/>
        <w:right w:val="none" w:sz="0" w:space="0" w:color="auto"/>
      </w:divBdr>
    </w:div>
    <w:div w:id="652836200">
      <w:marLeft w:val="0"/>
      <w:marRight w:val="0"/>
      <w:marTop w:val="180"/>
      <w:marBottom w:val="60"/>
      <w:divBdr>
        <w:top w:val="none" w:sz="0" w:space="0" w:color="auto"/>
        <w:left w:val="none" w:sz="0" w:space="0" w:color="auto"/>
        <w:bottom w:val="none" w:sz="0" w:space="0" w:color="auto"/>
        <w:right w:val="none" w:sz="0" w:space="0" w:color="auto"/>
      </w:divBdr>
    </w:div>
    <w:div w:id="653990985">
      <w:marLeft w:val="0"/>
      <w:marRight w:val="0"/>
      <w:marTop w:val="180"/>
      <w:marBottom w:val="180"/>
      <w:divBdr>
        <w:top w:val="none" w:sz="0" w:space="0" w:color="auto"/>
        <w:left w:val="none" w:sz="0" w:space="0" w:color="auto"/>
        <w:bottom w:val="none" w:sz="0" w:space="0" w:color="auto"/>
        <w:right w:val="none" w:sz="0" w:space="0" w:color="auto"/>
      </w:divBdr>
    </w:div>
    <w:div w:id="654147188">
      <w:marLeft w:val="0"/>
      <w:marRight w:val="0"/>
      <w:marTop w:val="180"/>
      <w:marBottom w:val="180"/>
      <w:divBdr>
        <w:top w:val="none" w:sz="0" w:space="0" w:color="auto"/>
        <w:left w:val="none" w:sz="0" w:space="0" w:color="auto"/>
        <w:bottom w:val="none" w:sz="0" w:space="0" w:color="auto"/>
        <w:right w:val="none" w:sz="0" w:space="0" w:color="auto"/>
      </w:divBdr>
    </w:div>
    <w:div w:id="656761427">
      <w:marLeft w:val="0"/>
      <w:marRight w:val="0"/>
      <w:marTop w:val="180"/>
      <w:marBottom w:val="180"/>
      <w:divBdr>
        <w:top w:val="none" w:sz="0" w:space="0" w:color="auto"/>
        <w:left w:val="none" w:sz="0" w:space="0" w:color="auto"/>
        <w:bottom w:val="none" w:sz="0" w:space="0" w:color="auto"/>
        <w:right w:val="none" w:sz="0" w:space="0" w:color="auto"/>
      </w:divBdr>
    </w:div>
    <w:div w:id="658382508">
      <w:marLeft w:val="0"/>
      <w:marRight w:val="0"/>
      <w:marTop w:val="180"/>
      <w:marBottom w:val="180"/>
      <w:divBdr>
        <w:top w:val="none" w:sz="0" w:space="0" w:color="auto"/>
        <w:left w:val="none" w:sz="0" w:space="0" w:color="auto"/>
        <w:bottom w:val="none" w:sz="0" w:space="0" w:color="auto"/>
        <w:right w:val="none" w:sz="0" w:space="0" w:color="auto"/>
      </w:divBdr>
    </w:div>
    <w:div w:id="658386292">
      <w:marLeft w:val="0"/>
      <w:marRight w:val="0"/>
      <w:marTop w:val="0"/>
      <w:marBottom w:val="0"/>
      <w:divBdr>
        <w:top w:val="none" w:sz="0" w:space="0" w:color="auto"/>
        <w:left w:val="none" w:sz="0" w:space="0" w:color="auto"/>
        <w:bottom w:val="none" w:sz="0" w:space="0" w:color="auto"/>
        <w:right w:val="none" w:sz="0" w:space="0" w:color="auto"/>
      </w:divBdr>
    </w:div>
    <w:div w:id="658584732">
      <w:marLeft w:val="0"/>
      <w:marRight w:val="0"/>
      <w:marTop w:val="180"/>
      <w:marBottom w:val="180"/>
      <w:divBdr>
        <w:top w:val="none" w:sz="0" w:space="0" w:color="auto"/>
        <w:left w:val="none" w:sz="0" w:space="0" w:color="auto"/>
        <w:bottom w:val="none" w:sz="0" w:space="0" w:color="auto"/>
        <w:right w:val="none" w:sz="0" w:space="0" w:color="auto"/>
      </w:divBdr>
    </w:div>
    <w:div w:id="659046358">
      <w:marLeft w:val="0"/>
      <w:marRight w:val="0"/>
      <w:marTop w:val="180"/>
      <w:marBottom w:val="180"/>
      <w:divBdr>
        <w:top w:val="none" w:sz="0" w:space="0" w:color="auto"/>
        <w:left w:val="none" w:sz="0" w:space="0" w:color="auto"/>
        <w:bottom w:val="none" w:sz="0" w:space="0" w:color="auto"/>
        <w:right w:val="none" w:sz="0" w:space="0" w:color="auto"/>
      </w:divBdr>
    </w:div>
    <w:div w:id="660623476">
      <w:marLeft w:val="0"/>
      <w:marRight w:val="0"/>
      <w:marTop w:val="60"/>
      <w:marBottom w:val="60"/>
      <w:divBdr>
        <w:top w:val="none" w:sz="0" w:space="0" w:color="auto"/>
        <w:left w:val="none" w:sz="0" w:space="0" w:color="auto"/>
        <w:bottom w:val="none" w:sz="0" w:space="0" w:color="auto"/>
        <w:right w:val="none" w:sz="0" w:space="0" w:color="auto"/>
      </w:divBdr>
    </w:div>
    <w:div w:id="660624024">
      <w:marLeft w:val="0"/>
      <w:marRight w:val="0"/>
      <w:marTop w:val="180"/>
      <w:marBottom w:val="180"/>
      <w:divBdr>
        <w:top w:val="none" w:sz="0" w:space="0" w:color="auto"/>
        <w:left w:val="none" w:sz="0" w:space="0" w:color="auto"/>
        <w:bottom w:val="none" w:sz="0" w:space="0" w:color="auto"/>
        <w:right w:val="none" w:sz="0" w:space="0" w:color="auto"/>
      </w:divBdr>
    </w:div>
    <w:div w:id="661586069">
      <w:marLeft w:val="0"/>
      <w:marRight w:val="0"/>
      <w:marTop w:val="180"/>
      <w:marBottom w:val="180"/>
      <w:divBdr>
        <w:top w:val="none" w:sz="0" w:space="0" w:color="auto"/>
        <w:left w:val="none" w:sz="0" w:space="0" w:color="auto"/>
        <w:bottom w:val="none" w:sz="0" w:space="0" w:color="auto"/>
        <w:right w:val="none" w:sz="0" w:space="0" w:color="auto"/>
      </w:divBdr>
    </w:div>
    <w:div w:id="661784842">
      <w:marLeft w:val="0"/>
      <w:marRight w:val="0"/>
      <w:marTop w:val="60"/>
      <w:marBottom w:val="60"/>
      <w:divBdr>
        <w:top w:val="none" w:sz="0" w:space="0" w:color="auto"/>
        <w:left w:val="none" w:sz="0" w:space="0" w:color="auto"/>
        <w:bottom w:val="none" w:sz="0" w:space="0" w:color="auto"/>
        <w:right w:val="none" w:sz="0" w:space="0" w:color="auto"/>
      </w:divBdr>
    </w:div>
    <w:div w:id="662045836">
      <w:marLeft w:val="0"/>
      <w:marRight w:val="0"/>
      <w:marTop w:val="180"/>
      <w:marBottom w:val="60"/>
      <w:divBdr>
        <w:top w:val="none" w:sz="0" w:space="0" w:color="auto"/>
        <w:left w:val="none" w:sz="0" w:space="0" w:color="auto"/>
        <w:bottom w:val="none" w:sz="0" w:space="0" w:color="auto"/>
        <w:right w:val="none" w:sz="0" w:space="0" w:color="auto"/>
      </w:divBdr>
      <w:divsChild>
        <w:div w:id="692655111">
          <w:marLeft w:val="0"/>
          <w:marRight w:val="0"/>
          <w:marTop w:val="0"/>
          <w:marBottom w:val="0"/>
          <w:divBdr>
            <w:top w:val="none" w:sz="0" w:space="0" w:color="auto"/>
            <w:left w:val="none" w:sz="0" w:space="0" w:color="auto"/>
            <w:bottom w:val="none" w:sz="0" w:space="0" w:color="auto"/>
            <w:right w:val="none" w:sz="0" w:space="0" w:color="auto"/>
          </w:divBdr>
        </w:div>
      </w:divsChild>
    </w:div>
    <w:div w:id="664629094">
      <w:marLeft w:val="0"/>
      <w:marRight w:val="0"/>
      <w:marTop w:val="60"/>
      <w:marBottom w:val="60"/>
      <w:divBdr>
        <w:top w:val="none" w:sz="0" w:space="0" w:color="auto"/>
        <w:left w:val="none" w:sz="0" w:space="0" w:color="auto"/>
        <w:bottom w:val="none" w:sz="0" w:space="0" w:color="auto"/>
        <w:right w:val="none" w:sz="0" w:space="0" w:color="auto"/>
      </w:divBdr>
    </w:div>
    <w:div w:id="665598356">
      <w:marLeft w:val="0"/>
      <w:marRight w:val="0"/>
      <w:marTop w:val="180"/>
      <w:marBottom w:val="60"/>
      <w:divBdr>
        <w:top w:val="none" w:sz="0" w:space="0" w:color="auto"/>
        <w:left w:val="none" w:sz="0" w:space="0" w:color="auto"/>
        <w:bottom w:val="none" w:sz="0" w:space="0" w:color="auto"/>
        <w:right w:val="none" w:sz="0" w:space="0" w:color="auto"/>
      </w:divBdr>
    </w:div>
    <w:div w:id="666977748">
      <w:marLeft w:val="0"/>
      <w:marRight w:val="0"/>
      <w:marTop w:val="0"/>
      <w:marBottom w:val="0"/>
      <w:divBdr>
        <w:top w:val="none" w:sz="0" w:space="0" w:color="auto"/>
        <w:left w:val="none" w:sz="0" w:space="0" w:color="auto"/>
        <w:bottom w:val="none" w:sz="0" w:space="0" w:color="auto"/>
        <w:right w:val="none" w:sz="0" w:space="0" w:color="auto"/>
      </w:divBdr>
      <w:divsChild>
        <w:div w:id="1065910182">
          <w:marLeft w:val="0"/>
          <w:marRight w:val="0"/>
          <w:marTop w:val="0"/>
          <w:marBottom w:val="0"/>
          <w:divBdr>
            <w:top w:val="none" w:sz="0" w:space="0" w:color="auto"/>
            <w:left w:val="none" w:sz="0" w:space="0" w:color="auto"/>
            <w:bottom w:val="none" w:sz="0" w:space="0" w:color="auto"/>
            <w:right w:val="none" w:sz="0" w:space="0" w:color="auto"/>
          </w:divBdr>
          <w:divsChild>
            <w:div w:id="136086078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68993013">
      <w:marLeft w:val="0"/>
      <w:marRight w:val="0"/>
      <w:marTop w:val="180"/>
      <w:marBottom w:val="180"/>
      <w:divBdr>
        <w:top w:val="none" w:sz="0" w:space="0" w:color="auto"/>
        <w:left w:val="none" w:sz="0" w:space="0" w:color="auto"/>
        <w:bottom w:val="none" w:sz="0" w:space="0" w:color="auto"/>
        <w:right w:val="none" w:sz="0" w:space="0" w:color="auto"/>
      </w:divBdr>
    </w:div>
    <w:div w:id="669065412">
      <w:marLeft w:val="0"/>
      <w:marRight w:val="0"/>
      <w:marTop w:val="180"/>
      <w:marBottom w:val="180"/>
      <w:divBdr>
        <w:top w:val="none" w:sz="0" w:space="0" w:color="auto"/>
        <w:left w:val="none" w:sz="0" w:space="0" w:color="auto"/>
        <w:bottom w:val="none" w:sz="0" w:space="0" w:color="auto"/>
        <w:right w:val="none" w:sz="0" w:space="0" w:color="auto"/>
      </w:divBdr>
    </w:div>
    <w:div w:id="670109950">
      <w:marLeft w:val="0"/>
      <w:marRight w:val="0"/>
      <w:marTop w:val="180"/>
      <w:marBottom w:val="180"/>
      <w:divBdr>
        <w:top w:val="none" w:sz="0" w:space="0" w:color="auto"/>
        <w:left w:val="none" w:sz="0" w:space="0" w:color="auto"/>
        <w:bottom w:val="none" w:sz="0" w:space="0" w:color="auto"/>
        <w:right w:val="none" w:sz="0" w:space="0" w:color="auto"/>
      </w:divBdr>
    </w:div>
    <w:div w:id="671878654">
      <w:marLeft w:val="0"/>
      <w:marRight w:val="0"/>
      <w:marTop w:val="180"/>
      <w:marBottom w:val="180"/>
      <w:divBdr>
        <w:top w:val="none" w:sz="0" w:space="0" w:color="auto"/>
        <w:left w:val="none" w:sz="0" w:space="0" w:color="auto"/>
        <w:bottom w:val="none" w:sz="0" w:space="0" w:color="auto"/>
        <w:right w:val="none" w:sz="0" w:space="0" w:color="auto"/>
      </w:divBdr>
    </w:div>
    <w:div w:id="672880926">
      <w:marLeft w:val="0"/>
      <w:marRight w:val="0"/>
      <w:marTop w:val="180"/>
      <w:marBottom w:val="180"/>
      <w:divBdr>
        <w:top w:val="none" w:sz="0" w:space="0" w:color="auto"/>
        <w:left w:val="none" w:sz="0" w:space="0" w:color="auto"/>
        <w:bottom w:val="none" w:sz="0" w:space="0" w:color="auto"/>
        <w:right w:val="none" w:sz="0" w:space="0" w:color="auto"/>
      </w:divBdr>
    </w:div>
    <w:div w:id="673608290">
      <w:marLeft w:val="0"/>
      <w:marRight w:val="0"/>
      <w:marTop w:val="0"/>
      <w:marBottom w:val="0"/>
      <w:divBdr>
        <w:top w:val="none" w:sz="0" w:space="0" w:color="auto"/>
        <w:left w:val="none" w:sz="0" w:space="0" w:color="auto"/>
        <w:bottom w:val="none" w:sz="0" w:space="0" w:color="auto"/>
        <w:right w:val="none" w:sz="0" w:space="0" w:color="auto"/>
      </w:divBdr>
    </w:div>
    <w:div w:id="674501210">
      <w:marLeft w:val="0"/>
      <w:marRight w:val="0"/>
      <w:marTop w:val="0"/>
      <w:marBottom w:val="0"/>
      <w:divBdr>
        <w:top w:val="none" w:sz="0" w:space="0" w:color="auto"/>
        <w:left w:val="none" w:sz="0" w:space="0" w:color="auto"/>
        <w:bottom w:val="none" w:sz="0" w:space="0" w:color="auto"/>
        <w:right w:val="none" w:sz="0" w:space="0" w:color="auto"/>
      </w:divBdr>
    </w:div>
    <w:div w:id="674845999">
      <w:marLeft w:val="0"/>
      <w:marRight w:val="0"/>
      <w:marTop w:val="180"/>
      <w:marBottom w:val="180"/>
      <w:divBdr>
        <w:top w:val="none" w:sz="0" w:space="0" w:color="auto"/>
        <w:left w:val="none" w:sz="0" w:space="0" w:color="auto"/>
        <w:bottom w:val="none" w:sz="0" w:space="0" w:color="auto"/>
        <w:right w:val="none" w:sz="0" w:space="0" w:color="auto"/>
      </w:divBdr>
    </w:div>
    <w:div w:id="675811463">
      <w:marLeft w:val="0"/>
      <w:marRight w:val="0"/>
      <w:marTop w:val="180"/>
      <w:marBottom w:val="180"/>
      <w:divBdr>
        <w:top w:val="none" w:sz="0" w:space="0" w:color="auto"/>
        <w:left w:val="none" w:sz="0" w:space="0" w:color="auto"/>
        <w:bottom w:val="none" w:sz="0" w:space="0" w:color="auto"/>
        <w:right w:val="none" w:sz="0" w:space="0" w:color="auto"/>
      </w:divBdr>
    </w:div>
    <w:div w:id="678430287">
      <w:marLeft w:val="0"/>
      <w:marRight w:val="0"/>
      <w:marTop w:val="180"/>
      <w:marBottom w:val="180"/>
      <w:divBdr>
        <w:top w:val="none" w:sz="0" w:space="0" w:color="auto"/>
        <w:left w:val="none" w:sz="0" w:space="0" w:color="auto"/>
        <w:bottom w:val="none" w:sz="0" w:space="0" w:color="auto"/>
        <w:right w:val="none" w:sz="0" w:space="0" w:color="auto"/>
      </w:divBdr>
    </w:div>
    <w:div w:id="679158990">
      <w:marLeft w:val="0"/>
      <w:marRight w:val="0"/>
      <w:marTop w:val="0"/>
      <w:marBottom w:val="0"/>
      <w:divBdr>
        <w:top w:val="none" w:sz="0" w:space="0" w:color="auto"/>
        <w:left w:val="none" w:sz="0" w:space="0" w:color="auto"/>
        <w:bottom w:val="none" w:sz="0" w:space="0" w:color="auto"/>
        <w:right w:val="none" w:sz="0" w:space="0" w:color="auto"/>
      </w:divBdr>
      <w:divsChild>
        <w:div w:id="2062554234">
          <w:marLeft w:val="0"/>
          <w:marRight w:val="0"/>
          <w:marTop w:val="0"/>
          <w:marBottom w:val="0"/>
          <w:divBdr>
            <w:top w:val="none" w:sz="0" w:space="0" w:color="auto"/>
            <w:left w:val="none" w:sz="0" w:space="0" w:color="auto"/>
            <w:bottom w:val="none" w:sz="0" w:space="0" w:color="auto"/>
            <w:right w:val="none" w:sz="0" w:space="0" w:color="auto"/>
          </w:divBdr>
          <w:divsChild>
            <w:div w:id="60765777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80745002">
      <w:marLeft w:val="0"/>
      <w:marRight w:val="0"/>
      <w:marTop w:val="0"/>
      <w:marBottom w:val="0"/>
      <w:divBdr>
        <w:top w:val="none" w:sz="0" w:space="0" w:color="auto"/>
        <w:left w:val="none" w:sz="0" w:space="0" w:color="auto"/>
        <w:bottom w:val="none" w:sz="0" w:space="0" w:color="auto"/>
        <w:right w:val="none" w:sz="0" w:space="0" w:color="auto"/>
      </w:divBdr>
    </w:div>
    <w:div w:id="682166931">
      <w:marLeft w:val="0"/>
      <w:marRight w:val="0"/>
      <w:marTop w:val="0"/>
      <w:marBottom w:val="0"/>
      <w:divBdr>
        <w:top w:val="none" w:sz="0" w:space="0" w:color="auto"/>
        <w:left w:val="none" w:sz="0" w:space="0" w:color="auto"/>
        <w:bottom w:val="none" w:sz="0" w:space="0" w:color="auto"/>
        <w:right w:val="none" w:sz="0" w:space="0" w:color="auto"/>
      </w:divBdr>
      <w:divsChild>
        <w:div w:id="768694319">
          <w:marLeft w:val="0"/>
          <w:marRight w:val="0"/>
          <w:marTop w:val="60"/>
          <w:marBottom w:val="180"/>
          <w:divBdr>
            <w:top w:val="none" w:sz="0" w:space="0" w:color="auto"/>
            <w:left w:val="none" w:sz="0" w:space="0" w:color="auto"/>
            <w:bottom w:val="none" w:sz="0" w:space="0" w:color="auto"/>
            <w:right w:val="none" w:sz="0" w:space="0" w:color="auto"/>
          </w:divBdr>
        </w:div>
      </w:divsChild>
    </w:div>
    <w:div w:id="683558833">
      <w:marLeft w:val="0"/>
      <w:marRight w:val="0"/>
      <w:marTop w:val="180"/>
      <w:marBottom w:val="180"/>
      <w:divBdr>
        <w:top w:val="none" w:sz="0" w:space="0" w:color="auto"/>
        <w:left w:val="none" w:sz="0" w:space="0" w:color="auto"/>
        <w:bottom w:val="none" w:sz="0" w:space="0" w:color="auto"/>
        <w:right w:val="none" w:sz="0" w:space="0" w:color="auto"/>
      </w:divBdr>
    </w:div>
    <w:div w:id="683560054">
      <w:marLeft w:val="0"/>
      <w:marRight w:val="0"/>
      <w:marTop w:val="180"/>
      <w:marBottom w:val="180"/>
      <w:divBdr>
        <w:top w:val="none" w:sz="0" w:space="0" w:color="auto"/>
        <w:left w:val="none" w:sz="0" w:space="0" w:color="auto"/>
        <w:bottom w:val="none" w:sz="0" w:space="0" w:color="auto"/>
        <w:right w:val="none" w:sz="0" w:space="0" w:color="auto"/>
      </w:divBdr>
    </w:div>
    <w:div w:id="684018977">
      <w:marLeft w:val="0"/>
      <w:marRight w:val="0"/>
      <w:marTop w:val="180"/>
      <w:marBottom w:val="180"/>
      <w:divBdr>
        <w:top w:val="none" w:sz="0" w:space="0" w:color="auto"/>
        <w:left w:val="none" w:sz="0" w:space="0" w:color="auto"/>
        <w:bottom w:val="none" w:sz="0" w:space="0" w:color="auto"/>
        <w:right w:val="none" w:sz="0" w:space="0" w:color="auto"/>
      </w:divBdr>
    </w:div>
    <w:div w:id="684333298">
      <w:marLeft w:val="0"/>
      <w:marRight w:val="0"/>
      <w:marTop w:val="180"/>
      <w:marBottom w:val="180"/>
      <w:divBdr>
        <w:top w:val="none" w:sz="0" w:space="0" w:color="auto"/>
        <w:left w:val="none" w:sz="0" w:space="0" w:color="auto"/>
        <w:bottom w:val="none" w:sz="0" w:space="0" w:color="auto"/>
        <w:right w:val="none" w:sz="0" w:space="0" w:color="auto"/>
      </w:divBdr>
    </w:div>
    <w:div w:id="687800624">
      <w:marLeft w:val="0"/>
      <w:marRight w:val="0"/>
      <w:marTop w:val="0"/>
      <w:marBottom w:val="0"/>
      <w:divBdr>
        <w:top w:val="none" w:sz="0" w:space="0" w:color="auto"/>
        <w:left w:val="none" w:sz="0" w:space="0" w:color="auto"/>
        <w:bottom w:val="none" w:sz="0" w:space="0" w:color="auto"/>
        <w:right w:val="none" w:sz="0" w:space="0" w:color="auto"/>
      </w:divBdr>
    </w:div>
    <w:div w:id="688416090">
      <w:marLeft w:val="0"/>
      <w:marRight w:val="0"/>
      <w:marTop w:val="180"/>
      <w:marBottom w:val="180"/>
      <w:divBdr>
        <w:top w:val="none" w:sz="0" w:space="0" w:color="auto"/>
        <w:left w:val="none" w:sz="0" w:space="0" w:color="auto"/>
        <w:bottom w:val="none" w:sz="0" w:space="0" w:color="auto"/>
        <w:right w:val="none" w:sz="0" w:space="0" w:color="auto"/>
      </w:divBdr>
    </w:div>
    <w:div w:id="689528452">
      <w:marLeft w:val="0"/>
      <w:marRight w:val="0"/>
      <w:marTop w:val="180"/>
      <w:marBottom w:val="180"/>
      <w:divBdr>
        <w:top w:val="none" w:sz="0" w:space="0" w:color="auto"/>
        <w:left w:val="none" w:sz="0" w:space="0" w:color="auto"/>
        <w:bottom w:val="none" w:sz="0" w:space="0" w:color="auto"/>
        <w:right w:val="none" w:sz="0" w:space="0" w:color="auto"/>
      </w:divBdr>
    </w:div>
    <w:div w:id="689916029">
      <w:marLeft w:val="0"/>
      <w:marRight w:val="0"/>
      <w:marTop w:val="120"/>
      <w:marBottom w:val="60"/>
      <w:divBdr>
        <w:top w:val="none" w:sz="0" w:space="0" w:color="auto"/>
        <w:left w:val="none" w:sz="0" w:space="0" w:color="auto"/>
        <w:bottom w:val="none" w:sz="0" w:space="0" w:color="auto"/>
        <w:right w:val="none" w:sz="0" w:space="0" w:color="auto"/>
      </w:divBdr>
    </w:div>
    <w:div w:id="690952679">
      <w:marLeft w:val="0"/>
      <w:marRight w:val="0"/>
      <w:marTop w:val="180"/>
      <w:marBottom w:val="180"/>
      <w:divBdr>
        <w:top w:val="none" w:sz="0" w:space="0" w:color="auto"/>
        <w:left w:val="none" w:sz="0" w:space="0" w:color="auto"/>
        <w:bottom w:val="none" w:sz="0" w:space="0" w:color="auto"/>
        <w:right w:val="none" w:sz="0" w:space="0" w:color="auto"/>
      </w:divBdr>
    </w:div>
    <w:div w:id="691343868">
      <w:marLeft w:val="0"/>
      <w:marRight w:val="0"/>
      <w:marTop w:val="180"/>
      <w:marBottom w:val="180"/>
      <w:divBdr>
        <w:top w:val="none" w:sz="0" w:space="0" w:color="auto"/>
        <w:left w:val="none" w:sz="0" w:space="0" w:color="auto"/>
        <w:bottom w:val="none" w:sz="0" w:space="0" w:color="auto"/>
        <w:right w:val="none" w:sz="0" w:space="0" w:color="auto"/>
      </w:divBdr>
    </w:div>
    <w:div w:id="691539526">
      <w:marLeft w:val="0"/>
      <w:marRight w:val="0"/>
      <w:marTop w:val="60"/>
      <w:marBottom w:val="60"/>
      <w:divBdr>
        <w:top w:val="none" w:sz="0" w:space="0" w:color="auto"/>
        <w:left w:val="none" w:sz="0" w:space="0" w:color="auto"/>
        <w:bottom w:val="none" w:sz="0" w:space="0" w:color="auto"/>
        <w:right w:val="none" w:sz="0" w:space="0" w:color="auto"/>
      </w:divBdr>
    </w:div>
    <w:div w:id="691878716">
      <w:marLeft w:val="0"/>
      <w:marRight w:val="0"/>
      <w:marTop w:val="180"/>
      <w:marBottom w:val="180"/>
      <w:divBdr>
        <w:top w:val="none" w:sz="0" w:space="0" w:color="auto"/>
        <w:left w:val="none" w:sz="0" w:space="0" w:color="auto"/>
        <w:bottom w:val="none" w:sz="0" w:space="0" w:color="auto"/>
        <w:right w:val="none" w:sz="0" w:space="0" w:color="auto"/>
      </w:divBdr>
    </w:div>
    <w:div w:id="691956700">
      <w:marLeft w:val="0"/>
      <w:marRight w:val="0"/>
      <w:marTop w:val="180"/>
      <w:marBottom w:val="180"/>
      <w:divBdr>
        <w:top w:val="none" w:sz="0" w:space="0" w:color="auto"/>
        <w:left w:val="none" w:sz="0" w:space="0" w:color="auto"/>
        <w:bottom w:val="none" w:sz="0" w:space="0" w:color="auto"/>
        <w:right w:val="none" w:sz="0" w:space="0" w:color="auto"/>
      </w:divBdr>
    </w:div>
    <w:div w:id="692195646">
      <w:marLeft w:val="0"/>
      <w:marRight w:val="0"/>
      <w:marTop w:val="180"/>
      <w:marBottom w:val="180"/>
      <w:divBdr>
        <w:top w:val="none" w:sz="0" w:space="0" w:color="auto"/>
        <w:left w:val="none" w:sz="0" w:space="0" w:color="auto"/>
        <w:bottom w:val="none" w:sz="0" w:space="0" w:color="auto"/>
        <w:right w:val="none" w:sz="0" w:space="0" w:color="auto"/>
      </w:divBdr>
    </w:div>
    <w:div w:id="693043382">
      <w:marLeft w:val="0"/>
      <w:marRight w:val="0"/>
      <w:marTop w:val="60"/>
      <w:marBottom w:val="60"/>
      <w:divBdr>
        <w:top w:val="none" w:sz="0" w:space="0" w:color="auto"/>
        <w:left w:val="none" w:sz="0" w:space="0" w:color="auto"/>
        <w:bottom w:val="none" w:sz="0" w:space="0" w:color="auto"/>
        <w:right w:val="none" w:sz="0" w:space="0" w:color="auto"/>
      </w:divBdr>
    </w:div>
    <w:div w:id="693193362">
      <w:marLeft w:val="0"/>
      <w:marRight w:val="0"/>
      <w:marTop w:val="180"/>
      <w:marBottom w:val="180"/>
      <w:divBdr>
        <w:top w:val="none" w:sz="0" w:space="0" w:color="auto"/>
        <w:left w:val="none" w:sz="0" w:space="0" w:color="auto"/>
        <w:bottom w:val="none" w:sz="0" w:space="0" w:color="auto"/>
        <w:right w:val="none" w:sz="0" w:space="0" w:color="auto"/>
      </w:divBdr>
    </w:div>
    <w:div w:id="697239197">
      <w:marLeft w:val="0"/>
      <w:marRight w:val="0"/>
      <w:marTop w:val="180"/>
      <w:marBottom w:val="180"/>
      <w:divBdr>
        <w:top w:val="none" w:sz="0" w:space="0" w:color="auto"/>
        <w:left w:val="none" w:sz="0" w:space="0" w:color="auto"/>
        <w:bottom w:val="none" w:sz="0" w:space="0" w:color="auto"/>
        <w:right w:val="none" w:sz="0" w:space="0" w:color="auto"/>
      </w:divBdr>
    </w:div>
    <w:div w:id="699016919">
      <w:marLeft w:val="0"/>
      <w:marRight w:val="0"/>
      <w:marTop w:val="180"/>
      <w:marBottom w:val="180"/>
      <w:divBdr>
        <w:top w:val="none" w:sz="0" w:space="0" w:color="auto"/>
        <w:left w:val="none" w:sz="0" w:space="0" w:color="auto"/>
        <w:bottom w:val="none" w:sz="0" w:space="0" w:color="auto"/>
        <w:right w:val="none" w:sz="0" w:space="0" w:color="auto"/>
      </w:divBdr>
    </w:div>
    <w:div w:id="699163724">
      <w:marLeft w:val="0"/>
      <w:marRight w:val="0"/>
      <w:marTop w:val="60"/>
      <w:marBottom w:val="60"/>
      <w:divBdr>
        <w:top w:val="none" w:sz="0" w:space="0" w:color="auto"/>
        <w:left w:val="none" w:sz="0" w:space="0" w:color="auto"/>
        <w:bottom w:val="none" w:sz="0" w:space="0" w:color="auto"/>
        <w:right w:val="none" w:sz="0" w:space="0" w:color="auto"/>
      </w:divBdr>
    </w:div>
    <w:div w:id="701134049">
      <w:marLeft w:val="0"/>
      <w:marRight w:val="0"/>
      <w:marTop w:val="180"/>
      <w:marBottom w:val="180"/>
      <w:divBdr>
        <w:top w:val="none" w:sz="0" w:space="0" w:color="auto"/>
        <w:left w:val="none" w:sz="0" w:space="0" w:color="auto"/>
        <w:bottom w:val="none" w:sz="0" w:space="0" w:color="auto"/>
        <w:right w:val="none" w:sz="0" w:space="0" w:color="auto"/>
      </w:divBdr>
    </w:div>
    <w:div w:id="702360335">
      <w:marLeft w:val="0"/>
      <w:marRight w:val="0"/>
      <w:marTop w:val="180"/>
      <w:marBottom w:val="180"/>
      <w:divBdr>
        <w:top w:val="none" w:sz="0" w:space="0" w:color="auto"/>
        <w:left w:val="none" w:sz="0" w:space="0" w:color="auto"/>
        <w:bottom w:val="none" w:sz="0" w:space="0" w:color="auto"/>
        <w:right w:val="none" w:sz="0" w:space="0" w:color="auto"/>
      </w:divBdr>
    </w:div>
    <w:div w:id="704210684">
      <w:marLeft w:val="0"/>
      <w:marRight w:val="0"/>
      <w:marTop w:val="0"/>
      <w:marBottom w:val="15"/>
      <w:divBdr>
        <w:top w:val="none" w:sz="0" w:space="0" w:color="auto"/>
        <w:left w:val="none" w:sz="0" w:space="0" w:color="auto"/>
        <w:bottom w:val="none" w:sz="0" w:space="0" w:color="auto"/>
        <w:right w:val="none" w:sz="0" w:space="0" w:color="auto"/>
      </w:divBdr>
    </w:div>
    <w:div w:id="704329561">
      <w:marLeft w:val="0"/>
      <w:marRight w:val="0"/>
      <w:marTop w:val="180"/>
      <w:marBottom w:val="180"/>
      <w:divBdr>
        <w:top w:val="none" w:sz="0" w:space="0" w:color="auto"/>
        <w:left w:val="none" w:sz="0" w:space="0" w:color="auto"/>
        <w:bottom w:val="none" w:sz="0" w:space="0" w:color="auto"/>
        <w:right w:val="none" w:sz="0" w:space="0" w:color="auto"/>
      </w:divBdr>
    </w:div>
    <w:div w:id="704868309">
      <w:marLeft w:val="0"/>
      <w:marRight w:val="0"/>
      <w:marTop w:val="60"/>
      <w:marBottom w:val="60"/>
      <w:divBdr>
        <w:top w:val="none" w:sz="0" w:space="0" w:color="auto"/>
        <w:left w:val="none" w:sz="0" w:space="0" w:color="auto"/>
        <w:bottom w:val="none" w:sz="0" w:space="0" w:color="auto"/>
        <w:right w:val="none" w:sz="0" w:space="0" w:color="auto"/>
      </w:divBdr>
    </w:div>
    <w:div w:id="704907396">
      <w:marLeft w:val="0"/>
      <w:marRight w:val="0"/>
      <w:marTop w:val="180"/>
      <w:marBottom w:val="180"/>
      <w:divBdr>
        <w:top w:val="none" w:sz="0" w:space="0" w:color="auto"/>
        <w:left w:val="none" w:sz="0" w:space="0" w:color="auto"/>
        <w:bottom w:val="none" w:sz="0" w:space="0" w:color="auto"/>
        <w:right w:val="none" w:sz="0" w:space="0" w:color="auto"/>
      </w:divBdr>
    </w:div>
    <w:div w:id="705059210">
      <w:marLeft w:val="0"/>
      <w:marRight w:val="0"/>
      <w:marTop w:val="60"/>
      <w:marBottom w:val="60"/>
      <w:divBdr>
        <w:top w:val="none" w:sz="0" w:space="0" w:color="auto"/>
        <w:left w:val="none" w:sz="0" w:space="0" w:color="auto"/>
        <w:bottom w:val="none" w:sz="0" w:space="0" w:color="auto"/>
        <w:right w:val="none" w:sz="0" w:space="0" w:color="auto"/>
      </w:divBdr>
    </w:div>
    <w:div w:id="706956846">
      <w:marLeft w:val="0"/>
      <w:marRight w:val="0"/>
      <w:marTop w:val="0"/>
      <w:marBottom w:val="0"/>
      <w:divBdr>
        <w:top w:val="none" w:sz="0" w:space="0" w:color="auto"/>
        <w:left w:val="none" w:sz="0" w:space="0" w:color="auto"/>
        <w:bottom w:val="none" w:sz="0" w:space="0" w:color="auto"/>
        <w:right w:val="none" w:sz="0" w:space="0" w:color="auto"/>
      </w:divBdr>
    </w:div>
    <w:div w:id="708182579">
      <w:marLeft w:val="0"/>
      <w:marRight w:val="0"/>
      <w:marTop w:val="180"/>
      <w:marBottom w:val="180"/>
      <w:divBdr>
        <w:top w:val="none" w:sz="0" w:space="0" w:color="auto"/>
        <w:left w:val="none" w:sz="0" w:space="0" w:color="auto"/>
        <w:bottom w:val="none" w:sz="0" w:space="0" w:color="auto"/>
        <w:right w:val="none" w:sz="0" w:space="0" w:color="auto"/>
      </w:divBdr>
    </w:div>
    <w:div w:id="708188513">
      <w:marLeft w:val="0"/>
      <w:marRight w:val="0"/>
      <w:marTop w:val="180"/>
      <w:marBottom w:val="180"/>
      <w:divBdr>
        <w:top w:val="none" w:sz="0" w:space="0" w:color="auto"/>
        <w:left w:val="none" w:sz="0" w:space="0" w:color="auto"/>
        <w:bottom w:val="none" w:sz="0" w:space="0" w:color="auto"/>
        <w:right w:val="none" w:sz="0" w:space="0" w:color="auto"/>
      </w:divBdr>
    </w:div>
    <w:div w:id="709648708">
      <w:marLeft w:val="0"/>
      <w:marRight w:val="0"/>
      <w:marTop w:val="0"/>
      <w:marBottom w:val="180"/>
      <w:divBdr>
        <w:top w:val="none" w:sz="0" w:space="0" w:color="auto"/>
        <w:left w:val="none" w:sz="0" w:space="0" w:color="auto"/>
        <w:bottom w:val="none" w:sz="0" w:space="0" w:color="auto"/>
        <w:right w:val="none" w:sz="0" w:space="0" w:color="auto"/>
      </w:divBdr>
    </w:div>
    <w:div w:id="709695771">
      <w:marLeft w:val="0"/>
      <w:marRight w:val="0"/>
      <w:marTop w:val="180"/>
      <w:marBottom w:val="180"/>
      <w:divBdr>
        <w:top w:val="none" w:sz="0" w:space="0" w:color="auto"/>
        <w:left w:val="none" w:sz="0" w:space="0" w:color="auto"/>
        <w:bottom w:val="none" w:sz="0" w:space="0" w:color="auto"/>
        <w:right w:val="none" w:sz="0" w:space="0" w:color="auto"/>
      </w:divBdr>
    </w:div>
    <w:div w:id="710809014">
      <w:marLeft w:val="0"/>
      <w:marRight w:val="0"/>
      <w:marTop w:val="60"/>
      <w:marBottom w:val="60"/>
      <w:divBdr>
        <w:top w:val="none" w:sz="0" w:space="0" w:color="auto"/>
        <w:left w:val="none" w:sz="0" w:space="0" w:color="auto"/>
        <w:bottom w:val="none" w:sz="0" w:space="0" w:color="auto"/>
        <w:right w:val="none" w:sz="0" w:space="0" w:color="auto"/>
      </w:divBdr>
    </w:div>
    <w:div w:id="710962663">
      <w:marLeft w:val="0"/>
      <w:marRight w:val="0"/>
      <w:marTop w:val="180"/>
      <w:marBottom w:val="180"/>
      <w:divBdr>
        <w:top w:val="none" w:sz="0" w:space="0" w:color="auto"/>
        <w:left w:val="none" w:sz="0" w:space="0" w:color="auto"/>
        <w:bottom w:val="none" w:sz="0" w:space="0" w:color="auto"/>
        <w:right w:val="none" w:sz="0" w:space="0" w:color="auto"/>
      </w:divBdr>
    </w:div>
    <w:div w:id="711270637">
      <w:marLeft w:val="0"/>
      <w:marRight w:val="0"/>
      <w:marTop w:val="0"/>
      <w:marBottom w:val="0"/>
      <w:divBdr>
        <w:top w:val="none" w:sz="0" w:space="0" w:color="auto"/>
        <w:left w:val="none" w:sz="0" w:space="0" w:color="auto"/>
        <w:bottom w:val="none" w:sz="0" w:space="0" w:color="auto"/>
        <w:right w:val="none" w:sz="0" w:space="0" w:color="auto"/>
      </w:divBdr>
    </w:div>
    <w:div w:id="713308420">
      <w:marLeft w:val="0"/>
      <w:marRight w:val="0"/>
      <w:marTop w:val="0"/>
      <w:marBottom w:val="0"/>
      <w:divBdr>
        <w:top w:val="none" w:sz="0" w:space="0" w:color="auto"/>
        <w:left w:val="none" w:sz="0" w:space="0" w:color="auto"/>
        <w:bottom w:val="none" w:sz="0" w:space="0" w:color="auto"/>
        <w:right w:val="none" w:sz="0" w:space="0" w:color="auto"/>
      </w:divBdr>
    </w:div>
    <w:div w:id="713627020">
      <w:marLeft w:val="0"/>
      <w:marRight w:val="0"/>
      <w:marTop w:val="180"/>
      <w:marBottom w:val="180"/>
      <w:divBdr>
        <w:top w:val="none" w:sz="0" w:space="0" w:color="auto"/>
        <w:left w:val="none" w:sz="0" w:space="0" w:color="auto"/>
        <w:bottom w:val="none" w:sz="0" w:space="0" w:color="auto"/>
        <w:right w:val="none" w:sz="0" w:space="0" w:color="auto"/>
      </w:divBdr>
    </w:div>
    <w:div w:id="714740299">
      <w:marLeft w:val="0"/>
      <w:marRight w:val="0"/>
      <w:marTop w:val="180"/>
      <w:marBottom w:val="180"/>
      <w:divBdr>
        <w:top w:val="none" w:sz="0" w:space="0" w:color="auto"/>
        <w:left w:val="none" w:sz="0" w:space="0" w:color="auto"/>
        <w:bottom w:val="none" w:sz="0" w:space="0" w:color="auto"/>
        <w:right w:val="none" w:sz="0" w:space="0" w:color="auto"/>
      </w:divBdr>
    </w:div>
    <w:div w:id="714813949">
      <w:marLeft w:val="0"/>
      <w:marRight w:val="0"/>
      <w:marTop w:val="60"/>
      <w:marBottom w:val="60"/>
      <w:divBdr>
        <w:top w:val="none" w:sz="0" w:space="0" w:color="auto"/>
        <w:left w:val="none" w:sz="0" w:space="0" w:color="auto"/>
        <w:bottom w:val="none" w:sz="0" w:space="0" w:color="auto"/>
        <w:right w:val="none" w:sz="0" w:space="0" w:color="auto"/>
      </w:divBdr>
    </w:div>
    <w:div w:id="715550727">
      <w:marLeft w:val="0"/>
      <w:marRight w:val="0"/>
      <w:marTop w:val="0"/>
      <w:marBottom w:val="0"/>
      <w:divBdr>
        <w:top w:val="none" w:sz="0" w:space="0" w:color="auto"/>
        <w:left w:val="none" w:sz="0" w:space="0" w:color="auto"/>
        <w:bottom w:val="none" w:sz="0" w:space="0" w:color="auto"/>
        <w:right w:val="none" w:sz="0" w:space="0" w:color="auto"/>
      </w:divBdr>
      <w:divsChild>
        <w:div w:id="2088067083">
          <w:marLeft w:val="0"/>
          <w:marRight w:val="0"/>
          <w:marTop w:val="0"/>
          <w:marBottom w:val="0"/>
          <w:divBdr>
            <w:top w:val="none" w:sz="0" w:space="0" w:color="auto"/>
            <w:left w:val="none" w:sz="0" w:space="0" w:color="auto"/>
            <w:bottom w:val="none" w:sz="0" w:space="0" w:color="auto"/>
            <w:right w:val="none" w:sz="0" w:space="0" w:color="auto"/>
          </w:divBdr>
          <w:divsChild>
            <w:div w:id="132782526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16708881">
      <w:marLeft w:val="0"/>
      <w:marRight w:val="0"/>
      <w:marTop w:val="0"/>
      <w:marBottom w:val="0"/>
      <w:divBdr>
        <w:top w:val="none" w:sz="0" w:space="0" w:color="auto"/>
        <w:left w:val="none" w:sz="0" w:space="0" w:color="auto"/>
        <w:bottom w:val="none" w:sz="0" w:space="0" w:color="auto"/>
        <w:right w:val="none" w:sz="0" w:space="0" w:color="auto"/>
      </w:divBdr>
      <w:divsChild>
        <w:div w:id="70473746">
          <w:marLeft w:val="0"/>
          <w:marRight w:val="0"/>
          <w:marTop w:val="0"/>
          <w:marBottom w:val="0"/>
          <w:divBdr>
            <w:top w:val="none" w:sz="0" w:space="0" w:color="auto"/>
            <w:left w:val="none" w:sz="0" w:space="0" w:color="auto"/>
            <w:bottom w:val="none" w:sz="0" w:space="0" w:color="auto"/>
            <w:right w:val="none" w:sz="0" w:space="0" w:color="auto"/>
          </w:divBdr>
        </w:div>
      </w:divsChild>
    </w:div>
    <w:div w:id="716776431">
      <w:marLeft w:val="0"/>
      <w:marRight w:val="0"/>
      <w:marTop w:val="60"/>
      <w:marBottom w:val="60"/>
      <w:divBdr>
        <w:top w:val="none" w:sz="0" w:space="0" w:color="auto"/>
        <w:left w:val="none" w:sz="0" w:space="0" w:color="auto"/>
        <w:bottom w:val="none" w:sz="0" w:space="0" w:color="auto"/>
        <w:right w:val="none" w:sz="0" w:space="0" w:color="auto"/>
      </w:divBdr>
    </w:div>
    <w:div w:id="717045874">
      <w:marLeft w:val="0"/>
      <w:marRight w:val="0"/>
      <w:marTop w:val="180"/>
      <w:marBottom w:val="180"/>
      <w:divBdr>
        <w:top w:val="none" w:sz="0" w:space="0" w:color="auto"/>
        <w:left w:val="none" w:sz="0" w:space="0" w:color="auto"/>
        <w:bottom w:val="none" w:sz="0" w:space="0" w:color="auto"/>
        <w:right w:val="none" w:sz="0" w:space="0" w:color="auto"/>
      </w:divBdr>
    </w:div>
    <w:div w:id="717123100">
      <w:marLeft w:val="0"/>
      <w:marRight w:val="0"/>
      <w:marTop w:val="0"/>
      <w:marBottom w:val="0"/>
      <w:divBdr>
        <w:top w:val="none" w:sz="0" w:space="0" w:color="auto"/>
        <w:left w:val="none" w:sz="0" w:space="0" w:color="auto"/>
        <w:bottom w:val="none" w:sz="0" w:space="0" w:color="auto"/>
        <w:right w:val="none" w:sz="0" w:space="0" w:color="auto"/>
      </w:divBdr>
      <w:divsChild>
        <w:div w:id="317851713">
          <w:marLeft w:val="0"/>
          <w:marRight w:val="0"/>
          <w:marTop w:val="0"/>
          <w:marBottom w:val="180"/>
          <w:divBdr>
            <w:top w:val="none" w:sz="0" w:space="0" w:color="auto"/>
            <w:left w:val="none" w:sz="0" w:space="0" w:color="auto"/>
            <w:bottom w:val="none" w:sz="0" w:space="0" w:color="auto"/>
            <w:right w:val="none" w:sz="0" w:space="0" w:color="auto"/>
          </w:divBdr>
        </w:div>
      </w:divsChild>
    </w:div>
    <w:div w:id="717171608">
      <w:marLeft w:val="0"/>
      <w:marRight w:val="0"/>
      <w:marTop w:val="0"/>
      <w:marBottom w:val="0"/>
      <w:divBdr>
        <w:top w:val="none" w:sz="0" w:space="0" w:color="auto"/>
        <w:left w:val="none" w:sz="0" w:space="0" w:color="auto"/>
        <w:bottom w:val="none" w:sz="0" w:space="0" w:color="auto"/>
        <w:right w:val="none" w:sz="0" w:space="0" w:color="auto"/>
      </w:divBdr>
    </w:div>
    <w:div w:id="720330654">
      <w:marLeft w:val="0"/>
      <w:marRight w:val="0"/>
      <w:marTop w:val="0"/>
      <w:marBottom w:val="60"/>
      <w:divBdr>
        <w:top w:val="none" w:sz="0" w:space="0" w:color="auto"/>
        <w:left w:val="none" w:sz="0" w:space="0" w:color="auto"/>
        <w:bottom w:val="none" w:sz="0" w:space="0" w:color="auto"/>
        <w:right w:val="none" w:sz="0" w:space="0" w:color="auto"/>
      </w:divBdr>
    </w:div>
    <w:div w:id="725883557">
      <w:marLeft w:val="0"/>
      <w:marRight w:val="0"/>
      <w:marTop w:val="180"/>
      <w:marBottom w:val="180"/>
      <w:divBdr>
        <w:top w:val="none" w:sz="0" w:space="0" w:color="auto"/>
        <w:left w:val="none" w:sz="0" w:space="0" w:color="auto"/>
        <w:bottom w:val="none" w:sz="0" w:space="0" w:color="auto"/>
        <w:right w:val="none" w:sz="0" w:space="0" w:color="auto"/>
      </w:divBdr>
    </w:div>
    <w:div w:id="726225011">
      <w:marLeft w:val="0"/>
      <w:marRight w:val="0"/>
      <w:marTop w:val="0"/>
      <w:marBottom w:val="0"/>
      <w:divBdr>
        <w:top w:val="none" w:sz="0" w:space="0" w:color="auto"/>
        <w:left w:val="none" w:sz="0" w:space="0" w:color="auto"/>
        <w:bottom w:val="none" w:sz="0" w:space="0" w:color="auto"/>
        <w:right w:val="none" w:sz="0" w:space="0" w:color="auto"/>
      </w:divBdr>
    </w:div>
    <w:div w:id="726295435">
      <w:marLeft w:val="0"/>
      <w:marRight w:val="0"/>
      <w:marTop w:val="60"/>
      <w:marBottom w:val="60"/>
      <w:divBdr>
        <w:top w:val="none" w:sz="0" w:space="0" w:color="auto"/>
        <w:left w:val="none" w:sz="0" w:space="0" w:color="auto"/>
        <w:bottom w:val="none" w:sz="0" w:space="0" w:color="auto"/>
        <w:right w:val="none" w:sz="0" w:space="0" w:color="auto"/>
      </w:divBdr>
    </w:div>
    <w:div w:id="726419097">
      <w:marLeft w:val="0"/>
      <w:marRight w:val="0"/>
      <w:marTop w:val="180"/>
      <w:marBottom w:val="180"/>
      <w:divBdr>
        <w:top w:val="none" w:sz="0" w:space="0" w:color="auto"/>
        <w:left w:val="none" w:sz="0" w:space="0" w:color="auto"/>
        <w:bottom w:val="none" w:sz="0" w:space="0" w:color="auto"/>
        <w:right w:val="none" w:sz="0" w:space="0" w:color="auto"/>
      </w:divBdr>
    </w:div>
    <w:div w:id="726955505">
      <w:marLeft w:val="0"/>
      <w:marRight w:val="0"/>
      <w:marTop w:val="180"/>
      <w:marBottom w:val="180"/>
      <w:divBdr>
        <w:top w:val="none" w:sz="0" w:space="0" w:color="auto"/>
        <w:left w:val="none" w:sz="0" w:space="0" w:color="auto"/>
        <w:bottom w:val="none" w:sz="0" w:space="0" w:color="auto"/>
        <w:right w:val="none" w:sz="0" w:space="0" w:color="auto"/>
      </w:divBdr>
    </w:div>
    <w:div w:id="727455599">
      <w:marLeft w:val="0"/>
      <w:marRight w:val="0"/>
      <w:marTop w:val="60"/>
      <w:marBottom w:val="60"/>
      <w:divBdr>
        <w:top w:val="none" w:sz="0" w:space="0" w:color="auto"/>
        <w:left w:val="none" w:sz="0" w:space="0" w:color="auto"/>
        <w:bottom w:val="none" w:sz="0" w:space="0" w:color="auto"/>
        <w:right w:val="none" w:sz="0" w:space="0" w:color="auto"/>
      </w:divBdr>
    </w:div>
    <w:div w:id="728771188">
      <w:marLeft w:val="0"/>
      <w:marRight w:val="0"/>
      <w:marTop w:val="0"/>
      <w:marBottom w:val="0"/>
      <w:divBdr>
        <w:top w:val="none" w:sz="0" w:space="0" w:color="auto"/>
        <w:left w:val="none" w:sz="0" w:space="0" w:color="auto"/>
        <w:bottom w:val="none" w:sz="0" w:space="0" w:color="auto"/>
        <w:right w:val="none" w:sz="0" w:space="0" w:color="auto"/>
      </w:divBdr>
      <w:divsChild>
        <w:div w:id="1566530871">
          <w:marLeft w:val="0"/>
          <w:marRight w:val="0"/>
          <w:marTop w:val="0"/>
          <w:marBottom w:val="0"/>
          <w:divBdr>
            <w:top w:val="none" w:sz="0" w:space="0" w:color="auto"/>
            <w:left w:val="none" w:sz="0" w:space="0" w:color="auto"/>
            <w:bottom w:val="none" w:sz="0" w:space="0" w:color="auto"/>
            <w:right w:val="none" w:sz="0" w:space="0" w:color="auto"/>
          </w:divBdr>
          <w:divsChild>
            <w:div w:id="186837291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29305534">
      <w:marLeft w:val="0"/>
      <w:marRight w:val="0"/>
      <w:marTop w:val="0"/>
      <w:marBottom w:val="0"/>
      <w:divBdr>
        <w:top w:val="none" w:sz="0" w:space="0" w:color="auto"/>
        <w:left w:val="none" w:sz="0" w:space="0" w:color="auto"/>
        <w:bottom w:val="none" w:sz="0" w:space="0" w:color="auto"/>
        <w:right w:val="none" w:sz="0" w:space="0" w:color="auto"/>
      </w:divBdr>
      <w:divsChild>
        <w:div w:id="1354304937">
          <w:marLeft w:val="0"/>
          <w:marRight w:val="0"/>
          <w:marTop w:val="60"/>
          <w:marBottom w:val="180"/>
          <w:divBdr>
            <w:top w:val="none" w:sz="0" w:space="0" w:color="auto"/>
            <w:left w:val="none" w:sz="0" w:space="0" w:color="auto"/>
            <w:bottom w:val="none" w:sz="0" w:space="0" w:color="auto"/>
            <w:right w:val="none" w:sz="0" w:space="0" w:color="auto"/>
          </w:divBdr>
        </w:div>
      </w:divsChild>
    </w:div>
    <w:div w:id="729962423">
      <w:marLeft w:val="0"/>
      <w:marRight w:val="0"/>
      <w:marTop w:val="180"/>
      <w:marBottom w:val="180"/>
      <w:divBdr>
        <w:top w:val="none" w:sz="0" w:space="0" w:color="auto"/>
        <w:left w:val="none" w:sz="0" w:space="0" w:color="auto"/>
        <w:bottom w:val="none" w:sz="0" w:space="0" w:color="auto"/>
        <w:right w:val="none" w:sz="0" w:space="0" w:color="auto"/>
      </w:divBdr>
    </w:div>
    <w:div w:id="731930139">
      <w:marLeft w:val="0"/>
      <w:marRight w:val="0"/>
      <w:marTop w:val="180"/>
      <w:marBottom w:val="180"/>
      <w:divBdr>
        <w:top w:val="none" w:sz="0" w:space="0" w:color="auto"/>
        <w:left w:val="none" w:sz="0" w:space="0" w:color="auto"/>
        <w:bottom w:val="none" w:sz="0" w:space="0" w:color="auto"/>
        <w:right w:val="none" w:sz="0" w:space="0" w:color="auto"/>
      </w:divBdr>
    </w:div>
    <w:div w:id="732042704">
      <w:marLeft w:val="0"/>
      <w:marRight w:val="0"/>
      <w:marTop w:val="60"/>
      <w:marBottom w:val="60"/>
      <w:divBdr>
        <w:top w:val="none" w:sz="0" w:space="0" w:color="auto"/>
        <w:left w:val="none" w:sz="0" w:space="0" w:color="auto"/>
        <w:bottom w:val="none" w:sz="0" w:space="0" w:color="auto"/>
        <w:right w:val="none" w:sz="0" w:space="0" w:color="auto"/>
      </w:divBdr>
    </w:div>
    <w:div w:id="732314548">
      <w:marLeft w:val="0"/>
      <w:marRight w:val="0"/>
      <w:marTop w:val="0"/>
      <w:marBottom w:val="0"/>
      <w:divBdr>
        <w:top w:val="none" w:sz="0" w:space="0" w:color="auto"/>
        <w:left w:val="none" w:sz="0" w:space="0" w:color="auto"/>
        <w:bottom w:val="none" w:sz="0" w:space="0" w:color="auto"/>
        <w:right w:val="none" w:sz="0" w:space="0" w:color="auto"/>
      </w:divBdr>
      <w:divsChild>
        <w:div w:id="167453599">
          <w:marLeft w:val="0"/>
          <w:marRight w:val="0"/>
          <w:marTop w:val="60"/>
          <w:marBottom w:val="180"/>
          <w:divBdr>
            <w:top w:val="none" w:sz="0" w:space="0" w:color="auto"/>
            <w:left w:val="none" w:sz="0" w:space="0" w:color="auto"/>
            <w:bottom w:val="none" w:sz="0" w:space="0" w:color="auto"/>
            <w:right w:val="none" w:sz="0" w:space="0" w:color="auto"/>
          </w:divBdr>
        </w:div>
      </w:divsChild>
    </w:div>
    <w:div w:id="732705074">
      <w:marLeft w:val="0"/>
      <w:marRight w:val="0"/>
      <w:marTop w:val="0"/>
      <w:marBottom w:val="180"/>
      <w:divBdr>
        <w:top w:val="none" w:sz="0" w:space="0" w:color="auto"/>
        <w:left w:val="none" w:sz="0" w:space="0" w:color="auto"/>
        <w:bottom w:val="none" w:sz="0" w:space="0" w:color="auto"/>
        <w:right w:val="none" w:sz="0" w:space="0" w:color="auto"/>
      </w:divBdr>
    </w:div>
    <w:div w:id="732852318">
      <w:marLeft w:val="0"/>
      <w:marRight w:val="0"/>
      <w:marTop w:val="60"/>
      <w:marBottom w:val="60"/>
      <w:divBdr>
        <w:top w:val="none" w:sz="0" w:space="0" w:color="auto"/>
        <w:left w:val="none" w:sz="0" w:space="0" w:color="auto"/>
        <w:bottom w:val="none" w:sz="0" w:space="0" w:color="auto"/>
        <w:right w:val="none" w:sz="0" w:space="0" w:color="auto"/>
      </w:divBdr>
    </w:div>
    <w:div w:id="734160155">
      <w:marLeft w:val="0"/>
      <w:marRight w:val="0"/>
      <w:marTop w:val="180"/>
      <w:marBottom w:val="180"/>
      <w:divBdr>
        <w:top w:val="none" w:sz="0" w:space="0" w:color="auto"/>
        <w:left w:val="none" w:sz="0" w:space="0" w:color="auto"/>
        <w:bottom w:val="none" w:sz="0" w:space="0" w:color="auto"/>
        <w:right w:val="none" w:sz="0" w:space="0" w:color="auto"/>
      </w:divBdr>
    </w:div>
    <w:div w:id="734818544">
      <w:marLeft w:val="0"/>
      <w:marRight w:val="0"/>
      <w:marTop w:val="180"/>
      <w:marBottom w:val="180"/>
      <w:divBdr>
        <w:top w:val="none" w:sz="0" w:space="0" w:color="auto"/>
        <w:left w:val="none" w:sz="0" w:space="0" w:color="auto"/>
        <w:bottom w:val="none" w:sz="0" w:space="0" w:color="auto"/>
        <w:right w:val="none" w:sz="0" w:space="0" w:color="auto"/>
      </w:divBdr>
    </w:div>
    <w:div w:id="735014543">
      <w:marLeft w:val="0"/>
      <w:marRight w:val="0"/>
      <w:marTop w:val="180"/>
      <w:marBottom w:val="180"/>
      <w:divBdr>
        <w:top w:val="none" w:sz="0" w:space="0" w:color="auto"/>
        <w:left w:val="none" w:sz="0" w:space="0" w:color="auto"/>
        <w:bottom w:val="none" w:sz="0" w:space="0" w:color="auto"/>
        <w:right w:val="none" w:sz="0" w:space="0" w:color="auto"/>
      </w:divBdr>
    </w:div>
    <w:div w:id="735738128">
      <w:marLeft w:val="0"/>
      <w:marRight w:val="0"/>
      <w:marTop w:val="180"/>
      <w:marBottom w:val="180"/>
      <w:divBdr>
        <w:top w:val="none" w:sz="0" w:space="0" w:color="auto"/>
        <w:left w:val="none" w:sz="0" w:space="0" w:color="auto"/>
        <w:bottom w:val="none" w:sz="0" w:space="0" w:color="auto"/>
        <w:right w:val="none" w:sz="0" w:space="0" w:color="auto"/>
      </w:divBdr>
    </w:div>
    <w:div w:id="736323402">
      <w:marLeft w:val="0"/>
      <w:marRight w:val="0"/>
      <w:marTop w:val="60"/>
      <w:marBottom w:val="60"/>
      <w:divBdr>
        <w:top w:val="none" w:sz="0" w:space="0" w:color="auto"/>
        <w:left w:val="none" w:sz="0" w:space="0" w:color="auto"/>
        <w:bottom w:val="none" w:sz="0" w:space="0" w:color="auto"/>
        <w:right w:val="none" w:sz="0" w:space="0" w:color="auto"/>
      </w:divBdr>
    </w:div>
    <w:div w:id="736510500">
      <w:marLeft w:val="0"/>
      <w:marRight w:val="0"/>
      <w:marTop w:val="180"/>
      <w:marBottom w:val="180"/>
      <w:divBdr>
        <w:top w:val="none" w:sz="0" w:space="0" w:color="auto"/>
        <w:left w:val="none" w:sz="0" w:space="0" w:color="auto"/>
        <w:bottom w:val="none" w:sz="0" w:space="0" w:color="auto"/>
        <w:right w:val="none" w:sz="0" w:space="0" w:color="auto"/>
      </w:divBdr>
    </w:div>
    <w:div w:id="738601307">
      <w:marLeft w:val="0"/>
      <w:marRight w:val="0"/>
      <w:marTop w:val="180"/>
      <w:marBottom w:val="180"/>
      <w:divBdr>
        <w:top w:val="none" w:sz="0" w:space="0" w:color="auto"/>
        <w:left w:val="none" w:sz="0" w:space="0" w:color="auto"/>
        <w:bottom w:val="none" w:sz="0" w:space="0" w:color="auto"/>
        <w:right w:val="none" w:sz="0" w:space="0" w:color="auto"/>
      </w:divBdr>
    </w:div>
    <w:div w:id="738745810">
      <w:marLeft w:val="0"/>
      <w:marRight w:val="0"/>
      <w:marTop w:val="60"/>
      <w:marBottom w:val="60"/>
      <w:divBdr>
        <w:top w:val="none" w:sz="0" w:space="0" w:color="auto"/>
        <w:left w:val="none" w:sz="0" w:space="0" w:color="auto"/>
        <w:bottom w:val="none" w:sz="0" w:space="0" w:color="auto"/>
        <w:right w:val="none" w:sz="0" w:space="0" w:color="auto"/>
      </w:divBdr>
    </w:div>
    <w:div w:id="739593268">
      <w:marLeft w:val="0"/>
      <w:marRight w:val="0"/>
      <w:marTop w:val="180"/>
      <w:marBottom w:val="180"/>
      <w:divBdr>
        <w:top w:val="none" w:sz="0" w:space="0" w:color="auto"/>
        <w:left w:val="none" w:sz="0" w:space="0" w:color="auto"/>
        <w:bottom w:val="none" w:sz="0" w:space="0" w:color="auto"/>
        <w:right w:val="none" w:sz="0" w:space="0" w:color="auto"/>
      </w:divBdr>
    </w:div>
    <w:div w:id="741491104">
      <w:marLeft w:val="0"/>
      <w:marRight w:val="0"/>
      <w:marTop w:val="180"/>
      <w:marBottom w:val="180"/>
      <w:divBdr>
        <w:top w:val="none" w:sz="0" w:space="0" w:color="auto"/>
        <w:left w:val="none" w:sz="0" w:space="0" w:color="auto"/>
        <w:bottom w:val="none" w:sz="0" w:space="0" w:color="auto"/>
        <w:right w:val="none" w:sz="0" w:space="0" w:color="auto"/>
      </w:divBdr>
    </w:div>
    <w:div w:id="741682203">
      <w:marLeft w:val="0"/>
      <w:marRight w:val="0"/>
      <w:marTop w:val="180"/>
      <w:marBottom w:val="180"/>
      <w:divBdr>
        <w:top w:val="none" w:sz="0" w:space="0" w:color="auto"/>
        <w:left w:val="none" w:sz="0" w:space="0" w:color="auto"/>
        <w:bottom w:val="none" w:sz="0" w:space="0" w:color="auto"/>
        <w:right w:val="none" w:sz="0" w:space="0" w:color="auto"/>
      </w:divBdr>
    </w:div>
    <w:div w:id="742144009">
      <w:marLeft w:val="0"/>
      <w:marRight w:val="0"/>
      <w:marTop w:val="180"/>
      <w:marBottom w:val="180"/>
      <w:divBdr>
        <w:top w:val="none" w:sz="0" w:space="0" w:color="auto"/>
        <w:left w:val="none" w:sz="0" w:space="0" w:color="auto"/>
        <w:bottom w:val="none" w:sz="0" w:space="0" w:color="auto"/>
        <w:right w:val="none" w:sz="0" w:space="0" w:color="auto"/>
      </w:divBdr>
    </w:div>
    <w:div w:id="742681872">
      <w:marLeft w:val="0"/>
      <w:marRight w:val="0"/>
      <w:marTop w:val="180"/>
      <w:marBottom w:val="180"/>
      <w:divBdr>
        <w:top w:val="none" w:sz="0" w:space="0" w:color="auto"/>
        <w:left w:val="none" w:sz="0" w:space="0" w:color="auto"/>
        <w:bottom w:val="none" w:sz="0" w:space="0" w:color="auto"/>
        <w:right w:val="none" w:sz="0" w:space="0" w:color="auto"/>
      </w:divBdr>
    </w:div>
    <w:div w:id="743531020">
      <w:marLeft w:val="0"/>
      <w:marRight w:val="0"/>
      <w:marTop w:val="60"/>
      <w:marBottom w:val="60"/>
      <w:divBdr>
        <w:top w:val="none" w:sz="0" w:space="0" w:color="auto"/>
        <w:left w:val="none" w:sz="0" w:space="0" w:color="auto"/>
        <w:bottom w:val="none" w:sz="0" w:space="0" w:color="auto"/>
        <w:right w:val="none" w:sz="0" w:space="0" w:color="auto"/>
      </w:divBdr>
    </w:div>
    <w:div w:id="744450466">
      <w:marLeft w:val="0"/>
      <w:marRight w:val="0"/>
      <w:marTop w:val="180"/>
      <w:marBottom w:val="180"/>
      <w:divBdr>
        <w:top w:val="none" w:sz="0" w:space="0" w:color="auto"/>
        <w:left w:val="none" w:sz="0" w:space="0" w:color="auto"/>
        <w:bottom w:val="none" w:sz="0" w:space="0" w:color="auto"/>
        <w:right w:val="none" w:sz="0" w:space="0" w:color="auto"/>
      </w:divBdr>
    </w:div>
    <w:div w:id="744494604">
      <w:marLeft w:val="0"/>
      <w:marRight w:val="0"/>
      <w:marTop w:val="180"/>
      <w:marBottom w:val="180"/>
      <w:divBdr>
        <w:top w:val="none" w:sz="0" w:space="0" w:color="auto"/>
        <w:left w:val="none" w:sz="0" w:space="0" w:color="auto"/>
        <w:bottom w:val="none" w:sz="0" w:space="0" w:color="auto"/>
        <w:right w:val="none" w:sz="0" w:space="0" w:color="auto"/>
      </w:divBdr>
    </w:div>
    <w:div w:id="745884306">
      <w:marLeft w:val="0"/>
      <w:marRight w:val="0"/>
      <w:marTop w:val="180"/>
      <w:marBottom w:val="180"/>
      <w:divBdr>
        <w:top w:val="none" w:sz="0" w:space="0" w:color="auto"/>
        <w:left w:val="none" w:sz="0" w:space="0" w:color="auto"/>
        <w:bottom w:val="none" w:sz="0" w:space="0" w:color="auto"/>
        <w:right w:val="none" w:sz="0" w:space="0" w:color="auto"/>
      </w:divBdr>
    </w:div>
    <w:div w:id="746459484">
      <w:marLeft w:val="0"/>
      <w:marRight w:val="0"/>
      <w:marTop w:val="180"/>
      <w:marBottom w:val="180"/>
      <w:divBdr>
        <w:top w:val="none" w:sz="0" w:space="0" w:color="auto"/>
        <w:left w:val="none" w:sz="0" w:space="0" w:color="auto"/>
        <w:bottom w:val="none" w:sz="0" w:space="0" w:color="auto"/>
        <w:right w:val="none" w:sz="0" w:space="0" w:color="auto"/>
      </w:divBdr>
    </w:div>
    <w:div w:id="746918872">
      <w:marLeft w:val="0"/>
      <w:marRight w:val="0"/>
      <w:marTop w:val="0"/>
      <w:marBottom w:val="0"/>
      <w:divBdr>
        <w:top w:val="none" w:sz="0" w:space="0" w:color="auto"/>
        <w:left w:val="none" w:sz="0" w:space="0" w:color="auto"/>
        <w:bottom w:val="none" w:sz="0" w:space="0" w:color="auto"/>
        <w:right w:val="none" w:sz="0" w:space="0" w:color="auto"/>
      </w:divBdr>
      <w:divsChild>
        <w:div w:id="189033264">
          <w:marLeft w:val="0"/>
          <w:marRight w:val="0"/>
          <w:marTop w:val="180"/>
          <w:marBottom w:val="180"/>
          <w:divBdr>
            <w:top w:val="none" w:sz="0" w:space="0" w:color="auto"/>
            <w:left w:val="none" w:sz="0" w:space="0" w:color="auto"/>
            <w:bottom w:val="none" w:sz="0" w:space="0" w:color="auto"/>
            <w:right w:val="none" w:sz="0" w:space="0" w:color="auto"/>
          </w:divBdr>
        </w:div>
      </w:divsChild>
    </w:div>
    <w:div w:id="747580130">
      <w:marLeft w:val="0"/>
      <w:marRight w:val="0"/>
      <w:marTop w:val="180"/>
      <w:marBottom w:val="180"/>
      <w:divBdr>
        <w:top w:val="none" w:sz="0" w:space="0" w:color="auto"/>
        <w:left w:val="none" w:sz="0" w:space="0" w:color="auto"/>
        <w:bottom w:val="none" w:sz="0" w:space="0" w:color="auto"/>
        <w:right w:val="none" w:sz="0" w:space="0" w:color="auto"/>
      </w:divBdr>
    </w:div>
    <w:div w:id="750126053">
      <w:marLeft w:val="0"/>
      <w:marRight w:val="0"/>
      <w:marTop w:val="60"/>
      <w:marBottom w:val="60"/>
      <w:divBdr>
        <w:top w:val="none" w:sz="0" w:space="0" w:color="auto"/>
        <w:left w:val="none" w:sz="0" w:space="0" w:color="auto"/>
        <w:bottom w:val="none" w:sz="0" w:space="0" w:color="auto"/>
        <w:right w:val="none" w:sz="0" w:space="0" w:color="auto"/>
      </w:divBdr>
    </w:div>
    <w:div w:id="751118964">
      <w:marLeft w:val="0"/>
      <w:marRight w:val="0"/>
      <w:marTop w:val="0"/>
      <w:marBottom w:val="0"/>
      <w:divBdr>
        <w:top w:val="none" w:sz="0" w:space="0" w:color="auto"/>
        <w:left w:val="none" w:sz="0" w:space="0" w:color="auto"/>
        <w:bottom w:val="none" w:sz="0" w:space="0" w:color="auto"/>
        <w:right w:val="none" w:sz="0" w:space="0" w:color="auto"/>
      </w:divBdr>
    </w:div>
    <w:div w:id="751857675">
      <w:marLeft w:val="0"/>
      <w:marRight w:val="0"/>
      <w:marTop w:val="180"/>
      <w:marBottom w:val="180"/>
      <w:divBdr>
        <w:top w:val="none" w:sz="0" w:space="0" w:color="auto"/>
        <w:left w:val="none" w:sz="0" w:space="0" w:color="auto"/>
        <w:bottom w:val="none" w:sz="0" w:space="0" w:color="auto"/>
        <w:right w:val="none" w:sz="0" w:space="0" w:color="auto"/>
      </w:divBdr>
    </w:div>
    <w:div w:id="751971266">
      <w:marLeft w:val="0"/>
      <w:marRight w:val="0"/>
      <w:marTop w:val="180"/>
      <w:marBottom w:val="180"/>
      <w:divBdr>
        <w:top w:val="none" w:sz="0" w:space="0" w:color="auto"/>
        <w:left w:val="none" w:sz="0" w:space="0" w:color="auto"/>
        <w:bottom w:val="none" w:sz="0" w:space="0" w:color="auto"/>
        <w:right w:val="none" w:sz="0" w:space="0" w:color="auto"/>
      </w:divBdr>
    </w:div>
    <w:div w:id="752050519">
      <w:marLeft w:val="0"/>
      <w:marRight w:val="0"/>
      <w:marTop w:val="100"/>
      <w:marBottom w:val="0"/>
      <w:divBdr>
        <w:top w:val="none" w:sz="0" w:space="0" w:color="auto"/>
        <w:left w:val="none" w:sz="0" w:space="0" w:color="auto"/>
        <w:bottom w:val="none" w:sz="0" w:space="0" w:color="auto"/>
        <w:right w:val="none" w:sz="0" w:space="0" w:color="auto"/>
      </w:divBdr>
      <w:divsChild>
        <w:div w:id="1239754871">
          <w:marLeft w:val="0"/>
          <w:marRight w:val="0"/>
          <w:marTop w:val="0"/>
          <w:marBottom w:val="0"/>
          <w:divBdr>
            <w:top w:val="none" w:sz="0" w:space="0" w:color="auto"/>
            <w:left w:val="none" w:sz="0" w:space="0" w:color="auto"/>
            <w:bottom w:val="none" w:sz="0" w:space="0" w:color="auto"/>
            <w:right w:val="none" w:sz="0" w:space="0" w:color="auto"/>
          </w:divBdr>
        </w:div>
      </w:divsChild>
    </w:div>
    <w:div w:id="752555886">
      <w:marLeft w:val="0"/>
      <w:marRight w:val="0"/>
      <w:marTop w:val="180"/>
      <w:marBottom w:val="60"/>
      <w:divBdr>
        <w:top w:val="none" w:sz="0" w:space="0" w:color="auto"/>
        <w:left w:val="none" w:sz="0" w:space="0" w:color="auto"/>
        <w:bottom w:val="none" w:sz="0" w:space="0" w:color="auto"/>
        <w:right w:val="none" w:sz="0" w:space="0" w:color="auto"/>
      </w:divBdr>
    </w:div>
    <w:div w:id="754058398">
      <w:marLeft w:val="0"/>
      <w:marRight w:val="0"/>
      <w:marTop w:val="180"/>
      <w:marBottom w:val="180"/>
      <w:divBdr>
        <w:top w:val="none" w:sz="0" w:space="0" w:color="auto"/>
        <w:left w:val="none" w:sz="0" w:space="0" w:color="auto"/>
        <w:bottom w:val="none" w:sz="0" w:space="0" w:color="auto"/>
        <w:right w:val="none" w:sz="0" w:space="0" w:color="auto"/>
      </w:divBdr>
    </w:div>
    <w:div w:id="754278302">
      <w:marLeft w:val="0"/>
      <w:marRight w:val="0"/>
      <w:marTop w:val="0"/>
      <w:marBottom w:val="0"/>
      <w:divBdr>
        <w:top w:val="none" w:sz="0" w:space="0" w:color="auto"/>
        <w:left w:val="none" w:sz="0" w:space="0" w:color="auto"/>
        <w:bottom w:val="none" w:sz="0" w:space="0" w:color="auto"/>
        <w:right w:val="none" w:sz="0" w:space="0" w:color="auto"/>
      </w:divBdr>
    </w:div>
    <w:div w:id="754714933">
      <w:marLeft w:val="0"/>
      <w:marRight w:val="0"/>
      <w:marTop w:val="120"/>
      <w:marBottom w:val="180"/>
      <w:divBdr>
        <w:top w:val="none" w:sz="0" w:space="0" w:color="auto"/>
        <w:left w:val="none" w:sz="0" w:space="0" w:color="auto"/>
        <w:bottom w:val="none" w:sz="0" w:space="0" w:color="auto"/>
        <w:right w:val="none" w:sz="0" w:space="0" w:color="auto"/>
      </w:divBdr>
    </w:div>
    <w:div w:id="755368105">
      <w:marLeft w:val="0"/>
      <w:marRight w:val="0"/>
      <w:marTop w:val="180"/>
      <w:marBottom w:val="180"/>
      <w:divBdr>
        <w:top w:val="none" w:sz="0" w:space="0" w:color="auto"/>
        <w:left w:val="none" w:sz="0" w:space="0" w:color="auto"/>
        <w:bottom w:val="none" w:sz="0" w:space="0" w:color="auto"/>
        <w:right w:val="none" w:sz="0" w:space="0" w:color="auto"/>
      </w:divBdr>
    </w:div>
    <w:div w:id="755400194">
      <w:marLeft w:val="0"/>
      <w:marRight w:val="0"/>
      <w:marTop w:val="180"/>
      <w:marBottom w:val="180"/>
      <w:divBdr>
        <w:top w:val="none" w:sz="0" w:space="0" w:color="auto"/>
        <w:left w:val="none" w:sz="0" w:space="0" w:color="auto"/>
        <w:bottom w:val="none" w:sz="0" w:space="0" w:color="auto"/>
        <w:right w:val="none" w:sz="0" w:space="0" w:color="auto"/>
      </w:divBdr>
    </w:div>
    <w:div w:id="755984142">
      <w:marLeft w:val="0"/>
      <w:marRight w:val="0"/>
      <w:marTop w:val="0"/>
      <w:marBottom w:val="0"/>
      <w:divBdr>
        <w:top w:val="none" w:sz="0" w:space="0" w:color="auto"/>
        <w:left w:val="none" w:sz="0" w:space="0" w:color="auto"/>
        <w:bottom w:val="none" w:sz="0" w:space="0" w:color="auto"/>
        <w:right w:val="none" w:sz="0" w:space="0" w:color="auto"/>
      </w:divBdr>
      <w:divsChild>
        <w:div w:id="395978686">
          <w:marLeft w:val="0"/>
          <w:marRight w:val="0"/>
          <w:marTop w:val="60"/>
          <w:marBottom w:val="180"/>
          <w:divBdr>
            <w:top w:val="none" w:sz="0" w:space="0" w:color="auto"/>
            <w:left w:val="none" w:sz="0" w:space="0" w:color="auto"/>
            <w:bottom w:val="none" w:sz="0" w:space="0" w:color="auto"/>
            <w:right w:val="none" w:sz="0" w:space="0" w:color="auto"/>
          </w:divBdr>
        </w:div>
      </w:divsChild>
    </w:div>
    <w:div w:id="757361457">
      <w:marLeft w:val="0"/>
      <w:marRight w:val="0"/>
      <w:marTop w:val="180"/>
      <w:marBottom w:val="180"/>
      <w:divBdr>
        <w:top w:val="none" w:sz="0" w:space="0" w:color="auto"/>
        <w:left w:val="none" w:sz="0" w:space="0" w:color="auto"/>
        <w:bottom w:val="none" w:sz="0" w:space="0" w:color="auto"/>
        <w:right w:val="none" w:sz="0" w:space="0" w:color="auto"/>
      </w:divBdr>
    </w:div>
    <w:div w:id="757949189">
      <w:marLeft w:val="0"/>
      <w:marRight w:val="0"/>
      <w:marTop w:val="180"/>
      <w:marBottom w:val="180"/>
      <w:divBdr>
        <w:top w:val="none" w:sz="0" w:space="0" w:color="auto"/>
        <w:left w:val="none" w:sz="0" w:space="0" w:color="auto"/>
        <w:bottom w:val="none" w:sz="0" w:space="0" w:color="auto"/>
        <w:right w:val="none" w:sz="0" w:space="0" w:color="auto"/>
      </w:divBdr>
    </w:div>
    <w:div w:id="759332816">
      <w:marLeft w:val="0"/>
      <w:marRight w:val="0"/>
      <w:marTop w:val="180"/>
      <w:marBottom w:val="60"/>
      <w:divBdr>
        <w:top w:val="none" w:sz="0" w:space="0" w:color="auto"/>
        <w:left w:val="none" w:sz="0" w:space="0" w:color="auto"/>
        <w:bottom w:val="none" w:sz="0" w:space="0" w:color="auto"/>
        <w:right w:val="none" w:sz="0" w:space="0" w:color="auto"/>
      </w:divBdr>
    </w:div>
    <w:div w:id="761489731">
      <w:marLeft w:val="0"/>
      <w:marRight w:val="0"/>
      <w:marTop w:val="60"/>
      <w:marBottom w:val="60"/>
      <w:divBdr>
        <w:top w:val="none" w:sz="0" w:space="0" w:color="auto"/>
        <w:left w:val="none" w:sz="0" w:space="0" w:color="auto"/>
        <w:bottom w:val="none" w:sz="0" w:space="0" w:color="auto"/>
        <w:right w:val="none" w:sz="0" w:space="0" w:color="auto"/>
      </w:divBdr>
    </w:div>
    <w:div w:id="762187313">
      <w:marLeft w:val="0"/>
      <w:marRight w:val="0"/>
      <w:marTop w:val="0"/>
      <w:marBottom w:val="0"/>
      <w:divBdr>
        <w:top w:val="none" w:sz="0" w:space="0" w:color="auto"/>
        <w:left w:val="none" w:sz="0" w:space="0" w:color="auto"/>
        <w:bottom w:val="none" w:sz="0" w:space="0" w:color="auto"/>
        <w:right w:val="none" w:sz="0" w:space="0" w:color="auto"/>
      </w:divBdr>
      <w:divsChild>
        <w:div w:id="556287142">
          <w:marLeft w:val="0"/>
          <w:marRight w:val="0"/>
          <w:marTop w:val="0"/>
          <w:marBottom w:val="0"/>
          <w:divBdr>
            <w:top w:val="none" w:sz="0" w:space="0" w:color="auto"/>
            <w:left w:val="none" w:sz="0" w:space="0" w:color="auto"/>
            <w:bottom w:val="none" w:sz="0" w:space="0" w:color="auto"/>
            <w:right w:val="none" w:sz="0" w:space="0" w:color="auto"/>
          </w:divBdr>
          <w:divsChild>
            <w:div w:id="68335749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63116142">
      <w:marLeft w:val="0"/>
      <w:marRight w:val="0"/>
      <w:marTop w:val="180"/>
      <w:marBottom w:val="60"/>
      <w:divBdr>
        <w:top w:val="none" w:sz="0" w:space="0" w:color="auto"/>
        <w:left w:val="none" w:sz="0" w:space="0" w:color="auto"/>
        <w:bottom w:val="none" w:sz="0" w:space="0" w:color="auto"/>
        <w:right w:val="none" w:sz="0" w:space="0" w:color="auto"/>
      </w:divBdr>
    </w:div>
    <w:div w:id="763261181">
      <w:marLeft w:val="0"/>
      <w:marRight w:val="0"/>
      <w:marTop w:val="0"/>
      <w:marBottom w:val="0"/>
      <w:divBdr>
        <w:top w:val="none" w:sz="0" w:space="0" w:color="auto"/>
        <w:left w:val="none" w:sz="0" w:space="0" w:color="auto"/>
        <w:bottom w:val="none" w:sz="0" w:space="0" w:color="auto"/>
        <w:right w:val="none" w:sz="0" w:space="0" w:color="auto"/>
      </w:divBdr>
    </w:div>
    <w:div w:id="763453950">
      <w:marLeft w:val="0"/>
      <w:marRight w:val="0"/>
      <w:marTop w:val="180"/>
      <w:marBottom w:val="180"/>
      <w:divBdr>
        <w:top w:val="none" w:sz="0" w:space="0" w:color="auto"/>
        <w:left w:val="none" w:sz="0" w:space="0" w:color="auto"/>
        <w:bottom w:val="none" w:sz="0" w:space="0" w:color="auto"/>
        <w:right w:val="none" w:sz="0" w:space="0" w:color="auto"/>
      </w:divBdr>
    </w:div>
    <w:div w:id="765729460">
      <w:marLeft w:val="0"/>
      <w:marRight w:val="0"/>
      <w:marTop w:val="180"/>
      <w:marBottom w:val="180"/>
      <w:divBdr>
        <w:top w:val="none" w:sz="0" w:space="0" w:color="auto"/>
        <w:left w:val="none" w:sz="0" w:space="0" w:color="auto"/>
        <w:bottom w:val="none" w:sz="0" w:space="0" w:color="auto"/>
        <w:right w:val="none" w:sz="0" w:space="0" w:color="auto"/>
      </w:divBdr>
    </w:div>
    <w:div w:id="766006129">
      <w:marLeft w:val="0"/>
      <w:marRight w:val="0"/>
      <w:marTop w:val="60"/>
      <w:marBottom w:val="0"/>
      <w:divBdr>
        <w:top w:val="none" w:sz="0" w:space="0" w:color="auto"/>
        <w:left w:val="none" w:sz="0" w:space="0" w:color="auto"/>
        <w:bottom w:val="none" w:sz="0" w:space="0" w:color="auto"/>
        <w:right w:val="none" w:sz="0" w:space="0" w:color="auto"/>
      </w:divBdr>
    </w:div>
    <w:div w:id="766731428">
      <w:marLeft w:val="0"/>
      <w:marRight w:val="0"/>
      <w:marTop w:val="180"/>
      <w:marBottom w:val="180"/>
      <w:divBdr>
        <w:top w:val="none" w:sz="0" w:space="0" w:color="auto"/>
        <w:left w:val="none" w:sz="0" w:space="0" w:color="auto"/>
        <w:bottom w:val="none" w:sz="0" w:space="0" w:color="auto"/>
        <w:right w:val="none" w:sz="0" w:space="0" w:color="auto"/>
      </w:divBdr>
    </w:div>
    <w:div w:id="768240171">
      <w:marLeft w:val="0"/>
      <w:marRight w:val="0"/>
      <w:marTop w:val="60"/>
      <w:marBottom w:val="60"/>
      <w:divBdr>
        <w:top w:val="none" w:sz="0" w:space="0" w:color="auto"/>
        <w:left w:val="none" w:sz="0" w:space="0" w:color="auto"/>
        <w:bottom w:val="none" w:sz="0" w:space="0" w:color="auto"/>
        <w:right w:val="none" w:sz="0" w:space="0" w:color="auto"/>
      </w:divBdr>
    </w:div>
    <w:div w:id="770668323">
      <w:marLeft w:val="0"/>
      <w:marRight w:val="0"/>
      <w:marTop w:val="0"/>
      <w:marBottom w:val="0"/>
      <w:divBdr>
        <w:top w:val="none" w:sz="0" w:space="0" w:color="auto"/>
        <w:left w:val="none" w:sz="0" w:space="0" w:color="auto"/>
        <w:bottom w:val="none" w:sz="0" w:space="0" w:color="auto"/>
        <w:right w:val="none" w:sz="0" w:space="0" w:color="auto"/>
      </w:divBdr>
      <w:divsChild>
        <w:div w:id="1130976994">
          <w:marLeft w:val="0"/>
          <w:marRight w:val="0"/>
          <w:marTop w:val="180"/>
          <w:marBottom w:val="180"/>
          <w:divBdr>
            <w:top w:val="none" w:sz="0" w:space="0" w:color="auto"/>
            <w:left w:val="none" w:sz="0" w:space="0" w:color="auto"/>
            <w:bottom w:val="none" w:sz="0" w:space="0" w:color="auto"/>
            <w:right w:val="none" w:sz="0" w:space="0" w:color="auto"/>
          </w:divBdr>
        </w:div>
      </w:divsChild>
    </w:div>
    <w:div w:id="773746077">
      <w:marLeft w:val="0"/>
      <w:marRight w:val="0"/>
      <w:marTop w:val="180"/>
      <w:marBottom w:val="180"/>
      <w:divBdr>
        <w:top w:val="none" w:sz="0" w:space="0" w:color="auto"/>
        <w:left w:val="none" w:sz="0" w:space="0" w:color="auto"/>
        <w:bottom w:val="none" w:sz="0" w:space="0" w:color="auto"/>
        <w:right w:val="none" w:sz="0" w:space="0" w:color="auto"/>
      </w:divBdr>
    </w:div>
    <w:div w:id="774129495">
      <w:marLeft w:val="0"/>
      <w:marRight w:val="0"/>
      <w:marTop w:val="180"/>
      <w:marBottom w:val="180"/>
      <w:divBdr>
        <w:top w:val="none" w:sz="0" w:space="0" w:color="auto"/>
        <w:left w:val="none" w:sz="0" w:space="0" w:color="auto"/>
        <w:bottom w:val="none" w:sz="0" w:space="0" w:color="auto"/>
        <w:right w:val="none" w:sz="0" w:space="0" w:color="auto"/>
      </w:divBdr>
    </w:div>
    <w:div w:id="774640107">
      <w:marLeft w:val="0"/>
      <w:marRight w:val="0"/>
      <w:marTop w:val="60"/>
      <w:marBottom w:val="60"/>
      <w:divBdr>
        <w:top w:val="none" w:sz="0" w:space="0" w:color="auto"/>
        <w:left w:val="none" w:sz="0" w:space="0" w:color="auto"/>
        <w:bottom w:val="none" w:sz="0" w:space="0" w:color="auto"/>
        <w:right w:val="none" w:sz="0" w:space="0" w:color="auto"/>
      </w:divBdr>
    </w:div>
    <w:div w:id="774861094">
      <w:marLeft w:val="0"/>
      <w:marRight w:val="0"/>
      <w:marTop w:val="0"/>
      <w:marBottom w:val="0"/>
      <w:divBdr>
        <w:top w:val="none" w:sz="0" w:space="0" w:color="auto"/>
        <w:left w:val="none" w:sz="0" w:space="0" w:color="auto"/>
        <w:bottom w:val="none" w:sz="0" w:space="0" w:color="auto"/>
        <w:right w:val="none" w:sz="0" w:space="0" w:color="auto"/>
      </w:divBdr>
    </w:div>
    <w:div w:id="776414958">
      <w:marLeft w:val="0"/>
      <w:marRight w:val="0"/>
      <w:marTop w:val="180"/>
      <w:marBottom w:val="180"/>
      <w:divBdr>
        <w:top w:val="none" w:sz="0" w:space="0" w:color="auto"/>
        <w:left w:val="none" w:sz="0" w:space="0" w:color="auto"/>
        <w:bottom w:val="none" w:sz="0" w:space="0" w:color="auto"/>
        <w:right w:val="none" w:sz="0" w:space="0" w:color="auto"/>
      </w:divBdr>
    </w:div>
    <w:div w:id="777212046">
      <w:marLeft w:val="0"/>
      <w:marRight w:val="0"/>
      <w:marTop w:val="180"/>
      <w:marBottom w:val="60"/>
      <w:divBdr>
        <w:top w:val="none" w:sz="0" w:space="0" w:color="auto"/>
        <w:left w:val="none" w:sz="0" w:space="0" w:color="auto"/>
        <w:bottom w:val="none" w:sz="0" w:space="0" w:color="auto"/>
        <w:right w:val="none" w:sz="0" w:space="0" w:color="auto"/>
      </w:divBdr>
      <w:divsChild>
        <w:div w:id="1903370356">
          <w:marLeft w:val="0"/>
          <w:marRight w:val="0"/>
          <w:marTop w:val="0"/>
          <w:marBottom w:val="0"/>
          <w:divBdr>
            <w:top w:val="none" w:sz="0" w:space="0" w:color="auto"/>
            <w:left w:val="none" w:sz="0" w:space="0" w:color="auto"/>
            <w:bottom w:val="none" w:sz="0" w:space="0" w:color="auto"/>
            <w:right w:val="none" w:sz="0" w:space="0" w:color="auto"/>
          </w:divBdr>
        </w:div>
        <w:div w:id="504635883">
          <w:marLeft w:val="0"/>
          <w:marRight w:val="0"/>
          <w:marTop w:val="0"/>
          <w:marBottom w:val="0"/>
          <w:divBdr>
            <w:top w:val="none" w:sz="0" w:space="0" w:color="auto"/>
            <w:left w:val="none" w:sz="0" w:space="0" w:color="auto"/>
            <w:bottom w:val="none" w:sz="0" w:space="0" w:color="auto"/>
            <w:right w:val="none" w:sz="0" w:space="0" w:color="auto"/>
          </w:divBdr>
        </w:div>
      </w:divsChild>
    </w:div>
    <w:div w:id="777413360">
      <w:marLeft w:val="0"/>
      <w:marRight w:val="0"/>
      <w:marTop w:val="180"/>
      <w:marBottom w:val="180"/>
      <w:divBdr>
        <w:top w:val="none" w:sz="0" w:space="0" w:color="auto"/>
        <w:left w:val="none" w:sz="0" w:space="0" w:color="auto"/>
        <w:bottom w:val="none" w:sz="0" w:space="0" w:color="auto"/>
        <w:right w:val="none" w:sz="0" w:space="0" w:color="auto"/>
      </w:divBdr>
    </w:div>
    <w:div w:id="779302234">
      <w:marLeft w:val="0"/>
      <w:marRight w:val="0"/>
      <w:marTop w:val="0"/>
      <w:marBottom w:val="0"/>
      <w:divBdr>
        <w:top w:val="none" w:sz="0" w:space="0" w:color="auto"/>
        <w:left w:val="none" w:sz="0" w:space="0" w:color="auto"/>
        <w:bottom w:val="none" w:sz="0" w:space="0" w:color="auto"/>
        <w:right w:val="none" w:sz="0" w:space="0" w:color="auto"/>
      </w:divBdr>
      <w:divsChild>
        <w:div w:id="415713073">
          <w:marLeft w:val="0"/>
          <w:marRight w:val="0"/>
          <w:marTop w:val="180"/>
          <w:marBottom w:val="180"/>
          <w:divBdr>
            <w:top w:val="none" w:sz="0" w:space="0" w:color="auto"/>
            <w:left w:val="none" w:sz="0" w:space="0" w:color="auto"/>
            <w:bottom w:val="none" w:sz="0" w:space="0" w:color="auto"/>
            <w:right w:val="none" w:sz="0" w:space="0" w:color="auto"/>
          </w:divBdr>
        </w:div>
      </w:divsChild>
    </w:div>
    <w:div w:id="780102194">
      <w:marLeft w:val="0"/>
      <w:marRight w:val="0"/>
      <w:marTop w:val="60"/>
      <w:marBottom w:val="60"/>
      <w:divBdr>
        <w:top w:val="none" w:sz="0" w:space="0" w:color="auto"/>
        <w:left w:val="none" w:sz="0" w:space="0" w:color="auto"/>
        <w:bottom w:val="none" w:sz="0" w:space="0" w:color="auto"/>
        <w:right w:val="none" w:sz="0" w:space="0" w:color="auto"/>
      </w:divBdr>
      <w:divsChild>
        <w:div w:id="1800150552">
          <w:marLeft w:val="0"/>
          <w:marRight w:val="0"/>
          <w:marTop w:val="0"/>
          <w:marBottom w:val="0"/>
          <w:divBdr>
            <w:top w:val="none" w:sz="0" w:space="0" w:color="auto"/>
            <w:left w:val="none" w:sz="0" w:space="0" w:color="auto"/>
            <w:bottom w:val="none" w:sz="0" w:space="0" w:color="auto"/>
            <w:right w:val="none" w:sz="0" w:space="0" w:color="auto"/>
          </w:divBdr>
        </w:div>
      </w:divsChild>
    </w:div>
    <w:div w:id="781069442">
      <w:marLeft w:val="0"/>
      <w:marRight w:val="0"/>
      <w:marTop w:val="180"/>
      <w:marBottom w:val="180"/>
      <w:divBdr>
        <w:top w:val="none" w:sz="0" w:space="0" w:color="auto"/>
        <w:left w:val="none" w:sz="0" w:space="0" w:color="auto"/>
        <w:bottom w:val="none" w:sz="0" w:space="0" w:color="auto"/>
        <w:right w:val="none" w:sz="0" w:space="0" w:color="auto"/>
      </w:divBdr>
    </w:div>
    <w:div w:id="783040507">
      <w:marLeft w:val="0"/>
      <w:marRight w:val="0"/>
      <w:marTop w:val="180"/>
      <w:marBottom w:val="180"/>
      <w:divBdr>
        <w:top w:val="none" w:sz="0" w:space="0" w:color="auto"/>
        <w:left w:val="none" w:sz="0" w:space="0" w:color="auto"/>
        <w:bottom w:val="none" w:sz="0" w:space="0" w:color="auto"/>
        <w:right w:val="none" w:sz="0" w:space="0" w:color="auto"/>
      </w:divBdr>
    </w:div>
    <w:div w:id="783159985">
      <w:marLeft w:val="0"/>
      <w:marRight w:val="0"/>
      <w:marTop w:val="0"/>
      <w:marBottom w:val="0"/>
      <w:divBdr>
        <w:top w:val="none" w:sz="0" w:space="0" w:color="auto"/>
        <w:left w:val="none" w:sz="0" w:space="0" w:color="auto"/>
        <w:bottom w:val="none" w:sz="0" w:space="0" w:color="auto"/>
        <w:right w:val="none" w:sz="0" w:space="0" w:color="auto"/>
      </w:divBdr>
    </w:div>
    <w:div w:id="783353732">
      <w:marLeft w:val="0"/>
      <w:marRight w:val="0"/>
      <w:marTop w:val="60"/>
      <w:marBottom w:val="60"/>
      <w:divBdr>
        <w:top w:val="none" w:sz="0" w:space="0" w:color="auto"/>
        <w:left w:val="none" w:sz="0" w:space="0" w:color="auto"/>
        <w:bottom w:val="none" w:sz="0" w:space="0" w:color="auto"/>
        <w:right w:val="none" w:sz="0" w:space="0" w:color="auto"/>
      </w:divBdr>
    </w:div>
    <w:div w:id="784689258">
      <w:marLeft w:val="0"/>
      <w:marRight w:val="0"/>
      <w:marTop w:val="0"/>
      <w:marBottom w:val="0"/>
      <w:divBdr>
        <w:top w:val="none" w:sz="0" w:space="0" w:color="auto"/>
        <w:left w:val="none" w:sz="0" w:space="0" w:color="auto"/>
        <w:bottom w:val="none" w:sz="0" w:space="0" w:color="auto"/>
        <w:right w:val="none" w:sz="0" w:space="0" w:color="auto"/>
      </w:divBdr>
      <w:divsChild>
        <w:div w:id="110054426">
          <w:marLeft w:val="0"/>
          <w:marRight w:val="0"/>
          <w:marTop w:val="0"/>
          <w:marBottom w:val="0"/>
          <w:divBdr>
            <w:top w:val="none" w:sz="0" w:space="0" w:color="auto"/>
            <w:left w:val="none" w:sz="0" w:space="0" w:color="auto"/>
            <w:bottom w:val="none" w:sz="0" w:space="0" w:color="auto"/>
            <w:right w:val="none" w:sz="0" w:space="0" w:color="auto"/>
          </w:divBdr>
          <w:divsChild>
            <w:div w:id="91825020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85540895">
      <w:marLeft w:val="0"/>
      <w:marRight w:val="0"/>
      <w:marTop w:val="180"/>
      <w:marBottom w:val="180"/>
      <w:divBdr>
        <w:top w:val="none" w:sz="0" w:space="0" w:color="auto"/>
        <w:left w:val="none" w:sz="0" w:space="0" w:color="auto"/>
        <w:bottom w:val="none" w:sz="0" w:space="0" w:color="auto"/>
        <w:right w:val="none" w:sz="0" w:space="0" w:color="auto"/>
      </w:divBdr>
    </w:div>
    <w:div w:id="788202179">
      <w:marLeft w:val="0"/>
      <w:marRight w:val="0"/>
      <w:marTop w:val="0"/>
      <w:marBottom w:val="0"/>
      <w:divBdr>
        <w:top w:val="none" w:sz="0" w:space="0" w:color="auto"/>
        <w:left w:val="none" w:sz="0" w:space="0" w:color="auto"/>
        <w:bottom w:val="none" w:sz="0" w:space="0" w:color="auto"/>
        <w:right w:val="none" w:sz="0" w:space="0" w:color="auto"/>
      </w:divBdr>
      <w:divsChild>
        <w:div w:id="2058623306">
          <w:marLeft w:val="0"/>
          <w:marRight w:val="0"/>
          <w:marTop w:val="0"/>
          <w:marBottom w:val="0"/>
          <w:divBdr>
            <w:top w:val="none" w:sz="0" w:space="0" w:color="auto"/>
            <w:left w:val="none" w:sz="0" w:space="0" w:color="auto"/>
            <w:bottom w:val="none" w:sz="0" w:space="0" w:color="auto"/>
            <w:right w:val="none" w:sz="0" w:space="0" w:color="auto"/>
          </w:divBdr>
          <w:divsChild>
            <w:div w:id="87905045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89251552">
      <w:marLeft w:val="0"/>
      <w:marRight w:val="0"/>
      <w:marTop w:val="0"/>
      <w:marBottom w:val="0"/>
      <w:divBdr>
        <w:top w:val="none" w:sz="0" w:space="0" w:color="auto"/>
        <w:left w:val="none" w:sz="0" w:space="0" w:color="auto"/>
        <w:bottom w:val="none" w:sz="0" w:space="0" w:color="auto"/>
        <w:right w:val="none" w:sz="0" w:space="0" w:color="auto"/>
      </w:divBdr>
      <w:divsChild>
        <w:div w:id="1818842049">
          <w:marLeft w:val="0"/>
          <w:marRight w:val="0"/>
          <w:marTop w:val="180"/>
          <w:marBottom w:val="180"/>
          <w:divBdr>
            <w:top w:val="none" w:sz="0" w:space="0" w:color="auto"/>
            <w:left w:val="none" w:sz="0" w:space="0" w:color="auto"/>
            <w:bottom w:val="none" w:sz="0" w:space="0" w:color="auto"/>
            <w:right w:val="none" w:sz="0" w:space="0" w:color="auto"/>
          </w:divBdr>
        </w:div>
      </w:divsChild>
    </w:div>
    <w:div w:id="790978713">
      <w:marLeft w:val="0"/>
      <w:marRight w:val="0"/>
      <w:marTop w:val="0"/>
      <w:marBottom w:val="0"/>
      <w:divBdr>
        <w:top w:val="none" w:sz="0" w:space="0" w:color="auto"/>
        <w:left w:val="none" w:sz="0" w:space="0" w:color="auto"/>
        <w:bottom w:val="none" w:sz="0" w:space="0" w:color="auto"/>
        <w:right w:val="none" w:sz="0" w:space="0" w:color="auto"/>
      </w:divBdr>
      <w:divsChild>
        <w:div w:id="486282202">
          <w:marLeft w:val="0"/>
          <w:marRight w:val="0"/>
          <w:marTop w:val="0"/>
          <w:marBottom w:val="0"/>
          <w:divBdr>
            <w:top w:val="none" w:sz="0" w:space="0" w:color="auto"/>
            <w:left w:val="none" w:sz="0" w:space="0" w:color="auto"/>
            <w:bottom w:val="none" w:sz="0" w:space="0" w:color="auto"/>
            <w:right w:val="none" w:sz="0" w:space="0" w:color="auto"/>
          </w:divBdr>
          <w:divsChild>
            <w:div w:id="76049278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91050671">
      <w:marLeft w:val="0"/>
      <w:marRight w:val="0"/>
      <w:marTop w:val="180"/>
      <w:marBottom w:val="0"/>
      <w:divBdr>
        <w:top w:val="none" w:sz="0" w:space="0" w:color="auto"/>
        <w:left w:val="none" w:sz="0" w:space="0" w:color="auto"/>
        <w:bottom w:val="none" w:sz="0" w:space="0" w:color="auto"/>
        <w:right w:val="none" w:sz="0" w:space="0" w:color="auto"/>
      </w:divBdr>
      <w:divsChild>
        <w:div w:id="475680555">
          <w:marLeft w:val="0"/>
          <w:marRight w:val="0"/>
          <w:marTop w:val="0"/>
          <w:marBottom w:val="0"/>
          <w:divBdr>
            <w:top w:val="none" w:sz="0" w:space="0" w:color="auto"/>
            <w:left w:val="none" w:sz="0" w:space="0" w:color="auto"/>
            <w:bottom w:val="none" w:sz="0" w:space="0" w:color="auto"/>
            <w:right w:val="none" w:sz="0" w:space="0" w:color="auto"/>
          </w:divBdr>
        </w:div>
        <w:div w:id="951597636">
          <w:marLeft w:val="0"/>
          <w:marRight w:val="0"/>
          <w:marTop w:val="0"/>
          <w:marBottom w:val="0"/>
          <w:divBdr>
            <w:top w:val="none" w:sz="0" w:space="0" w:color="auto"/>
            <w:left w:val="none" w:sz="0" w:space="0" w:color="auto"/>
            <w:bottom w:val="none" w:sz="0" w:space="0" w:color="auto"/>
            <w:right w:val="none" w:sz="0" w:space="0" w:color="auto"/>
          </w:divBdr>
        </w:div>
        <w:div w:id="1832407513">
          <w:marLeft w:val="0"/>
          <w:marRight w:val="0"/>
          <w:marTop w:val="0"/>
          <w:marBottom w:val="0"/>
          <w:divBdr>
            <w:top w:val="none" w:sz="0" w:space="0" w:color="auto"/>
            <w:left w:val="none" w:sz="0" w:space="0" w:color="auto"/>
            <w:bottom w:val="none" w:sz="0" w:space="0" w:color="auto"/>
            <w:right w:val="none" w:sz="0" w:space="0" w:color="auto"/>
          </w:divBdr>
        </w:div>
        <w:div w:id="497694585">
          <w:marLeft w:val="0"/>
          <w:marRight w:val="0"/>
          <w:marTop w:val="0"/>
          <w:marBottom w:val="0"/>
          <w:divBdr>
            <w:top w:val="none" w:sz="0" w:space="0" w:color="auto"/>
            <w:left w:val="none" w:sz="0" w:space="0" w:color="auto"/>
            <w:bottom w:val="none" w:sz="0" w:space="0" w:color="auto"/>
            <w:right w:val="none" w:sz="0" w:space="0" w:color="auto"/>
          </w:divBdr>
        </w:div>
        <w:div w:id="831722843">
          <w:marLeft w:val="0"/>
          <w:marRight w:val="0"/>
          <w:marTop w:val="0"/>
          <w:marBottom w:val="0"/>
          <w:divBdr>
            <w:top w:val="none" w:sz="0" w:space="0" w:color="auto"/>
            <w:left w:val="none" w:sz="0" w:space="0" w:color="auto"/>
            <w:bottom w:val="none" w:sz="0" w:space="0" w:color="auto"/>
            <w:right w:val="none" w:sz="0" w:space="0" w:color="auto"/>
          </w:divBdr>
        </w:div>
      </w:divsChild>
    </w:div>
    <w:div w:id="791092165">
      <w:marLeft w:val="0"/>
      <w:marRight w:val="0"/>
      <w:marTop w:val="180"/>
      <w:marBottom w:val="180"/>
      <w:divBdr>
        <w:top w:val="none" w:sz="0" w:space="0" w:color="auto"/>
        <w:left w:val="none" w:sz="0" w:space="0" w:color="auto"/>
        <w:bottom w:val="none" w:sz="0" w:space="0" w:color="auto"/>
        <w:right w:val="none" w:sz="0" w:space="0" w:color="auto"/>
      </w:divBdr>
    </w:div>
    <w:div w:id="792139092">
      <w:marLeft w:val="0"/>
      <w:marRight w:val="0"/>
      <w:marTop w:val="180"/>
      <w:marBottom w:val="180"/>
      <w:divBdr>
        <w:top w:val="none" w:sz="0" w:space="0" w:color="auto"/>
        <w:left w:val="none" w:sz="0" w:space="0" w:color="auto"/>
        <w:bottom w:val="none" w:sz="0" w:space="0" w:color="auto"/>
        <w:right w:val="none" w:sz="0" w:space="0" w:color="auto"/>
      </w:divBdr>
    </w:div>
    <w:div w:id="794175724">
      <w:marLeft w:val="0"/>
      <w:marRight w:val="0"/>
      <w:marTop w:val="180"/>
      <w:marBottom w:val="180"/>
      <w:divBdr>
        <w:top w:val="none" w:sz="0" w:space="0" w:color="auto"/>
        <w:left w:val="none" w:sz="0" w:space="0" w:color="auto"/>
        <w:bottom w:val="none" w:sz="0" w:space="0" w:color="auto"/>
        <w:right w:val="none" w:sz="0" w:space="0" w:color="auto"/>
      </w:divBdr>
    </w:div>
    <w:div w:id="795761738">
      <w:marLeft w:val="0"/>
      <w:marRight w:val="0"/>
      <w:marTop w:val="100"/>
      <w:marBottom w:val="0"/>
      <w:divBdr>
        <w:top w:val="none" w:sz="0" w:space="0" w:color="auto"/>
        <w:left w:val="none" w:sz="0" w:space="0" w:color="auto"/>
        <w:bottom w:val="none" w:sz="0" w:space="0" w:color="auto"/>
        <w:right w:val="none" w:sz="0" w:space="0" w:color="auto"/>
      </w:divBdr>
      <w:divsChild>
        <w:div w:id="2108191675">
          <w:marLeft w:val="0"/>
          <w:marRight w:val="0"/>
          <w:marTop w:val="0"/>
          <w:marBottom w:val="0"/>
          <w:divBdr>
            <w:top w:val="none" w:sz="0" w:space="0" w:color="auto"/>
            <w:left w:val="none" w:sz="0" w:space="0" w:color="auto"/>
            <w:bottom w:val="none" w:sz="0" w:space="0" w:color="auto"/>
            <w:right w:val="none" w:sz="0" w:space="0" w:color="auto"/>
          </w:divBdr>
        </w:div>
        <w:div w:id="1856529581">
          <w:marLeft w:val="0"/>
          <w:marRight w:val="0"/>
          <w:marTop w:val="0"/>
          <w:marBottom w:val="0"/>
          <w:divBdr>
            <w:top w:val="none" w:sz="0" w:space="0" w:color="auto"/>
            <w:left w:val="none" w:sz="0" w:space="0" w:color="auto"/>
            <w:bottom w:val="none" w:sz="0" w:space="0" w:color="auto"/>
            <w:right w:val="none" w:sz="0" w:space="0" w:color="auto"/>
          </w:divBdr>
        </w:div>
        <w:div w:id="1784225460">
          <w:marLeft w:val="0"/>
          <w:marRight w:val="0"/>
          <w:marTop w:val="0"/>
          <w:marBottom w:val="0"/>
          <w:divBdr>
            <w:top w:val="none" w:sz="0" w:space="0" w:color="auto"/>
            <w:left w:val="none" w:sz="0" w:space="0" w:color="auto"/>
            <w:bottom w:val="none" w:sz="0" w:space="0" w:color="auto"/>
            <w:right w:val="none" w:sz="0" w:space="0" w:color="auto"/>
          </w:divBdr>
        </w:div>
        <w:div w:id="1865745395">
          <w:marLeft w:val="0"/>
          <w:marRight w:val="0"/>
          <w:marTop w:val="0"/>
          <w:marBottom w:val="0"/>
          <w:divBdr>
            <w:top w:val="none" w:sz="0" w:space="0" w:color="auto"/>
            <w:left w:val="none" w:sz="0" w:space="0" w:color="auto"/>
            <w:bottom w:val="none" w:sz="0" w:space="0" w:color="auto"/>
            <w:right w:val="none" w:sz="0" w:space="0" w:color="auto"/>
          </w:divBdr>
        </w:div>
        <w:div w:id="2092923416">
          <w:marLeft w:val="0"/>
          <w:marRight w:val="0"/>
          <w:marTop w:val="0"/>
          <w:marBottom w:val="0"/>
          <w:divBdr>
            <w:top w:val="none" w:sz="0" w:space="0" w:color="auto"/>
            <w:left w:val="none" w:sz="0" w:space="0" w:color="auto"/>
            <w:bottom w:val="none" w:sz="0" w:space="0" w:color="auto"/>
            <w:right w:val="none" w:sz="0" w:space="0" w:color="auto"/>
          </w:divBdr>
        </w:div>
        <w:div w:id="71631527">
          <w:marLeft w:val="0"/>
          <w:marRight w:val="0"/>
          <w:marTop w:val="0"/>
          <w:marBottom w:val="0"/>
          <w:divBdr>
            <w:top w:val="none" w:sz="0" w:space="0" w:color="auto"/>
            <w:left w:val="none" w:sz="0" w:space="0" w:color="auto"/>
            <w:bottom w:val="none" w:sz="0" w:space="0" w:color="auto"/>
            <w:right w:val="none" w:sz="0" w:space="0" w:color="auto"/>
          </w:divBdr>
        </w:div>
        <w:div w:id="1288776454">
          <w:marLeft w:val="0"/>
          <w:marRight w:val="0"/>
          <w:marTop w:val="0"/>
          <w:marBottom w:val="0"/>
          <w:divBdr>
            <w:top w:val="none" w:sz="0" w:space="0" w:color="auto"/>
            <w:left w:val="none" w:sz="0" w:space="0" w:color="auto"/>
            <w:bottom w:val="none" w:sz="0" w:space="0" w:color="auto"/>
            <w:right w:val="none" w:sz="0" w:space="0" w:color="auto"/>
          </w:divBdr>
        </w:div>
        <w:div w:id="140585237">
          <w:marLeft w:val="0"/>
          <w:marRight w:val="0"/>
          <w:marTop w:val="0"/>
          <w:marBottom w:val="0"/>
          <w:divBdr>
            <w:top w:val="none" w:sz="0" w:space="0" w:color="auto"/>
            <w:left w:val="none" w:sz="0" w:space="0" w:color="auto"/>
            <w:bottom w:val="none" w:sz="0" w:space="0" w:color="auto"/>
            <w:right w:val="none" w:sz="0" w:space="0" w:color="auto"/>
          </w:divBdr>
        </w:div>
        <w:div w:id="789738475">
          <w:marLeft w:val="0"/>
          <w:marRight w:val="0"/>
          <w:marTop w:val="0"/>
          <w:marBottom w:val="0"/>
          <w:divBdr>
            <w:top w:val="none" w:sz="0" w:space="0" w:color="auto"/>
            <w:left w:val="none" w:sz="0" w:space="0" w:color="auto"/>
            <w:bottom w:val="none" w:sz="0" w:space="0" w:color="auto"/>
            <w:right w:val="none" w:sz="0" w:space="0" w:color="auto"/>
          </w:divBdr>
        </w:div>
        <w:div w:id="555548821">
          <w:marLeft w:val="0"/>
          <w:marRight w:val="0"/>
          <w:marTop w:val="0"/>
          <w:marBottom w:val="0"/>
          <w:divBdr>
            <w:top w:val="none" w:sz="0" w:space="0" w:color="auto"/>
            <w:left w:val="none" w:sz="0" w:space="0" w:color="auto"/>
            <w:bottom w:val="none" w:sz="0" w:space="0" w:color="auto"/>
            <w:right w:val="none" w:sz="0" w:space="0" w:color="auto"/>
          </w:divBdr>
        </w:div>
        <w:div w:id="1806435927">
          <w:marLeft w:val="0"/>
          <w:marRight w:val="0"/>
          <w:marTop w:val="0"/>
          <w:marBottom w:val="0"/>
          <w:divBdr>
            <w:top w:val="none" w:sz="0" w:space="0" w:color="auto"/>
            <w:left w:val="none" w:sz="0" w:space="0" w:color="auto"/>
            <w:bottom w:val="none" w:sz="0" w:space="0" w:color="auto"/>
            <w:right w:val="none" w:sz="0" w:space="0" w:color="auto"/>
          </w:divBdr>
        </w:div>
        <w:div w:id="1413158199">
          <w:marLeft w:val="0"/>
          <w:marRight w:val="0"/>
          <w:marTop w:val="0"/>
          <w:marBottom w:val="0"/>
          <w:divBdr>
            <w:top w:val="none" w:sz="0" w:space="0" w:color="auto"/>
            <w:left w:val="none" w:sz="0" w:space="0" w:color="auto"/>
            <w:bottom w:val="none" w:sz="0" w:space="0" w:color="auto"/>
            <w:right w:val="none" w:sz="0" w:space="0" w:color="auto"/>
          </w:divBdr>
        </w:div>
        <w:div w:id="1824736955">
          <w:marLeft w:val="0"/>
          <w:marRight w:val="0"/>
          <w:marTop w:val="0"/>
          <w:marBottom w:val="0"/>
          <w:divBdr>
            <w:top w:val="none" w:sz="0" w:space="0" w:color="auto"/>
            <w:left w:val="none" w:sz="0" w:space="0" w:color="auto"/>
            <w:bottom w:val="none" w:sz="0" w:space="0" w:color="auto"/>
            <w:right w:val="none" w:sz="0" w:space="0" w:color="auto"/>
          </w:divBdr>
        </w:div>
        <w:div w:id="316807372">
          <w:marLeft w:val="0"/>
          <w:marRight w:val="0"/>
          <w:marTop w:val="0"/>
          <w:marBottom w:val="0"/>
          <w:divBdr>
            <w:top w:val="none" w:sz="0" w:space="0" w:color="auto"/>
            <w:left w:val="none" w:sz="0" w:space="0" w:color="auto"/>
            <w:bottom w:val="none" w:sz="0" w:space="0" w:color="auto"/>
            <w:right w:val="none" w:sz="0" w:space="0" w:color="auto"/>
          </w:divBdr>
        </w:div>
        <w:div w:id="1437015398">
          <w:marLeft w:val="0"/>
          <w:marRight w:val="0"/>
          <w:marTop w:val="0"/>
          <w:marBottom w:val="0"/>
          <w:divBdr>
            <w:top w:val="none" w:sz="0" w:space="0" w:color="auto"/>
            <w:left w:val="none" w:sz="0" w:space="0" w:color="auto"/>
            <w:bottom w:val="none" w:sz="0" w:space="0" w:color="auto"/>
            <w:right w:val="none" w:sz="0" w:space="0" w:color="auto"/>
          </w:divBdr>
        </w:div>
        <w:div w:id="1742868792">
          <w:marLeft w:val="0"/>
          <w:marRight w:val="0"/>
          <w:marTop w:val="0"/>
          <w:marBottom w:val="0"/>
          <w:divBdr>
            <w:top w:val="none" w:sz="0" w:space="0" w:color="auto"/>
            <w:left w:val="none" w:sz="0" w:space="0" w:color="auto"/>
            <w:bottom w:val="none" w:sz="0" w:space="0" w:color="auto"/>
            <w:right w:val="none" w:sz="0" w:space="0" w:color="auto"/>
          </w:divBdr>
        </w:div>
        <w:div w:id="256406677">
          <w:marLeft w:val="0"/>
          <w:marRight w:val="0"/>
          <w:marTop w:val="0"/>
          <w:marBottom w:val="0"/>
          <w:divBdr>
            <w:top w:val="none" w:sz="0" w:space="0" w:color="auto"/>
            <w:left w:val="none" w:sz="0" w:space="0" w:color="auto"/>
            <w:bottom w:val="none" w:sz="0" w:space="0" w:color="auto"/>
            <w:right w:val="none" w:sz="0" w:space="0" w:color="auto"/>
          </w:divBdr>
        </w:div>
      </w:divsChild>
    </w:div>
    <w:div w:id="796141282">
      <w:marLeft w:val="0"/>
      <w:marRight w:val="0"/>
      <w:marTop w:val="180"/>
      <w:marBottom w:val="180"/>
      <w:divBdr>
        <w:top w:val="none" w:sz="0" w:space="0" w:color="auto"/>
        <w:left w:val="none" w:sz="0" w:space="0" w:color="auto"/>
        <w:bottom w:val="none" w:sz="0" w:space="0" w:color="auto"/>
        <w:right w:val="none" w:sz="0" w:space="0" w:color="auto"/>
      </w:divBdr>
    </w:div>
    <w:div w:id="796685643">
      <w:marLeft w:val="0"/>
      <w:marRight w:val="0"/>
      <w:marTop w:val="180"/>
      <w:marBottom w:val="180"/>
      <w:divBdr>
        <w:top w:val="none" w:sz="0" w:space="0" w:color="auto"/>
        <w:left w:val="none" w:sz="0" w:space="0" w:color="auto"/>
        <w:bottom w:val="none" w:sz="0" w:space="0" w:color="auto"/>
        <w:right w:val="none" w:sz="0" w:space="0" w:color="auto"/>
      </w:divBdr>
    </w:div>
    <w:div w:id="799998576">
      <w:marLeft w:val="0"/>
      <w:marRight w:val="0"/>
      <w:marTop w:val="180"/>
      <w:marBottom w:val="180"/>
      <w:divBdr>
        <w:top w:val="none" w:sz="0" w:space="0" w:color="auto"/>
        <w:left w:val="none" w:sz="0" w:space="0" w:color="auto"/>
        <w:bottom w:val="none" w:sz="0" w:space="0" w:color="auto"/>
        <w:right w:val="none" w:sz="0" w:space="0" w:color="auto"/>
      </w:divBdr>
    </w:div>
    <w:div w:id="802427160">
      <w:marLeft w:val="0"/>
      <w:marRight w:val="0"/>
      <w:marTop w:val="0"/>
      <w:marBottom w:val="0"/>
      <w:divBdr>
        <w:top w:val="none" w:sz="0" w:space="0" w:color="auto"/>
        <w:left w:val="none" w:sz="0" w:space="0" w:color="auto"/>
        <w:bottom w:val="none" w:sz="0" w:space="0" w:color="auto"/>
        <w:right w:val="none" w:sz="0" w:space="0" w:color="auto"/>
      </w:divBdr>
      <w:divsChild>
        <w:div w:id="695934062">
          <w:marLeft w:val="0"/>
          <w:marRight w:val="0"/>
          <w:marTop w:val="0"/>
          <w:marBottom w:val="0"/>
          <w:divBdr>
            <w:top w:val="none" w:sz="0" w:space="0" w:color="auto"/>
            <w:left w:val="none" w:sz="0" w:space="0" w:color="auto"/>
            <w:bottom w:val="none" w:sz="0" w:space="0" w:color="auto"/>
            <w:right w:val="none" w:sz="0" w:space="0" w:color="auto"/>
          </w:divBdr>
          <w:divsChild>
            <w:div w:id="16162650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02695765">
      <w:marLeft w:val="0"/>
      <w:marRight w:val="0"/>
      <w:marTop w:val="180"/>
      <w:marBottom w:val="180"/>
      <w:divBdr>
        <w:top w:val="none" w:sz="0" w:space="0" w:color="auto"/>
        <w:left w:val="none" w:sz="0" w:space="0" w:color="auto"/>
        <w:bottom w:val="none" w:sz="0" w:space="0" w:color="auto"/>
        <w:right w:val="none" w:sz="0" w:space="0" w:color="auto"/>
      </w:divBdr>
    </w:div>
    <w:div w:id="803156273">
      <w:marLeft w:val="0"/>
      <w:marRight w:val="0"/>
      <w:marTop w:val="0"/>
      <w:marBottom w:val="0"/>
      <w:divBdr>
        <w:top w:val="none" w:sz="0" w:space="0" w:color="auto"/>
        <w:left w:val="none" w:sz="0" w:space="0" w:color="auto"/>
        <w:bottom w:val="none" w:sz="0" w:space="0" w:color="auto"/>
        <w:right w:val="none" w:sz="0" w:space="0" w:color="auto"/>
      </w:divBdr>
      <w:divsChild>
        <w:div w:id="2010716403">
          <w:marLeft w:val="0"/>
          <w:marRight w:val="0"/>
          <w:marTop w:val="0"/>
          <w:marBottom w:val="0"/>
          <w:divBdr>
            <w:top w:val="none" w:sz="0" w:space="0" w:color="auto"/>
            <w:left w:val="none" w:sz="0" w:space="0" w:color="auto"/>
            <w:bottom w:val="none" w:sz="0" w:space="0" w:color="auto"/>
            <w:right w:val="none" w:sz="0" w:space="0" w:color="auto"/>
          </w:divBdr>
          <w:divsChild>
            <w:div w:id="89535987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03695044">
      <w:marLeft w:val="0"/>
      <w:marRight w:val="0"/>
      <w:marTop w:val="180"/>
      <w:marBottom w:val="180"/>
      <w:divBdr>
        <w:top w:val="none" w:sz="0" w:space="0" w:color="auto"/>
        <w:left w:val="none" w:sz="0" w:space="0" w:color="auto"/>
        <w:bottom w:val="none" w:sz="0" w:space="0" w:color="auto"/>
        <w:right w:val="none" w:sz="0" w:space="0" w:color="auto"/>
      </w:divBdr>
    </w:div>
    <w:div w:id="804078619">
      <w:marLeft w:val="0"/>
      <w:marRight w:val="0"/>
      <w:marTop w:val="180"/>
      <w:marBottom w:val="180"/>
      <w:divBdr>
        <w:top w:val="none" w:sz="0" w:space="0" w:color="auto"/>
        <w:left w:val="none" w:sz="0" w:space="0" w:color="auto"/>
        <w:bottom w:val="none" w:sz="0" w:space="0" w:color="auto"/>
        <w:right w:val="none" w:sz="0" w:space="0" w:color="auto"/>
      </w:divBdr>
    </w:div>
    <w:div w:id="804588590">
      <w:marLeft w:val="0"/>
      <w:marRight w:val="0"/>
      <w:marTop w:val="180"/>
      <w:marBottom w:val="180"/>
      <w:divBdr>
        <w:top w:val="none" w:sz="0" w:space="0" w:color="auto"/>
        <w:left w:val="none" w:sz="0" w:space="0" w:color="auto"/>
        <w:bottom w:val="none" w:sz="0" w:space="0" w:color="auto"/>
        <w:right w:val="none" w:sz="0" w:space="0" w:color="auto"/>
      </w:divBdr>
    </w:div>
    <w:div w:id="805664048">
      <w:marLeft w:val="0"/>
      <w:marRight w:val="0"/>
      <w:marTop w:val="60"/>
      <w:marBottom w:val="60"/>
      <w:divBdr>
        <w:top w:val="none" w:sz="0" w:space="0" w:color="auto"/>
        <w:left w:val="none" w:sz="0" w:space="0" w:color="auto"/>
        <w:bottom w:val="none" w:sz="0" w:space="0" w:color="auto"/>
        <w:right w:val="none" w:sz="0" w:space="0" w:color="auto"/>
      </w:divBdr>
    </w:div>
    <w:div w:id="808598186">
      <w:marLeft w:val="0"/>
      <w:marRight w:val="0"/>
      <w:marTop w:val="180"/>
      <w:marBottom w:val="180"/>
      <w:divBdr>
        <w:top w:val="none" w:sz="0" w:space="0" w:color="auto"/>
        <w:left w:val="none" w:sz="0" w:space="0" w:color="auto"/>
        <w:bottom w:val="none" w:sz="0" w:space="0" w:color="auto"/>
        <w:right w:val="none" w:sz="0" w:space="0" w:color="auto"/>
      </w:divBdr>
    </w:div>
    <w:div w:id="811557050">
      <w:marLeft w:val="0"/>
      <w:marRight w:val="0"/>
      <w:marTop w:val="180"/>
      <w:marBottom w:val="180"/>
      <w:divBdr>
        <w:top w:val="none" w:sz="0" w:space="0" w:color="auto"/>
        <w:left w:val="none" w:sz="0" w:space="0" w:color="auto"/>
        <w:bottom w:val="none" w:sz="0" w:space="0" w:color="auto"/>
        <w:right w:val="none" w:sz="0" w:space="0" w:color="auto"/>
      </w:divBdr>
    </w:div>
    <w:div w:id="815226328">
      <w:marLeft w:val="0"/>
      <w:marRight w:val="0"/>
      <w:marTop w:val="180"/>
      <w:marBottom w:val="180"/>
      <w:divBdr>
        <w:top w:val="none" w:sz="0" w:space="0" w:color="auto"/>
        <w:left w:val="none" w:sz="0" w:space="0" w:color="auto"/>
        <w:bottom w:val="none" w:sz="0" w:space="0" w:color="auto"/>
        <w:right w:val="none" w:sz="0" w:space="0" w:color="auto"/>
      </w:divBdr>
    </w:div>
    <w:div w:id="816147833">
      <w:marLeft w:val="0"/>
      <w:marRight w:val="0"/>
      <w:marTop w:val="0"/>
      <w:marBottom w:val="0"/>
      <w:divBdr>
        <w:top w:val="none" w:sz="0" w:space="0" w:color="auto"/>
        <w:left w:val="none" w:sz="0" w:space="0" w:color="auto"/>
        <w:bottom w:val="none" w:sz="0" w:space="0" w:color="auto"/>
        <w:right w:val="none" w:sz="0" w:space="0" w:color="auto"/>
      </w:divBdr>
      <w:divsChild>
        <w:div w:id="1135756968">
          <w:marLeft w:val="0"/>
          <w:marRight w:val="0"/>
          <w:marTop w:val="0"/>
          <w:marBottom w:val="0"/>
          <w:divBdr>
            <w:top w:val="none" w:sz="0" w:space="0" w:color="auto"/>
            <w:left w:val="none" w:sz="0" w:space="0" w:color="auto"/>
            <w:bottom w:val="none" w:sz="0" w:space="0" w:color="auto"/>
            <w:right w:val="none" w:sz="0" w:space="0" w:color="auto"/>
          </w:divBdr>
          <w:divsChild>
            <w:div w:id="109990892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17695604">
      <w:marLeft w:val="0"/>
      <w:marRight w:val="0"/>
      <w:marTop w:val="0"/>
      <w:marBottom w:val="0"/>
      <w:divBdr>
        <w:top w:val="none" w:sz="0" w:space="0" w:color="auto"/>
        <w:left w:val="none" w:sz="0" w:space="0" w:color="auto"/>
        <w:bottom w:val="none" w:sz="0" w:space="0" w:color="auto"/>
        <w:right w:val="none" w:sz="0" w:space="0" w:color="auto"/>
      </w:divBdr>
      <w:divsChild>
        <w:div w:id="960527713">
          <w:marLeft w:val="0"/>
          <w:marRight w:val="0"/>
          <w:marTop w:val="0"/>
          <w:marBottom w:val="0"/>
          <w:divBdr>
            <w:top w:val="none" w:sz="0" w:space="0" w:color="auto"/>
            <w:left w:val="none" w:sz="0" w:space="0" w:color="auto"/>
            <w:bottom w:val="none" w:sz="0" w:space="0" w:color="auto"/>
            <w:right w:val="none" w:sz="0" w:space="0" w:color="auto"/>
          </w:divBdr>
          <w:divsChild>
            <w:div w:id="71986778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17962111">
      <w:marLeft w:val="0"/>
      <w:marRight w:val="0"/>
      <w:marTop w:val="180"/>
      <w:marBottom w:val="180"/>
      <w:divBdr>
        <w:top w:val="none" w:sz="0" w:space="0" w:color="auto"/>
        <w:left w:val="none" w:sz="0" w:space="0" w:color="auto"/>
        <w:bottom w:val="none" w:sz="0" w:space="0" w:color="auto"/>
        <w:right w:val="none" w:sz="0" w:space="0" w:color="auto"/>
      </w:divBdr>
    </w:div>
    <w:div w:id="819737250">
      <w:marLeft w:val="0"/>
      <w:marRight w:val="0"/>
      <w:marTop w:val="180"/>
      <w:marBottom w:val="180"/>
      <w:divBdr>
        <w:top w:val="none" w:sz="0" w:space="0" w:color="auto"/>
        <w:left w:val="none" w:sz="0" w:space="0" w:color="auto"/>
        <w:bottom w:val="none" w:sz="0" w:space="0" w:color="auto"/>
        <w:right w:val="none" w:sz="0" w:space="0" w:color="auto"/>
      </w:divBdr>
    </w:div>
    <w:div w:id="821193685">
      <w:marLeft w:val="0"/>
      <w:marRight w:val="0"/>
      <w:marTop w:val="0"/>
      <w:marBottom w:val="0"/>
      <w:divBdr>
        <w:top w:val="none" w:sz="0" w:space="0" w:color="auto"/>
        <w:left w:val="none" w:sz="0" w:space="0" w:color="auto"/>
        <w:bottom w:val="none" w:sz="0" w:space="0" w:color="auto"/>
        <w:right w:val="none" w:sz="0" w:space="0" w:color="auto"/>
      </w:divBdr>
      <w:divsChild>
        <w:div w:id="65536251">
          <w:marLeft w:val="0"/>
          <w:marRight w:val="0"/>
          <w:marTop w:val="0"/>
          <w:marBottom w:val="0"/>
          <w:divBdr>
            <w:top w:val="none" w:sz="0" w:space="0" w:color="auto"/>
            <w:left w:val="none" w:sz="0" w:space="0" w:color="auto"/>
            <w:bottom w:val="none" w:sz="0" w:space="0" w:color="auto"/>
            <w:right w:val="none" w:sz="0" w:space="0" w:color="auto"/>
          </w:divBdr>
          <w:divsChild>
            <w:div w:id="41124343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21233918">
      <w:marLeft w:val="0"/>
      <w:marRight w:val="0"/>
      <w:marTop w:val="180"/>
      <w:marBottom w:val="180"/>
      <w:divBdr>
        <w:top w:val="none" w:sz="0" w:space="0" w:color="auto"/>
        <w:left w:val="none" w:sz="0" w:space="0" w:color="auto"/>
        <w:bottom w:val="none" w:sz="0" w:space="0" w:color="auto"/>
        <w:right w:val="none" w:sz="0" w:space="0" w:color="auto"/>
      </w:divBdr>
    </w:div>
    <w:div w:id="821315164">
      <w:marLeft w:val="0"/>
      <w:marRight w:val="0"/>
      <w:marTop w:val="180"/>
      <w:marBottom w:val="180"/>
      <w:divBdr>
        <w:top w:val="none" w:sz="0" w:space="0" w:color="auto"/>
        <w:left w:val="none" w:sz="0" w:space="0" w:color="auto"/>
        <w:bottom w:val="none" w:sz="0" w:space="0" w:color="auto"/>
        <w:right w:val="none" w:sz="0" w:space="0" w:color="auto"/>
      </w:divBdr>
    </w:div>
    <w:div w:id="822161264">
      <w:marLeft w:val="0"/>
      <w:marRight w:val="0"/>
      <w:marTop w:val="180"/>
      <w:marBottom w:val="180"/>
      <w:divBdr>
        <w:top w:val="none" w:sz="0" w:space="0" w:color="auto"/>
        <w:left w:val="none" w:sz="0" w:space="0" w:color="auto"/>
        <w:bottom w:val="none" w:sz="0" w:space="0" w:color="auto"/>
        <w:right w:val="none" w:sz="0" w:space="0" w:color="auto"/>
      </w:divBdr>
    </w:div>
    <w:div w:id="822895734">
      <w:marLeft w:val="0"/>
      <w:marRight w:val="0"/>
      <w:marTop w:val="60"/>
      <w:marBottom w:val="60"/>
      <w:divBdr>
        <w:top w:val="none" w:sz="0" w:space="0" w:color="auto"/>
        <w:left w:val="none" w:sz="0" w:space="0" w:color="auto"/>
        <w:bottom w:val="none" w:sz="0" w:space="0" w:color="auto"/>
        <w:right w:val="none" w:sz="0" w:space="0" w:color="auto"/>
      </w:divBdr>
    </w:div>
    <w:div w:id="824737565">
      <w:marLeft w:val="0"/>
      <w:marRight w:val="0"/>
      <w:marTop w:val="180"/>
      <w:marBottom w:val="180"/>
      <w:divBdr>
        <w:top w:val="none" w:sz="0" w:space="0" w:color="auto"/>
        <w:left w:val="none" w:sz="0" w:space="0" w:color="auto"/>
        <w:bottom w:val="none" w:sz="0" w:space="0" w:color="auto"/>
        <w:right w:val="none" w:sz="0" w:space="0" w:color="auto"/>
      </w:divBdr>
    </w:div>
    <w:div w:id="828210282">
      <w:marLeft w:val="0"/>
      <w:marRight w:val="0"/>
      <w:marTop w:val="60"/>
      <w:marBottom w:val="60"/>
      <w:divBdr>
        <w:top w:val="none" w:sz="0" w:space="0" w:color="auto"/>
        <w:left w:val="none" w:sz="0" w:space="0" w:color="auto"/>
        <w:bottom w:val="none" w:sz="0" w:space="0" w:color="auto"/>
        <w:right w:val="none" w:sz="0" w:space="0" w:color="auto"/>
      </w:divBdr>
    </w:div>
    <w:div w:id="828836918">
      <w:marLeft w:val="0"/>
      <w:marRight w:val="0"/>
      <w:marTop w:val="60"/>
      <w:marBottom w:val="60"/>
      <w:divBdr>
        <w:top w:val="none" w:sz="0" w:space="0" w:color="auto"/>
        <w:left w:val="none" w:sz="0" w:space="0" w:color="auto"/>
        <w:bottom w:val="none" w:sz="0" w:space="0" w:color="auto"/>
        <w:right w:val="none" w:sz="0" w:space="0" w:color="auto"/>
      </w:divBdr>
    </w:div>
    <w:div w:id="829250380">
      <w:marLeft w:val="0"/>
      <w:marRight w:val="0"/>
      <w:marTop w:val="180"/>
      <w:marBottom w:val="180"/>
      <w:divBdr>
        <w:top w:val="none" w:sz="0" w:space="0" w:color="auto"/>
        <w:left w:val="none" w:sz="0" w:space="0" w:color="auto"/>
        <w:bottom w:val="none" w:sz="0" w:space="0" w:color="auto"/>
        <w:right w:val="none" w:sz="0" w:space="0" w:color="auto"/>
      </w:divBdr>
    </w:div>
    <w:div w:id="829321965">
      <w:marLeft w:val="0"/>
      <w:marRight w:val="0"/>
      <w:marTop w:val="60"/>
      <w:marBottom w:val="60"/>
      <w:divBdr>
        <w:top w:val="none" w:sz="0" w:space="0" w:color="auto"/>
        <w:left w:val="none" w:sz="0" w:space="0" w:color="auto"/>
        <w:bottom w:val="none" w:sz="0" w:space="0" w:color="auto"/>
        <w:right w:val="none" w:sz="0" w:space="0" w:color="auto"/>
      </w:divBdr>
    </w:div>
    <w:div w:id="830678628">
      <w:marLeft w:val="0"/>
      <w:marRight w:val="0"/>
      <w:marTop w:val="180"/>
      <w:marBottom w:val="180"/>
      <w:divBdr>
        <w:top w:val="none" w:sz="0" w:space="0" w:color="auto"/>
        <w:left w:val="none" w:sz="0" w:space="0" w:color="auto"/>
        <w:bottom w:val="none" w:sz="0" w:space="0" w:color="auto"/>
        <w:right w:val="none" w:sz="0" w:space="0" w:color="auto"/>
      </w:divBdr>
    </w:div>
    <w:div w:id="832335949">
      <w:marLeft w:val="0"/>
      <w:marRight w:val="0"/>
      <w:marTop w:val="180"/>
      <w:marBottom w:val="0"/>
      <w:divBdr>
        <w:top w:val="none" w:sz="0" w:space="0" w:color="auto"/>
        <w:left w:val="none" w:sz="0" w:space="0" w:color="auto"/>
        <w:bottom w:val="none" w:sz="0" w:space="0" w:color="auto"/>
        <w:right w:val="none" w:sz="0" w:space="0" w:color="auto"/>
      </w:divBdr>
    </w:div>
    <w:div w:id="832985401">
      <w:marLeft w:val="0"/>
      <w:marRight w:val="0"/>
      <w:marTop w:val="120"/>
      <w:marBottom w:val="0"/>
      <w:divBdr>
        <w:top w:val="none" w:sz="0" w:space="0" w:color="auto"/>
        <w:left w:val="none" w:sz="0" w:space="0" w:color="auto"/>
        <w:bottom w:val="none" w:sz="0" w:space="0" w:color="auto"/>
        <w:right w:val="none" w:sz="0" w:space="0" w:color="auto"/>
      </w:divBdr>
    </w:div>
    <w:div w:id="832986066">
      <w:marLeft w:val="0"/>
      <w:marRight w:val="0"/>
      <w:marTop w:val="0"/>
      <w:marBottom w:val="0"/>
      <w:divBdr>
        <w:top w:val="none" w:sz="0" w:space="0" w:color="auto"/>
        <w:left w:val="none" w:sz="0" w:space="0" w:color="auto"/>
        <w:bottom w:val="none" w:sz="0" w:space="0" w:color="auto"/>
        <w:right w:val="none" w:sz="0" w:space="0" w:color="auto"/>
      </w:divBdr>
    </w:div>
    <w:div w:id="833186713">
      <w:marLeft w:val="0"/>
      <w:marRight w:val="0"/>
      <w:marTop w:val="180"/>
      <w:marBottom w:val="180"/>
      <w:divBdr>
        <w:top w:val="none" w:sz="0" w:space="0" w:color="auto"/>
        <w:left w:val="none" w:sz="0" w:space="0" w:color="auto"/>
        <w:bottom w:val="none" w:sz="0" w:space="0" w:color="auto"/>
        <w:right w:val="none" w:sz="0" w:space="0" w:color="auto"/>
      </w:divBdr>
    </w:div>
    <w:div w:id="833496474">
      <w:marLeft w:val="0"/>
      <w:marRight w:val="0"/>
      <w:marTop w:val="180"/>
      <w:marBottom w:val="180"/>
      <w:divBdr>
        <w:top w:val="none" w:sz="0" w:space="0" w:color="auto"/>
        <w:left w:val="none" w:sz="0" w:space="0" w:color="auto"/>
        <w:bottom w:val="none" w:sz="0" w:space="0" w:color="auto"/>
        <w:right w:val="none" w:sz="0" w:space="0" w:color="auto"/>
      </w:divBdr>
    </w:div>
    <w:div w:id="835461360">
      <w:marLeft w:val="0"/>
      <w:marRight w:val="0"/>
      <w:marTop w:val="180"/>
      <w:marBottom w:val="180"/>
      <w:divBdr>
        <w:top w:val="none" w:sz="0" w:space="0" w:color="auto"/>
        <w:left w:val="none" w:sz="0" w:space="0" w:color="auto"/>
        <w:bottom w:val="none" w:sz="0" w:space="0" w:color="auto"/>
        <w:right w:val="none" w:sz="0" w:space="0" w:color="auto"/>
      </w:divBdr>
    </w:div>
    <w:div w:id="835805161">
      <w:marLeft w:val="0"/>
      <w:marRight w:val="0"/>
      <w:marTop w:val="120"/>
      <w:marBottom w:val="120"/>
      <w:divBdr>
        <w:top w:val="none" w:sz="0" w:space="0" w:color="auto"/>
        <w:left w:val="none" w:sz="0" w:space="0" w:color="auto"/>
        <w:bottom w:val="none" w:sz="0" w:space="0" w:color="auto"/>
        <w:right w:val="none" w:sz="0" w:space="0" w:color="auto"/>
      </w:divBdr>
    </w:div>
    <w:div w:id="836306876">
      <w:marLeft w:val="0"/>
      <w:marRight w:val="0"/>
      <w:marTop w:val="180"/>
      <w:marBottom w:val="180"/>
      <w:divBdr>
        <w:top w:val="none" w:sz="0" w:space="0" w:color="auto"/>
        <w:left w:val="none" w:sz="0" w:space="0" w:color="auto"/>
        <w:bottom w:val="none" w:sz="0" w:space="0" w:color="auto"/>
        <w:right w:val="none" w:sz="0" w:space="0" w:color="auto"/>
      </w:divBdr>
    </w:div>
    <w:div w:id="836766265">
      <w:marLeft w:val="0"/>
      <w:marRight w:val="0"/>
      <w:marTop w:val="180"/>
      <w:marBottom w:val="180"/>
      <w:divBdr>
        <w:top w:val="none" w:sz="0" w:space="0" w:color="auto"/>
        <w:left w:val="none" w:sz="0" w:space="0" w:color="auto"/>
        <w:bottom w:val="none" w:sz="0" w:space="0" w:color="auto"/>
        <w:right w:val="none" w:sz="0" w:space="0" w:color="auto"/>
      </w:divBdr>
    </w:div>
    <w:div w:id="837188927">
      <w:marLeft w:val="0"/>
      <w:marRight w:val="0"/>
      <w:marTop w:val="180"/>
      <w:marBottom w:val="180"/>
      <w:divBdr>
        <w:top w:val="none" w:sz="0" w:space="0" w:color="auto"/>
        <w:left w:val="none" w:sz="0" w:space="0" w:color="auto"/>
        <w:bottom w:val="none" w:sz="0" w:space="0" w:color="auto"/>
        <w:right w:val="none" w:sz="0" w:space="0" w:color="auto"/>
      </w:divBdr>
    </w:div>
    <w:div w:id="837692650">
      <w:marLeft w:val="0"/>
      <w:marRight w:val="0"/>
      <w:marTop w:val="180"/>
      <w:marBottom w:val="180"/>
      <w:divBdr>
        <w:top w:val="none" w:sz="0" w:space="0" w:color="auto"/>
        <w:left w:val="none" w:sz="0" w:space="0" w:color="auto"/>
        <w:bottom w:val="none" w:sz="0" w:space="0" w:color="auto"/>
        <w:right w:val="none" w:sz="0" w:space="0" w:color="auto"/>
      </w:divBdr>
    </w:div>
    <w:div w:id="838468107">
      <w:marLeft w:val="0"/>
      <w:marRight w:val="0"/>
      <w:marTop w:val="60"/>
      <w:marBottom w:val="60"/>
      <w:divBdr>
        <w:top w:val="none" w:sz="0" w:space="0" w:color="auto"/>
        <w:left w:val="none" w:sz="0" w:space="0" w:color="auto"/>
        <w:bottom w:val="none" w:sz="0" w:space="0" w:color="auto"/>
        <w:right w:val="none" w:sz="0" w:space="0" w:color="auto"/>
      </w:divBdr>
    </w:div>
    <w:div w:id="838885563">
      <w:marLeft w:val="0"/>
      <w:marRight w:val="0"/>
      <w:marTop w:val="180"/>
      <w:marBottom w:val="180"/>
      <w:divBdr>
        <w:top w:val="none" w:sz="0" w:space="0" w:color="auto"/>
        <w:left w:val="none" w:sz="0" w:space="0" w:color="auto"/>
        <w:bottom w:val="none" w:sz="0" w:space="0" w:color="auto"/>
        <w:right w:val="none" w:sz="0" w:space="0" w:color="auto"/>
      </w:divBdr>
    </w:div>
    <w:div w:id="839856974">
      <w:marLeft w:val="0"/>
      <w:marRight w:val="0"/>
      <w:marTop w:val="60"/>
      <w:marBottom w:val="60"/>
      <w:divBdr>
        <w:top w:val="none" w:sz="0" w:space="0" w:color="auto"/>
        <w:left w:val="none" w:sz="0" w:space="0" w:color="auto"/>
        <w:bottom w:val="none" w:sz="0" w:space="0" w:color="auto"/>
        <w:right w:val="none" w:sz="0" w:space="0" w:color="auto"/>
      </w:divBdr>
    </w:div>
    <w:div w:id="840853501">
      <w:marLeft w:val="0"/>
      <w:marRight w:val="0"/>
      <w:marTop w:val="180"/>
      <w:marBottom w:val="180"/>
      <w:divBdr>
        <w:top w:val="none" w:sz="0" w:space="0" w:color="auto"/>
        <w:left w:val="none" w:sz="0" w:space="0" w:color="auto"/>
        <w:bottom w:val="none" w:sz="0" w:space="0" w:color="auto"/>
        <w:right w:val="none" w:sz="0" w:space="0" w:color="auto"/>
      </w:divBdr>
    </w:div>
    <w:div w:id="841627948">
      <w:marLeft w:val="0"/>
      <w:marRight w:val="0"/>
      <w:marTop w:val="180"/>
      <w:marBottom w:val="180"/>
      <w:divBdr>
        <w:top w:val="none" w:sz="0" w:space="0" w:color="auto"/>
        <w:left w:val="none" w:sz="0" w:space="0" w:color="auto"/>
        <w:bottom w:val="none" w:sz="0" w:space="0" w:color="auto"/>
        <w:right w:val="none" w:sz="0" w:space="0" w:color="auto"/>
      </w:divBdr>
    </w:div>
    <w:div w:id="844438136">
      <w:marLeft w:val="0"/>
      <w:marRight w:val="0"/>
      <w:marTop w:val="180"/>
      <w:marBottom w:val="180"/>
      <w:divBdr>
        <w:top w:val="none" w:sz="0" w:space="0" w:color="auto"/>
        <w:left w:val="none" w:sz="0" w:space="0" w:color="auto"/>
        <w:bottom w:val="none" w:sz="0" w:space="0" w:color="auto"/>
        <w:right w:val="none" w:sz="0" w:space="0" w:color="auto"/>
      </w:divBdr>
    </w:div>
    <w:div w:id="845171504">
      <w:marLeft w:val="0"/>
      <w:marRight w:val="0"/>
      <w:marTop w:val="60"/>
      <w:marBottom w:val="60"/>
      <w:divBdr>
        <w:top w:val="none" w:sz="0" w:space="0" w:color="auto"/>
        <w:left w:val="none" w:sz="0" w:space="0" w:color="auto"/>
        <w:bottom w:val="none" w:sz="0" w:space="0" w:color="auto"/>
        <w:right w:val="none" w:sz="0" w:space="0" w:color="auto"/>
      </w:divBdr>
    </w:div>
    <w:div w:id="845364856">
      <w:marLeft w:val="0"/>
      <w:marRight w:val="0"/>
      <w:marTop w:val="180"/>
      <w:marBottom w:val="180"/>
      <w:divBdr>
        <w:top w:val="none" w:sz="0" w:space="0" w:color="auto"/>
        <w:left w:val="none" w:sz="0" w:space="0" w:color="auto"/>
        <w:bottom w:val="none" w:sz="0" w:space="0" w:color="auto"/>
        <w:right w:val="none" w:sz="0" w:space="0" w:color="auto"/>
      </w:divBdr>
    </w:div>
    <w:div w:id="845637586">
      <w:marLeft w:val="0"/>
      <w:marRight w:val="0"/>
      <w:marTop w:val="180"/>
      <w:marBottom w:val="180"/>
      <w:divBdr>
        <w:top w:val="none" w:sz="0" w:space="0" w:color="auto"/>
        <w:left w:val="none" w:sz="0" w:space="0" w:color="auto"/>
        <w:bottom w:val="none" w:sz="0" w:space="0" w:color="auto"/>
        <w:right w:val="none" w:sz="0" w:space="0" w:color="auto"/>
      </w:divBdr>
    </w:div>
    <w:div w:id="846092897">
      <w:marLeft w:val="0"/>
      <w:marRight w:val="0"/>
      <w:marTop w:val="0"/>
      <w:marBottom w:val="0"/>
      <w:divBdr>
        <w:top w:val="none" w:sz="0" w:space="0" w:color="auto"/>
        <w:left w:val="none" w:sz="0" w:space="0" w:color="auto"/>
        <w:bottom w:val="none" w:sz="0" w:space="0" w:color="auto"/>
        <w:right w:val="none" w:sz="0" w:space="0" w:color="auto"/>
      </w:divBdr>
      <w:divsChild>
        <w:div w:id="208077385">
          <w:marLeft w:val="0"/>
          <w:marRight w:val="0"/>
          <w:marTop w:val="0"/>
          <w:marBottom w:val="0"/>
          <w:divBdr>
            <w:top w:val="none" w:sz="0" w:space="0" w:color="auto"/>
            <w:left w:val="none" w:sz="0" w:space="0" w:color="auto"/>
            <w:bottom w:val="none" w:sz="0" w:space="0" w:color="auto"/>
            <w:right w:val="none" w:sz="0" w:space="0" w:color="auto"/>
          </w:divBdr>
          <w:divsChild>
            <w:div w:id="11287408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46284460">
      <w:marLeft w:val="0"/>
      <w:marRight w:val="0"/>
      <w:marTop w:val="180"/>
      <w:marBottom w:val="180"/>
      <w:divBdr>
        <w:top w:val="none" w:sz="0" w:space="0" w:color="auto"/>
        <w:left w:val="none" w:sz="0" w:space="0" w:color="auto"/>
        <w:bottom w:val="none" w:sz="0" w:space="0" w:color="auto"/>
        <w:right w:val="none" w:sz="0" w:space="0" w:color="auto"/>
      </w:divBdr>
    </w:div>
    <w:div w:id="846285400">
      <w:marLeft w:val="0"/>
      <w:marRight w:val="0"/>
      <w:marTop w:val="60"/>
      <w:marBottom w:val="60"/>
      <w:divBdr>
        <w:top w:val="none" w:sz="0" w:space="0" w:color="auto"/>
        <w:left w:val="none" w:sz="0" w:space="0" w:color="auto"/>
        <w:bottom w:val="none" w:sz="0" w:space="0" w:color="auto"/>
        <w:right w:val="none" w:sz="0" w:space="0" w:color="auto"/>
      </w:divBdr>
    </w:div>
    <w:div w:id="846403252">
      <w:marLeft w:val="0"/>
      <w:marRight w:val="0"/>
      <w:marTop w:val="160"/>
      <w:marBottom w:val="0"/>
      <w:divBdr>
        <w:top w:val="none" w:sz="0" w:space="0" w:color="auto"/>
        <w:left w:val="none" w:sz="0" w:space="0" w:color="auto"/>
        <w:bottom w:val="none" w:sz="0" w:space="0" w:color="auto"/>
        <w:right w:val="none" w:sz="0" w:space="0" w:color="auto"/>
      </w:divBdr>
    </w:div>
    <w:div w:id="846407754">
      <w:marLeft w:val="0"/>
      <w:marRight w:val="0"/>
      <w:marTop w:val="60"/>
      <w:marBottom w:val="60"/>
      <w:divBdr>
        <w:top w:val="none" w:sz="0" w:space="0" w:color="auto"/>
        <w:left w:val="none" w:sz="0" w:space="0" w:color="auto"/>
        <w:bottom w:val="none" w:sz="0" w:space="0" w:color="auto"/>
        <w:right w:val="none" w:sz="0" w:space="0" w:color="auto"/>
      </w:divBdr>
    </w:div>
    <w:div w:id="847716274">
      <w:marLeft w:val="0"/>
      <w:marRight w:val="0"/>
      <w:marTop w:val="180"/>
      <w:marBottom w:val="180"/>
      <w:divBdr>
        <w:top w:val="none" w:sz="0" w:space="0" w:color="auto"/>
        <w:left w:val="none" w:sz="0" w:space="0" w:color="auto"/>
        <w:bottom w:val="none" w:sz="0" w:space="0" w:color="auto"/>
        <w:right w:val="none" w:sz="0" w:space="0" w:color="auto"/>
      </w:divBdr>
    </w:div>
    <w:div w:id="847787562">
      <w:marLeft w:val="0"/>
      <w:marRight w:val="0"/>
      <w:marTop w:val="180"/>
      <w:marBottom w:val="180"/>
      <w:divBdr>
        <w:top w:val="none" w:sz="0" w:space="0" w:color="auto"/>
        <w:left w:val="none" w:sz="0" w:space="0" w:color="auto"/>
        <w:bottom w:val="none" w:sz="0" w:space="0" w:color="auto"/>
        <w:right w:val="none" w:sz="0" w:space="0" w:color="auto"/>
      </w:divBdr>
    </w:div>
    <w:div w:id="848905615">
      <w:marLeft w:val="0"/>
      <w:marRight w:val="0"/>
      <w:marTop w:val="180"/>
      <w:marBottom w:val="180"/>
      <w:divBdr>
        <w:top w:val="none" w:sz="0" w:space="0" w:color="auto"/>
        <w:left w:val="none" w:sz="0" w:space="0" w:color="auto"/>
        <w:bottom w:val="none" w:sz="0" w:space="0" w:color="auto"/>
        <w:right w:val="none" w:sz="0" w:space="0" w:color="auto"/>
      </w:divBdr>
    </w:div>
    <w:div w:id="849295933">
      <w:marLeft w:val="0"/>
      <w:marRight w:val="0"/>
      <w:marTop w:val="0"/>
      <w:marBottom w:val="0"/>
      <w:divBdr>
        <w:top w:val="none" w:sz="0" w:space="0" w:color="auto"/>
        <w:left w:val="none" w:sz="0" w:space="0" w:color="auto"/>
        <w:bottom w:val="none" w:sz="0" w:space="0" w:color="auto"/>
        <w:right w:val="none" w:sz="0" w:space="0" w:color="auto"/>
      </w:divBdr>
      <w:divsChild>
        <w:div w:id="1318264792">
          <w:marLeft w:val="0"/>
          <w:marRight w:val="0"/>
          <w:marTop w:val="0"/>
          <w:marBottom w:val="0"/>
          <w:divBdr>
            <w:top w:val="none" w:sz="0" w:space="0" w:color="auto"/>
            <w:left w:val="none" w:sz="0" w:space="0" w:color="auto"/>
            <w:bottom w:val="none" w:sz="0" w:space="0" w:color="auto"/>
            <w:right w:val="none" w:sz="0" w:space="0" w:color="auto"/>
          </w:divBdr>
          <w:divsChild>
            <w:div w:id="16945270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49754382">
      <w:marLeft w:val="0"/>
      <w:marRight w:val="0"/>
      <w:marTop w:val="180"/>
      <w:marBottom w:val="180"/>
      <w:divBdr>
        <w:top w:val="none" w:sz="0" w:space="0" w:color="auto"/>
        <w:left w:val="none" w:sz="0" w:space="0" w:color="auto"/>
        <w:bottom w:val="none" w:sz="0" w:space="0" w:color="auto"/>
        <w:right w:val="none" w:sz="0" w:space="0" w:color="auto"/>
      </w:divBdr>
    </w:div>
    <w:div w:id="851384265">
      <w:marLeft w:val="0"/>
      <w:marRight w:val="0"/>
      <w:marTop w:val="0"/>
      <w:marBottom w:val="0"/>
      <w:divBdr>
        <w:top w:val="none" w:sz="0" w:space="0" w:color="auto"/>
        <w:left w:val="none" w:sz="0" w:space="0" w:color="auto"/>
        <w:bottom w:val="none" w:sz="0" w:space="0" w:color="auto"/>
        <w:right w:val="none" w:sz="0" w:space="0" w:color="auto"/>
      </w:divBdr>
      <w:divsChild>
        <w:div w:id="1261333373">
          <w:marLeft w:val="0"/>
          <w:marRight w:val="0"/>
          <w:marTop w:val="0"/>
          <w:marBottom w:val="0"/>
          <w:divBdr>
            <w:top w:val="none" w:sz="0" w:space="0" w:color="auto"/>
            <w:left w:val="none" w:sz="0" w:space="0" w:color="auto"/>
            <w:bottom w:val="none" w:sz="0" w:space="0" w:color="auto"/>
            <w:right w:val="none" w:sz="0" w:space="0" w:color="auto"/>
          </w:divBdr>
          <w:divsChild>
            <w:div w:id="66074241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53031738">
      <w:marLeft w:val="0"/>
      <w:marRight w:val="0"/>
      <w:marTop w:val="0"/>
      <w:marBottom w:val="0"/>
      <w:divBdr>
        <w:top w:val="none" w:sz="0" w:space="0" w:color="auto"/>
        <w:left w:val="none" w:sz="0" w:space="0" w:color="auto"/>
        <w:bottom w:val="none" w:sz="0" w:space="0" w:color="auto"/>
        <w:right w:val="none" w:sz="0" w:space="0" w:color="auto"/>
      </w:divBdr>
      <w:divsChild>
        <w:div w:id="685791630">
          <w:marLeft w:val="0"/>
          <w:marRight w:val="0"/>
          <w:marTop w:val="0"/>
          <w:marBottom w:val="0"/>
          <w:divBdr>
            <w:top w:val="none" w:sz="0" w:space="0" w:color="auto"/>
            <w:left w:val="none" w:sz="0" w:space="0" w:color="auto"/>
            <w:bottom w:val="none" w:sz="0" w:space="0" w:color="auto"/>
            <w:right w:val="none" w:sz="0" w:space="0" w:color="auto"/>
          </w:divBdr>
          <w:divsChild>
            <w:div w:id="52024377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56306442">
      <w:marLeft w:val="0"/>
      <w:marRight w:val="0"/>
      <w:marTop w:val="180"/>
      <w:marBottom w:val="180"/>
      <w:divBdr>
        <w:top w:val="none" w:sz="0" w:space="0" w:color="auto"/>
        <w:left w:val="none" w:sz="0" w:space="0" w:color="auto"/>
        <w:bottom w:val="none" w:sz="0" w:space="0" w:color="auto"/>
        <w:right w:val="none" w:sz="0" w:space="0" w:color="auto"/>
      </w:divBdr>
    </w:div>
    <w:div w:id="856650695">
      <w:marLeft w:val="0"/>
      <w:marRight w:val="0"/>
      <w:marTop w:val="180"/>
      <w:marBottom w:val="180"/>
      <w:divBdr>
        <w:top w:val="none" w:sz="0" w:space="0" w:color="auto"/>
        <w:left w:val="none" w:sz="0" w:space="0" w:color="auto"/>
        <w:bottom w:val="none" w:sz="0" w:space="0" w:color="auto"/>
        <w:right w:val="none" w:sz="0" w:space="0" w:color="auto"/>
      </w:divBdr>
    </w:div>
    <w:div w:id="856961489">
      <w:marLeft w:val="0"/>
      <w:marRight w:val="0"/>
      <w:marTop w:val="180"/>
      <w:marBottom w:val="180"/>
      <w:divBdr>
        <w:top w:val="none" w:sz="0" w:space="0" w:color="auto"/>
        <w:left w:val="none" w:sz="0" w:space="0" w:color="auto"/>
        <w:bottom w:val="none" w:sz="0" w:space="0" w:color="auto"/>
        <w:right w:val="none" w:sz="0" w:space="0" w:color="auto"/>
      </w:divBdr>
    </w:div>
    <w:div w:id="858545479">
      <w:marLeft w:val="0"/>
      <w:marRight w:val="0"/>
      <w:marTop w:val="180"/>
      <w:marBottom w:val="180"/>
      <w:divBdr>
        <w:top w:val="none" w:sz="0" w:space="0" w:color="auto"/>
        <w:left w:val="none" w:sz="0" w:space="0" w:color="auto"/>
        <w:bottom w:val="none" w:sz="0" w:space="0" w:color="auto"/>
        <w:right w:val="none" w:sz="0" w:space="0" w:color="auto"/>
      </w:divBdr>
    </w:div>
    <w:div w:id="860707765">
      <w:marLeft w:val="0"/>
      <w:marRight w:val="0"/>
      <w:marTop w:val="60"/>
      <w:marBottom w:val="60"/>
      <w:divBdr>
        <w:top w:val="none" w:sz="0" w:space="0" w:color="auto"/>
        <w:left w:val="none" w:sz="0" w:space="0" w:color="auto"/>
        <w:bottom w:val="none" w:sz="0" w:space="0" w:color="auto"/>
        <w:right w:val="none" w:sz="0" w:space="0" w:color="auto"/>
      </w:divBdr>
    </w:div>
    <w:div w:id="860826929">
      <w:marLeft w:val="0"/>
      <w:marRight w:val="0"/>
      <w:marTop w:val="180"/>
      <w:marBottom w:val="180"/>
      <w:divBdr>
        <w:top w:val="none" w:sz="0" w:space="0" w:color="auto"/>
        <w:left w:val="none" w:sz="0" w:space="0" w:color="auto"/>
        <w:bottom w:val="none" w:sz="0" w:space="0" w:color="auto"/>
        <w:right w:val="none" w:sz="0" w:space="0" w:color="auto"/>
      </w:divBdr>
    </w:div>
    <w:div w:id="861432605">
      <w:marLeft w:val="0"/>
      <w:marRight w:val="0"/>
      <w:marTop w:val="180"/>
      <w:marBottom w:val="180"/>
      <w:divBdr>
        <w:top w:val="none" w:sz="0" w:space="0" w:color="auto"/>
        <w:left w:val="none" w:sz="0" w:space="0" w:color="auto"/>
        <w:bottom w:val="none" w:sz="0" w:space="0" w:color="auto"/>
        <w:right w:val="none" w:sz="0" w:space="0" w:color="auto"/>
      </w:divBdr>
    </w:div>
    <w:div w:id="863519924">
      <w:marLeft w:val="0"/>
      <w:marRight w:val="0"/>
      <w:marTop w:val="180"/>
      <w:marBottom w:val="180"/>
      <w:divBdr>
        <w:top w:val="none" w:sz="0" w:space="0" w:color="auto"/>
        <w:left w:val="none" w:sz="0" w:space="0" w:color="auto"/>
        <w:bottom w:val="none" w:sz="0" w:space="0" w:color="auto"/>
        <w:right w:val="none" w:sz="0" w:space="0" w:color="auto"/>
      </w:divBdr>
    </w:div>
    <w:div w:id="865602644">
      <w:marLeft w:val="0"/>
      <w:marRight w:val="0"/>
      <w:marTop w:val="0"/>
      <w:marBottom w:val="0"/>
      <w:divBdr>
        <w:top w:val="none" w:sz="0" w:space="0" w:color="auto"/>
        <w:left w:val="none" w:sz="0" w:space="0" w:color="auto"/>
        <w:bottom w:val="none" w:sz="0" w:space="0" w:color="auto"/>
        <w:right w:val="none" w:sz="0" w:space="0" w:color="auto"/>
      </w:divBdr>
      <w:divsChild>
        <w:div w:id="275216157">
          <w:marLeft w:val="0"/>
          <w:marRight w:val="0"/>
          <w:marTop w:val="60"/>
          <w:marBottom w:val="180"/>
          <w:divBdr>
            <w:top w:val="none" w:sz="0" w:space="0" w:color="auto"/>
            <w:left w:val="none" w:sz="0" w:space="0" w:color="auto"/>
            <w:bottom w:val="none" w:sz="0" w:space="0" w:color="auto"/>
            <w:right w:val="none" w:sz="0" w:space="0" w:color="auto"/>
          </w:divBdr>
        </w:div>
      </w:divsChild>
    </w:div>
    <w:div w:id="867643586">
      <w:marLeft w:val="0"/>
      <w:marRight w:val="0"/>
      <w:marTop w:val="180"/>
      <w:marBottom w:val="180"/>
      <w:divBdr>
        <w:top w:val="none" w:sz="0" w:space="0" w:color="auto"/>
        <w:left w:val="none" w:sz="0" w:space="0" w:color="auto"/>
        <w:bottom w:val="none" w:sz="0" w:space="0" w:color="auto"/>
        <w:right w:val="none" w:sz="0" w:space="0" w:color="auto"/>
      </w:divBdr>
      <w:divsChild>
        <w:div w:id="1573199396">
          <w:marLeft w:val="0"/>
          <w:marRight w:val="0"/>
          <w:marTop w:val="0"/>
          <w:marBottom w:val="0"/>
          <w:divBdr>
            <w:top w:val="none" w:sz="0" w:space="0" w:color="auto"/>
            <w:left w:val="none" w:sz="0" w:space="0" w:color="auto"/>
            <w:bottom w:val="none" w:sz="0" w:space="0" w:color="auto"/>
            <w:right w:val="none" w:sz="0" w:space="0" w:color="auto"/>
          </w:divBdr>
        </w:div>
        <w:div w:id="1720591572">
          <w:marLeft w:val="0"/>
          <w:marRight w:val="0"/>
          <w:marTop w:val="0"/>
          <w:marBottom w:val="0"/>
          <w:divBdr>
            <w:top w:val="none" w:sz="0" w:space="0" w:color="auto"/>
            <w:left w:val="none" w:sz="0" w:space="0" w:color="auto"/>
            <w:bottom w:val="none" w:sz="0" w:space="0" w:color="auto"/>
            <w:right w:val="none" w:sz="0" w:space="0" w:color="auto"/>
          </w:divBdr>
        </w:div>
        <w:div w:id="2112119931">
          <w:marLeft w:val="0"/>
          <w:marRight w:val="0"/>
          <w:marTop w:val="0"/>
          <w:marBottom w:val="0"/>
          <w:divBdr>
            <w:top w:val="none" w:sz="0" w:space="0" w:color="auto"/>
            <w:left w:val="none" w:sz="0" w:space="0" w:color="auto"/>
            <w:bottom w:val="none" w:sz="0" w:space="0" w:color="auto"/>
            <w:right w:val="none" w:sz="0" w:space="0" w:color="auto"/>
          </w:divBdr>
        </w:div>
        <w:div w:id="1700007733">
          <w:marLeft w:val="0"/>
          <w:marRight w:val="0"/>
          <w:marTop w:val="0"/>
          <w:marBottom w:val="0"/>
          <w:divBdr>
            <w:top w:val="none" w:sz="0" w:space="0" w:color="auto"/>
            <w:left w:val="none" w:sz="0" w:space="0" w:color="auto"/>
            <w:bottom w:val="none" w:sz="0" w:space="0" w:color="auto"/>
            <w:right w:val="none" w:sz="0" w:space="0" w:color="auto"/>
          </w:divBdr>
        </w:div>
        <w:div w:id="1987469304">
          <w:marLeft w:val="0"/>
          <w:marRight w:val="0"/>
          <w:marTop w:val="0"/>
          <w:marBottom w:val="0"/>
          <w:divBdr>
            <w:top w:val="none" w:sz="0" w:space="0" w:color="auto"/>
            <w:left w:val="none" w:sz="0" w:space="0" w:color="auto"/>
            <w:bottom w:val="none" w:sz="0" w:space="0" w:color="auto"/>
            <w:right w:val="none" w:sz="0" w:space="0" w:color="auto"/>
          </w:divBdr>
        </w:div>
        <w:div w:id="1206795824">
          <w:marLeft w:val="0"/>
          <w:marRight w:val="0"/>
          <w:marTop w:val="0"/>
          <w:marBottom w:val="0"/>
          <w:divBdr>
            <w:top w:val="none" w:sz="0" w:space="0" w:color="auto"/>
            <w:left w:val="none" w:sz="0" w:space="0" w:color="auto"/>
            <w:bottom w:val="none" w:sz="0" w:space="0" w:color="auto"/>
            <w:right w:val="none" w:sz="0" w:space="0" w:color="auto"/>
          </w:divBdr>
        </w:div>
        <w:div w:id="1054160141">
          <w:marLeft w:val="0"/>
          <w:marRight w:val="0"/>
          <w:marTop w:val="0"/>
          <w:marBottom w:val="0"/>
          <w:divBdr>
            <w:top w:val="none" w:sz="0" w:space="0" w:color="auto"/>
            <w:left w:val="none" w:sz="0" w:space="0" w:color="auto"/>
            <w:bottom w:val="none" w:sz="0" w:space="0" w:color="auto"/>
            <w:right w:val="none" w:sz="0" w:space="0" w:color="auto"/>
          </w:divBdr>
        </w:div>
        <w:div w:id="1156647802">
          <w:marLeft w:val="0"/>
          <w:marRight w:val="0"/>
          <w:marTop w:val="0"/>
          <w:marBottom w:val="0"/>
          <w:divBdr>
            <w:top w:val="none" w:sz="0" w:space="0" w:color="auto"/>
            <w:left w:val="none" w:sz="0" w:space="0" w:color="auto"/>
            <w:bottom w:val="none" w:sz="0" w:space="0" w:color="auto"/>
            <w:right w:val="none" w:sz="0" w:space="0" w:color="auto"/>
          </w:divBdr>
        </w:div>
        <w:div w:id="1685089431">
          <w:marLeft w:val="0"/>
          <w:marRight w:val="0"/>
          <w:marTop w:val="0"/>
          <w:marBottom w:val="0"/>
          <w:divBdr>
            <w:top w:val="none" w:sz="0" w:space="0" w:color="auto"/>
            <w:left w:val="none" w:sz="0" w:space="0" w:color="auto"/>
            <w:bottom w:val="none" w:sz="0" w:space="0" w:color="auto"/>
            <w:right w:val="none" w:sz="0" w:space="0" w:color="auto"/>
          </w:divBdr>
        </w:div>
        <w:div w:id="143133621">
          <w:marLeft w:val="0"/>
          <w:marRight w:val="0"/>
          <w:marTop w:val="0"/>
          <w:marBottom w:val="0"/>
          <w:divBdr>
            <w:top w:val="none" w:sz="0" w:space="0" w:color="auto"/>
            <w:left w:val="none" w:sz="0" w:space="0" w:color="auto"/>
            <w:bottom w:val="none" w:sz="0" w:space="0" w:color="auto"/>
            <w:right w:val="none" w:sz="0" w:space="0" w:color="auto"/>
          </w:divBdr>
        </w:div>
        <w:div w:id="976958994">
          <w:marLeft w:val="0"/>
          <w:marRight w:val="0"/>
          <w:marTop w:val="0"/>
          <w:marBottom w:val="0"/>
          <w:divBdr>
            <w:top w:val="none" w:sz="0" w:space="0" w:color="auto"/>
            <w:left w:val="none" w:sz="0" w:space="0" w:color="auto"/>
            <w:bottom w:val="none" w:sz="0" w:space="0" w:color="auto"/>
            <w:right w:val="none" w:sz="0" w:space="0" w:color="auto"/>
          </w:divBdr>
        </w:div>
        <w:div w:id="2045325748">
          <w:marLeft w:val="0"/>
          <w:marRight w:val="0"/>
          <w:marTop w:val="0"/>
          <w:marBottom w:val="0"/>
          <w:divBdr>
            <w:top w:val="none" w:sz="0" w:space="0" w:color="auto"/>
            <w:left w:val="none" w:sz="0" w:space="0" w:color="auto"/>
            <w:bottom w:val="none" w:sz="0" w:space="0" w:color="auto"/>
            <w:right w:val="none" w:sz="0" w:space="0" w:color="auto"/>
          </w:divBdr>
        </w:div>
        <w:div w:id="1322153393">
          <w:marLeft w:val="0"/>
          <w:marRight w:val="0"/>
          <w:marTop w:val="0"/>
          <w:marBottom w:val="0"/>
          <w:divBdr>
            <w:top w:val="none" w:sz="0" w:space="0" w:color="auto"/>
            <w:left w:val="none" w:sz="0" w:space="0" w:color="auto"/>
            <w:bottom w:val="none" w:sz="0" w:space="0" w:color="auto"/>
            <w:right w:val="none" w:sz="0" w:space="0" w:color="auto"/>
          </w:divBdr>
        </w:div>
        <w:div w:id="663624181">
          <w:marLeft w:val="0"/>
          <w:marRight w:val="0"/>
          <w:marTop w:val="0"/>
          <w:marBottom w:val="0"/>
          <w:divBdr>
            <w:top w:val="none" w:sz="0" w:space="0" w:color="auto"/>
            <w:left w:val="none" w:sz="0" w:space="0" w:color="auto"/>
            <w:bottom w:val="none" w:sz="0" w:space="0" w:color="auto"/>
            <w:right w:val="none" w:sz="0" w:space="0" w:color="auto"/>
          </w:divBdr>
        </w:div>
        <w:div w:id="1267613886">
          <w:marLeft w:val="0"/>
          <w:marRight w:val="0"/>
          <w:marTop w:val="0"/>
          <w:marBottom w:val="0"/>
          <w:divBdr>
            <w:top w:val="none" w:sz="0" w:space="0" w:color="auto"/>
            <w:left w:val="none" w:sz="0" w:space="0" w:color="auto"/>
            <w:bottom w:val="none" w:sz="0" w:space="0" w:color="auto"/>
            <w:right w:val="none" w:sz="0" w:space="0" w:color="auto"/>
          </w:divBdr>
        </w:div>
        <w:div w:id="1150169571">
          <w:marLeft w:val="0"/>
          <w:marRight w:val="0"/>
          <w:marTop w:val="0"/>
          <w:marBottom w:val="0"/>
          <w:divBdr>
            <w:top w:val="none" w:sz="0" w:space="0" w:color="auto"/>
            <w:left w:val="none" w:sz="0" w:space="0" w:color="auto"/>
            <w:bottom w:val="none" w:sz="0" w:space="0" w:color="auto"/>
            <w:right w:val="none" w:sz="0" w:space="0" w:color="auto"/>
          </w:divBdr>
        </w:div>
        <w:div w:id="1750541946">
          <w:marLeft w:val="0"/>
          <w:marRight w:val="0"/>
          <w:marTop w:val="0"/>
          <w:marBottom w:val="0"/>
          <w:divBdr>
            <w:top w:val="none" w:sz="0" w:space="0" w:color="auto"/>
            <w:left w:val="none" w:sz="0" w:space="0" w:color="auto"/>
            <w:bottom w:val="none" w:sz="0" w:space="0" w:color="auto"/>
            <w:right w:val="none" w:sz="0" w:space="0" w:color="auto"/>
          </w:divBdr>
        </w:div>
        <w:div w:id="812521764">
          <w:marLeft w:val="0"/>
          <w:marRight w:val="0"/>
          <w:marTop w:val="0"/>
          <w:marBottom w:val="0"/>
          <w:divBdr>
            <w:top w:val="none" w:sz="0" w:space="0" w:color="auto"/>
            <w:left w:val="none" w:sz="0" w:space="0" w:color="auto"/>
            <w:bottom w:val="none" w:sz="0" w:space="0" w:color="auto"/>
            <w:right w:val="none" w:sz="0" w:space="0" w:color="auto"/>
          </w:divBdr>
        </w:div>
        <w:div w:id="2107529917">
          <w:marLeft w:val="0"/>
          <w:marRight w:val="0"/>
          <w:marTop w:val="0"/>
          <w:marBottom w:val="0"/>
          <w:divBdr>
            <w:top w:val="none" w:sz="0" w:space="0" w:color="auto"/>
            <w:left w:val="none" w:sz="0" w:space="0" w:color="auto"/>
            <w:bottom w:val="none" w:sz="0" w:space="0" w:color="auto"/>
            <w:right w:val="none" w:sz="0" w:space="0" w:color="auto"/>
          </w:divBdr>
        </w:div>
        <w:div w:id="465123145">
          <w:marLeft w:val="0"/>
          <w:marRight w:val="0"/>
          <w:marTop w:val="0"/>
          <w:marBottom w:val="0"/>
          <w:divBdr>
            <w:top w:val="none" w:sz="0" w:space="0" w:color="auto"/>
            <w:left w:val="none" w:sz="0" w:space="0" w:color="auto"/>
            <w:bottom w:val="none" w:sz="0" w:space="0" w:color="auto"/>
            <w:right w:val="none" w:sz="0" w:space="0" w:color="auto"/>
          </w:divBdr>
        </w:div>
        <w:div w:id="80026118">
          <w:marLeft w:val="0"/>
          <w:marRight w:val="0"/>
          <w:marTop w:val="0"/>
          <w:marBottom w:val="0"/>
          <w:divBdr>
            <w:top w:val="none" w:sz="0" w:space="0" w:color="auto"/>
            <w:left w:val="none" w:sz="0" w:space="0" w:color="auto"/>
            <w:bottom w:val="none" w:sz="0" w:space="0" w:color="auto"/>
            <w:right w:val="none" w:sz="0" w:space="0" w:color="auto"/>
          </w:divBdr>
        </w:div>
        <w:div w:id="1806701935">
          <w:marLeft w:val="0"/>
          <w:marRight w:val="0"/>
          <w:marTop w:val="0"/>
          <w:marBottom w:val="0"/>
          <w:divBdr>
            <w:top w:val="none" w:sz="0" w:space="0" w:color="auto"/>
            <w:left w:val="none" w:sz="0" w:space="0" w:color="auto"/>
            <w:bottom w:val="none" w:sz="0" w:space="0" w:color="auto"/>
            <w:right w:val="none" w:sz="0" w:space="0" w:color="auto"/>
          </w:divBdr>
        </w:div>
        <w:div w:id="1155604790">
          <w:marLeft w:val="0"/>
          <w:marRight w:val="0"/>
          <w:marTop w:val="0"/>
          <w:marBottom w:val="0"/>
          <w:divBdr>
            <w:top w:val="none" w:sz="0" w:space="0" w:color="auto"/>
            <w:left w:val="none" w:sz="0" w:space="0" w:color="auto"/>
            <w:bottom w:val="none" w:sz="0" w:space="0" w:color="auto"/>
            <w:right w:val="none" w:sz="0" w:space="0" w:color="auto"/>
          </w:divBdr>
        </w:div>
        <w:div w:id="796872118">
          <w:marLeft w:val="0"/>
          <w:marRight w:val="0"/>
          <w:marTop w:val="0"/>
          <w:marBottom w:val="0"/>
          <w:divBdr>
            <w:top w:val="none" w:sz="0" w:space="0" w:color="auto"/>
            <w:left w:val="none" w:sz="0" w:space="0" w:color="auto"/>
            <w:bottom w:val="none" w:sz="0" w:space="0" w:color="auto"/>
            <w:right w:val="none" w:sz="0" w:space="0" w:color="auto"/>
          </w:divBdr>
        </w:div>
        <w:div w:id="1672490999">
          <w:marLeft w:val="0"/>
          <w:marRight w:val="0"/>
          <w:marTop w:val="0"/>
          <w:marBottom w:val="0"/>
          <w:divBdr>
            <w:top w:val="none" w:sz="0" w:space="0" w:color="auto"/>
            <w:left w:val="none" w:sz="0" w:space="0" w:color="auto"/>
            <w:bottom w:val="none" w:sz="0" w:space="0" w:color="auto"/>
            <w:right w:val="none" w:sz="0" w:space="0" w:color="auto"/>
          </w:divBdr>
        </w:div>
        <w:div w:id="882715455">
          <w:marLeft w:val="0"/>
          <w:marRight w:val="0"/>
          <w:marTop w:val="0"/>
          <w:marBottom w:val="0"/>
          <w:divBdr>
            <w:top w:val="none" w:sz="0" w:space="0" w:color="auto"/>
            <w:left w:val="none" w:sz="0" w:space="0" w:color="auto"/>
            <w:bottom w:val="none" w:sz="0" w:space="0" w:color="auto"/>
            <w:right w:val="none" w:sz="0" w:space="0" w:color="auto"/>
          </w:divBdr>
        </w:div>
        <w:div w:id="620259089">
          <w:marLeft w:val="0"/>
          <w:marRight w:val="0"/>
          <w:marTop w:val="0"/>
          <w:marBottom w:val="0"/>
          <w:divBdr>
            <w:top w:val="none" w:sz="0" w:space="0" w:color="auto"/>
            <w:left w:val="none" w:sz="0" w:space="0" w:color="auto"/>
            <w:bottom w:val="none" w:sz="0" w:space="0" w:color="auto"/>
            <w:right w:val="none" w:sz="0" w:space="0" w:color="auto"/>
          </w:divBdr>
        </w:div>
        <w:div w:id="503587964">
          <w:marLeft w:val="0"/>
          <w:marRight w:val="0"/>
          <w:marTop w:val="0"/>
          <w:marBottom w:val="0"/>
          <w:divBdr>
            <w:top w:val="none" w:sz="0" w:space="0" w:color="auto"/>
            <w:left w:val="none" w:sz="0" w:space="0" w:color="auto"/>
            <w:bottom w:val="none" w:sz="0" w:space="0" w:color="auto"/>
            <w:right w:val="none" w:sz="0" w:space="0" w:color="auto"/>
          </w:divBdr>
        </w:div>
        <w:div w:id="1052314770">
          <w:marLeft w:val="0"/>
          <w:marRight w:val="0"/>
          <w:marTop w:val="0"/>
          <w:marBottom w:val="0"/>
          <w:divBdr>
            <w:top w:val="none" w:sz="0" w:space="0" w:color="auto"/>
            <w:left w:val="none" w:sz="0" w:space="0" w:color="auto"/>
            <w:bottom w:val="none" w:sz="0" w:space="0" w:color="auto"/>
            <w:right w:val="none" w:sz="0" w:space="0" w:color="auto"/>
          </w:divBdr>
        </w:div>
        <w:div w:id="1361278460">
          <w:marLeft w:val="0"/>
          <w:marRight w:val="0"/>
          <w:marTop w:val="0"/>
          <w:marBottom w:val="0"/>
          <w:divBdr>
            <w:top w:val="none" w:sz="0" w:space="0" w:color="auto"/>
            <w:left w:val="none" w:sz="0" w:space="0" w:color="auto"/>
            <w:bottom w:val="none" w:sz="0" w:space="0" w:color="auto"/>
            <w:right w:val="none" w:sz="0" w:space="0" w:color="auto"/>
          </w:divBdr>
        </w:div>
        <w:div w:id="1610316316">
          <w:marLeft w:val="0"/>
          <w:marRight w:val="0"/>
          <w:marTop w:val="0"/>
          <w:marBottom w:val="0"/>
          <w:divBdr>
            <w:top w:val="none" w:sz="0" w:space="0" w:color="auto"/>
            <w:left w:val="none" w:sz="0" w:space="0" w:color="auto"/>
            <w:bottom w:val="none" w:sz="0" w:space="0" w:color="auto"/>
            <w:right w:val="none" w:sz="0" w:space="0" w:color="auto"/>
          </w:divBdr>
        </w:div>
      </w:divsChild>
    </w:div>
    <w:div w:id="867646456">
      <w:marLeft w:val="0"/>
      <w:marRight w:val="0"/>
      <w:marTop w:val="0"/>
      <w:marBottom w:val="0"/>
      <w:divBdr>
        <w:top w:val="none" w:sz="0" w:space="0" w:color="auto"/>
        <w:left w:val="none" w:sz="0" w:space="0" w:color="auto"/>
        <w:bottom w:val="none" w:sz="0" w:space="0" w:color="auto"/>
        <w:right w:val="none" w:sz="0" w:space="0" w:color="auto"/>
      </w:divBdr>
      <w:divsChild>
        <w:div w:id="848058509">
          <w:marLeft w:val="0"/>
          <w:marRight w:val="0"/>
          <w:marTop w:val="60"/>
          <w:marBottom w:val="180"/>
          <w:divBdr>
            <w:top w:val="none" w:sz="0" w:space="0" w:color="auto"/>
            <w:left w:val="none" w:sz="0" w:space="0" w:color="auto"/>
            <w:bottom w:val="none" w:sz="0" w:space="0" w:color="auto"/>
            <w:right w:val="none" w:sz="0" w:space="0" w:color="auto"/>
          </w:divBdr>
        </w:div>
      </w:divsChild>
    </w:div>
    <w:div w:id="868835665">
      <w:marLeft w:val="0"/>
      <w:marRight w:val="0"/>
      <w:marTop w:val="0"/>
      <w:marBottom w:val="0"/>
      <w:divBdr>
        <w:top w:val="none" w:sz="0" w:space="0" w:color="auto"/>
        <w:left w:val="none" w:sz="0" w:space="0" w:color="auto"/>
        <w:bottom w:val="none" w:sz="0" w:space="0" w:color="auto"/>
        <w:right w:val="none" w:sz="0" w:space="0" w:color="auto"/>
      </w:divBdr>
      <w:divsChild>
        <w:div w:id="1577981324">
          <w:marLeft w:val="0"/>
          <w:marRight w:val="0"/>
          <w:marTop w:val="180"/>
          <w:marBottom w:val="180"/>
          <w:divBdr>
            <w:top w:val="none" w:sz="0" w:space="0" w:color="auto"/>
            <w:left w:val="none" w:sz="0" w:space="0" w:color="auto"/>
            <w:bottom w:val="none" w:sz="0" w:space="0" w:color="auto"/>
            <w:right w:val="none" w:sz="0" w:space="0" w:color="auto"/>
          </w:divBdr>
        </w:div>
      </w:divsChild>
    </w:div>
    <w:div w:id="869876617">
      <w:marLeft w:val="0"/>
      <w:marRight w:val="0"/>
      <w:marTop w:val="60"/>
      <w:marBottom w:val="60"/>
      <w:divBdr>
        <w:top w:val="none" w:sz="0" w:space="0" w:color="auto"/>
        <w:left w:val="none" w:sz="0" w:space="0" w:color="auto"/>
        <w:bottom w:val="none" w:sz="0" w:space="0" w:color="auto"/>
        <w:right w:val="none" w:sz="0" w:space="0" w:color="auto"/>
      </w:divBdr>
    </w:div>
    <w:div w:id="870073597">
      <w:marLeft w:val="0"/>
      <w:marRight w:val="0"/>
      <w:marTop w:val="60"/>
      <w:marBottom w:val="60"/>
      <w:divBdr>
        <w:top w:val="none" w:sz="0" w:space="0" w:color="auto"/>
        <w:left w:val="none" w:sz="0" w:space="0" w:color="auto"/>
        <w:bottom w:val="none" w:sz="0" w:space="0" w:color="auto"/>
        <w:right w:val="none" w:sz="0" w:space="0" w:color="auto"/>
      </w:divBdr>
      <w:divsChild>
        <w:div w:id="470293346">
          <w:marLeft w:val="0"/>
          <w:marRight w:val="0"/>
          <w:marTop w:val="0"/>
          <w:marBottom w:val="0"/>
          <w:divBdr>
            <w:top w:val="none" w:sz="0" w:space="0" w:color="auto"/>
            <w:left w:val="none" w:sz="0" w:space="0" w:color="auto"/>
            <w:bottom w:val="none" w:sz="0" w:space="0" w:color="auto"/>
            <w:right w:val="none" w:sz="0" w:space="0" w:color="auto"/>
          </w:divBdr>
        </w:div>
      </w:divsChild>
    </w:div>
    <w:div w:id="870146088">
      <w:marLeft w:val="0"/>
      <w:marRight w:val="0"/>
      <w:marTop w:val="180"/>
      <w:marBottom w:val="180"/>
      <w:divBdr>
        <w:top w:val="none" w:sz="0" w:space="0" w:color="auto"/>
        <w:left w:val="none" w:sz="0" w:space="0" w:color="auto"/>
        <w:bottom w:val="none" w:sz="0" w:space="0" w:color="auto"/>
        <w:right w:val="none" w:sz="0" w:space="0" w:color="auto"/>
      </w:divBdr>
    </w:div>
    <w:div w:id="870992443">
      <w:marLeft w:val="0"/>
      <w:marRight w:val="0"/>
      <w:marTop w:val="180"/>
      <w:marBottom w:val="180"/>
      <w:divBdr>
        <w:top w:val="none" w:sz="0" w:space="0" w:color="auto"/>
        <w:left w:val="none" w:sz="0" w:space="0" w:color="auto"/>
        <w:bottom w:val="none" w:sz="0" w:space="0" w:color="auto"/>
        <w:right w:val="none" w:sz="0" w:space="0" w:color="auto"/>
      </w:divBdr>
    </w:div>
    <w:div w:id="871577307">
      <w:marLeft w:val="0"/>
      <w:marRight w:val="0"/>
      <w:marTop w:val="0"/>
      <w:marBottom w:val="0"/>
      <w:divBdr>
        <w:top w:val="none" w:sz="0" w:space="0" w:color="auto"/>
        <w:left w:val="none" w:sz="0" w:space="0" w:color="auto"/>
        <w:bottom w:val="none" w:sz="0" w:space="0" w:color="auto"/>
        <w:right w:val="none" w:sz="0" w:space="0" w:color="auto"/>
      </w:divBdr>
      <w:divsChild>
        <w:div w:id="492765686">
          <w:marLeft w:val="0"/>
          <w:marRight w:val="0"/>
          <w:marTop w:val="0"/>
          <w:marBottom w:val="0"/>
          <w:divBdr>
            <w:top w:val="none" w:sz="0" w:space="0" w:color="auto"/>
            <w:left w:val="none" w:sz="0" w:space="0" w:color="auto"/>
            <w:bottom w:val="none" w:sz="0" w:space="0" w:color="auto"/>
            <w:right w:val="none" w:sz="0" w:space="0" w:color="auto"/>
          </w:divBdr>
          <w:divsChild>
            <w:div w:id="14131447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73544947">
      <w:marLeft w:val="0"/>
      <w:marRight w:val="0"/>
      <w:marTop w:val="180"/>
      <w:marBottom w:val="180"/>
      <w:divBdr>
        <w:top w:val="none" w:sz="0" w:space="0" w:color="auto"/>
        <w:left w:val="none" w:sz="0" w:space="0" w:color="auto"/>
        <w:bottom w:val="none" w:sz="0" w:space="0" w:color="auto"/>
        <w:right w:val="none" w:sz="0" w:space="0" w:color="auto"/>
      </w:divBdr>
    </w:div>
    <w:div w:id="874074431">
      <w:marLeft w:val="0"/>
      <w:marRight w:val="0"/>
      <w:marTop w:val="180"/>
      <w:marBottom w:val="180"/>
      <w:divBdr>
        <w:top w:val="none" w:sz="0" w:space="0" w:color="auto"/>
        <w:left w:val="none" w:sz="0" w:space="0" w:color="auto"/>
        <w:bottom w:val="none" w:sz="0" w:space="0" w:color="auto"/>
        <w:right w:val="none" w:sz="0" w:space="0" w:color="auto"/>
      </w:divBdr>
    </w:div>
    <w:div w:id="874541834">
      <w:marLeft w:val="0"/>
      <w:marRight w:val="0"/>
      <w:marTop w:val="180"/>
      <w:marBottom w:val="180"/>
      <w:divBdr>
        <w:top w:val="none" w:sz="0" w:space="0" w:color="auto"/>
        <w:left w:val="none" w:sz="0" w:space="0" w:color="auto"/>
        <w:bottom w:val="none" w:sz="0" w:space="0" w:color="auto"/>
        <w:right w:val="none" w:sz="0" w:space="0" w:color="auto"/>
      </w:divBdr>
    </w:div>
    <w:div w:id="875970080">
      <w:marLeft w:val="0"/>
      <w:marRight w:val="0"/>
      <w:marTop w:val="0"/>
      <w:marBottom w:val="0"/>
      <w:divBdr>
        <w:top w:val="none" w:sz="0" w:space="0" w:color="auto"/>
        <w:left w:val="none" w:sz="0" w:space="0" w:color="auto"/>
        <w:bottom w:val="none" w:sz="0" w:space="0" w:color="auto"/>
        <w:right w:val="none" w:sz="0" w:space="0" w:color="auto"/>
      </w:divBdr>
      <w:divsChild>
        <w:div w:id="531724031">
          <w:marLeft w:val="0"/>
          <w:marRight w:val="0"/>
          <w:marTop w:val="0"/>
          <w:marBottom w:val="0"/>
          <w:divBdr>
            <w:top w:val="none" w:sz="0" w:space="0" w:color="auto"/>
            <w:left w:val="none" w:sz="0" w:space="0" w:color="auto"/>
            <w:bottom w:val="none" w:sz="0" w:space="0" w:color="auto"/>
            <w:right w:val="none" w:sz="0" w:space="0" w:color="auto"/>
          </w:divBdr>
          <w:divsChild>
            <w:div w:id="57370232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76698939">
      <w:marLeft w:val="0"/>
      <w:marRight w:val="0"/>
      <w:marTop w:val="180"/>
      <w:marBottom w:val="180"/>
      <w:divBdr>
        <w:top w:val="none" w:sz="0" w:space="0" w:color="auto"/>
        <w:left w:val="none" w:sz="0" w:space="0" w:color="auto"/>
        <w:bottom w:val="none" w:sz="0" w:space="0" w:color="auto"/>
        <w:right w:val="none" w:sz="0" w:space="0" w:color="auto"/>
      </w:divBdr>
    </w:div>
    <w:div w:id="877358672">
      <w:marLeft w:val="0"/>
      <w:marRight w:val="0"/>
      <w:marTop w:val="180"/>
      <w:marBottom w:val="180"/>
      <w:divBdr>
        <w:top w:val="none" w:sz="0" w:space="0" w:color="auto"/>
        <w:left w:val="none" w:sz="0" w:space="0" w:color="auto"/>
        <w:bottom w:val="none" w:sz="0" w:space="0" w:color="auto"/>
        <w:right w:val="none" w:sz="0" w:space="0" w:color="auto"/>
      </w:divBdr>
    </w:div>
    <w:div w:id="877619109">
      <w:marLeft w:val="0"/>
      <w:marRight w:val="0"/>
      <w:marTop w:val="60"/>
      <w:marBottom w:val="60"/>
      <w:divBdr>
        <w:top w:val="none" w:sz="0" w:space="0" w:color="auto"/>
        <w:left w:val="none" w:sz="0" w:space="0" w:color="auto"/>
        <w:bottom w:val="none" w:sz="0" w:space="0" w:color="auto"/>
        <w:right w:val="none" w:sz="0" w:space="0" w:color="auto"/>
      </w:divBdr>
    </w:div>
    <w:div w:id="878854973">
      <w:marLeft w:val="0"/>
      <w:marRight w:val="0"/>
      <w:marTop w:val="180"/>
      <w:marBottom w:val="180"/>
      <w:divBdr>
        <w:top w:val="none" w:sz="0" w:space="0" w:color="auto"/>
        <w:left w:val="none" w:sz="0" w:space="0" w:color="auto"/>
        <w:bottom w:val="none" w:sz="0" w:space="0" w:color="auto"/>
        <w:right w:val="none" w:sz="0" w:space="0" w:color="auto"/>
      </w:divBdr>
    </w:div>
    <w:div w:id="879056454">
      <w:marLeft w:val="0"/>
      <w:marRight w:val="0"/>
      <w:marTop w:val="180"/>
      <w:marBottom w:val="180"/>
      <w:divBdr>
        <w:top w:val="none" w:sz="0" w:space="0" w:color="auto"/>
        <w:left w:val="none" w:sz="0" w:space="0" w:color="auto"/>
        <w:bottom w:val="none" w:sz="0" w:space="0" w:color="auto"/>
        <w:right w:val="none" w:sz="0" w:space="0" w:color="auto"/>
      </w:divBdr>
    </w:div>
    <w:div w:id="880246157">
      <w:marLeft w:val="0"/>
      <w:marRight w:val="0"/>
      <w:marTop w:val="180"/>
      <w:marBottom w:val="180"/>
      <w:divBdr>
        <w:top w:val="none" w:sz="0" w:space="0" w:color="auto"/>
        <w:left w:val="none" w:sz="0" w:space="0" w:color="auto"/>
        <w:bottom w:val="none" w:sz="0" w:space="0" w:color="auto"/>
        <w:right w:val="none" w:sz="0" w:space="0" w:color="auto"/>
      </w:divBdr>
    </w:div>
    <w:div w:id="883518312">
      <w:marLeft w:val="0"/>
      <w:marRight w:val="0"/>
      <w:marTop w:val="180"/>
      <w:marBottom w:val="180"/>
      <w:divBdr>
        <w:top w:val="none" w:sz="0" w:space="0" w:color="auto"/>
        <w:left w:val="none" w:sz="0" w:space="0" w:color="auto"/>
        <w:bottom w:val="none" w:sz="0" w:space="0" w:color="auto"/>
        <w:right w:val="none" w:sz="0" w:space="0" w:color="auto"/>
      </w:divBdr>
    </w:div>
    <w:div w:id="884634072">
      <w:marLeft w:val="0"/>
      <w:marRight w:val="0"/>
      <w:marTop w:val="60"/>
      <w:marBottom w:val="60"/>
      <w:divBdr>
        <w:top w:val="none" w:sz="0" w:space="0" w:color="auto"/>
        <w:left w:val="none" w:sz="0" w:space="0" w:color="auto"/>
        <w:bottom w:val="none" w:sz="0" w:space="0" w:color="auto"/>
        <w:right w:val="none" w:sz="0" w:space="0" w:color="auto"/>
      </w:divBdr>
    </w:div>
    <w:div w:id="885339802">
      <w:marLeft w:val="0"/>
      <w:marRight w:val="0"/>
      <w:marTop w:val="0"/>
      <w:marBottom w:val="0"/>
      <w:divBdr>
        <w:top w:val="none" w:sz="0" w:space="0" w:color="auto"/>
        <w:left w:val="none" w:sz="0" w:space="0" w:color="auto"/>
        <w:bottom w:val="none" w:sz="0" w:space="0" w:color="auto"/>
        <w:right w:val="none" w:sz="0" w:space="0" w:color="auto"/>
      </w:divBdr>
      <w:divsChild>
        <w:div w:id="102651925">
          <w:marLeft w:val="0"/>
          <w:marRight w:val="0"/>
          <w:marTop w:val="0"/>
          <w:marBottom w:val="0"/>
          <w:divBdr>
            <w:top w:val="none" w:sz="0" w:space="0" w:color="auto"/>
            <w:left w:val="none" w:sz="0" w:space="0" w:color="auto"/>
            <w:bottom w:val="none" w:sz="0" w:space="0" w:color="auto"/>
            <w:right w:val="none" w:sz="0" w:space="0" w:color="auto"/>
          </w:divBdr>
          <w:divsChild>
            <w:div w:id="16318572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85602161">
      <w:marLeft w:val="0"/>
      <w:marRight w:val="0"/>
      <w:marTop w:val="0"/>
      <w:marBottom w:val="0"/>
      <w:divBdr>
        <w:top w:val="none" w:sz="0" w:space="0" w:color="auto"/>
        <w:left w:val="none" w:sz="0" w:space="0" w:color="auto"/>
        <w:bottom w:val="none" w:sz="0" w:space="0" w:color="auto"/>
        <w:right w:val="none" w:sz="0" w:space="0" w:color="auto"/>
      </w:divBdr>
      <w:divsChild>
        <w:div w:id="421146368">
          <w:marLeft w:val="0"/>
          <w:marRight w:val="0"/>
          <w:marTop w:val="0"/>
          <w:marBottom w:val="0"/>
          <w:divBdr>
            <w:top w:val="none" w:sz="0" w:space="0" w:color="auto"/>
            <w:left w:val="none" w:sz="0" w:space="0" w:color="auto"/>
            <w:bottom w:val="none" w:sz="0" w:space="0" w:color="auto"/>
            <w:right w:val="none" w:sz="0" w:space="0" w:color="auto"/>
          </w:divBdr>
          <w:divsChild>
            <w:div w:id="10331196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86258852">
      <w:marLeft w:val="0"/>
      <w:marRight w:val="0"/>
      <w:marTop w:val="60"/>
      <w:marBottom w:val="60"/>
      <w:divBdr>
        <w:top w:val="none" w:sz="0" w:space="0" w:color="auto"/>
        <w:left w:val="none" w:sz="0" w:space="0" w:color="auto"/>
        <w:bottom w:val="none" w:sz="0" w:space="0" w:color="auto"/>
        <w:right w:val="none" w:sz="0" w:space="0" w:color="auto"/>
      </w:divBdr>
    </w:div>
    <w:div w:id="886649278">
      <w:marLeft w:val="0"/>
      <w:marRight w:val="0"/>
      <w:marTop w:val="180"/>
      <w:marBottom w:val="180"/>
      <w:divBdr>
        <w:top w:val="none" w:sz="0" w:space="0" w:color="auto"/>
        <w:left w:val="none" w:sz="0" w:space="0" w:color="auto"/>
        <w:bottom w:val="none" w:sz="0" w:space="0" w:color="auto"/>
        <w:right w:val="none" w:sz="0" w:space="0" w:color="auto"/>
      </w:divBdr>
    </w:div>
    <w:div w:id="886837903">
      <w:marLeft w:val="0"/>
      <w:marRight w:val="0"/>
      <w:marTop w:val="180"/>
      <w:marBottom w:val="180"/>
      <w:divBdr>
        <w:top w:val="none" w:sz="0" w:space="0" w:color="auto"/>
        <w:left w:val="none" w:sz="0" w:space="0" w:color="auto"/>
        <w:bottom w:val="none" w:sz="0" w:space="0" w:color="auto"/>
        <w:right w:val="none" w:sz="0" w:space="0" w:color="auto"/>
      </w:divBdr>
    </w:div>
    <w:div w:id="890535816">
      <w:marLeft w:val="0"/>
      <w:marRight w:val="0"/>
      <w:marTop w:val="0"/>
      <w:marBottom w:val="0"/>
      <w:divBdr>
        <w:top w:val="none" w:sz="0" w:space="0" w:color="auto"/>
        <w:left w:val="none" w:sz="0" w:space="0" w:color="auto"/>
        <w:bottom w:val="none" w:sz="0" w:space="0" w:color="auto"/>
        <w:right w:val="none" w:sz="0" w:space="0" w:color="auto"/>
      </w:divBdr>
    </w:div>
    <w:div w:id="890923691">
      <w:marLeft w:val="0"/>
      <w:marRight w:val="0"/>
      <w:marTop w:val="180"/>
      <w:marBottom w:val="180"/>
      <w:divBdr>
        <w:top w:val="none" w:sz="0" w:space="0" w:color="auto"/>
        <w:left w:val="none" w:sz="0" w:space="0" w:color="auto"/>
        <w:bottom w:val="none" w:sz="0" w:space="0" w:color="auto"/>
        <w:right w:val="none" w:sz="0" w:space="0" w:color="auto"/>
      </w:divBdr>
    </w:div>
    <w:div w:id="891231760">
      <w:marLeft w:val="0"/>
      <w:marRight w:val="0"/>
      <w:marTop w:val="0"/>
      <w:marBottom w:val="0"/>
      <w:divBdr>
        <w:top w:val="none" w:sz="0" w:space="0" w:color="auto"/>
        <w:left w:val="none" w:sz="0" w:space="0" w:color="auto"/>
        <w:bottom w:val="none" w:sz="0" w:space="0" w:color="auto"/>
        <w:right w:val="none" w:sz="0" w:space="0" w:color="auto"/>
      </w:divBdr>
      <w:divsChild>
        <w:div w:id="507982072">
          <w:marLeft w:val="0"/>
          <w:marRight w:val="0"/>
          <w:marTop w:val="0"/>
          <w:marBottom w:val="0"/>
          <w:divBdr>
            <w:top w:val="none" w:sz="0" w:space="0" w:color="auto"/>
            <w:left w:val="none" w:sz="0" w:space="0" w:color="auto"/>
            <w:bottom w:val="none" w:sz="0" w:space="0" w:color="auto"/>
            <w:right w:val="none" w:sz="0" w:space="0" w:color="auto"/>
          </w:divBdr>
          <w:divsChild>
            <w:div w:id="161579348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91379882">
      <w:marLeft w:val="0"/>
      <w:marRight w:val="0"/>
      <w:marTop w:val="180"/>
      <w:marBottom w:val="180"/>
      <w:divBdr>
        <w:top w:val="none" w:sz="0" w:space="0" w:color="auto"/>
        <w:left w:val="none" w:sz="0" w:space="0" w:color="auto"/>
        <w:bottom w:val="none" w:sz="0" w:space="0" w:color="auto"/>
        <w:right w:val="none" w:sz="0" w:space="0" w:color="auto"/>
      </w:divBdr>
    </w:div>
    <w:div w:id="891499747">
      <w:marLeft w:val="0"/>
      <w:marRight w:val="0"/>
      <w:marTop w:val="180"/>
      <w:marBottom w:val="180"/>
      <w:divBdr>
        <w:top w:val="none" w:sz="0" w:space="0" w:color="auto"/>
        <w:left w:val="none" w:sz="0" w:space="0" w:color="auto"/>
        <w:bottom w:val="none" w:sz="0" w:space="0" w:color="auto"/>
        <w:right w:val="none" w:sz="0" w:space="0" w:color="auto"/>
      </w:divBdr>
    </w:div>
    <w:div w:id="891889813">
      <w:marLeft w:val="0"/>
      <w:marRight w:val="0"/>
      <w:marTop w:val="60"/>
      <w:marBottom w:val="60"/>
      <w:divBdr>
        <w:top w:val="none" w:sz="0" w:space="0" w:color="auto"/>
        <w:left w:val="none" w:sz="0" w:space="0" w:color="auto"/>
        <w:bottom w:val="none" w:sz="0" w:space="0" w:color="auto"/>
        <w:right w:val="none" w:sz="0" w:space="0" w:color="auto"/>
      </w:divBdr>
      <w:divsChild>
        <w:div w:id="2107379585">
          <w:marLeft w:val="0"/>
          <w:marRight w:val="0"/>
          <w:marTop w:val="0"/>
          <w:marBottom w:val="0"/>
          <w:divBdr>
            <w:top w:val="none" w:sz="0" w:space="0" w:color="auto"/>
            <w:left w:val="none" w:sz="0" w:space="0" w:color="auto"/>
            <w:bottom w:val="none" w:sz="0" w:space="0" w:color="auto"/>
            <w:right w:val="none" w:sz="0" w:space="0" w:color="auto"/>
          </w:divBdr>
        </w:div>
      </w:divsChild>
    </w:div>
    <w:div w:id="893002870">
      <w:marLeft w:val="0"/>
      <w:marRight w:val="0"/>
      <w:marTop w:val="180"/>
      <w:marBottom w:val="180"/>
      <w:divBdr>
        <w:top w:val="none" w:sz="0" w:space="0" w:color="auto"/>
        <w:left w:val="none" w:sz="0" w:space="0" w:color="auto"/>
        <w:bottom w:val="none" w:sz="0" w:space="0" w:color="auto"/>
        <w:right w:val="none" w:sz="0" w:space="0" w:color="auto"/>
      </w:divBdr>
    </w:div>
    <w:div w:id="893278890">
      <w:marLeft w:val="0"/>
      <w:marRight w:val="0"/>
      <w:marTop w:val="180"/>
      <w:marBottom w:val="180"/>
      <w:divBdr>
        <w:top w:val="none" w:sz="0" w:space="0" w:color="auto"/>
        <w:left w:val="none" w:sz="0" w:space="0" w:color="auto"/>
        <w:bottom w:val="none" w:sz="0" w:space="0" w:color="auto"/>
        <w:right w:val="none" w:sz="0" w:space="0" w:color="auto"/>
      </w:divBdr>
    </w:div>
    <w:div w:id="895551101">
      <w:marLeft w:val="0"/>
      <w:marRight w:val="0"/>
      <w:marTop w:val="0"/>
      <w:marBottom w:val="0"/>
      <w:divBdr>
        <w:top w:val="none" w:sz="0" w:space="0" w:color="auto"/>
        <w:left w:val="none" w:sz="0" w:space="0" w:color="auto"/>
        <w:bottom w:val="none" w:sz="0" w:space="0" w:color="auto"/>
        <w:right w:val="none" w:sz="0" w:space="0" w:color="auto"/>
      </w:divBdr>
      <w:divsChild>
        <w:div w:id="956957988">
          <w:marLeft w:val="0"/>
          <w:marRight w:val="0"/>
          <w:marTop w:val="60"/>
          <w:marBottom w:val="180"/>
          <w:divBdr>
            <w:top w:val="none" w:sz="0" w:space="0" w:color="auto"/>
            <w:left w:val="none" w:sz="0" w:space="0" w:color="auto"/>
            <w:bottom w:val="none" w:sz="0" w:space="0" w:color="auto"/>
            <w:right w:val="none" w:sz="0" w:space="0" w:color="auto"/>
          </w:divBdr>
        </w:div>
      </w:divsChild>
    </w:div>
    <w:div w:id="896093766">
      <w:marLeft w:val="0"/>
      <w:marRight w:val="0"/>
      <w:marTop w:val="60"/>
      <w:marBottom w:val="60"/>
      <w:divBdr>
        <w:top w:val="none" w:sz="0" w:space="0" w:color="auto"/>
        <w:left w:val="none" w:sz="0" w:space="0" w:color="auto"/>
        <w:bottom w:val="none" w:sz="0" w:space="0" w:color="auto"/>
        <w:right w:val="none" w:sz="0" w:space="0" w:color="auto"/>
      </w:divBdr>
    </w:div>
    <w:div w:id="897281533">
      <w:marLeft w:val="0"/>
      <w:marRight w:val="0"/>
      <w:marTop w:val="180"/>
      <w:marBottom w:val="180"/>
      <w:divBdr>
        <w:top w:val="none" w:sz="0" w:space="0" w:color="auto"/>
        <w:left w:val="none" w:sz="0" w:space="0" w:color="auto"/>
        <w:bottom w:val="none" w:sz="0" w:space="0" w:color="auto"/>
        <w:right w:val="none" w:sz="0" w:space="0" w:color="auto"/>
      </w:divBdr>
    </w:div>
    <w:div w:id="898440717">
      <w:marLeft w:val="0"/>
      <w:marRight w:val="0"/>
      <w:marTop w:val="0"/>
      <w:marBottom w:val="0"/>
      <w:divBdr>
        <w:top w:val="none" w:sz="0" w:space="0" w:color="auto"/>
        <w:left w:val="none" w:sz="0" w:space="0" w:color="auto"/>
        <w:bottom w:val="none" w:sz="0" w:space="0" w:color="auto"/>
        <w:right w:val="none" w:sz="0" w:space="0" w:color="auto"/>
      </w:divBdr>
    </w:div>
    <w:div w:id="900556360">
      <w:marLeft w:val="0"/>
      <w:marRight w:val="0"/>
      <w:marTop w:val="180"/>
      <w:marBottom w:val="180"/>
      <w:divBdr>
        <w:top w:val="none" w:sz="0" w:space="0" w:color="auto"/>
        <w:left w:val="none" w:sz="0" w:space="0" w:color="auto"/>
        <w:bottom w:val="none" w:sz="0" w:space="0" w:color="auto"/>
        <w:right w:val="none" w:sz="0" w:space="0" w:color="auto"/>
      </w:divBdr>
    </w:div>
    <w:div w:id="900872278">
      <w:marLeft w:val="0"/>
      <w:marRight w:val="0"/>
      <w:marTop w:val="0"/>
      <w:marBottom w:val="0"/>
      <w:divBdr>
        <w:top w:val="none" w:sz="0" w:space="0" w:color="auto"/>
        <w:left w:val="none" w:sz="0" w:space="0" w:color="auto"/>
        <w:bottom w:val="none" w:sz="0" w:space="0" w:color="auto"/>
        <w:right w:val="none" w:sz="0" w:space="0" w:color="auto"/>
      </w:divBdr>
    </w:div>
    <w:div w:id="902985416">
      <w:marLeft w:val="0"/>
      <w:marRight w:val="0"/>
      <w:marTop w:val="0"/>
      <w:marBottom w:val="0"/>
      <w:divBdr>
        <w:top w:val="none" w:sz="0" w:space="0" w:color="auto"/>
        <w:left w:val="none" w:sz="0" w:space="0" w:color="auto"/>
        <w:bottom w:val="none" w:sz="0" w:space="0" w:color="auto"/>
        <w:right w:val="none" w:sz="0" w:space="0" w:color="auto"/>
      </w:divBdr>
    </w:div>
    <w:div w:id="905840898">
      <w:marLeft w:val="0"/>
      <w:marRight w:val="0"/>
      <w:marTop w:val="0"/>
      <w:marBottom w:val="0"/>
      <w:divBdr>
        <w:top w:val="none" w:sz="0" w:space="0" w:color="auto"/>
        <w:left w:val="none" w:sz="0" w:space="0" w:color="auto"/>
        <w:bottom w:val="none" w:sz="0" w:space="0" w:color="auto"/>
        <w:right w:val="none" w:sz="0" w:space="0" w:color="auto"/>
      </w:divBdr>
      <w:divsChild>
        <w:div w:id="1538352673">
          <w:marLeft w:val="0"/>
          <w:marRight w:val="0"/>
          <w:marTop w:val="180"/>
          <w:marBottom w:val="180"/>
          <w:divBdr>
            <w:top w:val="none" w:sz="0" w:space="0" w:color="auto"/>
            <w:left w:val="none" w:sz="0" w:space="0" w:color="auto"/>
            <w:bottom w:val="none" w:sz="0" w:space="0" w:color="auto"/>
            <w:right w:val="none" w:sz="0" w:space="0" w:color="auto"/>
          </w:divBdr>
        </w:div>
      </w:divsChild>
    </w:div>
    <w:div w:id="906452232">
      <w:marLeft w:val="0"/>
      <w:marRight w:val="0"/>
      <w:marTop w:val="180"/>
      <w:marBottom w:val="180"/>
      <w:divBdr>
        <w:top w:val="none" w:sz="0" w:space="0" w:color="auto"/>
        <w:left w:val="none" w:sz="0" w:space="0" w:color="auto"/>
        <w:bottom w:val="none" w:sz="0" w:space="0" w:color="auto"/>
        <w:right w:val="none" w:sz="0" w:space="0" w:color="auto"/>
      </w:divBdr>
    </w:div>
    <w:div w:id="906647902">
      <w:marLeft w:val="0"/>
      <w:marRight w:val="0"/>
      <w:marTop w:val="0"/>
      <w:marBottom w:val="0"/>
      <w:divBdr>
        <w:top w:val="none" w:sz="0" w:space="0" w:color="auto"/>
        <w:left w:val="none" w:sz="0" w:space="0" w:color="auto"/>
        <w:bottom w:val="none" w:sz="0" w:space="0" w:color="auto"/>
        <w:right w:val="none" w:sz="0" w:space="0" w:color="auto"/>
      </w:divBdr>
      <w:divsChild>
        <w:div w:id="59140041">
          <w:marLeft w:val="0"/>
          <w:marRight w:val="0"/>
          <w:marTop w:val="0"/>
          <w:marBottom w:val="0"/>
          <w:divBdr>
            <w:top w:val="none" w:sz="0" w:space="0" w:color="auto"/>
            <w:left w:val="none" w:sz="0" w:space="0" w:color="auto"/>
            <w:bottom w:val="none" w:sz="0" w:space="0" w:color="auto"/>
            <w:right w:val="none" w:sz="0" w:space="0" w:color="auto"/>
          </w:divBdr>
          <w:divsChild>
            <w:div w:id="12512943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07303352">
      <w:marLeft w:val="0"/>
      <w:marRight w:val="0"/>
      <w:marTop w:val="180"/>
      <w:marBottom w:val="60"/>
      <w:divBdr>
        <w:top w:val="none" w:sz="0" w:space="0" w:color="auto"/>
        <w:left w:val="none" w:sz="0" w:space="0" w:color="auto"/>
        <w:bottom w:val="none" w:sz="0" w:space="0" w:color="auto"/>
        <w:right w:val="none" w:sz="0" w:space="0" w:color="auto"/>
      </w:divBdr>
    </w:div>
    <w:div w:id="908077864">
      <w:marLeft w:val="0"/>
      <w:marRight w:val="0"/>
      <w:marTop w:val="180"/>
      <w:marBottom w:val="180"/>
      <w:divBdr>
        <w:top w:val="none" w:sz="0" w:space="0" w:color="auto"/>
        <w:left w:val="none" w:sz="0" w:space="0" w:color="auto"/>
        <w:bottom w:val="none" w:sz="0" w:space="0" w:color="auto"/>
        <w:right w:val="none" w:sz="0" w:space="0" w:color="auto"/>
      </w:divBdr>
    </w:div>
    <w:div w:id="908614803">
      <w:marLeft w:val="0"/>
      <w:marRight w:val="0"/>
      <w:marTop w:val="180"/>
      <w:marBottom w:val="180"/>
      <w:divBdr>
        <w:top w:val="none" w:sz="0" w:space="0" w:color="auto"/>
        <w:left w:val="none" w:sz="0" w:space="0" w:color="auto"/>
        <w:bottom w:val="none" w:sz="0" w:space="0" w:color="auto"/>
        <w:right w:val="none" w:sz="0" w:space="0" w:color="auto"/>
      </w:divBdr>
    </w:div>
    <w:div w:id="909660507">
      <w:marLeft w:val="0"/>
      <w:marRight w:val="0"/>
      <w:marTop w:val="0"/>
      <w:marBottom w:val="0"/>
      <w:divBdr>
        <w:top w:val="none" w:sz="0" w:space="0" w:color="auto"/>
        <w:left w:val="none" w:sz="0" w:space="0" w:color="auto"/>
        <w:bottom w:val="none" w:sz="0" w:space="0" w:color="auto"/>
        <w:right w:val="none" w:sz="0" w:space="0" w:color="auto"/>
      </w:divBdr>
    </w:div>
    <w:div w:id="910578418">
      <w:marLeft w:val="0"/>
      <w:marRight w:val="0"/>
      <w:marTop w:val="0"/>
      <w:marBottom w:val="0"/>
      <w:divBdr>
        <w:top w:val="none" w:sz="0" w:space="0" w:color="auto"/>
        <w:left w:val="none" w:sz="0" w:space="0" w:color="auto"/>
        <w:bottom w:val="none" w:sz="0" w:space="0" w:color="auto"/>
        <w:right w:val="none" w:sz="0" w:space="0" w:color="auto"/>
      </w:divBdr>
      <w:divsChild>
        <w:div w:id="951060372">
          <w:marLeft w:val="0"/>
          <w:marRight w:val="0"/>
          <w:marTop w:val="60"/>
          <w:marBottom w:val="180"/>
          <w:divBdr>
            <w:top w:val="none" w:sz="0" w:space="0" w:color="auto"/>
            <w:left w:val="none" w:sz="0" w:space="0" w:color="auto"/>
            <w:bottom w:val="none" w:sz="0" w:space="0" w:color="auto"/>
            <w:right w:val="none" w:sz="0" w:space="0" w:color="auto"/>
          </w:divBdr>
        </w:div>
      </w:divsChild>
    </w:div>
    <w:div w:id="911353192">
      <w:marLeft w:val="0"/>
      <w:marRight w:val="0"/>
      <w:marTop w:val="100"/>
      <w:marBottom w:val="0"/>
      <w:divBdr>
        <w:top w:val="none" w:sz="0" w:space="0" w:color="auto"/>
        <w:left w:val="none" w:sz="0" w:space="0" w:color="auto"/>
        <w:bottom w:val="none" w:sz="0" w:space="0" w:color="auto"/>
        <w:right w:val="none" w:sz="0" w:space="0" w:color="auto"/>
      </w:divBdr>
      <w:divsChild>
        <w:div w:id="974335966">
          <w:marLeft w:val="0"/>
          <w:marRight w:val="0"/>
          <w:marTop w:val="0"/>
          <w:marBottom w:val="0"/>
          <w:divBdr>
            <w:top w:val="none" w:sz="0" w:space="0" w:color="auto"/>
            <w:left w:val="none" w:sz="0" w:space="0" w:color="auto"/>
            <w:bottom w:val="none" w:sz="0" w:space="0" w:color="auto"/>
            <w:right w:val="none" w:sz="0" w:space="0" w:color="auto"/>
          </w:divBdr>
        </w:div>
        <w:div w:id="1614554248">
          <w:marLeft w:val="0"/>
          <w:marRight w:val="0"/>
          <w:marTop w:val="0"/>
          <w:marBottom w:val="0"/>
          <w:divBdr>
            <w:top w:val="none" w:sz="0" w:space="0" w:color="auto"/>
            <w:left w:val="none" w:sz="0" w:space="0" w:color="auto"/>
            <w:bottom w:val="none" w:sz="0" w:space="0" w:color="auto"/>
            <w:right w:val="none" w:sz="0" w:space="0" w:color="auto"/>
          </w:divBdr>
        </w:div>
      </w:divsChild>
    </w:div>
    <w:div w:id="911542875">
      <w:marLeft w:val="0"/>
      <w:marRight w:val="0"/>
      <w:marTop w:val="0"/>
      <w:marBottom w:val="0"/>
      <w:divBdr>
        <w:top w:val="none" w:sz="0" w:space="0" w:color="auto"/>
        <w:left w:val="none" w:sz="0" w:space="0" w:color="auto"/>
        <w:bottom w:val="none" w:sz="0" w:space="0" w:color="auto"/>
        <w:right w:val="none" w:sz="0" w:space="0" w:color="auto"/>
      </w:divBdr>
      <w:divsChild>
        <w:div w:id="47187513">
          <w:marLeft w:val="0"/>
          <w:marRight w:val="0"/>
          <w:marTop w:val="0"/>
          <w:marBottom w:val="0"/>
          <w:divBdr>
            <w:top w:val="none" w:sz="0" w:space="0" w:color="auto"/>
            <w:left w:val="none" w:sz="0" w:space="0" w:color="auto"/>
            <w:bottom w:val="none" w:sz="0" w:space="0" w:color="auto"/>
            <w:right w:val="none" w:sz="0" w:space="0" w:color="auto"/>
          </w:divBdr>
          <w:divsChild>
            <w:div w:id="184721011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12475337">
      <w:marLeft w:val="0"/>
      <w:marRight w:val="0"/>
      <w:marTop w:val="60"/>
      <w:marBottom w:val="60"/>
      <w:divBdr>
        <w:top w:val="none" w:sz="0" w:space="0" w:color="auto"/>
        <w:left w:val="none" w:sz="0" w:space="0" w:color="auto"/>
        <w:bottom w:val="none" w:sz="0" w:space="0" w:color="auto"/>
        <w:right w:val="none" w:sz="0" w:space="0" w:color="auto"/>
      </w:divBdr>
    </w:div>
    <w:div w:id="912860287">
      <w:marLeft w:val="0"/>
      <w:marRight w:val="0"/>
      <w:marTop w:val="180"/>
      <w:marBottom w:val="180"/>
      <w:divBdr>
        <w:top w:val="none" w:sz="0" w:space="0" w:color="auto"/>
        <w:left w:val="none" w:sz="0" w:space="0" w:color="auto"/>
        <w:bottom w:val="none" w:sz="0" w:space="0" w:color="auto"/>
        <w:right w:val="none" w:sz="0" w:space="0" w:color="auto"/>
      </w:divBdr>
    </w:div>
    <w:div w:id="913508275">
      <w:marLeft w:val="0"/>
      <w:marRight w:val="0"/>
      <w:marTop w:val="180"/>
      <w:marBottom w:val="180"/>
      <w:divBdr>
        <w:top w:val="none" w:sz="0" w:space="0" w:color="auto"/>
        <w:left w:val="none" w:sz="0" w:space="0" w:color="auto"/>
        <w:bottom w:val="none" w:sz="0" w:space="0" w:color="auto"/>
        <w:right w:val="none" w:sz="0" w:space="0" w:color="auto"/>
      </w:divBdr>
    </w:div>
    <w:div w:id="915676002">
      <w:marLeft w:val="0"/>
      <w:marRight w:val="0"/>
      <w:marTop w:val="0"/>
      <w:marBottom w:val="0"/>
      <w:divBdr>
        <w:top w:val="none" w:sz="0" w:space="0" w:color="auto"/>
        <w:left w:val="none" w:sz="0" w:space="0" w:color="auto"/>
        <w:bottom w:val="none" w:sz="0" w:space="0" w:color="auto"/>
        <w:right w:val="none" w:sz="0" w:space="0" w:color="auto"/>
      </w:divBdr>
    </w:div>
    <w:div w:id="916209146">
      <w:marLeft w:val="0"/>
      <w:marRight w:val="0"/>
      <w:marTop w:val="180"/>
      <w:marBottom w:val="180"/>
      <w:divBdr>
        <w:top w:val="none" w:sz="0" w:space="0" w:color="auto"/>
        <w:left w:val="none" w:sz="0" w:space="0" w:color="auto"/>
        <w:bottom w:val="none" w:sz="0" w:space="0" w:color="auto"/>
        <w:right w:val="none" w:sz="0" w:space="0" w:color="auto"/>
      </w:divBdr>
    </w:div>
    <w:div w:id="916983356">
      <w:marLeft w:val="0"/>
      <w:marRight w:val="0"/>
      <w:marTop w:val="180"/>
      <w:marBottom w:val="180"/>
      <w:divBdr>
        <w:top w:val="none" w:sz="0" w:space="0" w:color="auto"/>
        <w:left w:val="none" w:sz="0" w:space="0" w:color="auto"/>
        <w:bottom w:val="none" w:sz="0" w:space="0" w:color="auto"/>
        <w:right w:val="none" w:sz="0" w:space="0" w:color="auto"/>
      </w:divBdr>
    </w:div>
    <w:div w:id="918094544">
      <w:marLeft w:val="0"/>
      <w:marRight w:val="0"/>
      <w:marTop w:val="0"/>
      <w:marBottom w:val="0"/>
      <w:divBdr>
        <w:top w:val="none" w:sz="0" w:space="0" w:color="auto"/>
        <w:left w:val="none" w:sz="0" w:space="0" w:color="auto"/>
        <w:bottom w:val="none" w:sz="0" w:space="0" w:color="auto"/>
        <w:right w:val="none" w:sz="0" w:space="0" w:color="auto"/>
      </w:divBdr>
      <w:divsChild>
        <w:div w:id="1126779187">
          <w:marLeft w:val="0"/>
          <w:marRight w:val="0"/>
          <w:marTop w:val="0"/>
          <w:marBottom w:val="0"/>
          <w:divBdr>
            <w:top w:val="none" w:sz="0" w:space="0" w:color="auto"/>
            <w:left w:val="none" w:sz="0" w:space="0" w:color="auto"/>
            <w:bottom w:val="none" w:sz="0" w:space="0" w:color="auto"/>
            <w:right w:val="none" w:sz="0" w:space="0" w:color="auto"/>
          </w:divBdr>
          <w:divsChild>
            <w:div w:id="184917060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20218591">
      <w:marLeft w:val="0"/>
      <w:marRight w:val="0"/>
      <w:marTop w:val="0"/>
      <w:marBottom w:val="0"/>
      <w:divBdr>
        <w:top w:val="none" w:sz="0" w:space="0" w:color="auto"/>
        <w:left w:val="none" w:sz="0" w:space="0" w:color="auto"/>
        <w:bottom w:val="none" w:sz="0" w:space="0" w:color="auto"/>
        <w:right w:val="none" w:sz="0" w:space="0" w:color="auto"/>
      </w:divBdr>
    </w:div>
    <w:div w:id="921641541">
      <w:marLeft w:val="0"/>
      <w:marRight w:val="0"/>
      <w:marTop w:val="180"/>
      <w:marBottom w:val="180"/>
      <w:divBdr>
        <w:top w:val="none" w:sz="0" w:space="0" w:color="auto"/>
        <w:left w:val="none" w:sz="0" w:space="0" w:color="auto"/>
        <w:bottom w:val="none" w:sz="0" w:space="0" w:color="auto"/>
        <w:right w:val="none" w:sz="0" w:space="0" w:color="auto"/>
      </w:divBdr>
    </w:div>
    <w:div w:id="922109898">
      <w:marLeft w:val="0"/>
      <w:marRight w:val="0"/>
      <w:marTop w:val="180"/>
      <w:marBottom w:val="180"/>
      <w:divBdr>
        <w:top w:val="none" w:sz="0" w:space="0" w:color="auto"/>
        <w:left w:val="none" w:sz="0" w:space="0" w:color="auto"/>
        <w:bottom w:val="none" w:sz="0" w:space="0" w:color="auto"/>
        <w:right w:val="none" w:sz="0" w:space="0" w:color="auto"/>
      </w:divBdr>
    </w:div>
    <w:div w:id="923144197">
      <w:marLeft w:val="0"/>
      <w:marRight w:val="0"/>
      <w:marTop w:val="240"/>
      <w:marBottom w:val="180"/>
      <w:divBdr>
        <w:top w:val="none" w:sz="0" w:space="0" w:color="auto"/>
        <w:left w:val="none" w:sz="0" w:space="0" w:color="auto"/>
        <w:bottom w:val="none" w:sz="0" w:space="0" w:color="auto"/>
        <w:right w:val="none" w:sz="0" w:space="0" w:color="auto"/>
      </w:divBdr>
    </w:div>
    <w:div w:id="923494909">
      <w:marLeft w:val="0"/>
      <w:marRight w:val="0"/>
      <w:marTop w:val="180"/>
      <w:marBottom w:val="180"/>
      <w:divBdr>
        <w:top w:val="none" w:sz="0" w:space="0" w:color="auto"/>
        <w:left w:val="none" w:sz="0" w:space="0" w:color="auto"/>
        <w:bottom w:val="none" w:sz="0" w:space="0" w:color="auto"/>
        <w:right w:val="none" w:sz="0" w:space="0" w:color="auto"/>
      </w:divBdr>
    </w:div>
    <w:div w:id="924723509">
      <w:marLeft w:val="0"/>
      <w:marRight w:val="0"/>
      <w:marTop w:val="180"/>
      <w:marBottom w:val="180"/>
      <w:divBdr>
        <w:top w:val="none" w:sz="0" w:space="0" w:color="auto"/>
        <w:left w:val="none" w:sz="0" w:space="0" w:color="auto"/>
        <w:bottom w:val="none" w:sz="0" w:space="0" w:color="auto"/>
        <w:right w:val="none" w:sz="0" w:space="0" w:color="auto"/>
      </w:divBdr>
    </w:div>
    <w:div w:id="926378008">
      <w:marLeft w:val="0"/>
      <w:marRight w:val="0"/>
      <w:marTop w:val="180"/>
      <w:marBottom w:val="180"/>
      <w:divBdr>
        <w:top w:val="none" w:sz="0" w:space="0" w:color="auto"/>
        <w:left w:val="none" w:sz="0" w:space="0" w:color="auto"/>
        <w:bottom w:val="none" w:sz="0" w:space="0" w:color="auto"/>
        <w:right w:val="none" w:sz="0" w:space="0" w:color="auto"/>
      </w:divBdr>
    </w:div>
    <w:div w:id="926617949">
      <w:marLeft w:val="0"/>
      <w:marRight w:val="0"/>
      <w:marTop w:val="180"/>
      <w:marBottom w:val="0"/>
      <w:divBdr>
        <w:top w:val="none" w:sz="0" w:space="0" w:color="auto"/>
        <w:left w:val="none" w:sz="0" w:space="0" w:color="auto"/>
        <w:bottom w:val="none" w:sz="0" w:space="0" w:color="auto"/>
        <w:right w:val="none" w:sz="0" w:space="0" w:color="auto"/>
      </w:divBdr>
    </w:div>
    <w:div w:id="926889806">
      <w:marLeft w:val="0"/>
      <w:marRight w:val="0"/>
      <w:marTop w:val="180"/>
      <w:marBottom w:val="60"/>
      <w:divBdr>
        <w:top w:val="none" w:sz="0" w:space="0" w:color="auto"/>
        <w:left w:val="none" w:sz="0" w:space="0" w:color="auto"/>
        <w:bottom w:val="none" w:sz="0" w:space="0" w:color="auto"/>
        <w:right w:val="none" w:sz="0" w:space="0" w:color="auto"/>
      </w:divBdr>
      <w:divsChild>
        <w:div w:id="1627158405">
          <w:marLeft w:val="0"/>
          <w:marRight w:val="0"/>
          <w:marTop w:val="0"/>
          <w:marBottom w:val="0"/>
          <w:divBdr>
            <w:top w:val="none" w:sz="0" w:space="0" w:color="auto"/>
            <w:left w:val="none" w:sz="0" w:space="0" w:color="auto"/>
            <w:bottom w:val="none" w:sz="0" w:space="0" w:color="auto"/>
            <w:right w:val="none" w:sz="0" w:space="0" w:color="auto"/>
          </w:divBdr>
        </w:div>
        <w:div w:id="1141768694">
          <w:marLeft w:val="0"/>
          <w:marRight w:val="0"/>
          <w:marTop w:val="0"/>
          <w:marBottom w:val="0"/>
          <w:divBdr>
            <w:top w:val="none" w:sz="0" w:space="0" w:color="auto"/>
            <w:left w:val="none" w:sz="0" w:space="0" w:color="auto"/>
            <w:bottom w:val="none" w:sz="0" w:space="0" w:color="auto"/>
            <w:right w:val="none" w:sz="0" w:space="0" w:color="auto"/>
          </w:divBdr>
        </w:div>
        <w:div w:id="1050572804">
          <w:marLeft w:val="0"/>
          <w:marRight w:val="0"/>
          <w:marTop w:val="0"/>
          <w:marBottom w:val="0"/>
          <w:divBdr>
            <w:top w:val="none" w:sz="0" w:space="0" w:color="auto"/>
            <w:left w:val="none" w:sz="0" w:space="0" w:color="auto"/>
            <w:bottom w:val="none" w:sz="0" w:space="0" w:color="auto"/>
            <w:right w:val="none" w:sz="0" w:space="0" w:color="auto"/>
          </w:divBdr>
        </w:div>
      </w:divsChild>
    </w:div>
    <w:div w:id="927999712">
      <w:marLeft w:val="0"/>
      <w:marRight w:val="0"/>
      <w:marTop w:val="180"/>
      <w:marBottom w:val="180"/>
      <w:divBdr>
        <w:top w:val="none" w:sz="0" w:space="0" w:color="auto"/>
        <w:left w:val="none" w:sz="0" w:space="0" w:color="auto"/>
        <w:bottom w:val="none" w:sz="0" w:space="0" w:color="auto"/>
        <w:right w:val="none" w:sz="0" w:space="0" w:color="auto"/>
      </w:divBdr>
    </w:div>
    <w:div w:id="928387684">
      <w:marLeft w:val="0"/>
      <w:marRight w:val="0"/>
      <w:marTop w:val="180"/>
      <w:marBottom w:val="180"/>
      <w:divBdr>
        <w:top w:val="none" w:sz="0" w:space="0" w:color="auto"/>
        <w:left w:val="none" w:sz="0" w:space="0" w:color="auto"/>
        <w:bottom w:val="none" w:sz="0" w:space="0" w:color="auto"/>
        <w:right w:val="none" w:sz="0" w:space="0" w:color="auto"/>
      </w:divBdr>
    </w:div>
    <w:div w:id="932202295">
      <w:marLeft w:val="0"/>
      <w:marRight w:val="0"/>
      <w:marTop w:val="180"/>
      <w:marBottom w:val="180"/>
      <w:divBdr>
        <w:top w:val="none" w:sz="0" w:space="0" w:color="auto"/>
        <w:left w:val="none" w:sz="0" w:space="0" w:color="auto"/>
        <w:bottom w:val="none" w:sz="0" w:space="0" w:color="auto"/>
        <w:right w:val="none" w:sz="0" w:space="0" w:color="auto"/>
      </w:divBdr>
    </w:div>
    <w:div w:id="932860584">
      <w:marLeft w:val="0"/>
      <w:marRight w:val="0"/>
      <w:marTop w:val="180"/>
      <w:marBottom w:val="180"/>
      <w:divBdr>
        <w:top w:val="none" w:sz="0" w:space="0" w:color="auto"/>
        <w:left w:val="none" w:sz="0" w:space="0" w:color="auto"/>
        <w:bottom w:val="none" w:sz="0" w:space="0" w:color="auto"/>
        <w:right w:val="none" w:sz="0" w:space="0" w:color="auto"/>
      </w:divBdr>
    </w:div>
    <w:div w:id="933516812">
      <w:marLeft w:val="0"/>
      <w:marRight w:val="0"/>
      <w:marTop w:val="180"/>
      <w:marBottom w:val="60"/>
      <w:divBdr>
        <w:top w:val="none" w:sz="0" w:space="0" w:color="auto"/>
        <w:left w:val="none" w:sz="0" w:space="0" w:color="auto"/>
        <w:bottom w:val="none" w:sz="0" w:space="0" w:color="auto"/>
        <w:right w:val="none" w:sz="0" w:space="0" w:color="auto"/>
      </w:divBdr>
    </w:div>
    <w:div w:id="933902804">
      <w:marLeft w:val="0"/>
      <w:marRight w:val="0"/>
      <w:marTop w:val="180"/>
      <w:marBottom w:val="180"/>
      <w:divBdr>
        <w:top w:val="none" w:sz="0" w:space="0" w:color="auto"/>
        <w:left w:val="none" w:sz="0" w:space="0" w:color="auto"/>
        <w:bottom w:val="none" w:sz="0" w:space="0" w:color="auto"/>
        <w:right w:val="none" w:sz="0" w:space="0" w:color="auto"/>
      </w:divBdr>
    </w:div>
    <w:div w:id="934945789">
      <w:marLeft w:val="0"/>
      <w:marRight w:val="0"/>
      <w:marTop w:val="0"/>
      <w:marBottom w:val="0"/>
      <w:divBdr>
        <w:top w:val="none" w:sz="0" w:space="0" w:color="auto"/>
        <w:left w:val="none" w:sz="0" w:space="0" w:color="auto"/>
        <w:bottom w:val="none" w:sz="0" w:space="0" w:color="auto"/>
        <w:right w:val="none" w:sz="0" w:space="0" w:color="auto"/>
      </w:divBdr>
    </w:div>
    <w:div w:id="935330477">
      <w:marLeft w:val="0"/>
      <w:marRight w:val="0"/>
      <w:marTop w:val="180"/>
      <w:marBottom w:val="180"/>
      <w:divBdr>
        <w:top w:val="none" w:sz="0" w:space="0" w:color="auto"/>
        <w:left w:val="none" w:sz="0" w:space="0" w:color="auto"/>
        <w:bottom w:val="none" w:sz="0" w:space="0" w:color="auto"/>
        <w:right w:val="none" w:sz="0" w:space="0" w:color="auto"/>
      </w:divBdr>
    </w:div>
    <w:div w:id="935331778">
      <w:marLeft w:val="0"/>
      <w:marRight w:val="0"/>
      <w:marTop w:val="180"/>
      <w:marBottom w:val="180"/>
      <w:divBdr>
        <w:top w:val="none" w:sz="0" w:space="0" w:color="auto"/>
        <w:left w:val="none" w:sz="0" w:space="0" w:color="auto"/>
        <w:bottom w:val="none" w:sz="0" w:space="0" w:color="auto"/>
        <w:right w:val="none" w:sz="0" w:space="0" w:color="auto"/>
      </w:divBdr>
    </w:div>
    <w:div w:id="935408079">
      <w:marLeft w:val="0"/>
      <w:marRight w:val="0"/>
      <w:marTop w:val="180"/>
      <w:marBottom w:val="180"/>
      <w:divBdr>
        <w:top w:val="none" w:sz="0" w:space="0" w:color="auto"/>
        <w:left w:val="none" w:sz="0" w:space="0" w:color="auto"/>
        <w:bottom w:val="none" w:sz="0" w:space="0" w:color="auto"/>
        <w:right w:val="none" w:sz="0" w:space="0" w:color="auto"/>
      </w:divBdr>
    </w:div>
    <w:div w:id="935482534">
      <w:marLeft w:val="0"/>
      <w:marRight w:val="0"/>
      <w:marTop w:val="180"/>
      <w:marBottom w:val="180"/>
      <w:divBdr>
        <w:top w:val="none" w:sz="0" w:space="0" w:color="auto"/>
        <w:left w:val="none" w:sz="0" w:space="0" w:color="auto"/>
        <w:bottom w:val="none" w:sz="0" w:space="0" w:color="auto"/>
        <w:right w:val="none" w:sz="0" w:space="0" w:color="auto"/>
      </w:divBdr>
    </w:div>
    <w:div w:id="937370804">
      <w:marLeft w:val="0"/>
      <w:marRight w:val="0"/>
      <w:marTop w:val="180"/>
      <w:marBottom w:val="180"/>
      <w:divBdr>
        <w:top w:val="none" w:sz="0" w:space="0" w:color="auto"/>
        <w:left w:val="none" w:sz="0" w:space="0" w:color="auto"/>
        <w:bottom w:val="none" w:sz="0" w:space="0" w:color="auto"/>
        <w:right w:val="none" w:sz="0" w:space="0" w:color="auto"/>
      </w:divBdr>
    </w:div>
    <w:div w:id="938027072">
      <w:marLeft w:val="0"/>
      <w:marRight w:val="0"/>
      <w:marTop w:val="180"/>
      <w:marBottom w:val="180"/>
      <w:divBdr>
        <w:top w:val="none" w:sz="0" w:space="0" w:color="auto"/>
        <w:left w:val="none" w:sz="0" w:space="0" w:color="auto"/>
        <w:bottom w:val="none" w:sz="0" w:space="0" w:color="auto"/>
        <w:right w:val="none" w:sz="0" w:space="0" w:color="auto"/>
      </w:divBdr>
    </w:div>
    <w:div w:id="938180270">
      <w:marLeft w:val="0"/>
      <w:marRight w:val="0"/>
      <w:marTop w:val="180"/>
      <w:marBottom w:val="180"/>
      <w:divBdr>
        <w:top w:val="none" w:sz="0" w:space="0" w:color="auto"/>
        <w:left w:val="none" w:sz="0" w:space="0" w:color="auto"/>
        <w:bottom w:val="none" w:sz="0" w:space="0" w:color="auto"/>
        <w:right w:val="none" w:sz="0" w:space="0" w:color="auto"/>
      </w:divBdr>
    </w:div>
    <w:div w:id="938681594">
      <w:marLeft w:val="0"/>
      <w:marRight w:val="0"/>
      <w:marTop w:val="60"/>
      <w:marBottom w:val="60"/>
      <w:divBdr>
        <w:top w:val="none" w:sz="0" w:space="0" w:color="auto"/>
        <w:left w:val="none" w:sz="0" w:space="0" w:color="auto"/>
        <w:bottom w:val="none" w:sz="0" w:space="0" w:color="auto"/>
        <w:right w:val="none" w:sz="0" w:space="0" w:color="auto"/>
      </w:divBdr>
    </w:div>
    <w:div w:id="938877073">
      <w:marLeft w:val="0"/>
      <w:marRight w:val="0"/>
      <w:marTop w:val="180"/>
      <w:marBottom w:val="180"/>
      <w:divBdr>
        <w:top w:val="none" w:sz="0" w:space="0" w:color="auto"/>
        <w:left w:val="none" w:sz="0" w:space="0" w:color="auto"/>
        <w:bottom w:val="none" w:sz="0" w:space="0" w:color="auto"/>
        <w:right w:val="none" w:sz="0" w:space="0" w:color="auto"/>
      </w:divBdr>
    </w:div>
    <w:div w:id="939338857">
      <w:marLeft w:val="0"/>
      <w:marRight w:val="0"/>
      <w:marTop w:val="180"/>
      <w:marBottom w:val="180"/>
      <w:divBdr>
        <w:top w:val="none" w:sz="0" w:space="0" w:color="auto"/>
        <w:left w:val="none" w:sz="0" w:space="0" w:color="auto"/>
        <w:bottom w:val="none" w:sz="0" w:space="0" w:color="auto"/>
        <w:right w:val="none" w:sz="0" w:space="0" w:color="auto"/>
      </w:divBdr>
    </w:div>
    <w:div w:id="940453585">
      <w:marLeft w:val="0"/>
      <w:marRight w:val="0"/>
      <w:marTop w:val="180"/>
      <w:marBottom w:val="180"/>
      <w:divBdr>
        <w:top w:val="none" w:sz="0" w:space="0" w:color="auto"/>
        <w:left w:val="none" w:sz="0" w:space="0" w:color="auto"/>
        <w:bottom w:val="none" w:sz="0" w:space="0" w:color="auto"/>
        <w:right w:val="none" w:sz="0" w:space="0" w:color="auto"/>
      </w:divBdr>
    </w:div>
    <w:div w:id="941649774">
      <w:marLeft w:val="0"/>
      <w:marRight w:val="0"/>
      <w:marTop w:val="60"/>
      <w:marBottom w:val="60"/>
      <w:divBdr>
        <w:top w:val="none" w:sz="0" w:space="0" w:color="auto"/>
        <w:left w:val="none" w:sz="0" w:space="0" w:color="auto"/>
        <w:bottom w:val="none" w:sz="0" w:space="0" w:color="auto"/>
        <w:right w:val="none" w:sz="0" w:space="0" w:color="auto"/>
      </w:divBdr>
    </w:div>
    <w:div w:id="942033109">
      <w:marLeft w:val="0"/>
      <w:marRight w:val="0"/>
      <w:marTop w:val="180"/>
      <w:marBottom w:val="60"/>
      <w:divBdr>
        <w:top w:val="none" w:sz="0" w:space="0" w:color="auto"/>
        <w:left w:val="none" w:sz="0" w:space="0" w:color="auto"/>
        <w:bottom w:val="none" w:sz="0" w:space="0" w:color="auto"/>
        <w:right w:val="none" w:sz="0" w:space="0" w:color="auto"/>
      </w:divBdr>
    </w:div>
    <w:div w:id="943852112">
      <w:marLeft w:val="0"/>
      <w:marRight w:val="0"/>
      <w:marTop w:val="180"/>
      <w:marBottom w:val="180"/>
      <w:divBdr>
        <w:top w:val="none" w:sz="0" w:space="0" w:color="auto"/>
        <w:left w:val="none" w:sz="0" w:space="0" w:color="auto"/>
        <w:bottom w:val="none" w:sz="0" w:space="0" w:color="auto"/>
        <w:right w:val="none" w:sz="0" w:space="0" w:color="auto"/>
      </w:divBdr>
    </w:div>
    <w:div w:id="944508166">
      <w:marLeft w:val="0"/>
      <w:marRight w:val="0"/>
      <w:marTop w:val="180"/>
      <w:marBottom w:val="180"/>
      <w:divBdr>
        <w:top w:val="none" w:sz="0" w:space="0" w:color="auto"/>
        <w:left w:val="none" w:sz="0" w:space="0" w:color="auto"/>
        <w:bottom w:val="none" w:sz="0" w:space="0" w:color="auto"/>
        <w:right w:val="none" w:sz="0" w:space="0" w:color="auto"/>
      </w:divBdr>
    </w:div>
    <w:div w:id="944769073">
      <w:marLeft w:val="0"/>
      <w:marRight w:val="0"/>
      <w:marTop w:val="180"/>
      <w:marBottom w:val="180"/>
      <w:divBdr>
        <w:top w:val="none" w:sz="0" w:space="0" w:color="auto"/>
        <w:left w:val="none" w:sz="0" w:space="0" w:color="auto"/>
        <w:bottom w:val="none" w:sz="0" w:space="0" w:color="auto"/>
        <w:right w:val="none" w:sz="0" w:space="0" w:color="auto"/>
      </w:divBdr>
    </w:div>
    <w:div w:id="944850234">
      <w:marLeft w:val="0"/>
      <w:marRight w:val="0"/>
      <w:marTop w:val="180"/>
      <w:marBottom w:val="180"/>
      <w:divBdr>
        <w:top w:val="none" w:sz="0" w:space="0" w:color="auto"/>
        <w:left w:val="none" w:sz="0" w:space="0" w:color="auto"/>
        <w:bottom w:val="none" w:sz="0" w:space="0" w:color="auto"/>
        <w:right w:val="none" w:sz="0" w:space="0" w:color="auto"/>
      </w:divBdr>
    </w:div>
    <w:div w:id="945768559">
      <w:marLeft w:val="0"/>
      <w:marRight w:val="0"/>
      <w:marTop w:val="180"/>
      <w:marBottom w:val="180"/>
      <w:divBdr>
        <w:top w:val="none" w:sz="0" w:space="0" w:color="auto"/>
        <w:left w:val="none" w:sz="0" w:space="0" w:color="auto"/>
        <w:bottom w:val="none" w:sz="0" w:space="0" w:color="auto"/>
        <w:right w:val="none" w:sz="0" w:space="0" w:color="auto"/>
      </w:divBdr>
    </w:div>
    <w:div w:id="946037557">
      <w:marLeft w:val="0"/>
      <w:marRight w:val="0"/>
      <w:marTop w:val="100"/>
      <w:marBottom w:val="0"/>
      <w:divBdr>
        <w:top w:val="none" w:sz="0" w:space="0" w:color="auto"/>
        <w:left w:val="none" w:sz="0" w:space="0" w:color="auto"/>
        <w:bottom w:val="none" w:sz="0" w:space="0" w:color="auto"/>
        <w:right w:val="none" w:sz="0" w:space="0" w:color="auto"/>
      </w:divBdr>
      <w:divsChild>
        <w:div w:id="1737126911">
          <w:marLeft w:val="0"/>
          <w:marRight w:val="0"/>
          <w:marTop w:val="0"/>
          <w:marBottom w:val="0"/>
          <w:divBdr>
            <w:top w:val="none" w:sz="0" w:space="0" w:color="auto"/>
            <w:left w:val="none" w:sz="0" w:space="0" w:color="auto"/>
            <w:bottom w:val="none" w:sz="0" w:space="0" w:color="auto"/>
            <w:right w:val="none" w:sz="0" w:space="0" w:color="auto"/>
          </w:divBdr>
        </w:div>
        <w:div w:id="893659208">
          <w:marLeft w:val="0"/>
          <w:marRight w:val="0"/>
          <w:marTop w:val="0"/>
          <w:marBottom w:val="0"/>
          <w:divBdr>
            <w:top w:val="none" w:sz="0" w:space="0" w:color="auto"/>
            <w:left w:val="none" w:sz="0" w:space="0" w:color="auto"/>
            <w:bottom w:val="none" w:sz="0" w:space="0" w:color="auto"/>
            <w:right w:val="none" w:sz="0" w:space="0" w:color="auto"/>
          </w:divBdr>
        </w:div>
        <w:div w:id="1746956773">
          <w:marLeft w:val="0"/>
          <w:marRight w:val="0"/>
          <w:marTop w:val="0"/>
          <w:marBottom w:val="0"/>
          <w:divBdr>
            <w:top w:val="none" w:sz="0" w:space="0" w:color="auto"/>
            <w:left w:val="none" w:sz="0" w:space="0" w:color="auto"/>
            <w:bottom w:val="none" w:sz="0" w:space="0" w:color="auto"/>
            <w:right w:val="none" w:sz="0" w:space="0" w:color="auto"/>
          </w:divBdr>
        </w:div>
        <w:div w:id="358697931">
          <w:marLeft w:val="0"/>
          <w:marRight w:val="0"/>
          <w:marTop w:val="0"/>
          <w:marBottom w:val="0"/>
          <w:divBdr>
            <w:top w:val="none" w:sz="0" w:space="0" w:color="auto"/>
            <w:left w:val="none" w:sz="0" w:space="0" w:color="auto"/>
            <w:bottom w:val="none" w:sz="0" w:space="0" w:color="auto"/>
            <w:right w:val="none" w:sz="0" w:space="0" w:color="auto"/>
          </w:divBdr>
        </w:div>
        <w:div w:id="1396851159">
          <w:marLeft w:val="0"/>
          <w:marRight w:val="0"/>
          <w:marTop w:val="0"/>
          <w:marBottom w:val="0"/>
          <w:divBdr>
            <w:top w:val="none" w:sz="0" w:space="0" w:color="auto"/>
            <w:left w:val="none" w:sz="0" w:space="0" w:color="auto"/>
            <w:bottom w:val="none" w:sz="0" w:space="0" w:color="auto"/>
            <w:right w:val="none" w:sz="0" w:space="0" w:color="auto"/>
          </w:divBdr>
        </w:div>
        <w:div w:id="1692876330">
          <w:marLeft w:val="0"/>
          <w:marRight w:val="0"/>
          <w:marTop w:val="0"/>
          <w:marBottom w:val="0"/>
          <w:divBdr>
            <w:top w:val="none" w:sz="0" w:space="0" w:color="auto"/>
            <w:left w:val="none" w:sz="0" w:space="0" w:color="auto"/>
            <w:bottom w:val="none" w:sz="0" w:space="0" w:color="auto"/>
            <w:right w:val="none" w:sz="0" w:space="0" w:color="auto"/>
          </w:divBdr>
        </w:div>
        <w:div w:id="1731465350">
          <w:marLeft w:val="0"/>
          <w:marRight w:val="0"/>
          <w:marTop w:val="0"/>
          <w:marBottom w:val="0"/>
          <w:divBdr>
            <w:top w:val="none" w:sz="0" w:space="0" w:color="auto"/>
            <w:left w:val="none" w:sz="0" w:space="0" w:color="auto"/>
            <w:bottom w:val="none" w:sz="0" w:space="0" w:color="auto"/>
            <w:right w:val="none" w:sz="0" w:space="0" w:color="auto"/>
          </w:divBdr>
        </w:div>
        <w:div w:id="1662275505">
          <w:marLeft w:val="0"/>
          <w:marRight w:val="0"/>
          <w:marTop w:val="0"/>
          <w:marBottom w:val="0"/>
          <w:divBdr>
            <w:top w:val="none" w:sz="0" w:space="0" w:color="auto"/>
            <w:left w:val="none" w:sz="0" w:space="0" w:color="auto"/>
            <w:bottom w:val="none" w:sz="0" w:space="0" w:color="auto"/>
            <w:right w:val="none" w:sz="0" w:space="0" w:color="auto"/>
          </w:divBdr>
        </w:div>
        <w:div w:id="1645037206">
          <w:marLeft w:val="0"/>
          <w:marRight w:val="0"/>
          <w:marTop w:val="0"/>
          <w:marBottom w:val="0"/>
          <w:divBdr>
            <w:top w:val="none" w:sz="0" w:space="0" w:color="auto"/>
            <w:left w:val="none" w:sz="0" w:space="0" w:color="auto"/>
            <w:bottom w:val="none" w:sz="0" w:space="0" w:color="auto"/>
            <w:right w:val="none" w:sz="0" w:space="0" w:color="auto"/>
          </w:divBdr>
        </w:div>
        <w:div w:id="243494449">
          <w:marLeft w:val="0"/>
          <w:marRight w:val="0"/>
          <w:marTop w:val="0"/>
          <w:marBottom w:val="0"/>
          <w:divBdr>
            <w:top w:val="none" w:sz="0" w:space="0" w:color="auto"/>
            <w:left w:val="none" w:sz="0" w:space="0" w:color="auto"/>
            <w:bottom w:val="none" w:sz="0" w:space="0" w:color="auto"/>
            <w:right w:val="none" w:sz="0" w:space="0" w:color="auto"/>
          </w:divBdr>
        </w:div>
        <w:div w:id="32190711">
          <w:marLeft w:val="0"/>
          <w:marRight w:val="0"/>
          <w:marTop w:val="0"/>
          <w:marBottom w:val="0"/>
          <w:divBdr>
            <w:top w:val="none" w:sz="0" w:space="0" w:color="auto"/>
            <w:left w:val="none" w:sz="0" w:space="0" w:color="auto"/>
            <w:bottom w:val="none" w:sz="0" w:space="0" w:color="auto"/>
            <w:right w:val="none" w:sz="0" w:space="0" w:color="auto"/>
          </w:divBdr>
        </w:div>
        <w:div w:id="2046054875">
          <w:marLeft w:val="0"/>
          <w:marRight w:val="0"/>
          <w:marTop w:val="0"/>
          <w:marBottom w:val="0"/>
          <w:divBdr>
            <w:top w:val="none" w:sz="0" w:space="0" w:color="auto"/>
            <w:left w:val="none" w:sz="0" w:space="0" w:color="auto"/>
            <w:bottom w:val="none" w:sz="0" w:space="0" w:color="auto"/>
            <w:right w:val="none" w:sz="0" w:space="0" w:color="auto"/>
          </w:divBdr>
        </w:div>
        <w:div w:id="1904170990">
          <w:marLeft w:val="0"/>
          <w:marRight w:val="0"/>
          <w:marTop w:val="0"/>
          <w:marBottom w:val="0"/>
          <w:divBdr>
            <w:top w:val="none" w:sz="0" w:space="0" w:color="auto"/>
            <w:left w:val="none" w:sz="0" w:space="0" w:color="auto"/>
            <w:bottom w:val="none" w:sz="0" w:space="0" w:color="auto"/>
            <w:right w:val="none" w:sz="0" w:space="0" w:color="auto"/>
          </w:divBdr>
        </w:div>
        <w:div w:id="1853030410">
          <w:marLeft w:val="0"/>
          <w:marRight w:val="0"/>
          <w:marTop w:val="0"/>
          <w:marBottom w:val="0"/>
          <w:divBdr>
            <w:top w:val="none" w:sz="0" w:space="0" w:color="auto"/>
            <w:left w:val="none" w:sz="0" w:space="0" w:color="auto"/>
            <w:bottom w:val="none" w:sz="0" w:space="0" w:color="auto"/>
            <w:right w:val="none" w:sz="0" w:space="0" w:color="auto"/>
          </w:divBdr>
        </w:div>
        <w:div w:id="98574088">
          <w:marLeft w:val="0"/>
          <w:marRight w:val="0"/>
          <w:marTop w:val="0"/>
          <w:marBottom w:val="0"/>
          <w:divBdr>
            <w:top w:val="none" w:sz="0" w:space="0" w:color="auto"/>
            <w:left w:val="none" w:sz="0" w:space="0" w:color="auto"/>
            <w:bottom w:val="none" w:sz="0" w:space="0" w:color="auto"/>
            <w:right w:val="none" w:sz="0" w:space="0" w:color="auto"/>
          </w:divBdr>
        </w:div>
        <w:div w:id="2095974734">
          <w:marLeft w:val="0"/>
          <w:marRight w:val="0"/>
          <w:marTop w:val="0"/>
          <w:marBottom w:val="0"/>
          <w:divBdr>
            <w:top w:val="none" w:sz="0" w:space="0" w:color="auto"/>
            <w:left w:val="none" w:sz="0" w:space="0" w:color="auto"/>
            <w:bottom w:val="none" w:sz="0" w:space="0" w:color="auto"/>
            <w:right w:val="none" w:sz="0" w:space="0" w:color="auto"/>
          </w:divBdr>
        </w:div>
        <w:div w:id="274487758">
          <w:marLeft w:val="0"/>
          <w:marRight w:val="0"/>
          <w:marTop w:val="0"/>
          <w:marBottom w:val="0"/>
          <w:divBdr>
            <w:top w:val="none" w:sz="0" w:space="0" w:color="auto"/>
            <w:left w:val="none" w:sz="0" w:space="0" w:color="auto"/>
            <w:bottom w:val="none" w:sz="0" w:space="0" w:color="auto"/>
            <w:right w:val="none" w:sz="0" w:space="0" w:color="auto"/>
          </w:divBdr>
        </w:div>
        <w:div w:id="1494108693">
          <w:marLeft w:val="0"/>
          <w:marRight w:val="0"/>
          <w:marTop w:val="0"/>
          <w:marBottom w:val="0"/>
          <w:divBdr>
            <w:top w:val="none" w:sz="0" w:space="0" w:color="auto"/>
            <w:left w:val="none" w:sz="0" w:space="0" w:color="auto"/>
            <w:bottom w:val="none" w:sz="0" w:space="0" w:color="auto"/>
            <w:right w:val="none" w:sz="0" w:space="0" w:color="auto"/>
          </w:divBdr>
        </w:div>
        <w:div w:id="533619215">
          <w:marLeft w:val="0"/>
          <w:marRight w:val="0"/>
          <w:marTop w:val="0"/>
          <w:marBottom w:val="0"/>
          <w:divBdr>
            <w:top w:val="none" w:sz="0" w:space="0" w:color="auto"/>
            <w:left w:val="none" w:sz="0" w:space="0" w:color="auto"/>
            <w:bottom w:val="none" w:sz="0" w:space="0" w:color="auto"/>
            <w:right w:val="none" w:sz="0" w:space="0" w:color="auto"/>
          </w:divBdr>
        </w:div>
        <w:div w:id="1969314330">
          <w:marLeft w:val="0"/>
          <w:marRight w:val="0"/>
          <w:marTop w:val="0"/>
          <w:marBottom w:val="0"/>
          <w:divBdr>
            <w:top w:val="none" w:sz="0" w:space="0" w:color="auto"/>
            <w:left w:val="none" w:sz="0" w:space="0" w:color="auto"/>
            <w:bottom w:val="none" w:sz="0" w:space="0" w:color="auto"/>
            <w:right w:val="none" w:sz="0" w:space="0" w:color="auto"/>
          </w:divBdr>
        </w:div>
        <w:div w:id="1096748047">
          <w:marLeft w:val="0"/>
          <w:marRight w:val="0"/>
          <w:marTop w:val="0"/>
          <w:marBottom w:val="0"/>
          <w:divBdr>
            <w:top w:val="none" w:sz="0" w:space="0" w:color="auto"/>
            <w:left w:val="none" w:sz="0" w:space="0" w:color="auto"/>
            <w:bottom w:val="none" w:sz="0" w:space="0" w:color="auto"/>
            <w:right w:val="none" w:sz="0" w:space="0" w:color="auto"/>
          </w:divBdr>
        </w:div>
        <w:div w:id="892227959">
          <w:marLeft w:val="0"/>
          <w:marRight w:val="0"/>
          <w:marTop w:val="0"/>
          <w:marBottom w:val="0"/>
          <w:divBdr>
            <w:top w:val="none" w:sz="0" w:space="0" w:color="auto"/>
            <w:left w:val="none" w:sz="0" w:space="0" w:color="auto"/>
            <w:bottom w:val="none" w:sz="0" w:space="0" w:color="auto"/>
            <w:right w:val="none" w:sz="0" w:space="0" w:color="auto"/>
          </w:divBdr>
        </w:div>
        <w:div w:id="1563523738">
          <w:marLeft w:val="0"/>
          <w:marRight w:val="0"/>
          <w:marTop w:val="0"/>
          <w:marBottom w:val="0"/>
          <w:divBdr>
            <w:top w:val="none" w:sz="0" w:space="0" w:color="auto"/>
            <w:left w:val="none" w:sz="0" w:space="0" w:color="auto"/>
            <w:bottom w:val="none" w:sz="0" w:space="0" w:color="auto"/>
            <w:right w:val="none" w:sz="0" w:space="0" w:color="auto"/>
          </w:divBdr>
        </w:div>
        <w:div w:id="8722325">
          <w:marLeft w:val="0"/>
          <w:marRight w:val="0"/>
          <w:marTop w:val="0"/>
          <w:marBottom w:val="0"/>
          <w:divBdr>
            <w:top w:val="none" w:sz="0" w:space="0" w:color="auto"/>
            <w:left w:val="none" w:sz="0" w:space="0" w:color="auto"/>
            <w:bottom w:val="none" w:sz="0" w:space="0" w:color="auto"/>
            <w:right w:val="none" w:sz="0" w:space="0" w:color="auto"/>
          </w:divBdr>
        </w:div>
        <w:div w:id="1112627179">
          <w:marLeft w:val="0"/>
          <w:marRight w:val="0"/>
          <w:marTop w:val="0"/>
          <w:marBottom w:val="0"/>
          <w:divBdr>
            <w:top w:val="none" w:sz="0" w:space="0" w:color="auto"/>
            <w:left w:val="none" w:sz="0" w:space="0" w:color="auto"/>
            <w:bottom w:val="none" w:sz="0" w:space="0" w:color="auto"/>
            <w:right w:val="none" w:sz="0" w:space="0" w:color="auto"/>
          </w:divBdr>
        </w:div>
        <w:div w:id="1865829132">
          <w:marLeft w:val="0"/>
          <w:marRight w:val="0"/>
          <w:marTop w:val="0"/>
          <w:marBottom w:val="0"/>
          <w:divBdr>
            <w:top w:val="none" w:sz="0" w:space="0" w:color="auto"/>
            <w:left w:val="none" w:sz="0" w:space="0" w:color="auto"/>
            <w:bottom w:val="none" w:sz="0" w:space="0" w:color="auto"/>
            <w:right w:val="none" w:sz="0" w:space="0" w:color="auto"/>
          </w:divBdr>
        </w:div>
        <w:div w:id="393818180">
          <w:marLeft w:val="0"/>
          <w:marRight w:val="0"/>
          <w:marTop w:val="0"/>
          <w:marBottom w:val="0"/>
          <w:divBdr>
            <w:top w:val="none" w:sz="0" w:space="0" w:color="auto"/>
            <w:left w:val="none" w:sz="0" w:space="0" w:color="auto"/>
            <w:bottom w:val="none" w:sz="0" w:space="0" w:color="auto"/>
            <w:right w:val="none" w:sz="0" w:space="0" w:color="auto"/>
          </w:divBdr>
        </w:div>
        <w:div w:id="988021226">
          <w:marLeft w:val="0"/>
          <w:marRight w:val="0"/>
          <w:marTop w:val="0"/>
          <w:marBottom w:val="0"/>
          <w:divBdr>
            <w:top w:val="none" w:sz="0" w:space="0" w:color="auto"/>
            <w:left w:val="none" w:sz="0" w:space="0" w:color="auto"/>
            <w:bottom w:val="none" w:sz="0" w:space="0" w:color="auto"/>
            <w:right w:val="none" w:sz="0" w:space="0" w:color="auto"/>
          </w:divBdr>
        </w:div>
        <w:div w:id="1763140094">
          <w:marLeft w:val="0"/>
          <w:marRight w:val="0"/>
          <w:marTop w:val="0"/>
          <w:marBottom w:val="0"/>
          <w:divBdr>
            <w:top w:val="none" w:sz="0" w:space="0" w:color="auto"/>
            <w:left w:val="none" w:sz="0" w:space="0" w:color="auto"/>
            <w:bottom w:val="none" w:sz="0" w:space="0" w:color="auto"/>
            <w:right w:val="none" w:sz="0" w:space="0" w:color="auto"/>
          </w:divBdr>
        </w:div>
        <w:div w:id="1600678319">
          <w:marLeft w:val="0"/>
          <w:marRight w:val="0"/>
          <w:marTop w:val="0"/>
          <w:marBottom w:val="0"/>
          <w:divBdr>
            <w:top w:val="none" w:sz="0" w:space="0" w:color="auto"/>
            <w:left w:val="none" w:sz="0" w:space="0" w:color="auto"/>
            <w:bottom w:val="none" w:sz="0" w:space="0" w:color="auto"/>
            <w:right w:val="none" w:sz="0" w:space="0" w:color="auto"/>
          </w:divBdr>
        </w:div>
        <w:div w:id="383605958">
          <w:marLeft w:val="0"/>
          <w:marRight w:val="0"/>
          <w:marTop w:val="0"/>
          <w:marBottom w:val="0"/>
          <w:divBdr>
            <w:top w:val="none" w:sz="0" w:space="0" w:color="auto"/>
            <w:left w:val="none" w:sz="0" w:space="0" w:color="auto"/>
            <w:bottom w:val="none" w:sz="0" w:space="0" w:color="auto"/>
            <w:right w:val="none" w:sz="0" w:space="0" w:color="auto"/>
          </w:divBdr>
        </w:div>
        <w:div w:id="680593803">
          <w:marLeft w:val="0"/>
          <w:marRight w:val="0"/>
          <w:marTop w:val="0"/>
          <w:marBottom w:val="0"/>
          <w:divBdr>
            <w:top w:val="none" w:sz="0" w:space="0" w:color="auto"/>
            <w:left w:val="none" w:sz="0" w:space="0" w:color="auto"/>
            <w:bottom w:val="none" w:sz="0" w:space="0" w:color="auto"/>
            <w:right w:val="none" w:sz="0" w:space="0" w:color="auto"/>
          </w:divBdr>
        </w:div>
        <w:div w:id="733553661">
          <w:marLeft w:val="0"/>
          <w:marRight w:val="0"/>
          <w:marTop w:val="0"/>
          <w:marBottom w:val="0"/>
          <w:divBdr>
            <w:top w:val="none" w:sz="0" w:space="0" w:color="auto"/>
            <w:left w:val="none" w:sz="0" w:space="0" w:color="auto"/>
            <w:bottom w:val="none" w:sz="0" w:space="0" w:color="auto"/>
            <w:right w:val="none" w:sz="0" w:space="0" w:color="auto"/>
          </w:divBdr>
        </w:div>
        <w:div w:id="889415541">
          <w:marLeft w:val="0"/>
          <w:marRight w:val="0"/>
          <w:marTop w:val="0"/>
          <w:marBottom w:val="0"/>
          <w:divBdr>
            <w:top w:val="none" w:sz="0" w:space="0" w:color="auto"/>
            <w:left w:val="none" w:sz="0" w:space="0" w:color="auto"/>
            <w:bottom w:val="none" w:sz="0" w:space="0" w:color="auto"/>
            <w:right w:val="none" w:sz="0" w:space="0" w:color="auto"/>
          </w:divBdr>
        </w:div>
        <w:div w:id="366174963">
          <w:marLeft w:val="0"/>
          <w:marRight w:val="0"/>
          <w:marTop w:val="0"/>
          <w:marBottom w:val="0"/>
          <w:divBdr>
            <w:top w:val="none" w:sz="0" w:space="0" w:color="auto"/>
            <w:left w:val="none" w:sz="0" w:space="0" w:color="auto"/>
            <w:bottom w:val="none" w:sz="0" w:space="0" w:color="auto"/>
            <w:right w:val="none" w:sz="0" w:space="0" w:color="auto"/>
          </w:divBdr>
        </w:div>
        <w:div w:id="551042732">
          <w:marLeft w:val="0"/>
          <w:marRight w:val="0"/>
          <w:marTop w:val="0"/>
          <w:marBottom w:val="0"/>
          <w:divBdr>
            <w:top w:val="none" w:sz="0" w:space="0" w:color="auto"/>
            <w:left w:val="none" w:sz="0" w:space="0" w:color="auto"/>
            <w:bottom w:val="none" w:sz="0" w:space="0" w:color="auto"/>
            <w:right w:val="none" w:sz="0" w:space="0" w:color="auto"/>
          </w:divBdr>
        </w:div>
        <w:div w:id="1659847766">
          <w:marLeft w:val="0"/>
          <w:marRight w:val="0"/>
          <w:marTop w:val="0"/>
          <w:marBottom w:val="0"/>
          <w:divBdr>
            <w:top w:val="none" w:sz="0" w:space="0" w:color="auto"/>
            <w:left w:val="none" w:sz="0" w:space="0" w:color="auto"/>
            <w:bottom w:val="none" w:sz="0" w:space="0" w:color="auto"/>
            <w:right w:val="none" w:sz="0" w:space="0" w:color="auto"/>
          </w:divBdr>
        </w:div>
        <w:div w:id="1101293741">
          <w:marLeft w:val="0"/>
          <w:marRight w:val="0"/>
          <w:marTop w:val="0"/>
          <w:marBottom w:val="0"/>
          <w:divBdr>
            <w:top w:val="none" w:sz="0" w:space="0" w:color="auto"/>
            <w:left w:val="none" w:sz="0" w:space="0" w:color="auto"/>
            <w:bottom w:val="none" w:sz="0" w:space="0" w:color="auto"/>
            <w:right w:val="none" w:sz="0" w:space="0" w:color="auto"/>
          </w:divBdr>
        </w:div>
        <w:div w:id="1337464176">
          <w:marLeft w:val="0"/>
          <w:marRight w:val="0"/>
          <w:marTop w:val="0"/>
          <w:marBottom w:val="0"/>
          <w:divBdr>
            <w:top w:val="none" w:sz="0" w:space="0" w:color="auto"/>
            <w:left w:val="none" w:sz="0" w:space="0" w:color="auto"/>
            <w:bottom w:val="none" w:sz="0" w:space="0" w:color="auto"/>
            <w:right w:val="none" w:sz="0" w:space="0" w:color="auto"/>
          </w:divBdr>
        </w:div>
        <w:div w:id="1917856639">
          <w:marLeft w:val="0"/>
          <w:marRight w:val="0"/>
          <w:marTop w:val="0"/>
          <w:marBottom w:val="0"/>
          <w:divBdr>
            <w:top w:val="none" w:sz="0" w:space="0" w:color="auto"/>
            <w:left w:val="none" w:sz="0" w:space="0" w:color="auto"/>
            <w:bottom w:val="none" w:sz="0" w:space="0" w:color="auto"/>
            <w:right w:val="none" w:sz="0" w:space="0" w:color="auto"/>
          </w:divBdr>
        </w:div>
        <w:div w:id="1043410068">
          <w:marLeft w:val="0"/>
          <w:marRight w:val="0"/>
          <w:marTop w:val="0"/>
          <w:marBottom w:val="0"/>
          <w:divBdr>
            <w:top w:val="none" w:sz="0" w:space="0" w:color="auto"/>
            <w:left w:val="none" w:sz="0" w:space="0" w:color="auto"/>
            <w:bottom w:val="none" w:sz="0" w:space="0" w:color="auto"/>
            <w:right w:val="none" w:sz="0" w:space="0" w:color="auto"/>
          </w:divBdr>
        </w:div>
      </w:divsChild>
    </w:div>
    <w:div w:id="946547689">
      <w:marLeft w:val="0"/>
      <w:marRight w:val="0"/>
      <w:marTop w:val="180"/>
      <w:marBottom w:val="180"/>
      <w:divBdr>
        <w:top w:val="none" w:sz="0" w:space="0" w:color="auto"/>
        <w:left w:val="none" w:sz="0" w:space="0" w:color="auto"/>
        <w:bottom w:val="none" w:sz="0" w:space="0" w:color="auto"/>
        <w:right w:val="none" w:sz="0" w:space="0" w:color="auto"/>
      </w:divBdr>
    </w:div>
    <w:div w:id="947195600">
      <w:marLeft w:val="0"/>
      <w:marRight w:val="0"/>
      <w:marTop w:val="180"/>
      <w:marBottom w:val="180"/>
      <w:divBdr>
        <w:top w:val="none" w:sz="0" w:space="0" w:color="auto"/>
        <w:left w:val="none" w:sz="0" w:space="0" w:color="auto"/>
        <w:bottom w:val="none" w:sz="0" w:space="0" w:color="auto"/>
        <w:right w:val="none" w:sz="0" w:space="0" w:color="auto"/>
      </w:divBdr>
    </w:div>
    <w:div w:id="948046244">
      <w:marLeft w:val="0"/>
      <w:marRight w:val="0"/>
      <w:marTop w:val="180"/>
      <w:marBottom w:val="180"/>
      <w:divBdr>
        <w:top w:val="none" w:sz="0" w:space="0" w:color="auto"/>
        <w:left w:val="none" w:sz="0" w:space="0" w:color="auto"/>
        <w:bottom w:val="none" w:sz="0" w:space="0" w:color="auto"/>
        <w:right w:val="none" w:sz="0" w:space="0" w:color="auto"/>
      </w:divBdr>
    </w:div>
    <w:div w:id="948046262">
      <w:marLeft w:val="0"/>
      <w:marRight w:val="0"/>
      <w:marTop w:val="180"/>
      <w:marBottom w:val="180"/>
      <w:divBdr>
        <w:top w:val="none" w:sz="0" w:space="0" w:color="auto"/>
        <w:left w:val="none" w:sz="0" w:space="0" w:color="auto"/>
        <w:bottom w:val="none" w:sz="0" w:space="0" w:color="auto"/>
        <w:right w:val="none" w:sz="0" w:space="0" w:color="auto"/>
      </w:divBdr>
    </w:div>
    <w:div w:id="949243292">
      <w:marLeft w:val="0"/>
      <w:marRight w:val="0"/>
      <w:marTop w:val="180"/>
      <w:marBottom w:val="60"/>
      <w:divBdr>
        <w:top w:val="none" w:sz="0" w:space="0" w:color="auto"/>
        <w:left w:val="none" w:sz="0" w:space="0" w:color="auto"/>
        <w:bottom w:val="none" w:sz="0" w:space="0" w:color="auto"/>
        <w:right w:val="none" w:sz="0" w:space="0" w:color="auto"/>
      </w:divBdr>
    </w:div>
    <w:div w:id="949628990">
      <w:marLeft w:val="0"/>
      <w:marRight w:val="0"/>
      <w:marTop w:val="240"/>
      <w:marBottom w:val="240"/>
      <w:divBdr>
        <w:top w:val="none" w:sz="0" w:space="0" w:color="auto"/>
        <w:left w:val="none" w:sz="0" w:space="0" w:color="auto"/>
        <w:bottom w:val="none" w:sz="0" w:space="0" w:color="auto"/>
        <w:right w:val="none" w:sz="0" w:space="0" w:color="auto"/>
      </w:divBdr>
    </w:div>
    <w:div w:id="949822501">
      <w:marLeft w:val="0"/>
      <w:marRight w:val="0"/>
      <w:marTop w:val="180"/>
      <w:marBottom w:val="180"/>
      <w:divBdr>
        <w:top w:val="none" w:sz="0" w:space="0" w:color="auto"/>
        <w:left w:val="none" w:sz="0" w:space="0" w:color="auto"/>
        <w:bottom w:val="none" w:sz="0" w:space="0" w:color="auto"/>
        <w:right w:val="none" w:sz="0" w:space="0" w:color="auto"/>
      </w:divBdr>
    </w:div>
    <w:div w:id="951011490">
      <w:marLeft w:val="0"/>
      <w:marRight w:val="0"/>
      <w:marTop w:val="180"/>
      <w:marBottom w:val="180"/>
      <w:divBdr>
        <w:top w:val="none" w:sz="0" w:space="0" w:color="auto"/>
        <w:left w:val="none" w:sz="0" w:space="0" w:color="auto"/>
        <w:bottom w:val="none" w:sz="0" w:space="0" w:color="auto"/>
        <w:right w:val="none" w:sz="0" w:space="0" w:color="auto"/>
      </w:divBdr>
    </w:div>
    <w:div w:id="952713924">
      <w:marLeft w:val="0"/>
      <w:marRight w:val="0"/>
      <w:marTop w:val="180"/>
      <w:marBottom w:val="180"/>
      <w:divBdr>
        <w:top w:val="none" w:sz="0" w:space="0" w:color="auto"/>
        <w:left w:val="none" w:sz="0" w:space="0" w:color="auto"/>
        <w:bottom w:val="none" w:sz="0" w:space="0" w:color="auto"/>
        <w:right w:val="none" w:sz="0" w:space="0" w:color="auto"/>
      </w:divBdr>
    </w:div>
    <w:div w:id="953636655">
      <w:marLeft w:val="0"/>
      <w:marRight w:val="0"/>
      <w:marTop w:val="0"/>
      <w:marBottom w:val="0"/>
      <w:divBdr>
        <w:top w:val="none" w:sz="0" w:space="0" w:color="auto"/>
        <w:left w:val="none" w:sz="0" w:space="0" w:color="auto"/>
        <w:bottom w:val="none" w:sz="0" w:space="0" w:color="auto"/>
        <w:right w:val="none" w:sz="0" w:space="0" w:color="auto"/>
      </w:divBdr>
    </w:div>
    <w:div w:id="954557747">
      <w:marLeft w:val="0"/>
      <w:marRight w:val="0"/>
      <w:marTop w:val="180"/>
      <w:marBottom w:val="180"/>
      <w:divBdr>
        <w:top w:val="none" w:sz="0" w:space="0" w:color="auto"/>
        <w:left w:val="none" w:sz="0" w:space="0" w:color="auto"/>
        <w:bottom w:val="none" w:sz="0" w:space="0" w:color="auto"/>
        <w:right w:val="none" w:sz="0" w:space="0" w:color="auto"/>
      </w:divBdr>
    </w:div>
    <w:div w:id="954602252">
      <w:marLeft w:val="0"/>
      <w:marRight w:val="0"/>
      <w:marTop w:val="180"/>
      <w:marBottom w:val="180"/>
      <w:divBdr>
        <w:top w:val="none" w:sz="0" w:space="0" w:color="auto"/>
        <w:left w:val="none" w:sz="0" w:space="0" w:color="auto"/>
        <w:bottom w:val="none" w:sz="0" w:space="0" w:color="auto"/>
        <w:right w:val="none" w:sz="0" w:space="0" w:color="auto"/>
      </w:divBdr>
    </w:div>
    <w:div w:id="955058592">
      <w:marLeft w:val="0"/>
      <w:marRight w:val="0"/>
      <w:marTop w:val="180"/>
      <w:marBottom w:val="180"/>
      <w:divBdr>
        <w:top w:val="none" w:sz="0" w:space="0" w:color="auto"/>
        <w:left w:val="none" w:sz="0" w:space="0" w:color="auto"/>
        <w:bottom w:val="none" w:sz="0" w:space="0" w:color="auto"/>
        <w:right w:val="none" w:sz="0" w:space="0" w:color="auto"/>
      </w:divBdr>
    </w:div>
    <w:div w:id="956913514">
      <w:marLeft w:val="0"/>
      <w:marRight w:val="0"/>
      <w:marTop w:val="180"/>
      <w:marBottom w:val="180"/>
      <w:divBdr>
        <w:top w:val="none" w:sz="0" w:space="0" w:color="auto"/>
        <w:left w:val="none" w:sz="0" w:space="0" w:color="auto"/>
        <w:bottom w:val="none" w:sz="0" w:space="0" w:color="auto"/>
        <w:right w:val="none" w:sz="0" w:space="0" w:color="auto"/>
      </w:divBdr>
    </w:div>
    <w:div w:id="957420369">
      <w:marLeft w:val="0"/>
      <w:marRight w:val="0"/>
      <w:marTop w:val="180"/>
      <w:marBottom w:val="180"/>
      <w:divBdr>
        <w:top w:val="none" w:sz="0" w:space="0" w:color="auto"/>
        <w:left w:val="none" w:sz="0" w:space="0" w:color="auto"/>
        <w:bottom w:val="none" w:sz="0" w:space="0" w:color="auto"/>
        <w:right w:val="none" w:sz="0" w:space="0" w:color="auto"/>
      </w:divBdr>
    </w:div>
    <w:div w:id="963121369">
      <w:marLeft w:val="0"/>
      <w:marRight w:val="0"/>
      <w:marTop w:val="120"/>
      <w:marBottom w:val="120"/>
      <w:divBdr>
        <w:top w:val="none" w:sz="0" w:space="0" w:color="auto"/>
        <w:left w:val="none" w:sz="0" w:space="0" w:color="auto"/>
        <w:bottom w:val="none" w:sz="0" w:space="0" w:color="auto"/>
        <w:right w:val="none" w:sz="0" w:space="0" w:color="auto"/>
      </w:divBdr>
    </w:div>
    <w:div w:id="963190581">
      <w:marLeft w:val="0"/>
      <w:marRight w:val="0"/>
      <w:marTop w:val="180"/>
      <w:marBottom w:val="180"/>
      <w:divBdr>
        <w:top w:val="none" w:sz="0" w:space="0" w:color="auto"/>
        <w:left w:val="none" w:sz="0" w:space="0" w:color="auto"/>
        <w:bottom w:val="none" w:sz="0" w:space="0" w:color="auto"/>
        <w:right w:val="none" w:sz="0" w:space="0" w:color="auto"/>
      </w:divBdr>
    </w:div>
    <w:div w:id="963997318">
      <w:marLeft w:val="0"/>
      <w:marRight w:val="0"/>
      <w:marTop w:val="180"/>
      <w:marBottom w:val="180"/>
      <w:divBdr>
        <w:top w:val="none" w:sz="0" w:space="0" w:color="auto"/>
        <w:left w:val="none" w:sz="0" w:space="0" w:color="auto"/>
        <w:bottom w:val="none" w:sz="0" w:space="0" w:color="auto"/>
        <w:right w:val="none" w:sz="0" w:space="0" w:color="auto"/>
      </w:divBdr>
    </w:div>
    <w:div w:id="963999243">
      <w:marLeft w:val="0"/>
      <w:marRight w:val="0"/>
      <w:marTop w:val="0"/>
      <w:marBottom w:val="0"/>
      <w:divBdr>
        <w:top w:val="none" w:sz="0" w:space="0" w:color="auto"/>
        <w:left w:val="none" w:sz="0" w:space="0" w:color="auto"/>
        <w:bottom w:val="none" w:sz="0" w:space="0" w:color="auto"/>
        <w:right w:val="none" w:sz="0" w:space="0" w:color="auto"/>
      </w:divBdr>
      <w:divsChild>
        <w:div w:id="134224999">
          <w:marLeft w:val="0"/>
          <w:marRight w:val="0"/>
          <w:marTop w:val="60"/>
          <w:marBottom w:val="180"/>
          <w:divBdr>
            <w:top w:val="none" w:sz="0" w:space="0" w:color="auto"/>
            <w:left w:val="none" w:sz="0" w:space="0" w:color="auto"/>
            <w:bottom w:val="none" w:sz="0" w:space="0" w:color="auto"/>
            <w:right w:val="none" w:sz="0" w:space="0" w:color="auto"/>
          </w:divBdr>
        </w:div>
      </w:divsChild>
    </w:div>
    <w:div w:id="965308118">
      <w:marLeft w:val="0"/>
      <w:marRight w:val="0"/>
      <w:marTop w:val="0"/>
      <w:marBottom w:val="0"/>
      <w:divBdr>
        <w:top w:val="none" w:sz="0" w:space="0" w:color="auto"/>
        <w:left w:val="none" w:sz="0" w:space="0" w:color="auto"/>
        <w:bottom w:val="none" w:sz="0" w:space="0" w:color="auto"/>
        <w:right w:val="none" w:sz="0" w:space="0" w:color="auto"/>
      </w:divBdr>
      <w:divsChild>
        <w:div w:id="51735017">
          <w:marLeft w:val="0"/>
          <w:marRight w:val="0"/>
          <w:marTop w:val="60"/>
          <w:marBottom w:val="180"/>
          <w:divBdr>
            <w:top w:val="none" w:sz="0" w:space="0" w:color="auto"/>
            <w:left w:val="none" w:sz="0" w:space="0" w:color="auto"/>
            <w:bottom w:val="none" w:sz="0" w:space="0" w:color="auto"/>
            <w:right w:val="none" w:sz="0" w:space="0" w:color="auto"/>
          </w:divBdr>
        </w:div>
      </w:divsChild>
    </w:div>
    <w:div w:id="967203581">
      <w:marLeft w:val="0"/>
      <w:marRight w:val="0"/>
      <w:marTop w:val="180"/>
      <w:marBottom w:val="180"/>
      <w:divBdr>
        <w:top w:val="none" w:sz="0" w:space="0" w:color="auto"/>
        <w:left w:val="none" w:sz="0" w:space="0" w:color="auto"/>
        <w:bottom w:val="none" w:sz="0" w:space="0" w:color="auto"/>
        <w:right w:val="none" w:sz="0" w:space="0" w:color="auto"/>
      </w:divBdr>
    </w:div>
    <w:div w:id="968826294">
      <w:marLeft w:val="0"/>
      <w:marRight w:val="0"/>
      <w:marTop w:val="180"/>
      <w:marBottom w:val="180"/>
      <w:divBdr>
        <w:top w:val="none" w:sz="0" w:space="0" w:color="auto"/>
        <w:left w:val="none" w:sz="0" w:space="0" w:color="auto"/>
        <w:bottom w:val="none" w:sz="0" w:space="0" w:color="auto"/>
        <w:right w:val="none" w:sz="0" w:space="0" w:color="auto"/>
      </w:divBdr>
      <w:divsChild>
        <w:div w:id="1222012232">
          <w:marLeft w:val="0"/>
          <w:marRight w:val="0"/>
          <w:marTop w:val="0"/>
          <w:marBottom w:val="0"/>
          <w:divBdr>
            <w:top w:val="none" w:sz="0" w:space="0" w:color="auto"/>
            <w:left w:val="none" w:sz="0" w:space="0" w:color="auto"/>
            <w:bottom w:val="none" w:sz="0" w:space="0" w:color="auto"/>
            <w:right w:val="none" w:sz="0" w:space="0" w:color="auto"/>
          </w:divBdr>
        </w:div>
        <w:div w:id="43792048">
          <w:marLeft w:val="0"/>
          <w:marRight w:val="0"/>
          <w:marTop w:val="0"/>
          <w:marBottom w:val="0"/>
          <w:divBdr>
            <w:top w:val="none" w:sz="0" w:space="0" w:color="auto"/>
            <w:left w:val="none" w:sz="0" w:space="0" w:color="auto"/>
            <w:bottom w:val="none" w:sz="0" w:space="0" w:color="auto"/>
            <w:right w:val="none" w:sz="0" w:space="0" w:color="auto"/>
          </w:divBdr>
        </w:div>
        <w:div w:id="659238745">
          <w:marLeft w:val="0"/>
          <w:marRight w:val="0"/>
          <w:marTop w:val="0"/>
          <w:marBottom w:val="0"/>
          <w:divBdr>
            <w:top w:val="none" w:sz="0" w:space="0" w:color="auto"/>
            <w:left w:val="none" w:sz="0" w:space="0" w:color="auto"/>
            <w:bottom w:val="none" w:sz="0" w:space="0" w:color="auto"/>
            <w:right w:val="none" w:sz="0" w:space="0" w:color="auto"/>
          </w:divBdr>
        </w:div>
        <w:div w:id="235021402">
          <w:marLeft w:val="0"/>
          <w:marRight w:val="0"/>
          <w:marTop w:val="0"/>
          <w:marBottom w:val="0"/>
          <w:divBdr>
            <w:top w:val="none" w:sz="0" w:space="0" w:color="auto"/>
            <w:left w:val="none" w:sz="0" w:space="0" w:color="auto"/>
            <w:bottom w:val="none" w:sz="0" w:space="0" w:color="auto"/>
            <w:right w:val="none" w:sz="0" w:space="0" w:color="auto"/>
          </w:divBdr>
        </w:div>
        <w:div w:id="749932570">
          <w:marLeft w:val="0"/>
          <w:marRight w:val="0"/>
          <w:marTop w:val="0"/>
          <w:marBottom w:val="0"/>
          <w:divBdr>
            <w:top w:val="none" w:sz="0" w:space="0" w:color="auto"/>
            <w:left w:val="none" w:sz="0" w:space="0" w:color="auto"/>
            <w:bottom w:val="none" w:sz="0" w:space="0" w:color="auto"/>
            <w:right w:val="none" w:sz="0" w:space="0" w:color="auto"/>
          </w:divBdr>
        </w:div>
      </w:divsChild>
    </w:div>
    <w:div w:id="970869526">
      <w:marLeft w:val="0"/>
      <w:marRight w:val="0"/>
      <w:marTop w:val="0"/>
      <w:marBottom w:val="0"/>
      <w:divBdr>
        <w:top w:val="none" w:sz="0" w:space="0" w:color="auto"/>
        <w:left w:val="none" w:sz="0" w:space="0" w:color="auto"/>
        <w:bottom w:val="none" w:sz="0" w:space="0" w:color="auto"/>
        <w:right w:val="none" w:sz="0" w:space="0" w:color="auto"/>
      </w:divBdr>
      <w:divsChild>
        <w:div w:id="520507479">
          <w:marLeft w:val="0"/>
          <w:marRight w:val="0"/>
          <w:marTop w:val="0"/>
          <w:marBottom w:val="0"/>
          <w:divBdr>
            <w:top w:val="none" w:sz="0" w:space="0" w:color="auto"/>
            <w:left w:val="none" w:sz="0" w:space="0" w:color="auto"/>
            <w:bottom w:val="none" w:sz="0" w:space="0" w:color="auto"/>
            <w:right w:val="none" w:sz="0" w:space="0" w:color="auto"/>
          </w:divBdr>
          <w:divsChild>
            <w:div w:id="3397048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71788453">
      <w:marLeft w:val="0"/>
      <w:marRight w:val="0"/>
      <w:marTop w:val="0"/>
      <w:marBottom w:val="0"/>
      <w:divBdr>
        <w:top w:val="none" w:sz="0" w:space="0" w:color="auto"/>
        <w:left w:val="none" w:sz="0" w:space="0" w:color="auto"/>
        <w:bottom w:val="none" w:sz="0" w:space="0" w:color="auto"/>
        <w:right w:val="none" w:sz="0" w:space="0" w:color="auto"/>
      </w:divBdr>
    </w:div>
    <w:div w:id="972951803">
      <w:marLeft w:val="0"/>
      <w:marRight w:val="0"/>
      <w:marTop w:val="180"/>
      <w:marBottom w:val="180"/>
      <w:divBdr>
        <w:top w:val="none" w:sz="0" w:space="0" w:color="auto"/>
        <w:left w:val="none" w:sz="0" w:space="0" w:color="auto"/>
        <w:bottom w:val="none" w:sz="0" w:space="0" w:color="auto"/>
        <w:right w:val="none" w:sz="0" w:space="0" w:color="auto"/>
      </w:divBdr>
    </w:div>
    <w:div w:id="974994160">
      <w:marLeft w:val="0"/>
      <w:marRight w:val="0"/>
      <w:marTop w:val="60"/>
      <w:marBottom w:val="60"/>
      <w:divBdr>
        <w:top w:val="none" w:sz="0" w:space="0" w:color="auto"/>
        <w:left w:val="none" w:sz="0" w:space="0" w:color="auto"/>
        <w:bottom w:val="none" w:sz="0" w:space="0" w:color="auto"/>
        <w:right w:val="none" w:sz="0" w:space="0" w:color="auto"/>
      </w:divBdr>
      <w:divsChild>
        <w:div w:id="393048411">
          <w:marLeft w:val="0"/>
          <w:marRight w:val="0"/>
          <w:marTop w:val="0"/>
          <w:marBottom w:val="0"/>
          <w:divBdr>
            <w:top w:val="none" w:sz="0" w:space="0" w:color="auto"/>
            <w:left w:val="none" w:sz="0" w:space="0" w:color="auto"/>
            <w:bottom w:val="none" w:sz="0" w:space="0" w:color="auto"/>
            <w:right w:val="none" w:sz="0" w:space="0" w:color="auto"/>
          </w:divBdr>
        </w:div>
      </w:divsChild>
    </w:div>
    <w:div w:id="975915109">
      <w:marLeft w:val="0"/>
      <w:marRight w:val="0"/>
      <w:marTop w:val="60"/>
      <w:marBottom w:val="60"/>
      <w:divBdr>
        <w:top w:val="none" w:sz="0" w:space="0" w:color="auto"/>
        <w:left w:val="none" w:sz="0" w:space="0" w:color="auto"/>
        <w:bottom w:val="none" w:sz="0" w:space="0" w:color="auto"/>
        <w:right w:val="none" w:sz="0" w:space="0" w:color="auto"/>
      </w:divBdr>
    </w:div>
    <w:div w:id="975993992">
      <w:marLeft w:val="0"/>
      <w:marRight w:val="0"/>
      <w:marTop w:val="60"/>
      <w:marBottom w:val="60"/>
      <w:divBdr>
        <w:top w:val="none" w:sz="0" w:space="0" w:color="auto"/>
        <w:left w:val="none" w:sz="0" w:space="0" w:color="auto"/>
        <w:bottom w:val="none" w:sz="0" w:space="0" w:color="auto"/>
        <w:right w:val="none" w:sz="0" w:space="0" w:color="auto"/>
      </w:divBdr>
    </w:div>
    <w:div w:id="976111433">
      <w:marLeft w:val="0"/>
      <w:marRight w:val="0"/>
      <w:marTop w:val="180"/>
      <w:marBottom w:val="180"/>
      <w:divBdr>
        <w:top w:val="none" w:sz="0" w:space="0" w:color="auto"/>
        <w:left w:val="none" w:sz="0" w:space="0" w:color="auto"/>
        <w:bottom w:val="none" w:sz="0" w:space="0" w:color="auto"/>
        <w:right w:val="none" w:sz="0" w:space="0" w:color="auto"/>
      </w:divBdr>
    </w:div>
    <w:div w:id="976841943">
      <w:marLeft w:val="0"/>
      <w:marRight w:val="0"/>
      <w:marTop w:val="100"/>
      <w:marBottom w:val="100"/>
      <w:divBdr>
        <w:top w:val="none" w:sz="0" w:space="0" w:color="auto"/>
        <w:left w:val="none" w:sz="0" w:space="0" w:color="auto"/>
        <w:bottom w:val="none" w:sz="0" w:space="0" w:color="auto"/>
        <w:right w:val="none" w:sz="0" w:space="0" w:color="auto"/>
      </w:divBdr>
      <w:divsChild>
        <w:div w:id="1782802248">
          <w:marLeft w:val="0"/>
          <w:marRight w:val="0"/>
          <w:marTop w:val="0"/>
          <w:marBottom w:val="0"/>
          <w:divBdr>
            <w:top w:val="none" w:sz="0" w:space="0" w:color="auto"/>
            <w:left w:val="none" w:sz="0" w:space="0" w:color="auto"/>
            <w:bottom w:val="none" w:sz="0" w:space="0" w:color="auto"/>
            <w:right w:val="none" w:sz="0" w:space="0" w:color="auto"/>
          </w:divBdr>
        </w:div>
        <w:div w:id="1230382718">
          <w:marLeft w:val="0"/>
          <w:marRight w:val="0"/>
          <w:marTop w:val="0"/>
          <w:marBottom w:val="0"/>
          <w:divBdr>
            <w:top w:val="none" w:sz="0" w:space="0" w:color="auto"/>
            <w:left w:val="none" w:sz="0" w:space="0" w:color="auto"/>
            <w:bottom w:val="none" w:sz="0" w:space="0" w:color="auto"/>
            <w:right w:val="none" w:sz="0" w:space="0" w:color="auto"/>
          </w:divBdr>
        </w:div>
      </w:divsChild>
    </w:div>
    <w:div w:id="976883160">
      <w:marLeft w:val="0"/>
      <w:marRight w:val="0"/>
      <w:marTop w:val="180"/>
      <w:marBottom w:val="180"/>
      <w:divBdr>
        <w:top w:val="none" w:sz="0" w:space="0" w:color="auto"/>
        <w:left w:val="none" w:sz="0" w:space="0" w:color="auto"/>
        <w:bottom w:val="none" w:sz="0" w:space="0" w:color="auto"/>
        <w:right w:val="none" w:sz="0" w:space="0" w:color="auto"/>
      </w:divBdr>
    </w:div>
    <w:div w:id="977145995">
      <w:marLeft w:val="0"/>
      <w:marRight w:val="0"/>
      <w:marTop w:val="180"/>
      <w:marBottom w:val="180"/>
      <w:divBdr>
        <w:top w:val="none" w:sz="0" w:space="0" w:color="auto"/>
        <w:left w:val="none" w:sz="0" w:space="0" w:color="auto"/>
        <w:bottom w:val="none" w:sz="0" w:space="0" w:color="auto"/>
        <w:right w:val="none" w:sz="0" w:space="0" w:color="auto"/>
      </w:divBdr>
    </w:div>
    <w:div w:id="977884116">
      <w:marLeft w:val="0"/>
      <w:marRight w:val="0"/>
      <w:marTop w:val="180"/>
      <w:marBottom w:val="180"/>
      <w:divBdr>
        <w:top w:val="none" w:sz="0" w:space="0" w:color="auto"/>
        <w:left w:val="none" w:sz="0" w:space="0" w:color="auto"/>
        <w:bottom w:val="none" w:sz="0" w:space="0" w:color="auto"/>
        <w:right w:val="none" w:sz="0" w:space="0" w:color="auto"/>
      </w:divBdr>
    </w:div>
    <w:div w:id="978025433">
      <w:marLeft w:val="0"/>
      <w:marRight w:val="0"/>
      <w:marTop w:val="180"/>
      <w:marBottom w:val="0"/>
      <w:divBdr>
        <w:top w:val="none" w:sz="0" w:space="0" w:color="auto"/>
        <w:left w:val="none" w:sz="0" w:space="0" w:color="auto"/>
        <w:bottom w:val="none" w:sz="0" w:space="0" w:color="auto"/>
        <w:right w:val="none" w:sz="0" w:space="0" w:color="auto"/>
      </w:divBdr>
      <w:divsChild>
        <w:div w:id="2025401685">
          <w:marLeft w:val="0"/>
          <w:marRight w:val="0"/>
          <w:marTop w:val="0"/>
          <w:marBottom w:val="0"/>
          <w:divBdr>
            <w:top w:val="none" w:sz="0" w:space="0" w:color="auto"/>
            <w:left w:val="none" w:sz="0" w:space="0" w:color="auto"/>
            <w:bottom w:val="none" w:sz="0" w:space="0" w:color="auto"/>
            <w:right w:val="none" w:sz="0" w:space="0" w:color="auto"/>
          </w:divBdr>
        </w:div>
        <w:div w:id="771432497">
          <w:marLeft w:val="0"/>
          <w:marRight w:val="0"/>
          <w:marTop w:val="0"/>
          <w:marBottom w:val="0"/>
          <w:divBdr>
            <w:top w:val="none" w:sz="0" w:space="0" w:color="auto"/>
            <w:left w:val="none" w:sz="0" w:space="0" w:color="auto"/>
            <w:bottom w:val="none" w:sz="0" w:space="0" w:color="auto"/>
            <w:right w:val="none" w:sz="0" w:space="0" w:color="auto"/>
          </w:divBdr>
        </w:div>
        <w:div w:id="37245525">
          <w:marLeft w:val="0"/>
          <w:marRight w:val="0"/>
          <w:marTop w:val="0"/>
          <w:marBottom w:val="0"/>
          <w:divBdr>
            <w:top w:val="none" w:sz="0" w:space="0" w:color="auto"/>
            <w:left w:val="none" w:sz="0" w:space="0" w:color="auto"/>
            <w:bottom w:val="none" w:sz="0" w:space="0" w:color="auto"/>
            <w:right w:val="none" w:sz="0" w:space="0" w:color="auto"/>
          </w:divBdr>
        </w:div>
      </w:divsChild>
    </w:div>
    <w:div w:id="978606754">
      <w:marLeft w:val="0"/>
      <w:marRight w:val="0"/>
      <w:marTop w:val="180"/>
      <w:marBottom w:val="180"/>
      <w:divBdr>
        <w:top w:val="none" w:sz="0" w:space="0" w:color="auto"/>
        <w:left w:val="none" w:sz="0" w:space="0" w:color="auto"/>
        <w:bottom w:val="none" w:sz="0" w:space="0" w:color="auto"/>
        <w:right w:val="none" w:sz="0" w:space="0" w:color="auto"/>
      </w:divBdr>
    </w:div>
    <w:div w:id="979185968">
      <w:marLeft w:val="0"/>
      <w:marRight w:val="0"/>
      <w:marTop w:val="180"/>
      <w:marBottom w:val="180"/>
      <w:divBdr>
        <w:top w:val="none" w:sz="0" w:space="0" w:color="auto"/>
        <w:left w:val="none" w:sz="0" w:space="0" w:color="auto"/>
        <w:bottom w:val="none" w:sz="0" w:space="0" w:color="auto"/>
        <w:right w:val="none" w:sz="0" w:space="0" w:color="auto"/>
      </w:divBdr>
    </w:div>
    <w:div w:id="979386429">
      <w:marLeft w:val="0"/>
      <w:marRight w:val="0"/>
      <w:marTop w:val="180"/>
      <w:marBottom w:val="180"/>
      <w:divBdr>
        <w:top w:val="none" w:sz="0" w:space="0" w:color="auto"/>
        <w:left w:val="none" w:sz="0" w:space="0" w:color="auto"/>
        <w:bottom w:val="none" w:sz="0" w:space="0" w:color="auto"/>
        <w:right w:val="none" w:sz="0" w:space="0" w:color="auto"/>
      </w:divBdr>
    </w:div>
    <w:div w:id="980622438">
      <w:marLeft w:val="0"/>
      <w:marRight w:val="0"/>
      <w:marTop w:val="0"/>
      <w:marBottom w:val="0"/>
      <w:divBdr>
        <w:top w:val="none" w:sz="0" w:space="0" w:color="auto"/>
        <w:left w:val="none" w:sz="0" w:space="0" w:color="auto"/>
        <w:bottom w:val="none" w:sz="0" w:space="0" w:color="auto"/>
        <w:right w:val="none" w:sz="0" w:space="0" w:color="auto"/>
      </w:divBdr>
      <w:divsChild>
        <w:div w:id="1598369858">
          <w:marLeft w:val="0"/>
          <w:marRight w:val="0"/>
          <w:marTop w:val="0"/>
          <w:marBottom w:val="0"/>
          <w:divBdr>
            <w:top w:val="none" w:sz="0" w:space="0" w:color="auto"/>
            <w:left w:val="none" w:sz="0" w:space="0" w:color="auto"/>
            <w:bottom w:val="none" w:sz="0" w:space="0" w:color="auto"/>
            <w:right w:val="none" w:sz="0" w:space="0" w:color="auto"/>
          </w:divBdr>
          <w:divsChild>
            <w:div w:id="962543276">
              <w:marLeft w:val="0"/>
              <w:marRight w:val="0"/>
              <w:marTop w:val="60"/>
              <w:marBottom w:val="180"/>
              <w:divBdr>
                <w:top w:val="none" w:sz="0" w:space="0" w:color="auto"/>
                <w:left w:val="none" w:sz="0" w:space="0" w:color="auto"/>
                <w:bottom w:val="none" w:sz="0" w:space="0" w:color="auto"/>
                <w:right w:val="none" w:sz="0" w:space="0" w:color="auto"/>
              </w:divBdr>
            </w:div>
          </w:divsChild>
        </w:div>
        <w:div w:id="1803576591">
          <w:marLeft w:val="0"/>
          <w:marRight w:val="0"/>
          <w:marTop w:val="180"/>
          <w:marBottom w:val="180"/>
          <w:divBdr>
            <w:top w:val="none" w:sz="0" w:space="0" w:color="auto"/>
            <w:left w:val="none" w:sz="0" w:space="0" w:color="auto"/>
            <w:bottom w:val="none" w:sz="0" w:space="0" w:color="auto"/>
            <w:right w:val="none" w:sz="0" w:space="0" w:color="auto"/>
          </w:divBdr>
        </w:div>
        <w:div w:id="170023548">
          <w:marLeft w:val="0"/>
          <w:marRight w:val="0"/>
          <w:marTop w:val="180"/>
          <w:marBottom w:val="60"/>
          <w:divBdr>
            <w:top w:val="none" w:sz="0" w:space="0" w:color="auto"/>
            <w:left w:val="none" w:sz="0" w:space="0" w:color="auto"/>
            <w:bottom w:val="none" w:sz="0" w:space="0" w:color="auto"/>
            <w:right w:val="none" w:sz="0" w:space="0" w:color="auto"/>
          </w:divBdr>
        </w:div>
        <w:div w:id="1725790841">
          <w:marLeft w:val="0"/>
          <w:marRight w:val="0"/>
          <w:marTop w:val="60"/>
          <w:marBottom w:val="60"/>
          <w:divBdr>
            <w:top w:val="none" w:sz="0" w:space="0" w:color="auto"/>
            <w:left w:val="none" w:sz="0" w:space="0" w:color="auto"/>
            <w:bottom w:val="none" w:sz="0" w:space="0" w:color="auto"/>
            <w:right w:val="none" w:sz="0" w:space="0" w:color="auto"/>
          </w:divBdr>
          <w:divsChild>
            <w:div w:id="1956256593">
              <w:marLeft w:val="0"/>
              <w:marRight w:val="0"/>
              <w:marTop w:val="0"/>
              <w:marBottom w:val="0"/>
              <w:divBdr>
                <w:top w:val="none" w:sz="0" w:space="0" w:color="auto"/>
                <w:left w:val="none" w:sz="0" w:space="0" w:color="auto"/>
                <w:bottom w:val="none" w:sz="0" w:space="0" w:color="auto"/>
                <w:right w:val="none" w:sz="0" w:space="0" w:color="auto"/>
              </w:divBdr>
            </w:div>
            <w:div w:id="270672319">
              <w:marLeft w:val="0"/>
              <w:marRight w:val="0"/>
              <w:marTop w:val="0"/>
              <w:marBottom w:val="0"/>
              <w:divBdr>
                <w:top w:val="none" w:sz="0" w:space="0" w:color="auto"/>
                <w:left w:val="none" w:sz="0" w:space="0" w:color="auto"/>
                <w:bottom w:val="none" w:sz="0" w:space="0" w:color="auto"/>
                <w:right w:val="none" w:sz="0" w:space="0" w:color="auto"/>
              </w:divBdr>
            </w:div>
            <w:div w:id="975646414">
              <w:marLeft w:val="0"/>
              <w:marRight w:val="0"/>
              <w:marTop w:val="0"/>
              <w:marBottom w:val="0"/>
              <w:divBdr>
                <w:top w:val="none" w:sz="0" w:space="0" w:color="auto"/>
                <w:left w:val="none" w:sz="0" w:space="0" w:color="auto"/>
                <w:bottom w:val="none" w:sz="0" w:space="0" w:color="auto"/>
                <w:right w:val="none" w:sz="0" w:space="0" w:color="auto"/>
              </w:divBdr>
            </w:div>
            <w:div w:id="433477189">
              <w:marLeft w:val="0"/>
              <w:marRight w:val="0"/>
              <w:marTop w:val="0"/>
              <w:marBottom w:val="0"/>
              <w:divBdr>
                <w:top w:val="none" w:sz="0" w:space="0" w:color="auto"/>
                <w:left w:val="none" w:sz="0" w:space="0" w:color="auto"/>
                <w:bottom w:val="none" w:sz="0" w:space="0" w:color="auto"/>
                <w:right w:val="none" w:sz="0" w:space="0" w:color="auto"/>
              </w:divBdr>
            </w:div>
          </w:divsChild>
        </w:div>
        <w:div w:id="620916863">
          <w:marLeft w:val="0"/>
          <w:marRight w:val="0"/>
          <w:marTop w:val="60"/>
          <w:marBottom w:val="60"/>
          <w:divBdr>
            <w:top w:val="none" w:sz="0" w:space="0" w:color="auto"/>
            <w:left w:val="none" w:sz="0" w:space="0" w:color="auto"/>
            <w:bottom w:val="none" w:sz="0" w:space="0" w:color="auto"/>
            <w:right w:val="none" w:sz="0" w:space="0" w:color="auto"/>
          </w:divBdr>
        </w:div>
        <w:div w:id="1630936876">
          <w:marLeft w:val="0"/>
          <w:marRight w:val="0"/>
          <w:marTop w:val="60"/>
          <w:marBottom w:val="60"/>
          <w:divBdr>
            <w:top w:val="none" w:sz="0" w:space="0" w:color="auto"/>
            <w:left w:val="none" w:sz="0" w:space="0" w:color="auto"/>
            <w:bottom w:val="none" w:sz="0" w:space="0" w:color="auto"/>
            <w:right w:val="none" w:sz="0" w:space="0" w:color="auto"/>
          </w:divBdr>
        </w:div>
        <w:div w:id="1515683368">
          <w:marLeft w:val="0"/>
          <w:marRight w:val="0"/>
          <w:marTop w:val="60"/>
          <w:marBottom w:val="60"/>
          <w:divBdr>
            <w:top w:val="none" w:sz="0" w:space="0" w:color="auto"/>
            <w:left w:val="none" w:sz="0" w:space="0" w:color="auto"/>
            <w:bottom w:val="none" w:sz="0" w:space="0" w:color="auto"/>
            <w:right w:val="none" w:sz="0" w:space="0" w:color="auto"/>
          </w:divBdr>
        </w:div>
        <w:div w:id="2097439116">
          <w:marLeft w:val="0"/>
          <w:marRight w:val="0"/>
          <w:marTop w:val="60"/>
          <w:marBottom w:val="60"/>
          <w:divBdr>
            <w:top w:val="none" w:sz="0" w:space="0" w:color="auto"/>
            <w:left w:val="none" w:sz="0" w:space="0" w:color="auto"/>
            <w:bottom w:val="none" w:sz="0" w:space="0" w:color="auto"/>
            <w:right w:val="none" w:sz="0" w:space="0" w:color="auto"/>
          </w:divBdr>
        </w:div>
        <w:div w:id="1746101292">
          <w:marLeft w:val="0"/>
          <w:marRight w:val="0"/>
          <w:marTop w:val="60"/>
          <w:marBottom w:val="60"/>
          <w:divBdr>
            <w:top w:val="none" w:sz="0" w:space="0" w:color="auto"/>
            <w:left w:val="none" w:sz="0" w:space="0" w:color="auto"/>
            <w:bottom w:val="none" w:sz="0" w:space="0" w:color="auto"/>
            <w:right w:val="none" w:sz="0" w:space="0" w:color="auto"/>
          </w:divBdr>
        </w:div>
        <w:div w:id="350185345">
          <w:marLeft w:val="0"/>
          <w:marRight w:val="0"/>
          <w:marTop w:val="180"/>
          <w:marBottom w:val="180"/>
          <w:divBdr>
            <w:top w:val="none" w:sz="0" w:space="0" w:color="auto"/>
            <w:left w:val="none" w:sz="0" w:space="0" w:color="auto"/>
            <w:bottom w:val="none" w:sz="0" w:space="0" w:color="auto"/>
            <w:right w:val="none" w:sz="0" w:space="0" w:color="auto"/>
          </w:divBdr>
        </w:div>
        <w:div w:id="1887446834">
          <w:marLeft w:val="0"/>
          <w:marRight w:val="0"/>
          <w:marTop w:val="180"/>
          <w:marBottom w:val="180"/>
          <w:divBdr>
            <w:top w:val="none" w:sz="0" w:space="0" w:color="auto"/>
            <w:left w:val="none" w:sz="0" w:space="0" w:color="auto"/>
            <w:bottom w:val="none" w:sz="0" w:space="0" w:color="auto"/>
            <w:right w:val="none" w:sz="0" w:space="0" w:color="auto"/>
          </w:divBdr>
        </w:div>
        <w:div w:id="1279025126">
          <w:marLeft w:val="0"/>
          <w:marRight w:val="0"/>
          <w:marTop w:val="180"/>
          <w:marBottom w:val="180"/>
          <w:divBdr>
            <w:top w:val="none" w:sz="0" w:space="0" w:color="auto"/>
            <w:left w:val="none" w:sz="0" w:space="0" w:color="auto"/>
            <w:bottom w:val="none" w:sz="0" w:space="0" w:color="auto"/>
            <w:right w:val="none" w:sz="0" w:space="0" w:color="auto"/>
          </w:divBdr>
        </w:div>
        <w:div w:id="496072963">
          <w:marLeft w:val="0"/>
          <w:marRight w:val="0"/>
          <w:marTop w:val="180"/>
          <w:marBottom w:val="180"/>
          <w:divBdr>
            <w:top w:val="none" w:sz="0" w:space="0" w:color="auto"/>
            <w:left w:val="none" w:sz="0" w:space="0" w:color="auto"/>
            <w:bottom w:val="none" w:sz="0" w:space="0" w:color="auto"/>
            <w:right w:val="none" w:sz="0" w:space="0" w:color="auto"/>
          </w:divBdr>
        </w:div>
        <w:div w:id="578713480">
          <w:marLeft w:val="0"/>
          <w:marRight w:val="0"/>
          <w:marTop w:val="0"/>
          <w:marBottom w:val="0"/>
          <w:divBdr>
            <w:top w:val="none" w:sz="0" w:space="0" w:color="auto"/>
            <w:left w:val="none" w:sz="0" w:space="0" w:color="auto"/>
            <w:bottom w:val="none" w:sz="0" w:space="0" w:color="auto"/>
            <w:right w:val="none" w:sz="0" w:space="0" w:color="auto"/>
          </w:divBdr>
          <w:divsChild>
            <w:div w:id="233007743">
              <w:marLeft w:val="0"/>
              <w:marRight w:val="0"/>
              <w:marTop w:val="0"/>
              <w:marBottom w:val="0"/>
              <w:divBdr>
                <w:top w:val="none" w:sz="0" w:space="0" w:color="auto"/>
                <w:left w:val="none" w:sz="0" w:space="0" w:color="auto"/>
                <w:bottom w:val="none" w:sz="0" w:space="0" w:color="auto"/>
                <w:right w:val="none" w:sz="0" w:space="0" w:color="auto"/>
              </w:divBdr>
              <w:divsChild>
                <w:div w:id="82702096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981345840">
      <w:marLeft w:val="0"/>
      <w:marRight w:val="0"/>
      <w:marTop w:val="180"/>
      <w:marBottom w:val="180"/>
      <w:divBdr>
        <w:top w:val="none" w:sz="0" w:space="0" w:color="auto"/>
        <w:left w:val="none" w:sz="0" w:space="0" w:color="auto"/>
        <w:bottom w:val="none" w:sz="0" w:space="0" w:color="auto"/>
        <w:right w:val="none" w:sz="0" w:space="0" w:color="auto"/>
      </w:divBdr>
    </w:div>
    <w:div w:id="984628814">
      <w:marLeft w:val="0"/>
      <w:marRight w:val="0"/>
      <w:marTop w:val="180"/>
      <w:marBottom w:val="180"/>
      <w:divBdr>
        <w:top w:val="none" w:sz="0" w:space="0" w:color="auto"/>
        <w:left w:val="none" w:sz="0" w:space="0" w:color="auto"/>
        <w:bottom w:val="none" w:sz="0" w:space="0" w:color="auto"/>
        <w:right w:val="none" w:sz="0" w:space="0" w:color="auto"/>
      </w:divBdr>
    </w:div>
    <w:div w:id="985086153">
      <w:marLeft w:val="0"/>
      <w:marRight w:val="0"/>
      <w:marTop w:val="180"/>
      <w:marBottom w:val="180"/>
      <w:divBdr>
        <w:top w:val="none" w:sz="0" w:space="0" w:color="auto"/>
        <w:left w:val="none" w:sz="0" w:space="0" w:color="auto"/>
        <w:bottom w:val="none" w:sz="0" w:space="0" w:color="auto"/>
        <w:right w:val="none" w:sz="0" w:space="0" w:color="auto"/>
      </w:divBdr>
    </w:div>
    <w:div w:id="985204077">
      <w:marLeft w:val="0"/>
      <w:marRight w:val="0"/>
      <w:marTop w:val="0"/>
      <w:marBottom w:val="0"/>
      <w:divBdr>
        <w:top w:val="none" w:sz="0" w:space="0" w:color="auto"/>
        <w:left w:val="none" w:sz="0" w:space="0" w:color="auto"/>
        <w:bottom w:val="none" w:sz="0" w:space="0" w:color="auto"/>
        <w:right w:val="none" w:sz="0" w:space="0" w:color="auto"/>
      </w:divBdr>
      <w:divsChild>
        <w:div w:id="1869638844">
          <w:marLeft w:val="0"/>
          <w:marRight w:val="0"/>
          <w:marTop w:val="0"/>
          <w:marBottom w:val="180"/>
          <w:divBdr>
            <w:top w:val="none" w:sz="0" w:space="0" w:color="auto"/>
            <w:left w:val="none" w:sz="0" w:space="0" w:color="auto"/>
            <w:bottom w:val="none" w:sz="0" w:space="0" w:color="auto"/>
            <w:right w:val="none" w:sz="0" w:space="0" w:color="auto"/>
          </w:divBdr>
        </w:div>
        <w:div w:id="284117017">
          <w:marLeft w:val="0"/>
          <w:marRight w:val="0"/>
          <w:marTop w:val="0"/>
          <w:marBottom w:val="180"/>
          <w:divBdr>
            <w:top w:val="none" w:sz="0" w:space="0" w:color="auto"/>
            <w:left w:val="none" w:sz="0" w:space="0" w:color="auto"/>
            <w:bottom w:val="none" w:sz="0" w:space="0" w:color="auto"/>
            <w:right w:val="none" w:sz="0" w:space="0" w:color="auto"/>
          </w:divBdr>
        </w:div>
        <w:div w:id="229846751">
          <w:marLeft w:val="0"/>
          <w:marRight w:val="0"/>
          <w:marTop w:val="0"/>
          <w:marBottom w:val="180"/>
          <w:divBdr>
            <w:top w:val="none" w:sz="0" w:space="0" w:color="auto"/>
            <w:left w:val="none" w:sz="0" w:space="0" w:color="auto"/>
            <w:bottom w:val="none" w:sz="0" w:space="0" w:color="auto"/>
            <w:right w:val="none" w:sz="0" w:space="0" w:color="auto"/>
          </w:divBdr>
        </w:div>
      </w:divsChild>
    </w:div>
    <w:div w:id="985820930">
      <w:marLeft w:val="0"/>
      <w:marRight w:val="0"/>
      <w:marTop w:val="180"/>
      <w:marBottom w:val="180"/>
      <w:divBdr>
        <w:top w:val="none" w:sz="0" w:space="0" w:color="auto"/>
        <w:left w:val="none" w:sz="0" w:space="0" w:color="auto"/>
        <w:bottom w:val="none" w:sz="0" w:space="0" w:color="auto"/>
        <w:right w:val="none" w:sz="0" w:space="0" w:color="auto"/>
      </w:divBdr>
    </w:div>
    <w:div w:id="986397424">
      <w:marLeft w:val="0"/>
      <w:marRight w:val="0"/>
      <w:marTop w:val="0"/>
      <w:marBottom w:val="0"/>
      <w:divBdr>
        <w:top w:val="none" w:sz="0" w:space="0" w:color="auto"/>
        <w:left w:val="none" w:sz="0" w:space="0" w:color="auto"/>
        <w:bottom w:val="none" w:sz="0" w:space="0" w:color="auto"/>
        <w:right w:val="none" w:sz="0" w:space="0" w:color="auto"/>
      </w:divBdr>
      <w:divsChild>
        <w:div w:id="1568958216">
          <w:marLeft w:val="0"/>
          <w:marRight w:val="0"/>
          <w:marTop w:val="0"/>
          <w:marBottom w:val="0"/>
          <w:divBdr>
            <w:top w:val="none" w:sz="0" w:space="0" w:color="auto"/>
            <w:left w:val="none" w:sz="0" w:space="0" w:color="auto"/>
            <w:bottom w:val="none" w:sz="0" w:space="0" w:color="auto"/>
            <w:right w:val="none" w:sz="0" w:space="0" w:color="auto"/>
          </w:divBdr>
          <w:divsChild>
            <w:div w:id="169445514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86664022">
      <w:marLeft w:val="0"/>
      <w:marRight w:val="0"/>
      <w:marTop w:val="0"/>
      <w:marBottom w:val="0"/>
      <w:divBdr>
        <w:top w:val="none" w:sz="0" w:space="0" w:color="auto"/>
        <w:left w:val="none" w:sz="0" w:space="0" w:color="auto"/>
        <w:bottom w:val="none" w:sz="0" w:space="0" w:color="auto"/>
        <w:right w:val="none" w:sz="0" w:space="0" w:color="auto"/>
      </w:divBdr>
    </w:div>
    <w:div w:id="986738232">
      <w:marLeft w:val="0"/>
      <w:marRight w:val="0"/>
      <w:marTop w:val="180"/>
      <w:marBottom w:val="180"/>
      <w:divBdr>
        <w:top w:val="none" w:sz="0" w:space="0" w:color="auto"/>
        <w:left w:val="none" w:sz="0" w:space="0" w:color="auto"/>
        <w:bottom w:val="none" w:sz="0" w:space="0" w:color="auto"/>
        <w:right w:val="none" w:sz="0" w:space="0" w:color="auto"/>
      </w:divBdr>
    </w:div>
    <w:div w:id="988243116">
      <w:marLeft w:val="0"/>
      <w:marRight w:val="0"/>
      <w:marTop w:val="180"/>
      <w:marBottom w:val="180"/>
      <w:divBdr>
        <w:top w:val="none" w:sz="0" w:space="0" w:color="auto"/>
        <w:left w:val="none" w:sz="0" w:space="0" w:color="auto"/>
        <w:bottom w:val="none" w:sz="0" w:space="0" w:color="auto"/>
        <w:right w:val="none" w:sz="0" w:space="0" w:color="auto"/>
      </w:divBdr>
    </w:div>
    <w:div w:id="990018223">
      <w:marLeft w:val="0"/>
      <w:marRight w:val="0"/>
      <w:marTop w:val="0"/>
      <w:marBottom w:val="60"/>
      <w:divBdr>
        <w:top w:val="none" w:sz="0" w:space="0" w:color="auto"/>
        <w:left w:val="none" w:sz="0" w:space="0" w:color="auto"/>
        <w:bottom w:val="none" w:sz="0" w:space="0" w:color="auto"/>
        <w:right w:val="none" w:sz="0" w:space="0" w:color="auto"/>
      </w:divBdr>
    </w:div>
    <w:div w:id="991526500">
      <w:marLeft w:val="0"/>
      <w:marRight w:val="0"/>
      <w:marTop w:val="180"/>
      <w:marBottom w:val="180"/>
      <w:divBdr>
        <w:top w:val="none" w:sz="0" w:space="0" w:color="auto"/>
        <w:left w:val="none" w:sz="0" w:space="0" w:color="auto"/>
        <w:bottom w:val="none" w:sz="0" w:space="0" w:color="auto"/>
        <w:right w:val="none" w:sz="0" w:space="0" w:color="auto"/>
      </w:divBdr>
    </w:div>
    <w:div w:id="991981103">
      <w:marLeft w:val="0"/>
      <w:marRight w:val="0"/>
      <w:marTop w:val="180"/>
      <w:marBottom w:val="180"/>
      <w:divBdr>
        <w:top w:val="none" w:sz="0" w:space="0" w:color="auto"/>
        <w:left w:val="none" w:sz="0" w:space="0" w:color="auto"/>
        <w:bottom w:val="none" w:sz="0" w:space="0" w:color="auto"/>
        <w:right w:val="none" w:sz="0" w:space="0" w:color="auto"/>
      </w:divBdr>
    </w:div>
    <w:div w:id="992568487">
      <w:marLeft w:val="0"/>
      <w:marRight w:val="0"/>
      <w:marTop w:val="180"/>
      <w:marBottom w:val="180"/>
      <w:divBdr>
        <w:top w:val="none" w:sz="0" w:space="0" w:color="auto"/>
        <w:left w:val="none" w:sz="0" w:space="0" w:color="auto"/>
        <w:bottom w:val="none" w:sz="0" w:space="0" w:color="auto"/>
        <w:right w:val="none" w:sz="0" w:space="0" w:color="auto"/>
      </w:divBdr>
    </w:div>
    <w:div w:id="992760731">
      <w:marLeft w:val="0"/>
      <w:marRight w:val="0"/>
      <w:marTop w:val="0"/>
      <w:marBottom w:val="0"/>
      <w:divBdr>
        <w:top w:val="none" w:sz="0" w:space="0" w:color="auto"/>
        <w:left w:val="none" w:sz="0" w:space="0" w:color="auto"/>
        <w:bottom w:val="none" w:sz="0" w:space="0" w:color="auto"/>
        <w:right w:val="none" w:sz="0" w:space="0" w:color="auto"/>
      </w:divBdr>
      <w:divsChild>
        <w:div w:id="62605725">
          <w:marLeft w:val="0"/>
          <w:marRight w:val="0"/>
          <w:marTop w:val="0"/>
          <w:marBottom w:val="0"/>
          <w:divBdr>
            <w:top w:val="none" w:sz="0" w:space="0" w:color="auto"/>
            <w:left w:val="none" w:sz="0" w:space="0" w:color="auto"/>
            <w:bottom w:val="none" w:sz="0" w:space="0" w:color="auto"/>
            <w:right w:val="none" w:sz="0" w:space="0" w:color="auto"/>
          </w:divBdr>
          <w:divsChild>
            <w:div w:id="67091206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93220338">
      <w:marLeft w:val="0"/>
      <w:marRight w:val="0"/>
      <w:marTop w:val="180"/>
      <w:marBottom w:val="60"/>
      <w:divBdr>
        <w:top w:val="none" w:sz="0" w:space="0" w:color="auto"/>
        <w:left w:val="none" w:sz="0" w:space="0" w:color="auto"/>
        <w:bottom w:val="none" w:sz="0" w:space="0" w:color="auto"/>
        <w:right w:val="none" w:sz="0" w:space="0" w:color="auto"/>
      </w:divBdr>
    </w:div>
    <w:div w:id="993415741">
      <w:marLeft w:val="0"/>
      <w:marRight w:val="0"/>
      <w:marTop w:val="180"/>
      <w:marBottom w:val="180"/>
      <w:divBdr>
        <w:top w:val="none" w:sz="0" w:space="0" w:color="auto"/>
        <w:left w:val="none" w:sz="0" w:space="0" w:color="auto"/>
        <w:bottom w:val="none" w:sz="0" w:space="0" w:color="auto"/>
        <w:right w:val="none" w:sz="0" w:space="0" w:color="auto"/>
      </w:divBdr>
    </w:div>
    <w:div w:id="994258411">
      <w:marLeft w:val="0"/>
      <w:marRight w:val="0"/>
      <w:marTop w:val="180"/>
      <w:marBottom w:val="180"/>
      <w:divBdr>
        <w:top w:val="none" w:sz="0" w:space="0" w:color="auto"/>
        <w:left w:val="none" w:sz="0" w:space="0" w:color="auto"/>
        <w:bottom w:val="none" w:sz="0" w:space="0" w:color="auto"/>
        <w:right w:val="none" w:sz="0" w:space="0" w:color="auto"/>
      </w:divBdr>
    </w:div>
    <w:div w:id="995035811">
      <w:marLeft w:val="0"/>
      <w:marRight w:val="0"/>
      <w:marTop w:val="180"/>
      <w:marBottom w:val="60"/>
      <w:divBdr>
        <w:top w:val="none" w:sz="0" w:space="0" w:color="auto"/>
        <w:left w:val="none" w:sz="0" w:space="0" w:color="auto"/>
        <w:bottom w:val="none" w:sz="0" w:space="0" w:color="auto"/>
        <w:right w:val="none" w:sz="0" w:space="0" w:color="auto"/>
      </w:divBdr>
      <w:divsChild>
        <w:div w:id="761101031">
          <w:marLeft w:val="0"/>
          <w:marRight w:val="0"/>
          <w:marTop w:val="0"/>
          <w:marBottom w:val="0"/>
          <w:divBdr>
            <w:top w:val="none" w:sz="0" w:space="0" w:color="auto"/>
            <w:left w:val="none" w:sz="0" w:space="0" w:color="auto"/>
            <w:bottom w:val="none" w:sz="0" w:space="0" w:color="auto"/>
            <w:right w:val="none" w:sz="0" w:space="0" w:color="auto"/>
          </w:divBdr>
        </w:div>
        <w:div w:id="531112029">
          <w:marLeft w:val="0"/>
          <w:marRight w:val="0"/>
          <w:marTop w:val="0"/>
          <w:marBottom w:val="0"/>
          <w:divBdr>
            <w:top w:val="none" w:sz="0" w:space="0" w:color="auto"/>
            <w:left w:val="none" w:sz="0" w:space="0" w:color="auto"/>
            <w:bottom w:val="none" w:sz="0" w:space="0" w:color="auto"/>
            <w:right w:val="none" w:sz="0" w:space="0" w:color="auto"/>
          </w:divBdr>
        </w:div>
        <w:div w:id="579952678">
          <w:marLeft w:val="0"/>
          <w:marRight w:val="0"/>
          <w:marTop w:val="0"/>
          <w:marBottom w:val="0"/>
          <w:divBdr>
            <w:top w:val="none" w:sz="0" w:space="0" w:color="auto"/>
            <w:left w:val="none" w:sz="0" w:space="0" w:color="auto"/>
            <w:bottom w:val="none" w:sz="0" w:space="0" w:color="auto"/>
            <w:right w:val="none" w:sz="0" w:space="0" w:color="auto"/>
          </w:divBdr>
        </w:div>
        <w:div w:id="1068764563">
          <w:marLeft w:val="0"/>
          <w:marRight w:val="0"/>
          <w:marTop w:val="0"/>
          <w:marBottom w:val="0"/>
          <w:divBdr>
            <w:top w:val="none" w:sz="0" w:space="0" w:color="auto"/>
            <w:left w:val="none" w:sz="0" w:space="0" w:color="auto"/>
            <w:bottom w:val="none" w:sz="0" w:space="0" w:color="auto"/>
            <w:right w:val="none" w:sz="0" w:space="0" w:color="auto"/>
          </w:divBdr>
        </w:div>
        <w:div w:id="1254165176">
          <w:marLeft w:val="0"/>
          <w:marRight w:val="0"/>
          <w:marTop w:val="0"/>
          <w:marBottom w:val="0"/>
          <w:divBdr>
            <w:top w:val="none" w:sz="0" w:space="0" w:color="auto"/>
            <w:left w:val="none" w:sz="0" w:space="0" w:color="auto"/>
            <w:bottom w:val="none" w:sz="0" w:space="0" w:color="auto"/>
            <w:right w:val="none" w:sz="0" w:space="0" w:color="auto"/>
          </w:divBdr>
        </w:div>
        <w:div w:id="927350884">
          <w:marLeft w:val="0"/>
          <w:marRight w:val="0"/>
          <w:marTop w:val="0"/>
          <w:marBottom w:val="0"/>
          <w:divBdr>
            <w:top w:val="none" w:sz="0" w:space="0" w:color="auto"/>
            <w:left w:val="none" w:sz="0" w:space="0" w:color="auto"/>
            <w:bottom w:val="none" w:sz="0" w:space="0" w:color="auto"/>
            <w:right w:val="none" w:sz="0" w:space="0" w:color="auto"/>
          </w:divBdr>
        </w:div>
        <w:div w:id="1411736487">
          <w:marLeft w:val="0"/>
          <w:marRight w:val="0"/>
          <w:marTop w:val="0"/>
          <w:marBottom w:val="0"/>
          <w:divBdr>
            <w:top w:val="none" w:sz="0" w:space="0" w:color="auto"/>
            <w:left w:val="none" w:sz="0" w:space="0" w:color="auto"/>
            <w:bottom w:val="none" w:sz="0" w:space="0" w:color="auto"/>
            <w:right w:val="none" w:sz="0" w:space="0" w:color="auto"/>
          </w:divBdr>
        </w:div>
        <w:div w:id="601497271">
          <w:marLeft w:val="0"/>
          <w:marRight w:val="0"/>
          <w:marTop w:val="0"/>
          <w:marBottom w:val="0"/>
          <w:divBdr>
            <w:top w:val="none" w:sz="0" w:space="0" w:color="auto"/>
            <w:left w:val="none" w:sz="0" w:space="0" w:color="auto"/>
            <w:bottom w:val="none" w:sz="0" w:space="0" w:color="auto"/>
            <w:right w:val="none" w:sz="0" w:space="0" w:color="auto"/>
          </w:divBdr>
        </w:div>
      </w:divsChild>
    </w:div>
    <w:div w:id="996954354">
      <w:marLeft w:val="0"/>
      <w:marRight w:val="0"/>
      <w:marTop w:val="180"/>
      <w:marBottom w:val="0"/>
      <w:divBdr>
        <w:top w:val="none" w:sz="0" w:space="0" w:color="auto"/>
        <w:left w:val="none" w:sz="0" w:space="0" w:color="auto"/>
        <w:bottom w:val="none" w:sz="0" w:space="0" w:color="auto"/>
        <w:right w:val="none" w:sz="0" w:space="0" w:color="auto"/>
      </w:divBdr>
    </w:div>
    <w:div w:id="997535121">
      <w:marLeft w:val="0"/>
      <w:marRight w:val="0"/>
      <w:marTop w:val="180"/>
      <w:marBottom w:val="180"/>
      <w:divBdr>
        <w:top w:val="none" w:sz="0" w:space="0" w:color="auto"/>
        <w:left w:val="none" w:sz="0" w:space="0" w:color="auto"/>
        <w:bottom w:val="none" w:sz="0" w:space="0" w:color="auto"/>
        <w:right w:val="none" w:sz="0" w:space="0" w:color="auto"/>
      </w:divBdr>
    </w:div>
    <w:div w:id="998457107">
      <w:marLeft w:val="0"/>
      <w:marRight w:val="0"/>
      <w:marTop w:val="180"/>
      <w:marBottom w:val="180"/>
      <w:divBdr>
        <w:top w:val="none" w:sz="0" w:space="0" w:color="auto"/>
        <w:left w:val="none" w:sz="0" w:space="0" w:color="auto"/>
        <w:bottom w:val="none" w:sz="0" w:space="0" w:color="auto"/>
        <w:right w:val="none" w:sz="0" w:space="0" w:color="auto"/>
      </w:divBdr>
    </w:div>
    <w:div w:id="998726973">
      <w:marLeft w:val="0"/>
      <w:marRight w:val="0"/>
      <w:marTop w:val="180"/>
      <w:marBottom w:val="180"/>
      <w:divBdr>
        <w:top w:val="none" w:sz="0" w:space="0" w:color="auto"/>
        <w:left w:val="none" w:sz="0" w:space="0" w:color="auto"/>
        <w:bottom w:val="none" w:sz="0" w:space="0" w:color="auto"/>
        <w:right w:val="none" w:sz="0" w:space="0" w:color="auto"/>
      </w:divBdr>
    </w:div>
    <w:div w:id="998850765">
      <w:marLeft w:val="0"/>
      <w:marRight w:val="0"/>
      <w:marTop w:val="0"/>
      <w:marBottom w:val="0"/>
      <w:divBdr>
        <w:top w:val="none" w:sz="0" w:space="0" w:color="auto"/>
        <w:left w:val="none" w:sz="0" w:space="0" w:color="auto"/>
        <w:bottom w:val="none" w:sz="0" w:space="0" w:color="auto"/>
        <w:right w:val="none" w:sz="0" w:space="0" w:color="auto"/>
      </w:divBdr>
      <w:divsChild>
        <w:div w:id="79911787">
          <w:marLeft w:val="0"/>
          <w:marRight w:val="0"/>
          <w:marTop w:val="0"/>
          <w:marBottom w:val="0"/>
          <w:divBdr>
            <w:top w:val="none" w:sz="0" w:space="0" w:color="auto"/>
            <w:left w:val="none" w:sz="0" w:space="0" w:color="auto"/>
            <w:bottom w:val="none" w:sz="0" w:space="0" w:color="auto"/>
            <w:right w:val="none" w:sz="0" w:space="0" w:color="auto"/>
          </w:divBdr>
          <w:divsChild>
            <w:div w:id="157077203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98851947">
      <w:marLeft w:val="0"/>
      <w:marRight w:val="0"/>
      <w:marTop w:val="180"/>
      <w:marBottom w:val="180"/>
      <w:divBdr>
        <w:top w:val="none" w:sz="0" w:space="0" w:color="auto"/>
        <w:left w:val="none" w:sz="0" w:space="0" w:color="auto"/>
        <w:bottom w:val="none" w:sz="0" w:space="0" w:color="auto"/>
        <w:right w:val="none" w:sz="0" w:space="0" w:color="auto"/>
      </w:divBdr>
    </w:div>
    <w:div w:id="999887043">
      <w:marLeft w:val="0"/>
      <w:marRight w:val="0"/>
      <w:marTop w:val="0"/>
      <w:marBottom w:val="0"/>
      <w:divBdr>
        <w:top w:val="none" w:sz="0" w:space="0" w:color="auto"/>
        <w:left w:val="none" w:sz="0" w:space="0" w:color="auto"/>
        <w:bottom w:val="none" w:sz="0" w:space="0" w:color="auto"/>
        <w:right w:val="none" w:sz="0" w:space="0" w:color="auto"/>
      </w:divBdr>
      <w:divsChild>
        <w:div w:id="1314142003">
          <w:marLeft w:val="0"/>
          <w:marRight w:val="0"/>
          <w:marTop w:val="0"/>
          <w:marBottom w:val="0"/>
          <w:divBdr>
            <w:top w:val="none" w:sz="0" w:space="0" w:color="auto"/>
            <w:left w:val="none" w:sz="0" w:space="0" w:color="auto"/>
            <w:bottom w:val="none" w:sz="0" w:space="0" w:color="auto"/>
            <w:right w:val="none" w:sz="0" w:space="0" w:color="auto"/>
          </w:divBdr>
          <w:divsChild>
            <w:div w:id="2761810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01009107">
      <w:marLeft w:val="0"/>
      <w:marRight w:val="0"/>
      <w:marTop w:val="180"/>
      <w:marBottom w:val="180"/>
      <w:divBdr>
        <w:top w:val="none" w:sz="0" w:space="0" w:color="auto"/>
        <w:left w:val="none" w:sz="0" w:space="0" w:color="auto"/>
        <w:bottom w:val="none" w:sz="0" w:space="0" w:color="auto"/>
        <w:right w:val="none" w:sz="0" w:space="0" w:color="auto"/>
      </w:divBdr>
    </w:div>
    <w:div w:id="1001198210">
      <w:marLeft w:val="0"/>
      <w:marRight w:val="0"/>
      <w:marTop w:val="180"/>
      <w:marBottom w:val="180"/>
      <w:divBdr>
        <w:top w:val="none" w:sz="0" w:space="0" w:color="auto"/>
        <w:left w:val="none" w:sz="0" w:space="0" w:color="auto"/>
        <w:bottom w:val="none" w:sz="0" w:space="0" w:color="auto"/>
        <w:right w:val="none" w:sz="0" w:space="0" w:color="auto"/>
      </w:divBdr>
    </w:div>
    <w:div w:id="1001784399">
      <w:marLeft w:val="0"/>
      <w:marRight w:val="0"/>
      <w:marTop w:val="60"/>
      <w:marBottom w:val="60"/>
      <w:divBdr>
        <w:top w:val="none" w:sz="0" w:space="0" w:color="auto"/>
        <w:left w:val="none" w:sz="0" w:space="0" w:color="auto"/>
        <w:bottom w:val="none" w:sz="0" w:space="0" w:color="auto"/>
        <w:right w:val="none" w:sz="0" w:space="0" w:color="auto"/>
      </w:divBdr>
    </w:div>
    <w:div w:id="1002663224">
      <w:marLeft w:val="0"/>
      <w:marRight w:val="0"/>
      <w:marTop w:val="180"/>
      <w:marBottom w:val="180"/>
      <w:divBdr>
        <w:top w:val="none" w:sz="0" w:space="0" w:color="auto"/>
        <w:left w:val="none" w:sz="0" w:space="0" w:color="auto"/>
        <w:bottom w:val="none" w:sz="0" w:space="0" w:color="auto"/>
        <w:right w:val="none" w:sz="0" w:space="0" w:color="auto"/>
      </w:divBdr>
    </w:div>
    <w:div w:id="1002973532">
      <w:marLeft w:val="0"/>
      <w:marRight w:val="0"/>
      <w:marTop w:val="0"/>
      <w:marBottom w:val="0"/>
      <w:divBdr>
        <w:top w:val="none" w:sz="0" w:space="0" w:color="auto"/>
        <w:left w:val="none" w:sz="0" w:space="0" w:color="auto"/>
        <w:bottom w:val="none" w:sz="0" w:space="0" w:color="auto"/>
        <w:right w:val="none" w:sz="0" w:space="0" w:color="auto"/>
      </w:divBdr>
      <w:divsChild>
        <w:div w:id="1533154303">
          <w:marLeft w:val="0"/>
          <w:marRight w:val="0"/>
          <w:marTop w:val="180"/>
          <w:marBottom w:val="180"/>
          <w:divBdr>
            <w:top w:val="none" w:sz="0" w:space="0" w:color="auto"/>
            <w:left w:val="none" w:sz="0" w:space="0" w:color="auto"/>
            <w:bottom w:val="none" w:sz="0" w:space="0" w:color="auto"/>
            <w:right w:val="none" w:sz="0" w:space="0" w:color="auto"/>
          </w:divBdr>
        </w:div>
      </w:divsChild>
    </w:div>
    <w:div w:id="1003313220">
      <w:marLeft w:val="0"/>
      <w:marRight w:val="0"/>
      <w:marTop w:val="180"/>
      <w:marBottom w:val="180"/>
      <w:divBdr>
        <w:top w:val="none" w:sz="0" w:space="0" w:color="auto"/>
        <w:left w:val="none" w:sz="0" w:space="0" w:color="auto"/>
        <w:bottom w:val="none" w:sz="0" w:space="0" w:color="auto"/>
        <w:right w:val="none" w:sz="0" w:space="0" w:color="auto"/>
      </w:divBdr>
    </w:div>
    <w:div w:id="1003316738">
      <w:marLeft w:val="0"/>
      <w:marRight w:val="0"/>
      <w:marTop w:val="180"/>
      <w:marBottom w:val="180"/>
      <w:divBdr>
        <w:top w:val="none" w:sz="0" w:space="0" w:color="auto"/>
        <w:left w:val="none" w:sz="0" w:space="0" w:color="auto"/>
        <w:bottom w:val="none" w:sz="0" w:space="0" w:color="auto"/>
        <w:right w:val="none" w:sz="0" w:space="0" w:color="auto"/>
      </w:divBdr>
    </w:div>
    <w:div w:id="1003439141">
      <w:marLeft w:val="0"/>
      <w:marRight w:val="0"/>
      <w:marTop w:val="180"/>
      <w:marBottom w:val="180"/>
      <w:divBdr>
        <w:top w:val="none" w:sz="0" w:space="0" w:color="auto"/>
        <w:left w:val="none" w:sz="0" w:space="0" w:color="auto"/>
        <w:bottom w:val="none" w:sz="0" w:space="0" w:color="auto"/>
        <w:right w:val="none" w:sz="0" w:space="0" w:color="auto"/>
      </w:divBdr>
    </w:div>
    <w:div w:id="1003700891">
      <w:marLeft w:val="0"/>
      <w:marRight w:val="0"/>
      <w:marTop w:val="180"/>
      <w:marBottom w:val="180"/>
      <w:divBdr>
        <w:top w:val="none" w:sz="0" w:space="0" w:color="auto"/>
        <w:left w:val="none" w:sz="0" w:space="0" w:color="auto"/>
        <w:bottom w:val="none" w:sz="0" w:space="0" w:color="auto"/>
        <w:right w:val="none" w:sz="0" w:space="0" w:color="auto"/>
      </w:divBdr>
    </w:div>
    <w:div w:id="1005061654">
      <w:marLeft w:val="0"/>
      <w:marRight w:val="0"/>
      <w:marTop w:val="180"/>
      <w:marBottom w:val="180"/>
      <w:divBdr>
        <w:top w:val="none" w:sz="0" w:space="0" w:color="auto"/>
        <w:left w:val="none" w:sz="0" w:space="0" w:color="auto"/>
        <w:bottom w:val="none" w:sz="0" w:space="0" w:color="auto"/>
        <w:right w:val="none" w:sz="0" w:space="0" w:color="auto"/>
      </w:divBdr>
    </w:div>
    <w:div w:id="1005203369">
      <w:marLeft w:val="0"/>
      <w:marRight w:val="0"/>
      <w:marTop w:val="180"/>
      <w:marBottom w:val="180"/>
      <w:divBdr>
        <w:top w:val="none" w:sz="0" w:space="0" w:color="auto"/>
        <w:left w:val="none" w:sz="0" w:space="0" w:color="auto"/>
        <w:bottom w:val="none" w:sz="0" w:space="0" w:color="auto"/>
        <w:right w:val="none" w:sz="0" w:space="0" w:color="auto"/>
      </w:divBdr>
    </w:div>
    <w:div w:id="1007172756">
      <w:marLeft w:val="0"/>
      <w:marRight w:val="0"/>
      <w:marTop w:val="180"/>
      <w:marBottom w:val="180"/>
      <w:divBdr>
        <w:top w:val="none" w:sz="0" w:space="0" w:color="auto"/>
        <w:left w:val="none" w:sz="0" w:space="0" w:color="auto"/>
        <w:bottom w:val="none" w:sz="0" w:space="0" w:color="auto"/>
        <w:right w:val="none" w:sz="0" w:space="0" w:color="auto"/>
      </w:divBdr>
    </w:div>
    <w:div w:id="1007635019">
      <w:marLeft w:val="0"/>
      <w:marRight w:val="0"/>
      <w:marTop w:val="180"/>
      <w:marBottom w:val="180"/>
      <w:divBdr>
        <w:top w:val="none" w:sz="0" w:space="0" w:color="auto"/>
        <w:left w:val="none" w:sz="0" w:space="0" w:color="auto"/>
        <w:bottom w:val="none" w:sz="0" w:space="0" w:color="auto"/>
        <w:right w:val="none" w:sz="0" w:space="0" w:color="auto"/>
      </w:divBdr>
    </w:div>
    <w:div w:id="1010912547">
      <w:marLeft w:val="0"/>
      <w:marRight w:val="0"/>
      <w:marTop w:val="60"/>
      <w:marBottom w:val="60"/>
      <w:divBdr>
        <w:top w:val="none" w:sz="0" w:space="0" w:color="auto"/>
        <w:left w:val="none" w:sz="0" w:space="0" w:color="auto"/>
        <w:bottom w:val="none" w:sz="0" w:space="0" w:color="auto"/>
        <w:right w:val="none" w:sz="0" w:space="0" w:color="auto"/>
      </w:divBdr>
    </w:div>
    <w:div w:id="1011681481">
      <w:marLeft w:val="0"/>
      <w:marRight w:val="0"/>
      <w:marTop w:val="60"/>
      <w:marBottom w:val="60"/>
      <w:divBdr>
        <w:top w:val="none" w:sz="0" w:space="0" w:color="auto"/>
        <w:left w:val="none" w:sz="0" w:space="0" w:color="auto"/>
        <w:bottom w:val="none" w:sz="0" w:space="0" w:color="auto"/>
        <w:right w:val="none" w:sz="0" w:space="0" w:color="auto"/>
      </w:divBdr>
    </w:div>
    <w:div w:id="1012996033">
      <w:marLeft w:val="0"/>
      <w:marRight w:val="0"/>
      <w:marTop w:val="180"/>
      <w:marBottom w:val="180"/>
      <w:divBdr>
        <w:top w:val="none" w:sz="0" w:space="0" w:color="auto"/>
        <w:left w:val="none" w:sz="0" w:space="0" w:color="auto"/>
        <w:bottom w:val="none" w:sz="0" w:space="0" w:color="auto"/>
        <w:right w:val="none" w:sz="0" w:space="0" w:color="auto"/>
      </w:divBdr>
    </w:div>
    <w:div w:id="1012996291">
      <w:marLeft w:val="0"/>
      <w:marRight w:val="0"/>
      <w:marTop w:val="180"/>
      <w:marBottom w:val="180"/>
      <w:divBdr>
        <w:top w:val="none" w:sz="0" w:space="0" w:color="auto"/>
        <w:left w:val="none" w:sz="0" w:space="0" w:color="auto"/>
        <w:bottom w:val="none" w:sz="0" w:space="0" w:color="auto"/>
        <w:right w:val="none" w:sz="0" w:space="0" w:color="auto"/>
      </w:divBdr>
    </w:div>
    <w:div w:id="1013410362">
      <w:marLeft w:val="0"/>
      <w:marRight w:val="0"/>
      <w:marTop w:val="180"/>
      <w:marBottom w:val="180"/>
      <w:divBdr>
        <w:top w:val="none" w:sz="0" w:space="0" w:color="auto"/>
        <w:left w:val="none" w:sz="0" w:space="0" w:color="auto"/>
        <w:bottom w:val="none" w:sz="0" w:space="0" w:color="auto"/>
        <w:right w:val="none" w:sz="0" w:space="0" w:color="auto"/>
      </w:divBdr>
    </w:div>
    <w:div w:id="1013990211">
      <w:marLeft w:val="0"/>
      <w:marRight w:val="0"/>
      <w:marTop w:val="180"/>
      <w:marBottom w:val="60"/>
      <w:divBdr>
        <w:top w:val="none" w:sz="0" w:space="0" w:color="auto"/>
        <w:left w:val="none" w:sz="0" w:space="0" w:color="auto"/>
        <w:bottom w:val="none" w:sz="0" w:space="0" w:color="auto"/>
        <w:right w:val="none" w:sz="0" w:space="0" w:color="auto"/>
      </w:divBdr>
    </w:div>
    <w:div w:id="1013993461">
      <w:marLeft w:val="0"/>
      <w:marRight w:val="0"/>
      <w:marTop w:val="180"/>
      <w:marBottom w:val="180"/>
      <w:divBdr>
        <w:top w:val="none" w:sz="0" w:space="0" w:color="auto"/>
        <w:left w:val="none" w:sz="0" w:space="0" w:color="auto"/>
        <w:bottom w:val="none" w:sz="0" w:space="0" w:color="auto"/>
        <w:right w:val="none" w:sz="0" w:space="0" w:color="auto"/>
      </w:divBdr>
    </w:div>
    <w:div w:id="1014575898">
      <w:marLeft w:val="0"/>
      <w:marRight w:val="0"/>
      <w:marTop w:val="180"/>
      <w:marBottom w:val="180"/>
      <w:divBdr>
        <w:top w:val="none" w:sz="0" w:space="0" w:color="auto"/>
        <w:left w:val="none" w:sz="0" w:space="0" w:color="auto"/>
        <w:bottom w:val="none" w:sz="0" w:space="0" w:color="auto"/>
        <w:right w:val="none" w:sz="0" w:space="0" w:color="auto"/>
      </w:divBdr>
    </w:div>
    <w:div w:id="1014920566">
      <w:marLeft w:val="0"/>
      <w:marRight w:val="0"/>
      <w:marTop w:val="0"/>
      <w:marBottom w:val="0"/>
      <w:divBdr>
        <w:top w:val="none" w:sz="0" w:space="0" w:color="auto"/>
        <w:left w:val="none" w:sz="0" w:space="0" w:color="auto"/>
        <w:bottom w:val="none" w:sz="0" w:space="0" w:color="auto"/>
        <w:right w:val="none" w:sz="0" w:space="0" w:color="auto"/>
      </w:divBdr>
    </w:div>
    <w:div w:id="1015113269">
      <w:marLeft w:val="0"/>
      <w:marRight w:val="0"/>
      <w:marTop w:val="180"/>
      <w:marBottom w:val="180"/>
      <w:divBdr>
        <w:top w:val="none" w:sz="0" w:space="0" w:color="auto"/>
        <w:left w:val="none" w:sz="0" w:space="0" w:color="auto"/>
        <w:bottom w:val="none" w:sz="0" w:space="0" w:color="auto"/>
        <w:right w:val="none" w:sz="0" w:space="0" w:color="auto"/>
      </w:divBdr>
    </w:div>
    <w:div w:id="1017465960">
      <w:marLeft w:val="0"/>
      <w:marRight w:val="0"/>
      <w:marTop w:val="180"/>
      <w:marBottom w:val="180"/>
      <w:divBdr>
        <w:top w:val="none" w:sz="0" w:space="0" w:color="auto"/>
        <w:left w:val="none" w:sz="0" w:space="0" w:color="auto"/>
        <w:bottom w:val="none" w:sz="0" w:space="0" w:color="auto"/>
        <w:right w:val="none" w:sz="0" w:space="0" w:color="auto"/>
      </w:divBdr>
    </w:div>
    <w:div w:id="1017999289">
      <w:marLeft w:val="0"/>
      <w:marRight w:val="0"/>
      <w:marTop w:val="180"/>
      <w:marBottom w:val="180"/>
      <w:divBdr>
        <w:top w:val="none" w:sz="0" w:space="0" w:color="auto"/>
        <w:left w:val="none" w:sz="0" w:space="0" w:color="auto"/>
        <w:bottom w:val="none" w:sz="0" w:space="0" w:color="auto"/>
        <w:right w:val="none" w:sz="0" w:space="0" w:color="auto"/>
      </w:divBdr>
    </w:div>
    <w:div w:id="1018316333">
      <w:marLeft w:val="0"/>
      <w:marRight w:val="0"/>
      <w:marTop w:val="0"/>
      <w:marBottom w:val="0"/>
      <w:divBdr>
        <w:top w:val="none" w:sz="0" w:space="0" w:color="auto"/>
        <w:left w:val="none" w:sz="0" w:space="0" w:color="auto"/>
        <w:bottom w:val="none" w:sz="0" w:space="0" w:color="auto"/>
        <w:right w:val="none" w:sz="0" w:space="0" w:color="auto"/>
      </w:divBdr>
    </w:div>
    <w:div w:id="1018771264">
      <w:marLeft w:val="0"/>
      <w:marRight w:val="0"/>
      <w:marTop w:val="0"/>
      <w:marBottom w:val="0"/>
      <w:divBdr>
        <w:top w:val="none" w:sz="0" w:space="0" w:color="auto"/>
        <w:left w:val="none" w:sz="0" w:space="0" w:color="auto"/>
        <w:bottom w:val="none" w:sz="0" w:space="0" w:color="auto"/>
        <w:right w:val="none" w:sz="0" w:space="0" w:color="auto"/>
      </w:divBdr>
      <w:divsChild>
        <w:div w:id="1709143547">
          <w:marLeft w:val="0"/>
          <w:marRight w:val="0"/>
          <w:marTop w:val="60"/>
          <w:marBottom w:val="180"/>
          <w:divBdr>
            <w:top w:val="none" w:sz="0" w:space="0" w:color="auto"/>
            <w:left w:val="none" w:sz="0" w:space="0" w:color="auto"/>
            <w:bottom w:val="none" w:sz="0" w:space="0" w:color="auto"/>
            <w:right w:val="none" w:sz="0" w:space="0" w:color="auto"/>
          </w:divBdr>
        </w:div>
      </w:divsChild>
    </w:div>
    <w:div w:id="1018774920">
      <w:marLeft w:val="0"/>
      <w:marRight w:val="0"/>
      <w:marTop w:val="240"/>
      <w:marBottom w:val="180"/>
      <w:divBdr>
        <w:top w:val="none" w:sz="0" w:space="0" w:color="auto"/>
        <w:left w:val="none" w:sz="0" w:space="0" w:color="auto"/>
        <w:bottom w:val="none" w:sz="0" w:space="0" w:color="auto"/>
        <w:right w:val="none" w:sz="0" w:space="0" w:color="auto"/>
      </w:divBdr>
    </w:div>
    <w:div w:id="1020158181">
      <w:marLeft w:val="0"/>
      <w:marRight w:val="0"/>
      <w:marTop w:val="60"/>
      <w:marBottom w:val="60"/>
      <w:divBdr>
        <w:top w:val="none" w:sz="0" w:space="0" w:color="auto"/>
        <w:left w:val="none" w:sz="0" w:space="0" w:color="auto"/>
        <w:bottom w:val="none" w:sz="0" w:space="0" w:color="auto"/>
        <w:right w:val="none" w:sz="0" w:space="0" w:color="auto"/>
      </w:divBdr>
    </w:div>
    <w:div w:id="1020163759">
      <w:marLeft w:val="0"/>
      <w:marRight w:val="0"/>
      <w:marTop w:val="180"/>
      <w:marBottom w:val="180"/>
      <w:divBdr>
        <w:top w:val="none" w:sz="0" w:space="0" w:color="auto"/>
        <w:left w:val="none" w:sz="0" w:space="0" w:color="auto"/>
        <w:bottom w:val="none" w:sz="0" w:space="0" w:color="auto"/>
        <w:right w:val="none" w:sz="0" w:space="0" w:color="auto"/>
      </w:divBdr>
    </w:div>
    <w:div w:id="1022317381">
      <w:marLeft w:val="0"/>
      <w:marRight w:val="0"/>
      <w:marTop w:val="180"/>
      <w:marBottom w:val="180"/>
      <w:divBdr>
        <w:top w:val="none" w:sz="0" w:space="0" w:color="auto"/>
        <w:left w:val="none" w:sz="0" w:space="0" w:color="auto"/>
        <w:bottom w:val="none" w:sz="0" w:space="0" w:color="auto"/>
        <w:right w:val="none" w:sz="0" w:space="0" w:color="auto"/>
      </w:divBdr>
    </w:div>
    <w:div w:id="1023020243">
      <w:marLeft w:val="0"/>
      <w:marRight w:val="0"/>
      <w:marTop w:val="180"/>
      <w:marBottom w:val="180"/>
      <w:divBdr>
        <w:top w:val="none" w:sz="0" w:space="0" w:color="auto"/>
        <w:left w:val="none" w:sz="0" w:space="0" w:color="auto"/>
        <w:bottom w:val="none" w:sz="0" w:space="0" w:color="auto"/>
        <w:right w:val="none" w:sz="0" w:space="0" w:color="auto"/>
      </w:divBdr>
    </w:div>
    <w:div w:id="1023288889">
      <w:marLeft w:val="0"/>
      <w:marRight w:val="0"/>
      <w:marTop w:val="180"/>
      <w:marBottom w:val="180"/>
      <w:divBdr>
        <w:top w:val="none" w:sz="0" w:space="0" w:color="auto"/>
        <w:left w:val="none" w:sz="0" w:space="0" w:color="auto"/>
        <w:bottom w:val="none" w:sz="0" w:space="0" w:color="auto"/>
        <w:right w:val="none" w:sz="0" w:space="0" w:color="auto"/>
      </w:divBdr>
    </w:div>
    <w:div w:id="1023437763">
      <w:marLeft w:val="0"/>
      <w:marRight w:val="0"/>
      <w:marTop w:val="180"/>
      <w:marBottom w:val="180"/>
      <w:divBdr>
        <w:top w:val="none" w:sz="0" w:space="0" w:color="auto"/>
        <w:left w:val="none" w:sz="0" w:space="0" w:color="auto"/>
        <w:bottom w:val="none" w:sz="0" w:space="0" w:color="auto"/>
        <w:right w:val="none" w:sz="0" w:space="0" w:color="auto"/>
      </w:divBdr>
    </w:div>
    <w:div w:id="1023481733">
      <w:marLeft w:val="0"/>
      <w:marRight w:val="0"/>
      <w:marTop w:val="60"/>
      <w:marBottom w:val="60"/>
      <w:divBdr>
        <w:top w:val="none" w:sz="0" w:space="0" w:color="auto"/>
        <w:left w:val="none" w:sz="0" w:space="0" w:color="auto"/>
        <w:bottom w:val="none" w:sz="0" w:space="0" w:color="auto"/>
        <w:right w:val="none" w:sz="0" w:space="0" w:color="auto"/>
      </w:divBdr>
    </w:div>
    <w:div w:id="1024476603">
      <w:marLeft w:val="0"/>
      <w:marRight w:val="0"/>
      <w:marTop w:val="180"/>
      <w:marBottom w:val="180"/>
      <w:divBdr>
        <w:top w:val="none" w:sz="0" w:space="0" w:color="auto"/>
        <w:left w:val="none" w:sz="0" w:space="0" w:color="auto"/>
        <w:bottom w:val="none" w:sz="0" w:space="0" w:color="auto"/>
        <w:right w:val="none" w:sz="0" w:space="0" w:color="auto"/>
      </w:divBdr>
    </w:div>
    <w:div w:id="1026908576">
      <w:marLeft w:val="0"/>
      <w:marRight w:val="0"/>
      <w:marTop w:val="180"/>
      <w:marBottom w:val="180"/>
      <w:divBdr>
        <w:top w:val="none" w:sz="0" w:space="0" w:color="auto"/>
        <w:left w:val="none" w:sz="0" w:space="0" w:color="auto"/>
        <w:bottom w:val="none" w:sz="0" w:space="0" w:color="auto"/>
        <w:right w:val="none" w:sz="0" w:space="0" w:color="auto"/>
      </w:divBdr>
    </w:div>
    <w:div w:id="1027098587">
      <w:marLeft w:val="0"/>
      <w:marRight w:val="0"/>
      <w:marTop w:val="180"/>
      <w:marBottom w:val="180"/>
      <w:divBdr>
        <w:top w:val="none" w:sz="0" w:space="0" w:color="auto"/>
        <w:left w:val="none" w:sz="0" w:space="0" w:color="auto"/>
        <w:bottom w:val="none" w:sz="0" w:space="0" w:color="auto"/>
        <w:right w:val="none" w:sz="0" w:space="0" w:color="auto"/>
      </w:divBdr>
    </w:div>
    <w:div w:id="1027291061">
      <w:marLeft w:val="0"/>
      <w:marRight w:val="0"/>
      <w:marTop w:val="240"/>
      <w:marBottom w:val="180"/>
      <w:divBdr>
        <w:top w:val="none" w:sz="0" w:space="0" w:color="auto"/>
        <w:left w:val="none" w:sz="0" w:space="0" w:color="auto"/>
        <w:bottom w:val="none" w:sz="0" w:space="0" w:color="auto"/>
        <w:right w:val="none" w:sz="0" w:space="0" w:color="auto"/>
      </w:divBdr>
    </w:div>
    <w:div w:id="1031372666">
      <w:marLeft w:val="0"/>
      <w:marRight w:val="0"/>
      <w:marTop w:val="180"/>
      <w:marBottom w:val="180"/>
      <w:divBdr>
        <w:top w:val="none" w:sz="0" w:space="0" w:color="auto"/>
        <w:left w:val="none" w:sz="0" w:space="0" w:color="auto"/>
        <w:bottom w:val="none" w:sz="0" w:space="0" w:color="auto"/>
        <w:right w:val="none" w:sz="0" w:space="0" w:color="auto"/>
      </w:divBdr>
    </w:div>
    <w:div w:id="1031685897">
      <w:marLeft w:val="0"/>
      <w:marRight w:val="0"/>
      <w:marTop w:val="0"/>
      <w:marBottom w:val="0"/>
      <w:divBdr>
        <w:top w:val="none" w:sz="0" w:space="0" w:color="auto"/>
        <w:left w:val="none" w:sz="0" w:space="0" w:color="auto"/>
        <w:bottom w:val="none" w:sz="0" w:space="0" w:color="auto"/>
        <w:right w:val="none" w:sz="0" w:space="0" w:color="auto"/>
      </w:divBdr>
    </w:div>
    <w:div w:id="1031881552">
      <w:marLeft w:val="0"/>
      <w:marRight w:val="0"/>
      <w:marTop w:val="180"/>
      <w:marBottom w:val="180"/>
      <w:divBdr>
        <w:top w:val="none" w:sz="0" w:space="0" w:color="auto"/>
        <w:left w:val="none" w:sz="0" w:space="0" w:color="auto"/>
        <w:bottom w:val="none" w:sz="0" w:space="0" w:color="auto"/>
        <w:right w:val="none" w:sz="0" w:space="0" w:color="auto"/>
      </w:divBdr>
    </w:div>
    <w:div w:id="1032001637">
      <w:marLeft w:val="0"/>
      <w:marRight w:val="0"/>
      <w:marTop w:val="180"/>
      <w:marBottom w:val="180"/>
      <w:divBdr>
        <w:top w:val="none" w:sz="0" w:space="0" w:color="auto"/>
        <w:left w:val="none" w:sz="0" w:space="0" w:color="auto"/>
        <w:bottom w:val="none" w:sz="0" w:space="0" w:color="auto"/>
        <w:right w:val="none" w:sz="0" w:space="0" w:color="auto"/>
      </w:divBdr>
    </w:div>
    <w:div w:id="1033265341">
      <w:marLeft w:val="0"/>
      <w:marRight w:val="0"/>
      <w:marTop w:val="180"/>
      <w:marBottom w:val="180"/>
      <w:divBdr>
        <w:top w:val="none" w:sz="0" w:space="0" w:color="auto"/>
        <w:left w:val="none" w:sz="0" w:space="0" w:color="auto"/>
        <w:bottom w:val="none" w:sz="0" w:space="0" w:color="auto"/>
        <w:right w:val="none" w:sz="0" w:space="0" w:color="auto"/>
      </w:divBdr>
    </w:div>
    <w:div w:id="1033961837">
      <w:marLeft w:val="0"/>
      <w:marRight w:val="0"/>
      <w:marTop w:val="180"/>
      <w:marBottom w:val="180"/>
      <w:divBdr>
        <w:top w:val="none" w:sz="0" w:space="0" w:color="auto"/>
        <w:left w:val="none" w:sz="0" w:space="0" w:color="auto"/>
        <w:bottom w:val="none" w:sz="0" w:space="0" w:color="auto"/>
        <w:right w:val="none" w:sz="0" w:space="0" w:color="auto"/>
      </w:divBdr>
    </w:div>
    <w:div w:id="1034039228">
      <w:marLeft w:val="0"/>
      <w:marRight w:val="0"/>
      <w:marTop w:val="100"/>
      <w:marBottom w:val="180"/>
      <w:divBdr>
        <w:top w:val="none" w:sz="0" w:space="0" w:color="auto"/>
        <w:left w:val="none" w:sz="0" w:space="0" w:color="auto"/>
        <w:bottom w:val="none" w:sz="0" w:space="0" w:color="auto"/>
        <w:right w:val="none" w:sz="0" w:space="0" w:color="auto"/>
      </w:divBdr>
    </w:div>
    <w:div w:id="1034041203">
      <w:marLeft w:val="0"/>
      <w:marRight w:val="0"/>
      <w:marTop w:val="0"/>
      <w:marBottom w:val="0"/>
      <w:divBdr>
        <w:top w:val="none" w:sz="0" w:space="0" w:color="auto"/>
        <w:left w:val="none" w:sz="0" w:space="0" w:color="auto"/>
        <w:bottom w:val="none" w:sz="0" w:space="0" w:color="auto"/>
        <w:right w:val="none" w:sz="0" w:space="0" w:color="auto"/>
      </w:divBdr>
    </w:div>
    <w:div w:id="1035471581">
      <w:marLeft w:val="0"/>
      <w:marRight w:val="0"/>
      <w:marTop w:val="0"/>
      <w:marBottom w:val="0"/>
      <w:divBdr>
        <w:top w:val="none" w:sz="0" w:space="0" w:color="auto"/>
        <w:left w:val="none" w:sz="0" w:space="0" w:color="auto"/>
        <w:bottom w:val="none" w:sz="0" w:space="0" w:color="auto"/>
        <w:right w:val="none" w:sz="0" w:space="0" w:color="auto"/>
      </w:divBdr>
      <w:divsChild>
        <w:div w:id="1500998024">
          <w:marLeft w:val="0"/>
          <w:marRight w:val="0"/>
          <w:marTop w:val="60"/>
          <w:marBottom w:val="60"/>
          <w:divBdr>
            <w:top w:val="none" w:sz="0" w:space="0" w:color="auto"/>
            <w:left w:val="none" w:sz="0" w:space="0" w:color="auto"/>
            <w:bottom w:val="none" w:sz="0" w:space="0" w:color="auto"/>
            <w:right w:val="none" w:sz="0" w:space="0" w:color="auto"/>
          </w:divBdr>
        </w:div>
      </w:divsChild>
    </w:div>
    <w:div w:id="1036661861">
      <w:marLeft w:val="0"/>
      <w:marRight w:val="0"/>
      <w:marTop w:val="180"/>
      <w:marBottom w:val="180"/>
      <w:divBdr>
        <w:top w:val="none" w:sz="0" w:space="0" w:color="auto"/>
        <w:left w:val="none" w:sz="0" w:space="0" w:color="auto"/>
        <w:bottom w:val="none" w:sz="0" w:space="0" w:color="auto"/>
        <w:right w:val="none" w:sz="0" w:space="0" w:color="auto"/>
      </w:divBdr>
    </w:div>
    <w:div w:id="1037122653">
      <w:marLeft w:val="0"/>
      <w:marRight w:val="0"/>
      <w:marTop w:val="180"/>
      <w:marBottom w:val="180"/>
      <w:divBdr>
        <w:top w:val="none" w:sz="0" w:space="0" w:color="auto"/>
        <w:left w:val="none" w:sz="0" w:space="0" w:color="auto"/>
        <w:bottom w:val="none" w:sz="0" w:space="0" w:color="auto"/>
        <w:right w:val="none" w:sz="0" w:space="0" w:color="auto"/>
      </w:divBdr>
    </w:div>
    <w:div w:id="1037122747">
      <w:marLeft w:val="0"/>
      <w:marRight w:val="0"/>
      <w:marTop w:val="60"/>
      <w:marBottom w:val="60"/>
      <w:divBdr>
        <w:top w:val="none" w:sz="0" w:space="0" w:color="auto"/>
        <w:left w:val="none" w:sz="0" w:space="0" w:color="auto"/>
        <w:bottom w:val="none" w:sz="0" w:space="0" w:color="auto"/>
        <w:right w:val="none" w:sz="0" w:space="0" w:color="auto"/>
      </w:divBdr>
    </w:div>
    <w:div w:id="1037123534">
      <w:marLeft w:val="0"/>
      <w:marRight w:val="0"/>
      <w:marTop w:val="180"/>
      <w:marBottom w:val="180"/>
      <w:divBdr>
        <w:top w:val="none" w:sz="0" w:space="0" w:color="auto"/>
        <w:left w:val="none" w:sz="0" w:space="0" w:color="auto"/>
        <w:bottom w:val="none" w:sz="0" w:space="0" w:color="auto"/>
        <w:right w:val="none" w:sz="0" w:space="0" w:color="auto"/>
      </w:divBdr>
    </w:div>
    <w:div w:id="1037388216">
      <w:marLeft w:val="0"/>
      <w:marRight w:val="0"/>
      <w:marTop w:val="180"/>
      <w:marBottom w:val="180"/>
      <w:divBdr>
        <w:top w:val="none" w:sz="0" w:space="0" w:color="auto"/>
        <w:left w:val="none" w:sz="0" w:space="0" w:color="auto"/>
        <w:bottom w:val="none" w:sz="0" w:space="0" w:color="auto"/>
        <w:right w:val="none" w:sz="0" w:space="0" w:color="auto"/>
      </w:divBdr>
    </w:div>
    <w:div w:id="1039478520">
      <w:marLeft w:val="0"/>
      <w:marRight w:val="0"/>
      <w:marTop w:val="0"/>
      <w:marBottom w:val="0"/>
      <w:divBdr>
        <w:top w:val="none" w:sz="0" w:space="0" w:color="auto"/>
        <w:left w:val="none" w:sz="0" w:space="0" w:color="auto"/>
        <w:bottom w:val="none" w:sz="0" w:space="0" w:color="auto"/>
        <w:right w:val="none" w:sz="0" w:space="0" w:color="auto"/>
      </w:divBdr>
      <w:divsChild>
        <w:div w:id="456532025">
          <w:marLeft w:val="0"/>
          <w:marRight w:val="0"/>
          <w:marTop w:val="60"/>
          <w:marBottom w:val="180"/>
          <w:divBdr>
            <w:top w:val="none" w:sz="0" w:space="0" w:color="auto"/>
            <w:left w:val="none" w:sz="0" w:space="0" w:color="auto"/>
            <w:bottom w:val="none" w:sz="0" w:space="0" w:color="auto"/>
            <w:right w:val="none" w:sz="0" w:space="0" w:color="auto"/>
          </w:divBdr>
        </w:div>
      </w:divsChild>
    </w:div>
    <w:div w:id="1040280064">
      <w:marLeft w:val="0"/>
      <w:marRight w:val="0"/>
      <w:marTop w:val="60"/>
      <w:marBottom w:val="60"/>
      <w:divBdr>
        <w:top w:val="none" w:sz="0" w:space="0" w:color="auto"/>
        <w:left w:val="none" w:sz="0" w:space="0" w:color="auto"/>
        <w:bottom w:val="none" w:sz="0" w:space="0" w:color="auto"/>
        <w:right w:val="none" w:sz="0" w:space="0" w:color="auto"/>
      </w:divBdr>
    </w:div>
    <w:div w:id="1041590943">
      <w:marLeft w:val="0"/>
      <w:marRight w:val="0"/>
      <w:marTop w:val="0"/>
      <w:marBottom w:val="0"/>
      <w:divBdr>
        <w:top w:val="none" w:sz="0" w:space="0" w:color="auto"/>
        <w:left w:val="none" w:sz="0" w:space="0" w:color="auto"/>
        <w:bottom w:val="none" w:sz="0" w:space="0" w:color="auto"/>
        <w:right w:val="none" w:sz="0" w:space="0" w:color="auto"/>
      </w:divBdr>
      <w:divsChild>
        <w:div w:id="1447115475">
          <w:marLeft w:val="0"/>
          <w:marRight w:val="0"/>
          <w:marTop w:val="0"/>
          <w:marBottom w:val="0"/>
          <w:divBdr>
            <w:top w:val="none" w:sz="0" w:space="0" w:color="auto"/>
            <w:left w:val="none" w:sz="0" w:space="0" w:color="auto"/>
            <w:bottom w:val="none" w:sz="0" w:space="0" w:color="auto"/>
            <w:right w:val="none" w:sz="0" w:space="0" w:color="auto"/>
          </w:divBdr>
          <w:divsChild>
            <w:div w:id="9837700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41784446">
      <w:marLeft w:val="0"/>
      <w:marRight w:val="0"/>
      <w:marTop w:val="60"/>
      <w:marBottom w:val="60"/>
      <w:divBdr>
        <w:top w:val="none" w:sz="0" w:space="0" w:color="auto"/>
        <w:left w:val="none" w:sz="0" w:space="0" w:color="auto"/>
        <w:bottom w:val="none" w:sz="0" w:space="0" w:color="auto"/>
        <w:right w:val="none" w:sz="0" w:space="0" w:color="auto"/>
      </w:divBdr>
    </w:div>
    <w:div w:id="1043674512">
      <w:marLeft w:val="0"/>
      <w:marRight w:val="0"/>
      <w:marTop w:val="180"/>
      <w:marBottom w:val="180"/>
      <w:divBdr>
        <w:top w:val="none" w:sz="0" w:space="0" w:color="auto"/>
        <w:left w:val="none" w:sz="0" w:space="0" w:color="auto"/>
        <w:bottom w:val="none" w:sz="0" w:space="0" w:color="auto"/>
        <w:right w:val="none" w:sz="0" w:space="0" w:color="auto"/>
      </w:divBdr>
    </w:div>
    <w:div w:id="1044405131">
      <w:marLeft w:val="0"/>
      <w:marRight w:val="0"/>
      <w:marTop w:val="180"/>
      <w:marBottom w:val="180"/>
      <w:divBdr>
        <w:top w:val="none" w:sz="0" w:space="0" w:color="auto"/>
        <w:left w:val="none" w:sz="0" w:space="0" w:color="auto"/>
        <w:bottom w:val="none" w:sz="0" w:space="0" w:color="auto"/>
        <w:right w:val="none" w:sz="0" w:space="0" w:color="auto"/>
      </w:divBdr>
    </w:div>
    <w:div w:id="1049912845">
      <w:marLeft w:val="0"/>
      <w:marRight w:val="0"/>
      <w:marTop w:val="60"/>
      <w:marBottom w:val="60"/>
      <w:divBdr>
        <w:top w:val="none" w:sz="0" w:space="0" w:color="auto"/>
        <w:left w:val="none" w:sz="0" w:space="0" w:color="auto"/>
        <w:bottom w:val="none" w:sz="0" w:space="0" w:color="auto"/>
        <w:right w:val="none" w:sz="0" w:space="0" w:color="auto"/>
      </w:divBdr>
    </w:div>
    <w:div w:id="1050302820">
      <w:marLeft w:val="0"/>
      <w:marRight w:val="0"/>
      <w:marTop w:val="180"/>
      <w:marBottom w:val="180"/>
      <w:divBdr>
        <w:top w:val="none" w:sz="0" w:space="0" w:color="auto"/>
        <w:left w:val="none" w:sz="0" w:space="0" w:color="auto"/>
        <w:bottom w:val="none" w:sz="0" w:space="0" w:color="auto"/>
        <w:right w:val="none" w:sz="0" w:space="0" w:color="auto"/>
      </w:divBdr>
    </w:div>
    <w:div w:id="1050686633">
      <w:marLeft w:val="0"/>
      <w:marRight w:val="0"/>
      <w:marTop w:val="180"/>
      <w:marBottom w:val="180"/>
      <w:divBdr>
        <w:top w:val="none" w:sz="0" w:space="0" w:color="auto"/>
        <w:left w:val="none" w:sz="0" w:space="0" w:color="auto"/>
        <w:bottom w:val="none" w:sz="0" w:space="0" w:color="auto"/>
        <w:right w:val="none" w:sz="0" w:space="0" w:color="auto"/>
      </w:divBdr>
    </w:div>
    <w:div w:id="1050958158">
      <w:marLeft w:val="0"/>
      <w:marRight w:val="0"/>
      <w:marTop w:val="180"/>
      <w:marBottom w:val="180"/>
      <w:divBdr>
        <w:top w:val="none" w:sz="0" w:space="0" w:color="auto"/>
        <w:left w:val="none" w:sz="0" w:space="0" w:color="auto"/>
        <w:bottom w:val="none" w:sz="0" w:space="0" w:color="auto"/>
        <w:right w:val="none" w:sz="0" w:space="0" w:color="auto"/>
      </w:divBdr>
    </w:div>
    <w:div w:id="1052462532">
      <w:marLeft w:val="0"/>
      <w:marRight w:val="0"/>
      <w:marTop w:val="0"/>
      <w:marBottom w:val="0"/>
      <w:divBdr>
        <w:top w:val="none" w:sz="0" w:space="0" w:color="auto"/>
        <w:left w:val="none" w:sz="0" w:space="0" w:color="auto"/>
        <w:bottom w:val="none" w:sz="0" w:space="0" w:color="auto"/>
        <w:right w:val="none" w:sz="0" w:space="0" w:color="auto"/>
      </w:divBdr>
      <w:divsChild>
        <w:div w:id="593898691">
          <w:marLeft w:val="0"/>
          <w:marRight w:val="0"/>
          <w:marTop w:val="0"/>
          <w:marBottom w:val="0"/>
          <w:divBdr>
            <w:top w:val="none" w:sz="0" w:space="0" w:color="auto"/>
            <w:left w:val="none" w:sz="0" w:space="0" w:color="auto"/>
            <w:bottom w:val="none" w:sz="0" w:space="0" w:color="auto"/>
            <w:right w:val="none" w:sz="0" w:space="0" w:color="auto"/>
          </w:divBdr>
          <w:divsChild>
            <w:div w:id="91096260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52581896">
      <w:marLeft w:val="0"/>
      <w:marRight w:val="0"/>
      <w:marTop w:val="180"/>
      <w:marBottom w:val="180"/>
      <w:divBdr>
        <w:top w:val="none" w:sz="0" w:space="0" w:color="auto"/>
        <w:left w:val="none" w:sz="0" w:space="0" w:color="auto"/>
        <w:bottom w:val="none" w:sz="0" w:space="0" w:color="auto"/>
        <w:right w:val="none" w:sz="0" w:space="0" w:color="auto"/>
      </w:divBdr>
    </w:div>
    <w:div w:id="1052726268">
      <w:marLeft w:val="0"/>
      <w:marRight w:val="0"/>
      <w:marTop w:val="180"/>
      <w:marBottom w:val="180"/>
      <w:divBdr>
        <w:top w:val="none" w:sz="0" w:space="0" w:color="auto"/>
        <w:left w:val="none" w:sz="0" w:space="0" w:color="auto"/>
        <w:bottom w:val="none" w:sz="0" w:space="0" w:color="auto"/>
        <w:right w:val="none" w:sz="0" w:space="0" w:color="auto"/>
      </w:divBdr>
    </w:div>
    <w:div w:id="1053046657">
      <w:marLeft w:val="0"/>
      <w:marRight w:val="0"/>
      <w:marTop w:val="0"/>
      <w:marBottom w:val="0"/>
      <w:divBdr>
        <w:top w:val="none" w:sz="0" w:space="0" w:color="auto"/>
        <w:left w:val="none" w:sz="0" w:space="0" w:color="auto"/>
        <w:bottom w:val="none" w:sz="0" w:space="0" w:color="auto"/>
        <w:right w:val="none" w:sz="0" w:space="0" w:color="auto"/>
      </w:divBdr>
    </w:div>
    <w:div w:id="1054423497">
      <w:marLeft w:val="0"/>
      <w:marRight w:val="0"/>
      <w:marTop w:val="180"/>
      <w:marBottom w:val="180"/>
      <w:divBdr>
        <w:top w:val="none" w:sz="0" w:space="0" w:color="auto"/>
        <w:left w:val="none" w:sz="0" w:space="0" w:color="auto"/>
        <w:bottom w:val="none" w:sz="0" w:space="0" w:color="auto"/>
        <w:right w:val="none" w:sz="0" w:space="0" w:color="auto"/>
      </w:divBdr>
    </w:div>
    <w:div w:id="1055079300">
      <w:marLeft w:val="0"/>
      <w:marRight w:val="0"/>
      <w:marTop w:val="0"/>
      <w:marBottom w:val="0"/>
      <w:divBdr>
        <w:top w:val="none" w:sz="0" w:space="0" w:color="auto"/>
        <w:left w:val="none" w:sz="0" w:space="0" w:color="auto"/>
        <w:bottom w:val="none" w:sz="0" w:space="0" w:color="auto"/>
        <w:right w:val="none" w:sz="0" w:space="0" w:color="auto"/>
      </w:divBdr>
    </w:div>
    <w:div w:id="1055933600">
      <w:marLeft w:val="0"/>
      <w:marRight w:val="0"/>
      <w:marTop w:val="60"/>
      <w:marBottom w:val="60"/>
      <w:divBdr>
        <w:top w:val="none" w:sz="0" w:space="0" w:color="auto"/>
        <w:left w:val="none" w:sz="0" w:space="0" w:color="auto"/>
        <w:bottom w:val="none" w:sz="0" w:space="0" w:color="auto"/>
        <w:right w:val="none" w:sz="0" w:space="0" w:color="auto"/>
      </w:divBdr>
    </w:div>
    <w:div w:id="1056274217">
      <w:marLeft w:val="0"/>
      <w:marRight w:val="0"/>
      <w:marTop w:val="180"/>
      <w:marBottom w:val="180"/>
      <w:divBdr>
        <w:top w:val="none" w:sz="0" w:space="0" w:color="auto"/>
        <w:left w:val="none" w:sz="0" w:space="0" w:color="auto"/>
        <w:bottom w:val="none" w:sz="0" w:space="0" w:color="auto"/>
        <w:right w:val="none" w:sz="0" w:space="0" w:color="auto"/>
      </w:divBdr>
    </w:div>
    <w:div w:id="1056589369">
      <w:marLeft w:val="0"/>
      <w:marRight w:val="0"/>
      <w:marTop w:val="180"/>
      <w:marBottom w:val="180"/>
      <w:divBdr>
        <w:top w:val="none" w:sz="0" w:space="0" w:color="auto"/>
        <w:left w:val="none" w:sz="0" w:space="0" w:color="auto"/>
        <w:bottom w:val="none" w:sz="0" w:space="0" w:color="auto"/>
        <w:right w:val="none" w:sz="0" w:space="0" w:color="auto"/>
      </w:divBdr>
    </w:div>
    <w:div w:id="1056663250">
      <w:marLeft w:val="0"/>
      <w:marRight w:val="0"/>
      <w:marTop w:val="180"/>
      <w:marBottom w:val="180"/>
      <w:divBdr>
        <w:top w:val="none" w:sz="0" w:space="0" w:color="auto"/>
        <w:left w:val="none" w:sz="0" w:space="0" w:color="auto"/>
        <w:bottom w:val="none" w:sz="0" w:space="0" w:color="auto"/>
        <w:right w:val="none" w:sz="0" w:space="0" w:color="auto"/>
      </w:divBdr>
    </w:div>
    <w:div w:id="1057557321">
      <w:marLeft w:val="0"/>
      <w:marRight w:val="0"/>
      <w:marTop w:val="180"/>
      <w:marBottom w:val="180"/>
      <w:divBdr>
        <w:top w:val="none" w:sz="0" w:space="0" w:color="auto"/>
        <w:left w:val="none" w:sz="0" w:space="0" w:color="auto"/>
        <w:bottom w:val="none" w:sz="0" w:space="0" w:color="auto"/>
        <w:right w:val="none" w:sz="0" w:space="0" w:color="auto"/>
      </w:divBdr>
    </w:div>
    <w:div w:id="1058281807">
      <w:marLeft w:val="0"/>
      <w:marRight w:val="0"/>
      <w:marTop w:val="180"/>
      <w:marBottom w:val="180"/>
      <w:divBdr>
        <w:top w:val="none" w:sz="0" w:space="0" w:color="auto"/>
        <w:left w:val="none" w:sz="0" w:space="0" w:color="auto"/>
        <w:bottom w:val="none" w:sz="0" w:space="0" w:color="auto"/>
        <w:right w:val="none" w:sz="0" w:space="0" w:color="auto"/>
      </w:divBdr>
    </w:div>
    <w:div w:id="1058358850">
      <w:marLeft w:val="0"/>
      <w:marRight w:val="0"/>
      <w:marTop w:val="0"/>
      <w:marBottom w:val="0"/>
      <w:divBdr>
        <w:top w:val="none" w:sz="0" w:space="0" w:color="auto"/>
        <w:left w:val="none" w:sz="0" w:space="0" w:color="auto"/>
        <w:bottom w:val="none" w:sz="0" w:space="0" w:color="auto"/>
        <w:right w:val="none" w:sz="0" w:space="0" w:color="auto"/>
      </w:divBdr>
      <w:divsChild>
        <w:div w:id="737438002">
          <w:marLeft w:val="0"/>
          <w:marRight w:val="0"/>
          <w:marTop w:val="60"/>
          <w:marBottom w:val="180"/>
          <w:divBdr>
            <w:top w:val="none" w:sz="0" w:space="0" w:color="auto"/>
            <w:left w:val="none" w:sz="0" w:space="0" w:color="auto"/>
            <w:bottom w:val="none" w:sz="0" w:space="0" w:color="auto"/>
            <w:right w:val="none" w:sz="0" w:space="0" w:color="auto"/>
          </w:divBdr>
        </w:div>
      </w:divsChild>
    </w:div>
    <w:div w:id="1059326775">
      <w:marLeft w:val="0"/>
      <w:marRight w:val="0"/>
      <w:marTop w:val="180"/>
      <w:marBottom w:val="180"/>
      <w:divBdr>
        <w:top w:val="none" w:sz="0" w:space="0" w:color="auto"/>
        <w:left w:val="none" w:sz="0" w:space="0" w:color="auto"/>
        <w:bottom w:val="none" w:sz="0" w:space="0" w:color="auto"/>
        <w:right w:val="none" w:sz="0" w:space="0" w:color="auto"/>
      </w:divBdr>
    </w:div>
    <w:div w:id="1060253289">
      <w:marLeft w:val="0"/>
      <w:marRight w:val="0"/>
      <w:marTop w:val="180"/>
      <w:marBottom w:val="180"/>
      <w:divBdr>
        <w:top w:val="none" w:sz="0" w:space="0" w:color="auto"/>
        <w:left w:val="none" w:sz="0" w:space="0" w:color="auto"/>
        <w:bottom w:val="none" w:sz="0" w:space="0" w:color="auto"/>
        <w:right w:val="none" w:sz="0" w:space="0" w:color="auto"/>
      </w:divBdr>
    </w:div>
    <w:div w:id="1060596053">
      <w:marLeft w:val="0"/>
      <w:marRight w:val="0"/>
      <w:marTop w:val="180"/>
      <w:marBottom w:val="180"/>
      <w:divBdr>
        <w:top w:val="none" w:sz="0" w:space="0" w:color="auto"/>
        <w:left w:val="none" w:sz="0" w:space="0" w:color="auto"/>
        <w:bottom w:val="none" w:sz="0" w:space="0" w:color="auto"/>
        <w:right w:val="none" w:sz="0" w:space="0" w:color="auto"/>
      </w:divBdr>
    </w:div>
    <w:div w:id="1061441462">
      <w:marLeft w:val="0"/>
      <w:marRight w:val="0"/>
      <w:marTop w:val="180"/>
      <w:marBottom w:val="180"/>
      <w:divBdr>
        <w:top w:val="none" w:sz="0" w:space="0" w:color="auto"/>
        <w:left w:val="none" w:sz="0" w:space="0" w:color="auto"/>
        <w:bottom w:val="none" w:sz="0" w:space="0" w:color="auto"/>
        <w:right w:val="none" w:sz="0" w:space="0" w:color="auto"/>
      </w:divBdr>
    </w:div>
    <w:div w:id="1062871873">
      <w:marLeft w:val="0"/>
      <w:marRight w:val="0"/>
      <w:marTop w:val="0"/>
      <w:marBottom w:val="0"/>
      <w:divBdr>
        <w:top w:val="none" w:sz="0" w:space="0" w:color="auto"/>
        <w:left w:val="none" w:sz="0" w:space="0" w:color="auto"/>
        <w:bottom w:val="none" w:sz="0" w:space="0" w:color="auto"/>
        <w:right w:val="none" w:sz="0" w:space="0" w:color="auto"/>
      </w:divBdr>
    </w:div>
    <w:div w:id="1064570517">
      <w:marLeft w:val="0"/>
      <w:marRight w:val="0"/>
      <w:marTop w:val="180"/>
      <w:marBottom w:val="180"/>
      <w:divBdr>
        <w:top w:val="none" w:sz="0" w:space="0" w:color="auto"/>
        <w:left w:val="none" w:sz="0" w:space="0" w:color="auto"/>
        <w:bottom w:val="none" w:sz="0" w:space="0" w:color="auto"/>
        <w:right w:val="none" w:sz="0" w:space="0" w:color="auto"/>
      </w:divBdr>
    </w:div>
    <w:div w:id="1065882433">
      <w:marLeft w:val="0"/>
      <w:marRight w:val="0"/>
      <w:marTop w:val="180"/>
      <w:marBottom w:val="180"/>
      <w:divBdr>
        <w:top w:val="none" w:sz="0" w:space="0" w:color="auto"/>
        <w:left w:val="none" w:sz="0" w:space="0" w:color="auto"/>
        <w:bottom w:val="none" w:sz="0" w:space="0" w:color="auto"/>
        <w:right w:val="none" w:sz="0" w:space="0" w:color="auto"/>
      </w:divBdr>
    </w:div>
    <w:div w:id="1065954814">
      <w:marLeft w:val="0"/>
      <w:marRight w:val="0"/>
      <w:marTop w:val="180"/>
      <w:marBottom w:val="60"/>
      <w:divBdr>
        <w:top w:val="none" w:sz="0" w:space="0" w:color="auto"/>
        <w:left w:val="none" w:sz="0" w:space="0" w:color="auto"/>
        <w:bottom w:val="none" w:sz="0" w:space="0" w:color="auto"/>
        <w:right w:val="none" w:sz="0" w:space="0" w:color="auto"/>
      </w:divBdr>
    </w:div>
    <w:div w:id="1067874543">
      <w:marLeft w:val="0"/>
      <w:marRight w:val="0"/>
      <w:marTop w:val="60"/>
      <w:marBottom w:val="0"/>
      <w:divBdr>
        <w:top w:val="none" w:sz="0" w:space="0" w:color="auto"/>
        <w:left w:val="none" w:sz="0" w:space="0" w:color="auto"/>
        <w:bottom w:val="none" w:sz="0" w:space="0" w:color="auto"/>
        <w:right w:val="none" w:sz="0" w:space="0" w:color="auto"/>
      </w:divBdr>
    </w:div>
    <w:div w:id="1068453428">
      <w:marLeft w:val="0"/>
      <w:marRight w:val="0"/>
      <w:marTop w:val="180"/>
      <w:marBottom w:val="180"/>
      <w:divBdr>
        <w:top w:val="none" w:sz="0" w:space="0" w:color="auto"/>
        <w:left w:val="none" w:sz="0" w:space="0" w:color="auto"/>
        <w:bottom w:val="none" w:sz="0" w:space="0" w:color="auto"/>
        <w:right w:val="none" w:sz="0" w:space="0" w:color="auto"/>
      </w:divBdr>
    </w:div>
    <w:div w:id="1069574144">
      <w:marLeft w:val="0"/>
      <w:marRight w:val="0"/>
      <w:marTop w:val="0"/>
      <w:marBottom w:val="0"/>
      <w:divBdr>
        <w:top w:val="none" w:sz="0" w:space="0" w:color="auto"/>
        <w:left w:val="none" w:sz="0" w:space="0" w:color="auto"/>
        <w:bottom w:val="none" w:sz="0" w:space="0" w:color="auto"/>
        <w:right w:val="none" w:sz="0" w:space="0" w:color="auto"/>
      </w:divBdr>
    </w:div>
    <w:div w:id="1070151974">
      <w:marLeft w:val="0"/>
      <w:marRight w:val="0"/>
      <w:marTop w:val="180"/>
      <w:marBottom w:val="180"/>
      <w:divBdr>
        <w:top w:val="none" w:sz="0" w:space="0" w:color="auto"/>
        <w:left w:val="none" w:sz="0" w:space="0" w:color="auto"/>
        <w:bottom w:val="none" w:sz="0" w:space="0" w:color="auto"/>
        <w:right w:val="none" w:sz="0" w:space="0" w:color="auto"/>
      </w:divBdr>
    </w:div>
    <w:div w:id="1070730621">
      <w:marLeft w:val="0"/>
      <w:marRight w:val="0"/>
      <w:marTop w:val="180"/>
      <w:marBottom w:val="180"/>
      <w:divBdr>
        <w:top w:val="none" w:sz="0" w:space="0" w:color="auto"/>
        <w:left w:val="none" w:sz="0" w:space="0" w:color="auto"/>
        <w:bottom w:val="none" w:sz="0" w:space="0" w:color="auto"/>
        <w:right w:val="none" w:sz="0" w:space="0" w:color="auto"/>
      </w:divBdr>
      <w:divsChild>
        <w:div w:id="683215550">
          <w:marLeft w:val="0"/>
          <w:marRight w:val="0"/>
          <w:marTop w:val="0"/>
          <w:marBottom w:val="0"/>
          <w:divBdr>
            <w:top w:val="none" w:sz="0" w:space="0" w:color="auto"/>
            <w:left w:val="none" w:sz="0" w:space="0" w:color="auto"/>
            <w:bottom w:val="none" w:sz="0" w:space="0" w:color="auto"/>
            <w:right w:val="none" w:sz="0" w:space="0" w:color="auto"/>
          </w:divBdr>
        </w:div>
      </w:divsChild>
    </w:div>
    <w:div w:id="1071585324">
      <w:marLeft w:val="0"/>
      <w:marRight w:val="0"/>
      <w:marTop w:val="0"/>
      <w:marBottom w:val="0"/>
      <w:divBdr>
        <w:top w:val="none" w:sz="0" w:space="0" w:color="auto"/>
        <w:left w:val="none" w:sz="0" w:space="0" w:color="auto"/>
        <w:bottom w:val="none" w:sz="0" w:space="0" w:color="auto"/>
        <w:right w:val="none" w:sz="0" w:space="0" w:color="auto"/>
      </w:divBdr>
      <w:divsChild>
        <w:div w:id="1326855540">
          <w:marLeft w:val="0"/>
          <w:marRight w:val="0"/>
          <w:marTop w:val="0"/>
          <w:marBottom w:val="0"/>
          <w:divBdr>
            <w:top w:val="none" w:sz="0" w:space="0" w:color="auto"/>
            <w:left w:val="none" w:sz="0" w:space="0" w:color="auto"/>
            <w:bottom w:val="none" w:sz="0" w:space="0" w:color="auto"/>
            <w:right w:val="none" w:sz="0" w:space="0" w:color="auto"/>
          </w:divBdr>
          <w:divsChild>
            <w:div w:id="81418274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72122487">
      <w:marLeft w:val="0"/>
      <w:marRight w:val="0"/>
      <w:marTop w:val="180"/>
      <w:marBottom w:val="180"/>
      <w:divBdr>
        <w:top w:val="none" w:sz="0" w:space="0" w:color="auto"/>
        <w:left w:val="none" w:sz="0" w:space="0" w:color="auto"/>
        <w:bottom w:val="none" w:sz="0" w:space="0" w:color="auto"/>
        <w:right w:val="none" w:sz="0" w:space="0" w:color="auto"/>
      </w:divBdr>
    </w:div>
    <w:div w:id="1072503278">
      <w:marLeft w:val="0"/>
      <w:marRight w:val="0"/>
      <w:marTop w:val="0"/>
      <w:marBottom w:val="180"/>
      <w:divBdr>
        <w:top w:val="none" w:sz="0" w:space="0" w:color="auto"/>
        <w:left w:val="none" w:sz="0" w:space="0" w:color="auto"/>
        <w:bottom w:val="none" w:sz="0" w:space="0" w:color="auto"/>
        <w:right w:val="none" w:sz="0" w:space="0" w:color="auto"/>
      </w:divBdr>
    </w:div>
    <w:div w:id="1074160337">
      <w:marLeft w:val="0"/>
      <w:marRight w:val="0"/>
      <w:marTop w:val="60"/>
      <w:marBottom w:val="60"/>
      <w:divBdr>
        <w:top w:val="none" w:sz="0" w:space="0" w:color="auto"/>
        <w:left w:val="none" w:sz="0" w:space="0" w:color="auto"/>
        <w:bottom w:val="none" w:sz="0" w:space="0" w:color="auto"/>
        <w:right w:val="none" w:sz="0" w:space="0" w:color="auto"/>
      </w:divBdr>
    </w:div>
    <w:div w:id="1074476940">
      <w:marLeft w:val="0"/>
      <w:marRight w:val="0"/>
      <w:marTop w:val="180"/>
      <w:marBottom w:val="60"/>
      <w:divBdr>
        <w:top w:val="none" w:sz="0" w:space="0" w:color="auto"/>
        <w:left w:val="none" w:sz="0" w:space="0" w:color="auto"/>
        <w:bottom w:val="none" w:sz="0" w:space="0" w:color="auto"/>
        <w:right w:val="none" w:sz="0" w:space="0" w:color="auto"/>
      </w:divBdr>
    </w:div>
    <w:div w:id="1074549083">
      <w:marLeft w:val="0"/>
      <w:marRight w:val="0"/>
      <w:marTop w:val="0"/>
      <w:marBottom w:val="0"/>
      <w:divBdr>
        <w:top w:val="none" w:sz="0" w:space="0" w:color="auto"/>
        <w:left w:val="none" w:sz="0" w:space="0" w:color="auto"/>
        <w:bottom w:val="none" w:sz="0" w:space="0" w:color="auto"/>
        <w:right w:val="none" w:sz="0" w:space="0" w:color="auto"/>
      </w:divBdr>
      <w:divsChild>
        <w:div w:id="268241215">
          <w:marLeft w:val="0"/>
          <w:marRight w:val="0"/>
          <w:marTop w:val="180"/>
          <w:marBottom w:val="180"/>
          <w:divBdr>
            <w:top w:val="none" w:sz="0" w:space="0" w:color="auto"/>
            <w:left w:val="none" w:sz="0" w:space="0" w:color="auto"/>
            <w:bottom w:val="none" w:sz="0" w:space="0" w:color="auto"/>
            <w:right w:val="none" w:sz="0" w:space="0" w:color="auto"/>
          </w:divBdr>
        </w:div>
      </w:divsChild>
    </w:div>
    <w:div w:id="1075589479">
      <w:marLeft w:val="0"/>
      <w:marRight w:val="0"/>
      <w:marTop w:val="180"/>
      <w:marBottom w:val="180"/>
      <w:divBdr>
        <w:top w:val="none" w:sz="0" w:space="0" w:color="auto"/>
        <w:left w:val="none" w:sz="0" w:space="0" w:color="auto"/>
        <w:bottom w:val="none" w:sz="0" w:space="0" w:color="auto"/>
        <w:right w:val="none" w:sz="0" w:space="0" w:color="auto"/>
      </w:divBdr>
    </w:div>
    <w:div w:id="1075855593">
      <w:marLeft w:val="0"/>
      <w:marRight w:val="0"/>
      <w:marTop w:val="180"/>
      <w:marBottom w:val="180"/>
      <w:divBdr>
        <w:top w:val="none" w:sz="0" w:space="0" w:color="auto"/>
        <w:left w:val="none" w:sz="0" w:space="0" w:color="auto"/>
        <w:bottom w:val="none" w:sz="0" w:space="0" w:color="auto"/>
        <w:right w:val="none" w:sz="0" w:space="0" w:color="auto"/>
      </w:divBdr>
    </w:div>
    <w:div w:id="1076512179">
      <w:marLeft w:val="0"/>
      <w:marRight w:val="0"/>
      <w:marTop w:val="180"/>
      <w:marBottom w:val="180"/>
      <w:divBdr>
        <w:top w:val="none" w:sz="0" w:space="0" w:color="auto"/>
        <w:left w:val="none" w:sz="0" w:space="0" w:color="auto"/>
        <w:bottom w:val="none" w:sz="0" w:space="0" w:color="auto"/>
        <w:right w:val="none" w:sz="0" w:space="0" w:color="auto"/>
      </w:divBdr>
    </w:div>
    <w:div w:id="1076707287">
      <w:marLeft w:val="0"/>
      <w:marRight w:val="0"/>
      <w:marTop w:val="100"/>
      <w:marBottom w:val="0"/>
      <w:divBdr>
        <w:top w:val="none" w:sz="0" w:space="0" w:color="auto"/>
        <w:left w:val="none" w:sz="0" w:space="0" w:color="auto"/>
        <w:bottom w:val="none" w:sz="0" w:space="0" w:color="auto"/>
        <w:right w:val="none" w:sz="0" w:space="0" w:color="auto"/>
      </w:divBdr>
      <w:divsChild>
        <w:div w:id="493570462">
          <w:marLeft w:val="0"/>
          <w:marRight w:val="0"/>
          <w:marTop w:val="0"/>
          <w:marBottom w:val="0"/>
          <w:divBdr>
            <w:top w:val="none" w:sz="0" w:space="0" w:color="auto"/>
            <w:left w:val="none" w:sz="0" w:space="0" w:color="auto"/>
            <w:bottom w:val="none" w:sz="0" w:space="0" w:color="auto"/>
            <w:right w:val="none" w:sz="0" w:space="0" w:color="auto"/>
          </w:divBdr>
        </w:div>
        <w:div w:id="1264731363">
          <w:marLeft w:val="0"/>
          <w:marRight w:val="0"/>
          <w:marTop w:val="0"/>
          <w:marBottom w:val="0"/>
          <w:divBdr>
            <w:top w:val="none" w:sz="0" w:space="0" w:color="auto"/>
            <w:left w:val="none" w:sz="0" w:space="0" w:color="auto"/>
            <w:bottom w:val="none" w:sz="0" w:space="0" w:color="auto"/>
            <w:right w:val="none" w:sz="0" w:space="0" w:color="auto"/>
          </w:divBdr>
        </w:div>
        <w:div w:id="1159421674">
          <w:marLeft w:val="0"/>
          <w:marRight w:val="0"/>
          <w:marTop w:val="0"/>
          <w:marBottom w:val="0"/>
          <w:divBdr>
            <w:top w:val="none" w:sz="0" w:space="0" w:color="auto"/>
            <w:left w:val="none" w:sz="0" w:space="0" w:color="auto"/>
            <w:bottom w:val="none" w:sz="0" w:space="0" w:color="auto"/>
            <w:right w:val="none" w:sz="0" w:space="0" w:color="auto"/>
          </w:divBdr>
        </w:div>
        <w:div w:id="1651783864">
          <w:marLeft w:val="0"/>
          <w:marRight w:val="0"/>
          <w:marTop w:val="0"/>
          <w:marBottom w:val="0"/>
          <w:divBdr>
            <w:top w:val="none" w:sz="0" w:space="0" w:color="auto"/>
            <w:left w:val="none" w:sz="0" w:space="0" w:color="auto"/>
            <w:bottom w:val="none" w:sz="0" w:space="0" w:color="auto"/>
            <w:right w:val="none" w:sz="0" w:space="0" w:color="auto"/>
          </w:divBdr>
        </w:div>
        <w:div w:id="245069074">
          <w:marLeft w:val="0"/>
          <w:marRight w:val="0"/>
          <w:marTop w:val="0"/>
          <w:marBottom w:val="0"/>
          <w:divBdr>
            <w:top w:val="none" w:sz="0" w:space="0" w:color="auto"/>
            <w:left w:val="none" w:sz="0" w:space="0" w:color="auto"/>
            <w:bottom w:val="none" w:sz="0" w:space="0" w:color="auto"/>
            <w:right w:val="none" w:sz="0" w:space="0" w:color="auto"/>
          </w:divBdr>
        </w:div>
      </w:divsChild>
    </w:div>
    <w:div w:id="1077435453">
      <w:marLeft w:val="0"/>
      <w:marRight w:val="0"/>
      <w:marTop w:val="240"/>
      <w:marBottom w:val="180"/>
      <w:divBdr>
        <w:top w:val="none" w:sz="0" w:space="0" w:color="auto"/>
        <w:left w:val="none" w:sz="0" w:space="0" w:color="auto"/>
        <w:bottom w:val="none" w:sz="0" w:space="0" w:color="auto"/>
        <w:right w:val="none" w:sz="0" w:space="0" w:color="auto"/>
      </w:divBdr>
    </w:div>
    <w:div w:id="1078360259">
      <w:marLeft w:val="0"/>
      <w:marRight w:val="0"/>
      <w:marTop w:val="180"/>
      <w:marBottom w:val="180"/>
      <w:divBdr>
        <w:top w:val="none" w:sz="0" w:space="0" w:color="auto"/>
        <w:left w:val="none" w:sz="0" w:space="0" w:color="auto"/>
        <w:bottom w:val="none" w:sz="0" w:space="0" w:color="auto"/>
        <w:right w:val="none" w:sz="0" w:space="0" w:color="auto"/>
      </w:divBdr>
    </w:div>
    <w:div w:id="1079062645">
      <w:marLeft w:val="0"/>
      <w:marRight w:val="0"/>
      <w:marTop w:val="180"/>
      <w:marBottom w:val="60"/>
      <w:divBdr>
        <w:top w:val="none" w:sz="0" w:space="0" w:color="auto"/>
        <w:left w:val="none" w:sz="0" w:space="0" w:color="auto"/>
        <w:bottom w:val="none" w:sz="0" w:space="0" w:color="auto"/>
        <w:right w:val="none" w:sz="0" w:space="0" w:color="auto"/>
      </w:divBdr>
    </w:div>
    <w:div w:id="1079595876">
      <w:marLeft w:val="0"/>
      <w:marRight w:val="0"/>
      <w:marTop w:val="0"/>
      <w:marBottom w:val="0"/>
      <w:divBdr>
        <w:top w:val="none" w:sz="0" w:space="0" w:color="auto"/>
        <w:left w:val="none" w:sz="0" w:space="0" w:color="auto"/>
        <w:bottom w:val="none" w:sz="0" w:space="0" w:color="auto"/>
        <w:right w:val="none" w:sz="0" w:space="0" w:color="auto"/>
      </w:divBdr>
      <w:divsChild>
        <w:div w:id="269624307">
          <w:marLeft w:val="0"/>
          <w:marRight w:val="0"/>
          <w:marTop w:val="60"/>
          <w:marBottom w:val="60"/>
          <w:divBdr>
            <w:top w:val="none" w:sz="0" w:space="0" w:color="auto"/>
            <w:left w:val="none" w:sz="0" w:space="0" w:color="auto"/>
            <w:bottom w:val="none" w:sz="0" w:space="0" w:color="auto"/>
            <w:right w:val="none" w:sz="0" w:space="0" w:color="auto"/>
          </w:divBdr>
        </w:div>
      </w:divsChild>
    </w:div>
    <w:div w:id="1079718295">
      <w:marLeft w:val="0"/>
      <w:marRight w:val="0"/>
      <w:marTop w:val="0"/>
      <w:marBottom w:val="0"/>
      <w:divBdr>
        <w:top w:val="none" w:sz="0" w:space="0" w:color="auto"/>
        <w:left w:val="none" w:sz="0" w:space="0" w:color="auto"/>
        <w:bottom w:val="none" w:sz="0" w:space="0" w:color="auto"/>
        <w:right w:val="none" w:sz="0" w:space="0" w:color="auto"/>
      </w:divBdr>
      <w:divsChild>
        <w:div w:id="651913268">
          <w:marLeft w:val="0"/>
          <w:marRight w:val="0"/>
          <w:marTop w:val="60"/>
          <w:marBottom w:val="180"/>
          <w:divBdr>
            <w:top w:val="none" w:sz="0" w:space="0" w:color="auto"/>
            <w:left w:val="none" w:sz="0" w:space="0" w:color="auto"/>
            <w:bottom w:val="none" w:sz="0" w:space="0" w:color="auto"/>
            <w:right w:val="none" w:sz="0" w:space="0" w:color="auto"/>
          </w:divBdr>
        </w:div>
      </w:divsChild>
    </w:div>
    <w:div w:id="1080637959">
      <w:marLeft w:val="0"/>
      <w:marRight w:val="0"/>
      <w:marTop w:val="180"/>
      <w:marBottom w:val="180"/>
      <w:divBdr>
        <w:top w:val="none" w:sz="0" w:space="0" w:color="auto"/>
        <w:left w:val="none" w:sz="0" w:space="0" w:color="auto"/>
        <w:bottom w:val="none" w:sz="0" w:space="0" w:color="auto"/>
        <w:right w:val="none" w:sz="0" w:space="0" w:color="auto"/>
      </w:divBdr>
      <w:divsChild>
        <w:div w:id="729422929">
          <w:marLeft w:val="0"/>
          <w:marRight w:val="0"/>
          <w:marTop w:val="0"/>
          <w:marBottom w:val="0"/>
          <w:divBdr>
            <w:top w:val="none" w:sz="0" w:space="0" w:color="auto"/>
            <w:left w:val="none" w:sz="0" w:space="0" w:color="auto"/>
            <w:bottom w:val="none" w:sz="0" w:space="0" w:color="auto"/>
            <w:right w:val="none" w:sz="0" w:space="0" w:color="auto"/>
          </w:divBdr>
        </w:div>
      </w:divsChild>
    </w:div>
    <w:div w:id="1081410239">
      <w:marLeft w:val="0"/>
      <w:marRight w:val="0"/>
      <w:marTop w:val="180"/>
      <w:marBottom w:val="180"/>
      <w:divBdr>
        <w:top w:val="none" w:sz="0" w:space="0" w:color="auto"/>
        <w:left w:val="none" w:sz="0" w:space="0" w:color="auto"/>
        <w:bottom w:val="none" w:sz="0" w:space="0" w:color="auto"/>
        <w:right w:val="none" w:sz="0" w:space="0" w:color="auto"/>
      </w:divBdr>
    </w:div>
    <w:div w:id="1082293473">
      <w:marLeft w:val="0"/>
      <w:marRight w:val="0"/>
      <w:marTop w:val="180"/>
      <w:marBottom w:val="180"/>
      <w:divBdr>
        <w:top w:val="none" w:sz="0" w:space="0" w:color="auto"/>
        <w:left w:val="none" w:sz="0" w:space="0" w:color="auto"/>
        <w:bottom w:val="none" w:sz="0" w:space="0" w:color="auto"/>
        <w:right w:val="none" w:sz="0" w:space="0" w:color="auto"/>
      </w:divBdr>
    </w:div>
    <w:div w:id="1083330640">
      <w:marLeft w:val="0"/>
      <w:marRight w:val="0"/>
      <w:marTop w:val="180"/>
      <w:marBottom w:val="180"/>
      <w:divBdr>
        <w:top w:val="none" w:sz="0" w:space="0" w:color="auto"/>
        <w:left w:val="none" w:sz="0" w:space="0" w:color="auto"/>
        <w:bottom w:val="none" w:sz="0" w:space="0" w:color="auto"/>
        <w:right w:val="none" w:sz="0" w:space="0" w:color="auto"/>
      </w:divBdr>
    </w:div>
    <w:div w:id="1083651030">
      <w:marLeft w:val="0"/>
      <w:marRight w:val="0"/>
      <w:marTop w:val="120"/>
      <w:marBottom w:val="60"/>
      <w:divBdr>
        <w:top w:val="none" w:sz="0" w:space="0" w:color="auto"/>
        <w:left w:val="none" w:sz="0" w:space="0" w:color="auto"/>
        <w:bottom w:val="none" w:sz="0" w:space="0" w:color="auto"/>
        <w:right w:val="none" w:sz="0" w:space="0" w:color="auto"/>
      </w:divBdr>
    </w:div>
    <w:div w:id="1083839189">
      <w:marLeft w:val="0"/>
      <w:marRight w:val="0"/>
      <w:marTop w:val="0"/>
      <w:marBottom w:val="0"/>
      <w:divBdr>
        <w:top w:val="none" w:sz="0" w:space="0" w:color="auto"/>
        <w:left w:val="none" w:sz="0" w:space="0" w:color="auto"/>
        <w:bottom w:val="none" w:sz="0" w:space="0" w:color="auto"/>
        <w:right w:val="none" w:sz="0" w:space="0" w:color="auto"/>
      </w:divBdr>
    </w:div>
    <w:div w:id="1085804633">
      <w:marLeft w:val="0"/>
      <w:marRight w:val="0"/>
      <w:marTop w:val="60"/>
      <w:marBottom w:val="60"/>
      <w:divBdr>
        <w:top w:val="none" w:sz="0" w:space="0" w:color="auto"/>
        <w:left w:val="none" w:sz="0" w:space="0" w:color="auto"/>
        <w:bottom w:val="none" w:sz="0" w:space="0" w:color="auto"/>
        <w:right w:val="none" w:sz="0" w:space="0" w:color="auto"/>
      </w:divBdr>
    </w:div>
    <w:div w:id="1086268351">
      <w:marLeft w:val="0"/>
      <w:marRight w:val="0"/>
      <w:marTop w:val="180"/>
      <w:marBottom w:val="180"/>
      <w:divBdr>
        <w:top w:val="none" w:sz="0" w:space="0" w:color="auto"/>
        <w:left w:val="none" w:sz="0" w:space="0" w:color="auto"/>
        <w:bottom w:val="none" w:sz="0" w:space="0" w:color="auto"/>
        <w:right w:val="none" w:sz="0" w:space="0" w:color="auto"/>
      </w:divBdr>
    </w:div>
    <w:div w:id="1086615627">
      <w:marLeft w:val="0"/>
      <w:marRight w:val="0"/>
      <w:marTop w:val="180"/>
      <w:marBottom w:val="180"/>
      <w:divBdr>
        <w:top w:val="none" w:sz="0" w:space="0" w:color="auto"/>
        <w:left w:val="none" w:sz="0" w:space="0" w:color="auto"/>
        <w:bottom w:val="none" w:sz="0" w:space="0" w:color="auto"/>
        <w:right w:val="none" w:sz="0" w:space="0" w:color="auto"/>
      </w:divBdr>
    </w:div>
    <w:div w:id="1087654887">
      <w:marLeft w:val="0"/>
      <w:marRight w:val="0"/>
      <w:marTop w:val="180"/>
      <w:marBottom w:val="180"/>
      <w:divBdr>
        <w:top w:val="none" w:sz="0" w:space="0" w:color="auto"/>
        <w:left w:val="none" w:sz="0" w:space="0" w:color="auto"/>
        <w:bottom w:val="none" w:sz="0" w:space="0" w:color="auto"/>
        <w:right w:val="none" w:sz="0" w:space="0" w:color="auto"/>
      </w:divBdr>
    </w:div>
    <w:div w:id="1088186801">
      <w:marLeft w:val="0"/>
      <w:marRight w:val="0"/>
      <w:marTop w:val="180"/>
      <w:marBottom w:val="60"/>
      <w:divBdr>
        <w:top w:val="none" w:sz="0" w:space="0" w:color="auto"/>
        <w:left w:val="none" w:sz="0" w:space="0" w:color="auto"/>
        <w:bottom w:val="none" w:sz="0" w:space="0" w:color="auto"/>
        <w:right w:val="none" w:sz="0" w:space="0" w:color="auto"/>
      </w:divBdr>
    </w:div>
    <w:div w:id="1090736457">
      <w:marLeft w:val="0"/>
      <w:marRight w:val="0"/>
      <w:marTop w:val="180"/>
      <w:marBottom w:val="60"/>
      <w:divBdr>
        <w:top w:val="none" w:sz="0" w:space="0" w:color="auto"/>
        <w:left w:val="none" w:sz="0" w:space="0" w:color="auto"/>
        <w:bottom w:val="none" w:sz="0" w:space="0" w:color="auto"/>
        <w:right w:val="none" w:sz="0" w:space="0" w:color="auto"/>
      </w:divBdr>
    </w:div>
    <w:div w:id="1091050609">
      <w:marLeft w:val="0"/>
      <w:marRight w:val="0"/>
      <w:marTop w:val="180"/>
      <w:marBottom w:val="80"/>
      <w:divBdr>
        <w:top w:val="none" w:sz="0" w:space="0" w:color="auto"/>
        <w:left w:val="none" w:sz="0" w:space="0" w:color="auto"/>
        <w:bottom w:val="none" w:sz="0" w:space="0" w:color="auto"/>
        <w:right w:val="none" w:sz="0" w:space="0" w:color="auto"/>
      </w:divBdr>
    </w:div>
    <w:div w:id="1091240021">
      <w:marLeft w:val="0"/>
      <w:marRight w:val="0"/>
      <w:marTop w:val="180"/>
      <w:marBottom w:val="60"/>
      <w:divBdr>
        <w:top w:val="none" w:sz="0" w:space="0" w:color="auto"/>
        <w:left w:val="none" w:sz="0" w:space="0" w:color="auto"/>
        <w:bottom w:val="none" w:sz="0" w:space="0" w:color="auto"/>
        <w:right w:val="none" w:sz="0" w:space="0" w:color="auto"/>
      </w:divBdr>
    </w:div>
    <w:div w:id="1093238648">
      <w:marLeft w:val="0"/>
      <w:marRight w:val="0"/>
      <w:marTop w:val="180"/>
      <w:marBottom w:val="180"/>
      <w:divBdr>
        <w:top w:val="none" w:sz="0" w:space="0" w:color="auto"/>
        <w:left w:val="none" w:sz="0" w:space="0" w:color="auto"/>
        <w:bottom w:val="none" w:sz="0" w:space="0" w:color="auto"/>
        <w:right w:val="none" w:sz="0" w:space="0" w:color="auto"/>
      </w:divBdr>
    </w:div>
    <w:div w:id="1093428458">
      <w:marLeft w:val="0"/>
      <w:marRight w:val="0"/>
      <w:marTop w:val="180"/>
      <w:marBottom w:val="180"/>
      <w:divBdr>
        <w:top w:val="none" w:sz="0" w:space="0" w:color="auto"/>
        <w:left w:val="none" w:sz="0" w:space="0" w:color="auto"/>
        <w:bottom w:val="none" w:sz="0" w:space="0" w:color="auto"/>
        <w:right w:val="none" w:sz="0" w:space="0" w:color="auto"/>
      </w:divBdr>
    </w:div>
    <w:div w:id="1094320385">
      <w:marLeft w:val="0"/>
      <w:marRight w:val="0"/>
      <w:marTop w:val="0"/>
      <w:marBottom w:val="15"/>
      <w:divBdr>
        <w:top w:val="none" w:sz="0" w:space="0" w:color="auto"/>
        <w:left w:val="none" w:sz="0" w:space="0" w:color="auto"/>
        <w:bottom w:val="none" w:sz="0" w:space="0" w:color="auto"/>
        <w:right w:val="none" w:sz="0" w:space="0" w:color="auto"/>
      </w:divBdr>
    </w:div>
    <w:div w:id="1095633422">
      <w:marLeft w:val="0"/>
      <w:marRight w:val="0"/>
      <w:marTop w:val="180"/>
      <w:marBottom w:val="180"/>
      <w:divBdr>
        <w:top w:val="none" w:sz="0" w:space="0" w:color="auto"/>
        <w:left w:val="none" w:sz="0" w:space="0" w:color="auto"/>
        <w:bottom w:val="none" w:sz="0" w:space="0" w:color="auto"/>
        <w:right w:val="none" w:sz="0" w:space="0" w:color="auto"/>
      </w:divBdr>
    </w:div>
    <w:div w:id="1096169489">
      <w:marLeft w:val="0"/>
      <w:marRight w:val="0"/>
      <w:marTop w:val="180"/>
      <w:marBottom w:val="180"/>
      <w:divBdr>
        <w:top w:val="none" w:sz="0" w:space="0" w:color="auto"/>
        <w:left w:val="none" w:sz="0" w:space="0" w:color="auto"/>
        <w:bottom w:val="none" w:sz="0" w:space="0" w:color="auto"/>
        <w:right w:val="none" w:sz="0" w:space="0" w:color="auto"/>
      </w:divBdr>
    </w:div>
    <w:div w:id="1096512606">
      <w:marLeft w:val="0"/>
      <w:marRight w:val="0"/>
      <w:marTop w:val="180"/>
      <w:marBottom w:val="180"/>
      <w:divBdr>
        <w:top w:val="none" w:sz="0" w:space="0" w:color="auto"/>
        <w:left w:val="none" w:sz="0" w:space="0" w:color="auto"/>
        <w:bottom w:val="none" w:sz="0" w:space="0" w:color="auto"/>
        <w:right w:val="none" w:sz="0" w:space="0" w:color="auto"/>
      </w:divBdr>
    </w:div>
    <w:div w:id="1097215852">
      <w:marLeft w:val="0"/>
      <w:marRight w:val="0"/>
      <w:marTop w:val="0"/>
      <w:marBottom w:val="180"/>
      <w:divBdr>
        <w:top w:val="none" w:sz="0" w:space="0" w:color="auto"/>
        <w:left w:val="none" w:sz="0" w:space="0" w:color="auto"/>
        <w:bottom w:val="none" w:sz="0" w:space="0" w:color="auto"/>
        <w:right w:val="none" w:sz="0" w:space="0" w:color="auto"/>
      </w:divBdr>
    </w:div>
    <w:div w:id="1097363812">
      <w:marLeft w:val="0"/>
      <w:marRight w:val="0"/>
      <w:marTop w:val="60"/>
      <w:marBottom w:val="60"/>
      <w:divBdr>
        <w:top w:val="none" w:sz="0" w:space="0" w:color="auto"/>
        <w:left w:val="none" w:sz="0" w:space="0" w:color="auto"/>
        <w:bottom w:val="none" w:sz="0" w:space="0" w:color="auto"/>
        <w:right w:val="none" w:sz="0" w:space="0" w:color="auto"/>
      </w:divBdr>
    </w:div>
    <w:div w:id="1098984467">
      <w:marLeft w:val="0"/>
      <w:marRight w:val="0"/>
      <w:marTop w:val="0"/>
      <w:marBottom w:val="0"/>
      <w:divBdr>
        <w:top w:val="none" w:sz="0" w:space="0" w:color="auto"/>
        <w:left w:val="none" w:sz="0" w:space="0" w:color="auto"/>
        <w:bottom w:val="none" w:sz="0" w:space="0" w:color="auto"/>
        <w:right w:val="none" w:sz="0" w:space="0" w:color="auto"/>
      </w:divBdr>
      <w:divsChild>
        <w:div w:id="838077766">
          <w:marLeft w:val="0"/>
          <w:marRight w:val="0"/>
          <w:marTop w:val="0"/>
          <w:marBottom w:val="0"/>
          <w:divBdr>
            <w:top w:val="none" w:sz="0" w:space="0" w:color="auto"/>
            <w:left w:val="none" w:sz="0" w:space="0" w:color="auto"/>
            <w:bottom w:val="none" w:sz="0" w:space="0" w:color="auto"/>
            <w:right w:val="none" w:sz="0" w:space="0" w:color="auto"/>
          </w:divBdr>
          <w:divsChild>
            <w:div w:id="104761010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00293452">
      <w:marLeft w:val="0"/>
      <w:marRight w:val="0"/>
      <w:marTop w:val="180"/>
      <w:marBottom w:val="180"/>
      <w:divBdr>
        <w:top w:val="none" w:sz="0" w:space="0" w:color="auto"/>
        <w:left w:val="none" w:sz="0" w:space="0" w:color="auto"/>
        <w:bottom w:val="none" w:sz="0" w:space="0" w:color="auto"/>
        <w:right w:val="none" w:sz="0" w:space="0" w:color="auto"/>
      </w:divBdr>
    </w:div>
    <w:div w:id="1100375637">
      <w:marLeft w:val="0"/>
      <w:marRight w:val="0"/>
      <w:marTop w:val="180"/>
      <w:marBottom w:val="180"/>
      <w:divBdr>
        <w:top w:val="none" w:sz="0" w:space="0" w:color="auto"/>
        <w:left w:val="none" w:sz="0" w:space="0" w:color="auto"/>
        <w:bottom w:val="none" w:sz="0" w:space="0" w:color="auto"/>
        <w:right w:val="none" w:sz="0" w:space="0" w:color="auto"/>
      </w:divBdr>
    </w:div>
    <w:div w:id="1101295491">
      <w:marLeft w:val="0"/>
      <w:marRight w:val="0"/>
      <w:marTop w:val="100"/>
      <w:marBottom w:val="0"/>
      <w:divBdr>
        <w:top w:val="none" w:sz="0" w:space="0" w:color="auto"/>
        <w:left w:val="none" w:sz="0" w:space="0" w:color="auto"/>
        <w:bottom w:val="none" w:sz="0" w:space="0" w:color="auto"/>
        <w:right w:val="none" w:sz="0" w:space="0" w:color="auto"/>
      </w:divBdr>
      <w:divsChild>
        <w:div w:id="2051490525">
          <w:marLeft w:val="0"/>
          <w:marRight w:val="0"/>
          <w:marTop w:val="0"/>
          <w:marBottom w:val="0"/>
          <w:divBdr>
            <w:top w:val="none" w:sz="0" w:space="0" w:color="auto"/>
            <w:left w:val="none" w:sz="0" w:space="0" w:color="auto"/>
            <w:bottom w:val="none" w:sz="0" w:space="0" w:color="auto"/>
            <w:right w:val="none" w:sz="0" w:space="0" w:color="auto"/>
          </w:divBdr>
        </w:div>
      </w:divsChild>
    </w:div>
    <w:div w:id="1101343246">
      <w:marLeft w:val="0"/>
      <w:marRight w:val="0"/>
      <w:marTop w:val="0"/>
      <w:marBottom w:val="0"/>
      <w:divBdr>
        <w:top w:val="none" w:sz="0" w:space="0" w:color="auto"/>
        <w:left w:val="none" w:sz="0" w:space="0" w:color="auto"/>
        <w:bottom w:val="none" w:sz="0" w:space="0" w:color="auto"/>
        <w:right w:val="none" w:sz="0" w:space="0" w:color="auto"/>
      </w:divBdr>
    </w:div>
    <w:div w:id="1102065748">
      <w:marLeft w:val="0"/>
      <w:marRight w:val="0"/>
      <w:marTop w:val="180"/>
      <w:marBottom w:val="60"/>
      <w:divBdr>
        <w:top w:val="none" w:sz="0" w:space="0" w:color="auto"/>
        <w:left w:val="none" w:sz="0" w:space="0" w:color="auto"/>
        <w:bottom w:val="none" w:sz="0" w:space="0" w:color="auto"/>
        <w:right w:val="none" w:sz="0" w:space="0" w:color="auto"/>
      </w:divBdr>
    </w:div>
    <w:div w:id="1102069222">
      <w:marLeft w:val="0"/>
      <w:marRight w:val="0"/>
      <w:marTop w:val="60"/>
      <w:marBottom w:val="60"/>
      <w:divBdr>
        <w:top w:val="none" w:sz="0" w:space="0" w:color="auto"/>
        <w:left w:val="none" w:sz="0" w:space="0" w:color="auto"/>
        <w:bottom w:val="none" w:sz="0" w:space="0" w:color="auto"/>
        <w:right w:val="none" w:sz="0" w:space="0" w:color="auto"/>
      </w:divBdr>
    </w:div>
    <w:div w:id="1102726356">
      <w:marLeft w:val="0"/>
      <w:marRight w:val="0"/>
      <w:marTop w:val="180"/>
      <w:marBottom w:val="180"/>
      <w:divBdr>
        <w:top w:val="none" w:sz="0" w:space="0" w:color="auto"/>
        <w:left w:val="none" w:sz="0" w:space="0" w:color="auto"/>
        <w:bottom w:val="none" w:sz="0" w:space="0" w:color="auto"/>
        <w:right w:val="none" w:sz="0" w:space="0" w:color="auto"/>
      </w:divBdr>
    </w:div>
    <w:div w:id="1103459788">
      <w:marLeft w:val="0"/>
      <w:marRight w:val="0"/>
      <w:marTop w:val="180"/>
      <w:marBottom w:val="180"/>
      <w:divBdr>
        <w:top w:val="none" w:sz="0" w:space="0" w:color="auto"/>
        <w:left w:val="none" w:sz="0" w:space="0" w:color="auto"/>
        <w:bottom w:val="none" w:sz="0" w:space="0" w:color="auto"/>
        <w:right w:val="none" w:sz="0" w:space="0" w:color="auto"/>
      </w:divBdr>
    </w:div>
    <w:div w:id="1104575351">
      <w:marLeft w:val="0"/>
      <w:marRight w:val="0"/>
      <w:marTop w:val="180"/>
      <w:marBottom w:val="0"/>
      <w:divBdr>
        <w:top w:val="none" w:sz="0" w:space="0" w:color="auto"/>
        <w:left w:val="none" w:sz="0" w:space="0" w:color="auto"/>
        <w:bottom w:val="none" w:sz="0" w:space="0" w:color="auto"/>
        <w:right w:val="none" w:sz="0" w:space="0" w:color="auto"/>
      </w:divBdr>
    </w:div>
    <w:div w:id="1105686508">
      <w:marLeft w:val="0"/>
      <w:marRight w:val="0"/>
      <w:marTop w:val="0"/>
      <w:marBottom w:val="0"/>
      <w:divBdr>
        <w:top w:val="none" w:sz="0" w:space="0" w:color="auto"/>
        <w:left w:val="none" w:sz="0" w:space="0" w:color="auto"/>
        <w:bottom w:val="none" w:sz="0" w:space="0" w:color="auto"/>
        <w:right w:val="none" w:sz="0" w:space="0" w:color="auto"/>
      </w:divBdr>
    </w:div>
    <w:div w:id="1106123810">
      <w:marLeft w:val="0"/>
      <w:marRight w:val="0"/>
      <w:marTop w:val="60"/>
      <w:marBottom w:val="60"/>
      <w:divBdr>
        <w:top w:val="none" w:sz="0" w:space="0" w:color="auto"/>
        <w:left w:val="none" w:sz="0" w:space="0" w:color="auto"/>
        <w:bottom w:val="none" w:sz="0" w:space="0" w:color="auto"/>
        <w:right w:val="none" w:sz="0" w:space="0" w:color="auto"/>
      </w:divBdr>
    </w:div>
    <w:div w:id="1106265195">
      <w:marLeft w:val="0"/>
      <w:marRight w:val="0"/>
      <w:marTop w:val="180"/>
      <w:marBottom w:val="60"/>
      <w:divBdr>
        <w:top w:val="none" w:sz="0" w:space="0" w:color="auto"/>
        <w:left w:val="none" w:sz="0" w:space="0" w:color="auto"/>
        <w:bottom w:val="none" w:sz="0" w:space="0" w:color="auto"/>
        <w:right w:val="none" w:sz="0" w:space="0" w:color="auto"/>
      </w:divBdr>
    </w:div>
    <w:div w:id="1107697915">
      <w:marLeft w:val="0"/>
      <w:marRight w:val="0"/>
      <w:marTop w:val="180"/>
      <w:marBottom w:val="60"/>
      <w:divBdr>
        <w:top w:val="none" w:sz="0" w:space="0" w:color="auto"/>
        <w:left w:val="none" w:sz="0" w:space="0" w:color="auto"/>
        <w:bottom w:val="none" w:sz="0" w:space="0" w:color="auto"/>
        <w:right w:val="none" w:sz="0" w:space="0" w:color="auto"/>
      </w:divBdr>
      <w:divsChild>
        <w:div w:id="1769933346">
          <w:marLeft w:val="0"/>
          <w:marRight w:val="0"/>
          <w:marTop w:val="0"/>
          <w:marBottom w:val="0"/>
          <w:divBdr>
            <w:top w:val="none" w:sz="0" w:space="0" w:color="auto"/>
            <w:left w:val="none" w:sz="0" w:space="0" w:color="auto"/>
            <w:bottom w:val="none" w:sz="0" w:space="0" w:color="auto"/>
            <w:right w:val="none" w:sz="0" w:space="0" w:color="auto"/>
          </w:divBdr>
        </w:div>
      </w:divsChild>
    </w:div>
    <w:div w:id="1108157718">
      <w:marLeft w:val="0"/>
      <w:marRight w:val="0"/>
      <w:marTop w:val="180"/>
      <w:marBottom w:val="180"/>
      <w:divBdr>
        <w:top w:val="none" w:sz="0" w:space="0" w:color="auto"/>
        <w:left w:val="none" w:sz="0" w:space="0" w:color="auto"/>
        <w:bottom w:val="none" w:sz="0" w:space="0" w:color="auto"/>
        <w:right w:val="none" w:sz="0" w:space="0" w:color="auto"/>
      </w:divBdr>
    </w:div>
    <w:div w:id="1110658930">
      <w:marLeft w:val="0"/>
      <w:marRight w:val="0"/>
      <w:marTop w:val="180"/>
      <w:marBottom w:val="180"/>
      <w:divBdr>
        <w:top w:val="none" w:sz="0" w:space="0" w:color="auto"/>
        <w:left w:val="none" w:sz="0" w:space="0" w:color="auto"/>
        <w:bottom w:val="none" w:sz="0" w:space="0" w:color="auto"/>
        <w:right w:val="none" w:sz="0" w:space="0" w:color="auto"/>
      </w:divBdr>
    </w:div>
    <w:div w:id="1111316968">
      <w:marLeft w:val="0"/>
      <w:marRight w:val="0"/>
      <w:marTop w:val="180"/>
      <w:marBottom w:val="180"/>
      <w:divBdr>
        <w:top w:val="none" w:sz="0" w:space="0" w:color="auto"/>
        <w:left w:val="none" w:sz="0" w:space="0" w:color="auto"/>
        <w:bottom w:val="none" w:sz="0" w:space="0" w:color="auto"/>
        <w:right w:val="none" w:sz="0" w:space="0" w:color="auto"/>
      </w:divBdr>
    </w:div>
    <w:div w:id="1115443748">
      <w:marLeft w:val="0"/>
      <w:marRight w:val="0"/>
      <w:marTop w:val="180"/>
      <w:marBottom w:val="180"/>
      <w:divBdr>
        <w:top w:val="none" w:sz="0" w:space="0" w:color="auto"/>
        <w:left w:val="none" w:sz="0" w:space="0" w:color="auto"/>
        <w:bottom w:val="none" w:sz="0" w:space="0" w:color="auto"/>
        <w:right w:val="none" w:sz="0" w:space="0" w:color="auto"/>
      </w:divBdr>
    </w:div>
    <w:div w:id="1115444557">
      <w:marLeft w:val="0"/>
      <w:marRight w:val="0"/>
      <w:marTop w:val="180"/>
      <w:marBottom w:val="180"/>
      <w:divBdr>
        <w:top w:val="none" w:sz="0" w:space="0" w:color="auto"/>
        <w:left w:val="none" w:sz="0" w:space="0" w:color="auto"/>
        <w:bottom w:val="none" w:sz="0" w:space="0" w:color="auto"/>
        <w:right w:val="none" w:sz="0" w:space="0" w:color="auto"/>
      </w:divBdr>
    </w:div>
    <w:div w:id="1116287526">
      <w:marLeft w:val="0"/>
      <w:marRight w:val="0"/>
      <w:marTop w:val="180"/>
      <w:marBottom w:val="180"/>
      <w:divBdr>
        <w:top w:val="none" w:sz="0" w:space="0" w:color="auto"/>
        <w:left w:val="none" w:sz="0" w:space="0" w:color="auto"/>
        <w:bottom w:val="none" w:sz="0" w:space="0" w:color="auto"/>
        <w:right w:val="none" w:sz="0" w:space="0" w:color="auto"/>
      </w:divBdr>
    </w:div>
    <w:div w:id="1118183587">
      <w:marLeft w:val="0"/>
      <w:marRight w:val="0"/>
      <w:marTop w:val="0"/>
      <w:marBottom w:val="0"/>
      <w:divBdr>
        <w:top w:val="none" w:sz="0" w:space="0" w:color="auto"/>
        <w:left w:val="none" w:sz="0" w:space="0" w:color="auto"/>
        <w:bottom w:val="none" w:sz="0" w:space="0" w:color="auto"/>
        <w:right w:val="none" w:sz="0" w:space="0" w:color="auto"/>
      </w:divBdr>
      <w:divsChild>
        <w:div w:id="1721393624">
          <w:marLeft w:val="0"/>
          <w:marRight w:val="0"/>
          <w:marTop w:val="0"/>
          <w:marBottom w:val="0"/>
          <w:divBdr>
            <w:top w:val="none" w:sz="0" w:space="0" w:color="auto"/>
            <w:left w:val="none" w:sz="0" w:space="0" w:color="auto"/>
            <w:bottom w:val="none" w:sz="0" w:space="0" w:color="auto"/>
            <w:right w:val="none" w:sz="0" w:space="0" w:color="auto"/>
          </w:divBdr>
          <w:divsChild>
            <w:div w:id="209593143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19879828">
      <w:marLeft w:val="0"/>
      <w:marRight w:val="0"/>
      <w:marTop w:val="240"/>
      <w:marBottom w:val="180"/>
      <w:divBdr>
        <w:top w:val="none" w:sz="0" w:space="0" w:color="auto"/>
        <w:left w:val="none" w:sz="0" w:space="0" w:color="auto"/>
        <w:bottom w:val="none" w:sz="0" w:space="0" w:color="auto"/>
        <w:right w:val="none" w:sz="0" w:space="0" w:color="auto"/>
      </w:divBdr>
    </w:div>
    <w:div w:id="1120615116">
      <w:marLeft w:val="0"/>
      <w:marRight w:val="0"/>
      <w:marTop w:val="180"/>
      <w:marBottom w:val="180"/>
      <w:divBdr>
        <w:top w:val="none" w:sz="0" w:space="0" w:color="auto"/>
        <w:left w:val="none" w:sz="0" w:space="0" w:color="auto"/>
        <w:bottom w:val="none" w:sz="0" w:space="0" w:color="auto"/>
        <w:right w:val="none" w:sz="0" w:space="0" w:color="auto"/>
      </w:divBdr>
    </w:div>
    <w:div w:id="1121874810">
      <w:marLeft w:val="0"/>
      <w:marRight w:val="0"/>
      <w:marTop w:val="180"/>
      <w:marBottom w:val="180"/>
      <w:divBdr>
        <w:top w:val="none" w:sz="0" w:space="0" w:color="auto"/>
        <w:left w:val="none" w:sz="0" w:space="0" w:color="auto"/>
        <w:bottom w:val="none" w:sz="0" w:space="0" w:color="auto"/>
        <w:right w:val="none" w:sz="0" w:space="0" w:color="auto"/>
      </w:divBdr>
    </w:div>
    <w:div w:id="1122502960">
      <w:marLeft w:val="0"/>
      <w:marRight w:val="0"/>
      <w:marTop w:val="0"/>
      <w:marBottom w:val="0"/>
      <w:divBdr>
        <w:top w:val="none" w:sz="0" w:space="0" w:color="auto"/>
        <w:left w:val="none" w:sz="0" w:space="0" w:color="auto"/>
        <w:bottom w:val="none" w:sz="0" w:space="0" w:color="auto"/>
        <w:right w:val="none" w:sz="0" w:space="0" w:color="auto"/>
      </w:divBdr>
      <w:divsChild>
        <w:div w:id="1221018954">
          <w:marLeft w:val="0"/>
          <w:marRight w:val="0"/>
          <w:marTop w:val="0"/>
          <w:marBottom w:val="0"/>
          <w:divBdr>
            <w:top w:val="none" w:sz="0" w:space="0" w:color="auto"/>
            <w:left w:val="none" w:sz="0" w:space="0" w:color="auto"/>
            <w:bottom w:val="none" w:sz="0" w:space="0" w:color="auto"/>
            <w:right w:val="none" w:sz="0" w:space="0" w:color="auto"/>
          </w:divBdr>
          <w:divsChild>
            <w:div w:id="127004598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23420498">
      <w:marLeft w:val="0"/>
      <w:marRight w:val="0"/>
      <w:marTop w:val="0"/>
      <w:marBottom w:val="0"/>
      <w:divBdr>
        <w:top w:val="none" w:sz="0" w:space="0" w:color="auto"/>
        <w:left w:val="none" w:sz="0" w:space="0" w:color="auto"/>
        <w:bottom w:val="none" w:sz="0" w:space="0" w:color="auto"/>
        <w:right w:val="none" w:sz="0" w:space="0" w:color="auto"/>
      </w:divBdr>
      <w:divsChild>
        <w:div w:id="601498538">
          <w:marLeft w:val="0"/>
          <w:marRight w:val="0"/>
          <w:marTop w:val="0"/>
          <w:marBottom w:val="0"/>
          <w:divBdr>
            <w:top w:val="none" w:sz="0" w:space="0" w:color="auto"/>
            <w:left w:val="none" w:sz="0" w:space="0" w:color="auto"/>
            <w:bottom w:val="none" w:sz="0" w:space="0" w:color="auto"/>
            <w:right w:val="none" w:sz="0" w:space="0" w:color="auto"/>
          </w:divBdr>
          <w:divsChild>
            <w:div w:id="35862298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23695790">
      <w:marLeft w:val="0"/>
      <w:marRight w:val="0"/>
      <w:marTop w:val="180"/>
      <w:marBottom w:val="180"/>
      <w:divBdr>
        <w:top w:val="none" w:sz="0" w:space="0" w:color="auto"/>
        <w:left w:val="none" w:sz="0" w:space="0" w:color="auto"/>
        <w:bottom w:val="none" w:sz="0" w:space="0" w:color="auto"/>
        <w:right w:val="none" w:sz="0" w:space="0" w:color="auto"/>
      </w:divBdr>
    </w:div>
    <w:div w:id="1125932019">
      <w:marLeft w:val="0"/>
      <w:marRight w:val="0"/>
      <w:marTop w:val="0"/>
      <w:marBottom w:val="180"/>
      <w:divBdr>
        <w:top w:val="none" w:sz="0" w:space="0" w:color="auto"/>
        <w:left w:val="none" w:sz="0" w:space="0" w:color="auto"/>
        <w:bottom w:val="none" w:sz="0" w:space="0" w:color="auto"/>
        <w:right w:val="none" w:sz="0" w:space="0" w:color="auto"/>
      </w:divBdr>
    </w:div>
    <w:div w:id="1126897668">
      <w:marLeft w:val="0"/>
      <w:marRight w:val="0"/>
      <w:marTop w:val="180"/>
      <w:marBottom w:val="180"/>
      <w:divBdr>
        <w:top w:val="none" w:sz="0" w:space="0" w:color="auto"/>
        <w:left w:val="none" w:sz="0" w:space="0" w:color="auto"/>
        <w:bottom w:val="none" w:sz="0" w:space="0" w:color="auto"/>
        <w:right w:val="none" w:sz="0" w:space="0" w:color="auto"/>
      </w:divBdr>
    </w:div>
    <w:div w:id="1127552015">
      <w:marLeft w:val="0"/>
      <w:marRight w:val="0"/>
      <w:marTop w:val="60"/>
      <w:marBottom w:val="60"/>
      <w:divBdr>
        <w:top w:val="none" w:sz="0" w:space="0" w:color="auto"/>
        <w:left w:val="none" w:sz="0" w:space="0" w:color="auto"/>
        <w:bottom w:val="none" w:sz="0" w:space="0" w:color="auto"/>
        <w:right w:val="none" w:sz="0" w:space="0" w:color="auto"/>
      </w:divBdr>
    </w:div>
    <w:div w:id="1128202475">
      <w:marLeft w:val="0"/>
      <w:marRight w:val="0"/>
      <w:marTop w:val="180"/>
      <w:marBottom w:val="180"/>
      <w:divBdr>
        <w:top w:val="none" w:sz="0" w:space="0" w:color="auto"/>
        <w:left w:val="none" w:sz="0" w:space="0" w:color="auto"/>
        <w:bottom w:val="none" w:sz="0" w:space="0" w:color="auto"/>
        <w:right w:val="none" w:sz="0" w:space="0" w:color="auto"/>
      </w:divBdr>
    </w:div>
    <w:div w:id="1128544837">
      <w:marLeft w:val="0"/>
      <w:marRight w:val="0"/>
      <w:marTop w:val="180"/>
      <w:marBottom w:val="180"/>
      <w:divBdr>
        <w:top w:val="none" w:sz="0" w:space="0" w:color="auto"/>
        <w:left w:val="none" w:sz="0" w:space="0" w:color="auto"/>
        <w:bottom w:val="none" w:sz="0" w:space="0" w:color="auto"/>
        <w:right w:val="none" w:sz="0" w:space="0" w:color="auto"/>
      </w:divBdr>
    </w:div>
    <w:div w:id="1128815265">
      <w:marLeft w:val="0"/>
      <w:marRight w:val="0"/>
      <w:marTop w:val="180"/>
      <w:marBottom w:val="180"/>
      <w:divBdr>
        <w:top w:val="none" w:sz="0" w:space="0" w:color="auto"/>
        <w:left w:val="none" w:sz="0" w:space="0" w:color="auto"/>
        <w:bottom w:val="none" w:sz="0" w:space="0" w:color="auto"/>
        <w:right w:val="none" w:sz="0" w:space="0" w:color="auto"/>
      </w:divBdr>
    </w:div>
    <w:div w:id="1129784421">
      <w:marLeft w:val="0"/>
      <w:marRight w:val="0"/>
      <w:marTop w:val="180"/>
      <w:marBottom w:val="180"/>
      <w:divBdr>
        <w:top w:val="none" w:sz="0" w:space="0" w:color="auto"/>
        <w:left w:val="none" w:sz="0" w:space="0" w:color="auto"/>
        <w:bottom w:val="none" w:sz="0" w:space="0" w:color="auto"/>
        <w:right w:val="none" w:sz="0" w:space="0" w:color="auto"/>
      </w:divBdr>
    </w:div>
    <w:div w:id="1131628046">
      <w:marLeft w:val="0"/>
      <w:marRight w:val="0"/>
      <w:marTop w:val="180"/>
      <w:marBottom w:val="180"/>
      <w:divBdr>
        <w:top w:val="none" w:sz="0" w:space="0" w:color="auto"/>
        <w:left w:val="none" w:sz="0" w:space="0" w:color="auto"/>
        <w:bottom w:val="none" w:sz="0" w:space="0" w:color="auto"/>
        <w:right w:val="none" w:sz="0" w:space="0" w:color="auto"/>
      </w:divBdr>
    </w:div>
    <w:div w:id="1131900398">
      <w:marLeft w:val="0"/>
      <w:marRight w:val="0"/>
      <w:marTop w:val="180"/>
      <w:marBottom w:val="180"/>
      <w:divBdr>
        <w:top w:val="none" w:sz="0" w:space="0" w:color="auto"/>
        <w:left w:val="none" w:sz="0" w:space="0" w:color="auto"/>
        <w:bottom w:val="none" w:sz="0" w:space="0" w:color="auto"/>
        <w:right w:val="none" w:sz="0" w:space="0" w:color="auto"/>
      </w:divBdr>
    </w:div>
    <w:div w:id="1135411601">
      <w:marLeft w:val="0"/>
      <w:marRight w:val="0"/>
      <w:marTop w:val="0"/>
      <w:marBottom w:val="0"/>
      <w:divBdr>
        <w:top w:val="none" w:sz="0" w:space="0" w:color="auto"/>
        <w:left w:val="none" w:sz="0" w:space="0" w:color="auto"/>
        <w:bottom w:val="none" w:sz="0" w:space="0" w:color="auto"/>
        <w:right w:val="none" w:sz="0" w:space="0" w:color="auto"/>
      </w:divBdr>
    </w:div>
    <w:div w:id="1135567416">
      <w:marLeft w:val="0"/>
      <w:marRight w:val="0"/>
      <w:marTop w:val="180"/>
      <w:marBottom w:val="180"/>
      <w:divBdr>
        <w:top w:val="none" w:sz="0" w:space="0" w:color="auto"/>
        <w:left w:val="none" w:sz="0" w:space="0" w:color="auto"/>
        <w:bottom w:val="none" w:sz="0" w:space="0" w:color="auto"/>
        <w:right w:val="none" w:sz="0" w:space="0" w:color="auto"/>
      </w:divBdr>
    </w:div>
    <w:div w:id="1136338231">
      <w:marLeft w:val="0"/>
      <w:marRight w:val="0"/>
      <w:marTop w:val="0"/>
      <w:marBottom w:val="0"/>
      <w:divBdr>
        <w:top w:val="none" w:sz="0" w:space="0" w:color="auto"/>
        <w:left w:val="none" w:sz="0" w:space="0" w:color="auto"/>
        <w:bottom w:val="none" w:sz="0" w:space="0" w:color="auto"/>
        <w:right w:val="none" w:sz="0" w:space="0" w:color="auto"/>
      </w:divBdr>
      <w:divsChild>
        <w:div w:id="114450841">
          <w:marLeft w:val="0"/>
          <w:marRight w:val="0"/>
          <w:marTop w:val="180"/>
          <w:marBottom w:val="180"/>
          <w:divBdr>
            <w:top w:val="none" w:sz="0" w:space="0" w:color="auto"/>
            <w:left w:val="none" w:sz="0" w:space="0" w:color="auto"/>
            <w:bottom w:val="none" w:sz="0" w:space="0" w:color="auto"/>
            <w:right w:val="none" w:sz="0" w:space="0" w:color="auto"/>
          </w:divBdr>
        </w:div>
      </w:divsChild>
    </w:div>
    <w:div w:id="1136411373">
      <w:marLeft w:val="0"/>
      <w:marRight w:val="0"/>
      <w:marTop w:val="180"/>
      <w:marBottom w:val="180"/>
      <w:divBdr>
        <w:top w:val="none" w:sz="0" w:space="0" w:color="auto"/>
        <w:left w:val="none" w:sz="0" w:space="0" w:color="auto"/>
        <w:bottom w:val="none" w:sz="0" w:space="0" w:color="auto"/>
        <w:right w:val="none" w:sz="0" w:space="0" w:color="auto"/>
      </w:divBdr>
    </w:div>
    <w:div w:id="1137331231">
      <w:marLeft w:val="0"/>
      <w:marRight w:val="0"/>
      <w:marTop w:val="180"/>
      <w:marBottom w:val="180"/>
      <w:divBdr>
        <w:top w:val="none" w:sz="0" w:space="0" w:color="auto"/>
        <w:left w:val="none" w:sz="0" w:space="0" w:color="auto"/>
        <w:bottom w:val="none" w:sz="0" w:space="0" w:color="auto"/>
        <w:right w:val="none" w:sz="0" w:space="0" w:color="auto"/>
      </w:divBdr>
    </w:div>
    <w:div w:id="1138033699">
      <w:marLeft w:val="0"/>
      <w:marRight w:val="0"/>
      <w:marTop w:val="180"/>
      <w:marBottom w:val="180"/>
      <w:divBdr>
        <w:top w:val="none" w:sz="0" w:space="0" w:color="auto"/>
        <w:left w:val="none" w:sz="0" w:space="0" w:color="auto"/>
        <w:bottom w:val="none" w:sz="0" w:space="0" w:color="auto"/>
        <w:right w:val="none" w:sz="0" w:space="0" w:color="auto"/>
      </w:divBdr>
    </w:div>
    <w:div w:id="1138297969">
      <w:marLeft w:val="0"/>
      <w:marRight w:val="0"/>
      <w:marTop w:val="180"/>
      <w:marBottom w:val="180"/>
      <w:divBdr>
        <w:top w:val="none" w:sz="0" w:space="0" w:color="auto"/>
        <w:left w:val="none" w:sz="0" w:space="0" w:color="auto"/>
        <w:bottom w:val="none" w:sz="0" w:space="0" w:color="auto"/>
        <w:right w:val="none" w:sz="0" w:space="0" w:color="auto"/>
      </w:divBdr>
    </w:div>
    <w:div w:id="1138301709">
      <w:marLeft w:val="0"/>
      <w:marRight w:val="0"/>
      <w:marTop w:val="60"/>
      <w:marBottom w:val="60"/>
      <w:divBdr>
        <w:top w:val="none" w:sz="0" w:space="0" w:color="auto"/>
        <w:left w:val="none" w:sz="0" w:space="0" w:color="auto"/>
        <w:bottom w:val="none" w:sz="0" w:space="0" w:color="auto"/>
        <w:right w:val="none" w:sz="0" w:space="0" w:color="auto"/>
      </w:divBdr>
    </w:div>
    <w:div w:id="1138837178">
      <w:marLeft w:val="0"/>
      <w:marRight w:val="0"/>
      <w:marTop w:val="60"/>
      <w:marBottom w:val="60"/>
      <w:divBdr>
        <w:top w:val="none" w:sz="0" w:space="0" w:color="auto"/>
        <w:left w:val="none" w:sz="0" w:space="0" w:color="auto"/>
        <w:bottom w:val="none" w:sz="0" w:space="0" w:color="auto"/>
        <w:right w:val="none" w:sz="0" w:space="0" w:color="auto"/>
      </w:divBdr>
    </w:div>
    <w:div w:id="1139109919">
      <w:marLeft w:val="0"/>
      <w:marRight w:val="0"/>
      <w:marTop w:val="180"/>
      <w:marBottom w:val="180"/>
      <w:divBdr>
        <w:top w:val="none" w:sz="0" w:space="0" w:color="auto"/>
        <w:left w:val="none" w:sz="0" w:space="0" w:color="auto"/>
        <w:bottom w:val="none" w:sz="0" w:space="0" w:color="auto"/>
        <w:right w:val="none" w:sz="0" w:space="0" w:color="auto"/>
      </w:divBdr>
    </w:div>
    <w:div w:id="1141732220">
      <w:marLeft w:val="0"/>
      <w:marRight w:val="0"/>
      <w:marTop w:val="240"/>
      <w:marBottom w:val="180"/>
      <w:divBdr>
        <w:top w:val="none" w:sz="0" w:space="0" w:color="auto"/>
        <w:left w:val="none" w:sz="0" w:space="0" w:color="auto"/>
        <w:bottom w:val="none" w:sz="0" w:space="0" w:color="auto"/>
        <w:right w:val="none" w:sz="0" w:space="0" w:color="auto"/>
      </w:divBdr>
    </w:div>
    <w:div w:id="1141996604">
      <w:marLeft w:val="0"/>
      <w:marRight w:val="0"/>
      <w:marTop w:val="240"/>
      <w:marBottom w:val="180"/>
      <w:divBdr>
        <w:top w:val="none" w:sz="0" w:space="0" w:color="auto"/>
        <w:left w:val="none" w:sz="0" w:space="0" w:color="auto"/>
        <w:bottom w:val="none" w:sz="0" w:space="0" w:color="auto"/>
        <w:right w:val="none" w:sz="0" w:space="0" w:color="auto"/>
      </w:divBdr>
    </w:div>
    <w:div w:id="1142816817">
      <w:marLeft w:val="0"/>
      <w:marRight w:val="0"/>
      <w:marTop w:val="180"/>
      <w:marBottom w:val="180"/>
      <w:divBdr>
        <w:top w:val="none" w:sz="0" w:space="0" w:color="auto"/>
        <w:left w:val="none" w:sz="0" w:space="0" w:color="auto"/>
        <w:bottom w:val="none" w:sz="0" w:space="0" w:color="auto"/>
        <w:right w:val="none" w:sz="0" w:space="0" w:color="auto"/>
      </w:divBdr>
    </w:div>
    <w:div w:id="1142966600">
      <w:marLeft w:val="0"/>
      <w:marRight w:val="0"/>
      <w:marTop w:val="180"/>
      <w:marBottom w:val="180"/>
      <w:divBdr>
        <w:top w:val="none" w:sz="0" w:space="0" w:color="auto"/>
        <w:left w:val="none" w:sz="0" w:space="0" w:color="auto"/>
        <w:bottom w:val="none" w:sz="0" w:space="0" w:color="auto"/>
        <w:right w:val="none" w:sz="0" w:space="0" w:color="auto"/>
      </w:divBdr>
    </w:div>
    <w:div w:id="1143619348">
      <w:marLeft w:val="0"/>
      <w:marRight w:val="0"/>
      <w:marTop w:val="180"/>
      <w:marBottom w:val="180"/>
      <w:divBdr>
        <w:top w:val="none" w:sz="0" w:space="0" w:color="auto"/>
        <w:left w:val="none" w:sz="0" w:space="0" w:color="auto"/>
        <w:bottom w:val="none" w:sz="0" w:space="0" w:color="auto"/>
        <w:right w:val="none" w:sz="0" w:space="0" w:color="auto"/>
      </w:divBdr>
    </w:div>
    <w:div w:id="1144396801">
      <w:marLeft w:val="0"/>
      <w:marRight w:val="0"/>
      <w:marTop w:val="180"/>
      <w:marBottom w:val="180"/>
      <w:divBdr>
        <w:top w:val="none" w:sz="0" w:space="0" w:color="auto"/>
        <w:left w:val="none" w:sz="0" w:space="0" w:color="auto"/>
        <w:bottom w:val="none" w:sz="0" w:space="0" w:color="auto"/>
        <w:right w:val="none" w:sz="0" w:space="0" w:color="auto"/>
      </w:divBdr>
    </w:div>
    <w:div w:id="1145976049">
      <w:marLeft w:val="0"/>
      <w:marRight w:val="0"/>
      <w:marTop w:val="180"/>
      <w:marBottom w:val="180"/>
      <w:divBdr>
        <w:top w:val="none" w:sz="0" w:space="0" w:color="auto"/>
        <w:left w:val="none" w:sz="0" w:space="0" w:color="auto"/>
        <w:bottom w:val="none" w:sz="0" w:space="0" w:color="auto"/>
        <w:right w:val="none" w:sz="0" w:space="0" w:color="auto"/>
      </w:divBdr>
    </w:div>
    <w:div w:id="1146241690">
      <w:marLeft w:val="0"/>
      <w:marRight w:val="0"/>
      <w:marTop w:val="0"/>
      <w:marBottom w:val="60"/>
      <w:divBdr>
        <w:top w:val="none" w:sz="0" w:space="0" w:color="auto"/>
        <w:left w:val="none" w:sz="0" w:space="0" w:color="auto"/>
        <w:bottom w:val="none" w:sz="0" w:space="0" w:color="auto"/>
        <w:right w:val="none" w:sz="0" w:space="0" w:color="auto"/>
      </w:divBdr>
    </w:div>
    <w:div w:id="1147042990">
      <w:marLeft w:val="0"/>
      <w:marRight w:val="0"/>
      <w:marTop w:val="180"/>
      <w:marBottom w:val="180"/>
      <w:divBdr>
        <w:top w:val="none" w:sz="0" w:space="0" w:color="auto"/>
        <w:left w:val="none" w:sz="0" w:space="0" w:color="auto"/>
        <w:bottom w:val="none" w:sz="0" w:space="0" w:color="auto"/>
        <w:right w:val="none" w:sz="0" w:space="0" w:color="auto"/>
      </w:divBdr>
    </w:div>
    <w:div w:id="1147087610">
      <w:marLeft w:val="0"/>
      <w:marRight w:val="0"/>
      <w:marTop w:val="180"/>
      <w:marBottom w:val="180"/>
      <w:divBdr>
        <w:top w:val="none" w:sz="0" w:space="0" w:color="auto"/>
        <w:left w:val="none" w:sz="0" w:space="0" w:color="auto"/>
        <w:bottom w:val="none" w:sz="0" w:space="0" w:color="auto"/>
        <w:right w:val="none" w:sz="0" w:space="0" w:color="auto"/>
      </w:divBdr>
    </w:div>
    <w:div w:id="1147554378">
      <w:marLeft w:val="0"/>
      <w:marRight w:val="0"/>
      <w:marTop w:val="180"/>
      <w:marBottom w:val="180"/>
      <w:divBdr>
        <w:top w:val="none" w:sz="0" w:space="0" w:color="auto"/>
        <w:left w:val="none" w:sz="0" w:space="0" w:color="auto"/>
        <w:bottom w:val="none" w:sz="0" w:space="0" w:color="auto"/>
        <w:right w:val="none" w:sz="0" w:space="0" w:color="auto"/>
      </w:divBdr>
    </w:div>
    <w:div w:id="1148742193">
      <w:marLeft w:val="0"/>
      <w:marRight w:val="0"/>
      <w:marTop w:val="60"/>
      <w:marBottom w:val="60"/>
      <w:divBdr>
        <w:top w:val="none" w:sz="0" w:space="0" w:color="auto"/>
        <w:left w:val="none" w:sz="0" w:space="0" w:color="auto"/>
        <w:bottom w:val="none" w:sz="0" w:space="0" w:color="auto"/>
        <w:right w:val="none" w:sz="0" w:space="0" w:color="auto"/>
      </w:divBdr>
    </w:div>
    <w:div w:id="1149596482">
      <w:marLeft w:val="0"/>
      <w:marRight w:val="0"/>
      <w:marTop w:val="0"/>
      <w:marBottom w:val="0"/>
      <w:divBdr>
        <w:top w:val="none" w:sz="0" w:space="0" w:color="auto"/>
        <w:left w:val="none" w:sz="0" w:space="0" w:color="auto"/>
        <w:bottom w:val="none" w:sz="0" w:space="0" w:color="auto"/>
        <w:right w:val="none" w:sz="0" w:space="0" w:color="auto"/>
      </w:divBdr>
    </w:div>
    <w:div w:id="1151795874">
      <w:marLeft w:val="0"/>
      <w:marRight w:val="0"/>
      <w:marTop w:val="180"/>
      <w:marBottom w:val="180"/>
      <w:divBdr>
        <w:top w:val="none" w:sz="0" w:space="0" w:color="auto"/>
        <w:left w:val="none" w:sz="0" w:space="0" w:color="auto"/>
        <w:bottom w:val="none" w:sz="0" w:space="0" w:color="auto"/>
        <w:right w:val="none" w:sz="0" w:space="0" w:color="auto"/>
      </w:divBdr>
    </w:div>
    <w:div w:id="1153373333">
      <w:marLeft w:val="0"/>
      <w:marRight w:val="0"/>
      <w:marTop w:val="100"/>
      <w:marBottom w:val="0"/>
      <w:divBdr>
        <w:top w:val="none" w:sz="0" w:space="0" w:color="auto"/>
        <w:left w:val="none" w:sz="0" w:space="0" w:color="auto"/>
        <w:bottom w:val="none" w:sz="0" w:space="0" w:color="auto"/>
        <w:right w:val="none" w:sz="0" w:space="0" w:color="auto"/>
      </w:divBdr>
      <w:divsChild>
        <w:div w:id="1222130176">
          <w:marLeft w:val="0"/>
          <w:marRight w:val="0"/>
          <w:marTop w:val="0"/>
          <w:marBottom w:val="0"/>
          <w:divBdr>
            <w:top w:val="none" w:sz="0" w:space="0" w:color="auto"/>
            <w:left w:val="none" w:sz="0" w:space="0" w:color="auto"/>
            <w:bottom w:val="none" w:sz="0" w:space="0" w:color="auto"/>
            <w:right w:val="none" w:sz="0" w:space="0" w:color="auto"/>
          </w:divBdr>
        </w:div>
        <w:div w:id="498538943">
          <w:marLeft w:val="0"/>
          <w:marRight w:val="0"/>
          <w:marTop w:val="0"/>
          <w:marBottom w:val="0"/>
          <w:divBdr>
            <w:top w:val="none" w:sz="0" w:space="0" w:color="auto"/>
            <w:left w:val="none" w:sz="0" w:space="0" w:color="auto"/>
            <w:bottom w:val="none" w:sz="0" w:space="0" w:color="auto"/>
            <w:right w:val="none" w:sz="0" w:space="0" w:color="auto"/>
          </w:divBdr>
        </w:div>
      </w:divsChild>
    </w:div>
    <w:div w:id="1153569573">
      <w:marLeft w:val="0"/>
      <w:marRight w:val="0"/>
      <w:marTop w:val="180"/>
      <w:marBottom w:val="180"/>
      <w:divBdr>
        <w:top w:val="none" w:sz="0" w:space="0" w:color="auto"/>
        <w:left w:val="none" w:sz="0" w:space="0" w:color="auto"/>
        <w:bottom w:val="none" w:sz="0" w:space="0" w:color="auto"/>
        <w:right w:val="none" w:sz="0" w:space="0" w:color="auto"/>
      </w:divBdr>
    </w:div>
    <w:div w:id="1153594923">
      <w:marLeft w:val="0"/>
      <w:marRight w:val="0"/>
      <w:marTop w:val="0"/>
      <w:marBottom w:val="0"/>
      <w:divBdr>
        <w:top w:val="none" w:sz="0" w:space="0" w:color="auto"/>
        <w:left w:val="none" w:sz="0" w:space="0" w:color="auto"/>
        <w:bottom w:val="none" w:sz="0" w:space="0" w:color="auto"/>
        <w:right w:val="none" w:sz="0" w:space="0" w:color="auto"/>
      </w:divBdr>
    </w:div>
    <w:div w:id="1155410775">
      <w:marLeft w:val="0"/>
      <w:marRight w:val="0"/>
      <w:marTop w:val="60"/>
      <w:marBottom w:val="60"/>
      <w:divBdr>
        <w:top w:val="none" w:sz="0" w:space="0" w:color="auto"/>
        <w:left w:val="none" w:sz="0" w:space="0" w:color="auto"/>
        <w:bottom w:val="none" w:sz="0" w:space="0" w:color="auto"/>
        <w:right w:val="none" w:sz="0" w:space="0" w:color="auto"/>
      </w:divBdr>
    </w:div>
    <w:div w:id="1155606912">
      <w:marLeft w:val="0"/>
      <w:marRight w:val="0"/>
      <w:marTop w:val="60"/>
      <w:marBottom w:val="60"/>
      <w:divBdr>
        <w:top w:val="none" w:sz="0" w:space="0" w:color="auto"/>
        <w:left w:val="none" w:sz="0" w:space="0" w:color="auto"/>
        <w:bottom w:val="none" w:sz="0" w:space="0" w:color="auto"/>
        <w:right w:val="none" w:sz="0" w:space="0" w:color="auto"/>
      </w:divBdr>
    </w:div>
    <w:div w:id="1157845866">
      <w:marLeft w:val="0"/>
      <w:marRight w:val="0"/>
      <w:marTop w:val="60"/>
      <w:marBottom w:val="60"/>
      <w:divBdr>
        <w:top w:val="none" w:sz="0" w:space="0" w:color="auto"/>
        <w:left w:val="none" w:sz="0" w:space="0" w:color="auto"/>
        <w:bottom w:val="none" w:sz="0" w:space="0" w:color="auto"/>
        <w:right w:val="none" w:sz="0" w:space="0" w:color="auto"/>
      </w:divBdr>
    </w:div>
    <w:div w:id="1158770449">
      <w:marLeft w:val="0"/>
      <w:marRight w:val="0"/>
      <w:marTop w:val="180"/>
      <w:marBottom w:val="180"/>
      <w:divBdr>
        <w:top w:val="none" w:sz="0" w:space="0" w:color="auto"/>
        <w:left w:val="none" w:sz="0" w:space="0" w:color="auto"/>
        <w:bottom w:val="none" w:sz="0" w:space="0" w:color="auto"/>
        <w:right w:val="none" w:sz="0" w:space="0" w:color="auto"/>
      </w:divBdr>
    </w:div>
    <w:div w:id="1158812055">
      <w:marLeft w:val="0"/>
      <w:marRight w:val="0"/>
      <w:marTop w:val="180"/>
      <w:marBottom w:val="180"/>
      <w:divBdr>
        <w:top w:val="none" w:sz="0" w:space="0" w:color="auto"/>
        <w:left w:val="none" w:sz="0" w:space="0" w:color="auto"/>
        <w:bottom w:val="none" w:sz="0" w:space="0" w:color="auto"/>
        <w:right w:val="none" w:sz="0" w:space="0" w:color="auto"/>
      </w:divBdr>
    </w:div>
    <w:div w:id="1158839830">
      <w:marLeft w:val="0"/>
      <w:marRight w:val="0"/>
      <w:marTop w:val="180"/>
      <w:marBottom w:val="180"/>
      <w:divBdr>
        <w:top w:val="none" w:sz="0" w:space="0" w:color="auto"/>
        <w:left w:val="none" w:sz="0" w:space="0" w:color="auto"/>
        <w:bottom w:val="none" w:sz="0" w:space="0" w:color="auto"/>
        <w:right w:val="none" w:sz="0" w:space="0" w:color="auto"/>
      </w:divBdr>
    </w:div>
    <w:div w:id="1159731923">
      <w:marLeft w:val="0"/>
      <w:marRight w:val="0"/>
      <w:marTop w:val="180"/>
      <w:marBottom w:val="180"/>
      <w:divBdr>
        <w:top w:val="none" w:sz="0" w:space="0" w:color="auto"/>
        <w:left w:val="none" w:sz="0" w:space="0" w:color="auto"/>
        <w:bottom w:val="none" w:sz="0" w:space="0" w:color="auto"/>
        <w:right w:val="none" w:sz="0" w:space="0" w:color="auto"/>
      </w:divBdr>
    </w:div>
    <w:div w:id="1160077998">
      <w:marLeft w:val="0"/>
      <w:marRight w:val="0"/>
      <w:marTop w:val="0"/>
      <w:marBottom w:val="0"/>
      <w:divBdr>
        <w:top w:val="none" w:sz="0" w:space="0" w:color="auto"/>
        <w:left w:val="none" w:sz="0" w:space="0" w:color="auto"/>
        <w:bottom w:val="none" w:sz="0" w:space="0" w:color="auto"/>
        <w:right w:val="none" w:sz="0" w:space="0" w:color="auto"/>
      </w:divBdr>
      <w:divsChild>
        <w:div w:id="2131976587">
          <w:marLeft w:val="0"/>
          <w:marRight w:val="0"/>
          <w:marTop w:val="60"/>
          <w:marBottom w:val="180"/>
          <w:divBdr>
            <w:top w:val="none" w:sz="0" w:space="0" w:color="auto"/>
            <w:left w:val="none" w:sz="0" w:space="0" w:color="auto"/>
            <w:bottom w:val="none" w:sz="0" w:space="0" w:color="auto"/>
            <w:right w:val="none" w:sz="0" w:space="0" w:color="auto"/>
          </w:divBdr>
        </w:div>
      </w:divsChild>
    </w:div>
    <w:div w:id="1161970605">
      <w:marLeft w:val="0"/>
      <w:marRight w:val="0"/>
      <w:marTop w:val="60"/>
      <w:marBottom w:val="60"/>
      <w:divBdr>
        <w:top w:val="none" w:sz="0" w:space="0" w:color="auto"/>
        <w:left w:val="none" w:sz="0" w:space="0" w:color="auto"/>
        <w:bottom w:val="none" w:sz="0" w:space="0" w:color="auto"/>
        <w:right w:val="none" w:sz="0" w:space="0" w:color="auto"/>
      </w:divBdr>
    </w:div>
    <w:div w:id="1163399338">
      <w:marLeft w:val="0"/>
      <w:marRight w:val="0"/>
      <w:marTop w:val="0"/>
      <w:marBottom w:val="0"/>
      <w:divBdr>
        <w:top w:val="none" w:sz="0" w:space="0" w:color="auto"/>
        <w:left w:val="none" w:sz="0" w:space="0" w:color="auto"/>
        <w:bottom w:val="none" w:sz="0" w:space="0" w:color="auto"/>
        <w:right w:val="none" w:sz="0" w:space="0" w:color="auto"/>
      </w:divBdr>
    </w:div>
    <w:div w:id="1165054678">
      <w:marLeft w:val="0"/>
      <w:marRight w:val="0"/>
      <w:marTop w:val="180"/>
      <w:marBottom w:val="180"/>
      <w:divBdr>
        <w:top w:val="none" w:sz="0" w:space="0" w:color="auto"/>
        <w:left w:val="none" w:sz="0" w:space="0" w:color="auto"/>
        <w:bottom w:val="none" w:sz="0" w:space="0" w:color="auto"/>
        <w:right w:val="none" w:sz="0" w:space="0" w:color="auto"/>
      </w:divBdr>
    </w:div>
    <w:div w:id="1167593729">
      <w:marLeft w:val="0"/>
      <w:marRight w:val="0"/>
      <w:marTop w:val="180"/>
      <w:marBottom w:val="180"/>
      <w:divBdr>
        <w:top w:val="none" w:sz="0" w:space="0" w:color="auto"/>
        <w:left w:val="none" w:sz="0" w:space="0" w:color="auto"/>
        <w:bottom w:val="none" w:sz="0" w:space="0" w:color="auto"/>
        <w:right w:val="none" w:sz="0" w:space="0" w:color="auto"/>
      </w:divBdr>
    </w:div>
    <w:div w:id="1169755000">
      <w:marLeft w:val="0"/>
      <w:marRight w:val="0"/>
      <w:marTop w:val="180"/>
      <w:marBottom w:val="180"/>
      <w:divBdr>
        <w:top w:val="none" w:sz="0" w:space="0" w:color="auto"/>
        <w:left w:val="none" w:sz="0" w:space="0" w:color="auto"/>
        <w:bottom w:val="none" w:sz="0" w:space="0" w:color="auto"/>
        <w:right w:val="none" w:sz="0" w:space="0" w:color="auto"/>
      </w:divBdr>
    </w:div>
    <w:div w:id="1171141705">
      <w:marLeft w:val="0"/>
      <w:marRight w:val="0"/>
      <w:marTop w:val="180"/>
      <w:marBottom w:val="180"/>
      <w:divBdr>
        <w:top w:val="none" w:sz="0" w:space="0" w:color="auto"/>
        <w:left w:val="none" w:sz="0" w:space="0" w:color="auto"/>
        <w:bottom w:val="none" w:sz="0" w:space="0" w:color="auto"/>
        <w:right w:val="none" w:sz="0" w:space="0" w:color="auto"/>
      </w:divBdr>
    </w:div>
    <w:div w:id="1172139705">
      <w:marLeft w:val="0"/>
      <w:marRight w:val="0"/>
      <w:marTop w:val="0"/>
      <w:marBottom w:val="0"/>
      <w:divBdr>
        <w:top w:val="none" w:sz="0" w:space="0" w:color="auto"/>
        <w:left w:val="none" w:sz="0" w:space="0" w:color="auto"/>
        <w:bottom w:val="none" w:sz="0" w:space="0" w:color="auto"/>
        <w:right w:val="none" w:sz="0" w:space="0" w:color="auto"/>
      </w:divBdr>
      <w:divsChild>
        <w:div w:id="897279458">
          <w:marLeft w:val="0"/>
          <w:marRight w:val="0"/>
          <w:marTop w:val="0"/>
          <w:marBottom w:val="0"/>
          <w:divBdr>
            <w:top w:val="none" w:sz="0" w:space="0" w:color="auto"/>
            <w:left w:val="none" w:sz="0" w:space="0" w:color="auto"/>
            <w:bottom w:val="none" w:sz="0" w:space="0" w:color="auto"/>
            <w:right w:val="none" w:sz="0" w:space="0" w:color="auto"/>
          </w:divBdr>
          <w:divsChild>
            <w:div w:id="119519136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72184085">
      <w:marLeft w:val="0"/>
      <w:marRight w:val="0"/>
      <w:marTop w:val="240"/>
      <w:marBottom w:val="180"/>
      <w:divBdr>
        <w:top w:val="none" w:sz="0" w:space="0" w:color="auto"/>
        <w:left w:val="none" w:sz="0" w:space="0" w:color="auto"/>
        <w:bottom w:val="none" w:sz="0" w:space="0" w:color="auto"/>
        <w:right w:val="none" w:sz="0" w:space="0" w:color="auto"/>
      </w:divBdr>
    </w:div>
    <w:div w:id="1173029068">
      <w:marLeft w:val="0"/>
      <w:marRight w:val="0"/>
      <w:marTop w:val="180"/>
      <w:marBottom w:val="180"/>
      <w:divBdr>
        <w:top w:val="none" w:sz="0" w:space="0" w:color="auto"/>
        <w:left w:val="none" w:sz="0" w:space="0" w:color="auto"/>
        <w:bottom w:val="none" w:sz="0" w:space="0" w:color="auto"/>
        <w:right w:val="none" w:sz="0" w:space="0" w:color="auto"/>
      </w:divBdr>
    </w:div>
    <w:div w:id="1175195351">
      <w:marLeft w:val="0"/>
      <w:marRight w:val="0"/>
      <w:marTop w:val="0"/>
      <w:marBottom w:val="160"/>
      <w:divBdr>
        <w:top w:val="none" w:sz="0" w:space="0" w:color="auto"/>
        <w:left w:val="none" w:sz="0" w:space="0" w:color="auto"/>
        <w:bottom w:val="none" w:sz="0" w:space="0" w:color="auto"/>
        <w:right w:val="none" w:sz="0" w:space="0" w:color="auto"/>
      </w:divBdr>
    </w:div>
    <w:div w:id="1176262411">
      <w:marLeft w:val="0"/>
      <w:marRight w:val="0"/>
      <w:marTop w:val="180"/>
      <w:marBottom w:val="180"/>
      <w:divBdr>
        <w:top w:val="none" w:sz="0" w:space="0" w:color="auto"/>
        <w:left w:val="none" w:sz="0" w:space="0" w:color="auto"/>
        <w:bottom w:val="none" w:sz="0" w:space="0" w:color="auto"/>
        <w:right w:val="none" w:sz="0" w:space="0" w:color="auto"/>
      </w:divBdr>
    </w:div>
    <w:div w:id="1176574635">
      <w:marLeft w:val="0"/>
      <w:marRight w:val="0"/>
      <w:marTop w:val="180"/>
      <w:marBottom w:val="180"/>
      <w:divBdr>
        <w:top w:val="none" w:sz="0" w:space="0" w:color="auto"/>
        <w:left w:val="none" w:sz="0" w:space="0" w:color="auto"/>
        <w:bottom w:val="none" w:sz="0" w:space="0" w:color="auto"/>
        <w:right w:val="none" w:sz="0" w:space="0" w:color="auto"/>
      </w:divBdr>
    </w:div>
    <w:div w:id="1176652534">
      <w:marLeft w:val="0"/>
      <w:marRight w:val="0"/>
      <w:marTop w:val="100"/>
      <w:marBottom w:val="0"/>
      <w:divBdr>
        <w:top w:val="none" w:sz="0" w:space="0" w:color="auto"/>
        <w:left w:val="none" w:sz="0" w:space="0" w:color="auto"/>
        <w:bottom w:val="none" w:sz="0" w:space="0" w:color="auto"/>
        <w:right w:val="none" w:sz="0" w:space="0" w:color="auto"/>
      </w:divBdr>
      <w:divsChild>
        <w:div w:id="2095273665">
          <w:marLeft w:val="0"/>
          <w:marRight w:val="0"/>
          <w:marTop w:val="0"/>
          <w:marBottom w:val="0"/>
          <w:divBdr>
            <w:top w:val="none" w:sz="0" w:space="0" w:color="auto"/>
            <w:left w:val="none" w:sz="0" w:space="0" w:color="auto"/>
            <w:bottom w:val="none" w:sz="0" w:space="0" w:color="auto"/>
            <w:right w:val="none" w:sz="0" w:space="0" w:color="auto"/>
          </w:divBdr>
        </w:div>
        <w:div w:id="1241406622">
          <w:marLeft w:val="0"/>
          <w:marRight w:val="0"/>
          <w:marTop w:val="0"/>
          <w:marBottom w:val="0"/>
          <w:divBdr>
            <w:top w:val="none" w:sz="0" w:space="0" w:color="auto"/>
            <w:left w:val="none" w:sz="0" w:space="0" w:color="auto"/>
            <w:bottom w:val="none" w:sz="0" w:space="0" w:color="auto"/>
            <w:right w:val="none" w:sz="0" w:space="0" w:color="auto"/>
          </w:divBdr>
        </w:div>
      </w:divsChild>
    </w:div>
    <w:div w:id="1176653789">
      <w:marLeft w:val="0"/>
      <w:marRight w:val="0"/>
      <w:marTop w:val="0"/>
      <w:marBottom w:val="0"/>
      <w:divBdr>
        <w:top w:val="none" w:sz="0" w:space="0" w:color="auto"/>
        <w:left w:val="none" w:sz="0" w:space="0" w:color="auto"/>
        <w:bottom w:val="none" w:sz="0" w:space="0" w:color="auto"/>
        <w:right w:val="none" w:sz="0" w:space="0" w:color="auto"/>
      </w:divBdr>
      <w:divsChild>
        <w:div w:id="507250927">
          <w:marLeft w:val="0"/>
          <w:marRight w:val="0"/>
          <w:marTop w:val="0"/>
          <w:marBottom w:val="0"/>
          <w:divBdr>
            <w:top w:val="none" w:sz="0" w:space="0" w:color="auto"/>
            <w:left w:val="none" w:sz="0" w:space="0" w:color="auto"/>
            <w:bottom w:val="none" w:sz="0" w:space="0" w:color="auto"/>
            <w:right w:val="none" w:sz="0" w:space="0" w:color="auto"/>
          </w:divBdr>
          <w:divsChild>
            <w:div w:id="118909768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77118112">
      <w:marLeft w:val="0"/>
      <w:marRight w:val="0"/>
      <w:marTop w:val="180"/>
      <w:marBottom w:val="180"/>
      <w:divBdr>
        <w:top w:val="none" w:sz="0" w:space="0" w:color="auto"/>
        <w:left w:val="none" w:sz="0" w:space="0" w:color="auto"/>
        <w:bottom w:val="none" w:sz="0" w:space="0" w:color="auto"/>
        <w:right w:val="none" w:sz="0" w:space="0" w:color="auto"/>
      </w:divBdr>
    </w:div>
    <w:div w:id="1178230654">
      <w:marLeft w:val="0"/>
      <w:marRight w:val="0"/>
      <w:marTop w:val="180"/>
      <w:marBottom w:val="60"/>
      <w:divBdr>
        <w:top w:val="none" w:sz="0" w:space="0" w:color="auto"/>
        <w:left w:val="none" w:sz="0" w:space="0" w:color="auto"/>
        <w:bottom w:val="none" w:sz="0" w:space="0" w:color="auto"/>
        <w:right w:val="none" w:sz="0" w:space="0" w:color="auto"/>
      </w:divBdr>
    </w:div>
    <w:div w:id="1179586182">
      <w:marLeft w:val="0"/>
      <w:marRight w:val="0"/>
      <w:marTop w:val="0"/>
      <w:marBottom w:val="15"/>
      <w:divBdr>
        <w:top w:val="none" w:sz="0" w:space="0" w:color="auto"/>
        <w:left w:val="none" w:sz="0" w:space="0" w:color="auto"/>
        <w:bottom w:val="none" w:sz="0" w:space="0" w:color="auto"/>
        <w:right w:val="none" w:sz="0" w:space="0" w:color="auto"/>
      </w:divBdr>
    </w:div>
    <w:div w:id="1180507413">
      <w:marLeft w:val="0"/>
      <w:marRight w:val="0"/>
      <w:marTop w:val="180"/>
      <w:marBottom w:val="180"/>
      <w:divBdr>
        <w:top w:val="none" w:sz="0" w:space="0" w:color="auto"/>
        <w:left w:val="none" w:sz="0" w:space="0" w:color="auto"/>
        <w:bottom w:val="none" w:sz="0" w:space="0" w:color="auto"/>
        <w:right w:val="none" w:sz="0" w:space="0" w:color="auto"/>
      </w:divBdr>
    </w:div>
    <w:div w:id="1181355578">
      <w:marLeft w:val="0"/>
      <w:marRight w:val="0"/>
      <w:marTop w:val="180"/>
      <w:marBottom w:val="180"/>
      <w:divBdr>
        <w:top w:val="none" w:sz="0" w:space="0" w:color="auto"/>
        <w:left w:val="none" w:sz="0" w:space="0" w:color="auto"/>
        <w:bottom w:val="none" w:sz="0" w:space="0" w:color="auto"/>
        <w:right w:val="none" w:sz="0" w:space="0" w:color="auto"/>
      </w:divBdr>
    </w:div>
    <w:div w:id="1181356647">
      <w:marLeft w:val="0"/>
      <w:marRight w:val="0"/>
      <w:marTop w:val="180"/>
      <w:marBottom w:val="180"/>
      <w:divBdr>
        <w:top w:val="none" w:sz="0" w:space="0" w:color="auto"/>
        <w:left w:val="none" w:sz="0" w:space="0" w:color="auto"/>
        <w:bottom w:val="none" w:sz="0" w:space="0" w:color="auto"/>
        <w:right w:val="none" w:sz="0" w:space="0" w:color="auto"/>
      </w:divBdr>
    </w:div>
    <w:div w:id="1181973892">
      <w:marLeft w:val="0"/>
      <w:marRight w:val="0"/>
      <w:marTop w:val="20"/>
      <w:marBottom w:val="0"/>
      <w:divBdr>
        <w:top w:val="none" w:sz="0" w:space="0" w:color="auto"/>
        <w:left w:val="none" w:sz="0" w:space="0" w:color="auto"/>
        <w:bottom w:val="none" w:sz="0" w:space="0" w:color="auto"/>
        <w:right w:val="none" w:sz="0" w:space="0" w:color="auto"/>
      </w:divBdr>
    </w:div>
    <w:div w:id="1186403615">
      <w:marLeft w:val="0"/>
      <w:marRight w:val="0"/>
      <w:marTop w:val="0"/>
      <w:marBottom w:val="0"/>
      <w:divBdr>
        <w:top w:val="none" w:sz="0" w:space="0" w:color="auto"/>
        <w:left w:val="none" w:sz="0" w:space="0" w:color="auto"/>
        <w:bottom w:val="none" w:sz="0" w:space="0" w:color="auto"/>
        <w:right w:val="none" w:sz="0" w:space="0" w:color="auto"/>
      </w:divBdr>
      <w:divsChild>
        <w:div w:id="2098087616">
          <w:marLeft w:val="0"/>
          <w:marRight w:val="0"/>
          <w:marTop w:val="180"/>
          <w:marBottom w:val="180"/>
          <w:divBdr>
            <w:top w:val="none" w:sz="0" w:space="0" w:color="auto"/>
            <w:left w:val="none" w:sz="0" w:space="0" w:color="auto"/>
            <w:bottom w:val="none" w:sz="0" w:space="0" w:color="auto"/>
            <w:right w:val="none" w:sz="0" w:space="0" w:color="auto"/>
          </w:divBdr>
        </w:div>
      </w:divsChild>
    </w:div>
    <w:div w:id="1187209005">
      <w:marLeft w:val="0"/>
      <w:marRight w:val="0"/>
      <w:marTop w:val="0"/>
      <w:marBottom w:val="0"/>
      <w:divBdr>
        <w:top w:val="none" w:sz="0" w:space="0" w:color="auto"/>
        <w:left w:val="none" w:sz="0" w:space="0" w:color="auto"/>
        <w:bottom w:val="none" w:sz="0" w:space="0" w:color="auto"/>
        <w:right w:val="none" w:sz="0" w:space="0" w:color="auto"/>
      </w:divBdr>
      <w:divsChild>
        <w:div w:id="1437946841">
          <w:marLeft w:val="0"/>
          <w:marRight w:val="0"/>
          <w:marTop w:val="60"/>
          <w:marBottom w:val="60"/>
          <w:divBdr>
            <w:top w:val="none" w:sz="0" w:space="0" w:color="auto"/>
            <w:left w:val="none" w:sz="0" w:space="0" w:color="auto"/>
            <w:bottom w:val="none" w:sz="0" w:space="0" w:color="auto"/>
            <w:right w:val="none" w:sz="0" w:space="0" w:color="auto"/>
          </w:divBdr>
        </w:div>
      </w:divsChild>
    </w:div>
    <w:div w:id="1188831801">
      <w:marLeft w:val="0"/>
      <w:marRight w:val="0"/>
      <w:marTop w:val="180"/>
      <w:marBottom w:val="180"/>
      <w:divBdr>
        <w:top w:val="none" w:sz="0" w:space="0" w:color="auto"/>
        <w:left w:val="none" w:sz="0" w:space="0" w:color="auto"/>
        <w:bottom w:val="none" w:sz="0" w:space="0" w:color="auto"/>
        <w:right w:val="none" w:sz="0" w:space="0" w:color="auto"/>
      </w:divBdr>
    </w:div>
    <w:div w:id="1190416071">
      <w:marLeft w:val="0"/>
      <w:marRight w:val="0"/>
      <w:marTop w:val="240"/>
      <w:marBottom w:val="180"/>
      <w:divBdr>
        <w:top w:val="none" w:sz="0" w:space="0" w:color="auto"/>
        <w:left w:val="none" w:sz="0" w:space="0" w:color="auto"/>
        <w:bottom w:val="none" w:sz="0" w:space="0" w:color="auto"/>
        <w:right w:val="none" w:sz="0" w:space="0" w:color="auto"/>
      </w:divBdr>
    </w:div>
    <w:div w:id="1190728367">
      <w:marLeft w:val="0"/>
      <w:marRight w:val="0"/>
      <w:marTop w:val="180"/>
      <w:marBottom w:val="180"/>
      <w:divBdr>
        <w:top w:val="none" w:sz="0" w:space="0" w:color="auto"/>
        <w:left w:val="none" w:sz="0" w:space="0" w:color="auto"/>
        <w:bottom w:val="none" w:sz="0" w:space="0" w:color="auto"/>
        <w:right w:val="none" w:sz="0" w:space="0" w:color="auto"/>
      </w:divBdr>
    </w:div>
    <w:div w:id="1191264590">
      <w:marLeft w:val="0"/>
      <w:marRight w:val="0"/>
      <w:marTop w:val="0"/>
      <w:marBottom w:val="0"/>
      <w:divBdr>
        <w:top w:val="none" w:sz="0" w:space="0" w:color="auto"/>
        <w:left w:val="none" w:sz="0" w:space="0" w:color="auto"/>
        <w:bottom w:val="none" w:sz="0" w:space="0" w:color="auto"/>
        <w:right w:val="none" w:sz="0" w:space="0" w:color="auto"/>
      </w:divBdr>
    </w:div>
    <w:div w:id="1194076012">
      <w:marLeft w:val="0"/>
      <w:marRight w:val="0"/>
      <w:marTop w:val="180"/>
      <w:marBottom w:val="180"/>
      <w:divBdr>
        <w:top w:val="none" w:sz="0" w:space="0" w:color="auto"/>
        <w:left w:val="none" w:sz="0" w:space="0" w:color="auto"/>
        <w:bottom w:val="none" w:sz="0" w:space="0" w:color="auto"/>
        <w:right w:val="none" w:sz="0" w:space="0" w:color="auto"/>
      </w:divBdr>
    </w:div>
    <w:div w:id="1194806981">
      <w:marLeft w:val="0"/>
      <w:marRight w:val="0"/>
      <w:marTop w:val="180"/>
      <w:marBottom w:val="180"/>
      <w:divBdr>
        <w:top w:val="none" w:sz="0" w:space="0" w:color="auto"/>
        <w:left w:val="none" w:sz="0" w:space="0" w:color="auto"/>
        <w:bottom w:val="none" w:sz="0" w:space="0" w:color="auto"/>
        <w:right w:val="none" w:sz="0" w:space="0" w:color="auto"/>
      </w:divBdr>
    </w:div>
    <w:div w:id="1194877312">
      <w:marLeft w:val="0"/>
      <w:marRight w:val="0"/>
      <w:marTop w:val="180"/>
      <w:marBottom w:val="180"/>
      <w:divBdr>
        <w:top w:val="none" w:sz="0" w:space="0" w:color="auto"/>
        <w:left w:val="none" w:sz="0" w:space="0" w:color="auto"/>
        <w:bottom w:val="none" w:sz="0" w:space="0" w:color="auto"/>
        <w:right w:val="none" w:sz="0" w:space="0" w:color="auto"/>
      </w:divBdr>
    </w:div>
    <w:div w:id="1197232081">
      <w:marLeft w:val="0"/>
      <w:marRight w:val="0"/>
      <w:marTop w:val="180"/>
      <w:marBottom w:val="180"/>
      <w:divBdr>
        <w:top w:val="none" w:sz="0" w:space="0" w:color="auto"/>
        <w:left w:val="none" w:sz="0" w:space="0" w:color="auto"/>
        <w:bottom w:val="none" w:sz="0" w:space="0" w:color="auto"/>
        <w:right w:val="none" w:sz="0" w:space="0" w:color="auto"/>
      </w:divBdr>
    </w:div>
    <w:div w:id="1197236618">
      <w:marLeft w:val="0"/>
      <w:marRight w:val="0"/>
      <w:marTop w:val="180"/>
      <w:marBottom w:val="60"/>
      <w:divBdr>
        <w:top w:val="none" w:sz="0" w:space="0" w:color="auto"/>
        <w:left w:val="none" w:sz="0" w:space="0" w:color="auto"/>
        <w:bottom w:val="none" w:sz="0" w:space="0" w:color="auto"/>
        <w:right w:val="none" w:sz="0" w:space="0" w:color="auto"/>
      </w:divBdr>
    </w:div>
    <w:div w:id="1197501998">
      <w:marLeft w:val="0"/>
      <w:marRight w:val="0"/>
      <w:marTop w:val="0"/>
      <w:marBottom w:val="0"/>
      <w:divBdr>
        <w:top w:val="none" w:sz="0" w:space="0" w:color="auto"/>
        <w:left w:val="none" w:sz="0" w:space="0" w:color="auto"/>
        <w:bottom w:val="none" w:sz="0" w:space="0" w:color="auto"/>
        <w:right w:val="none" w:sz="0" w:space="0" w:color="auto"/>
      </w:divBdr>
    </w:div>
    <w:div w:id="1198615632">
      <w:marLeft w:val="0"/>
      <w:marRight w:val="0"/>
      <w:marTop w:val="0"/>
      <w:marBottom w:val="0"/>
      <w:divBdr>
        <w:top w:val="none" w:sz="0" w:space="0" w:color="auto"/>
        <w:left w:val="none" w:sz="0" w:space="0" w:color="auto"/>
        <w:bottom w:val="none" w:sz="0" w:space="0" w:color="auto"/>
        <w:right w:val="none" w:sz="0" w:space="0" w:color="auto"/>
      </w:divBdr>
      <w:divsChild>
        <w:div w:id="1402362284">
          <w:marLeft w:val="0"/>
          <w:marRight w:val="0"/>
          <w:marTop w:val="180"/>
          <w:marBottom w:val="180"/>
          <w:divBdr>
            <w:top w:val="none" w:sz="0" w:space="0" w:color="auto"/>
            <w:left w:val="none" w:sz="0" w:space="0" w:color="auto"/>
            <w:bottom w:val="none" w:sz="0" w:space="0" w:color="auto"/>
            <w:right w:val="none" w:sz="0" w:space="0" w:color="auto"/>
          </w:divBdr>
        </w:div>
      </w:divsChild>
    </w:div>
    <w:div w:id="1203709776">
      <w:marLeft w:val="0"/>
      <w:marRight w:val="0"/>
      <w:marTop w:val="180"/>
      <w:marBottom w:val="180"/>
      <w:divBdr>
        <w:top w:val="none" w:sz="0" w:space="0" w:color="auto"/>
        <w:left w:val="none" w:sz="0" w:space="0" w:color="auto"/>
        <w:bottom w:val="none" w:sz="0" w:space="0" w:color="auto"/>
        <w:right w:val="none" w:sz="0" w:space="0" w:color="auto"/>
      </w:divBdr>
    </w:div>
    <w:div w:id="1203713024">
      <w:marLeft w:val="0"/>
      <w:marRight w:val="0"/>
      <w:marTop w:val="180"/>
      <w:marBottom w:val="180"/>
      <w:divBdr>
        <w:top w:val="none" w:sz="0" w:space="0" w:color="auto"/>
        <w:left w:val="none" w:sz="0" w:space="0" w:color="auto"/>
        <w:bottom w:val="none" w:sz="0" w:space="0" w:color="auto"/>
        <w:right w:val="none" w:sz="0" w:space="0" w:color="auto"/>
      </w:divBdr>
    </w:div>
    <w:div w:id="1203788345">
      <w:marLeft w:val="0"/>
      <w:marRight w:val="0"/>
      <w:marTop w:val="180"/>
      <w:marBottom w:val="180"/>
      <w:divBdr>
        <w:top w:val="none" w:sz="0" w:space="0" w:color="auto"/>
        <w:left w:val="none" w:sz="0" w:space="0" w:color="auto"/>
        <w:bottom w:val="none" w:sz="0" w:space="0" w:color="auto"/>
        <w:right w:val="none" w:sz="0" w:space="0" w:color="auto"/>
      </w:divBdr>
    </w:div>
    <w:div w:id="1204442208">
      <w:marLeft w:val="0"/>
      <w:marRight w:val="0"/>
      <w:marTop w:val="0"/>
      <w:marBottom w:val="60"/>
      <w:divBdr>
        <w:top w:val="none" w:sz="0" w:space="0" w:color="auto"/>
        <w:left w:val="none" w:sz="0" w:space="0" w:color="auto"/>
        <w:bottom w:val="none" w:sz="0" w:space="0" w:color="auto"/>
        <w:right w:val="none" w:sz="0" w:space="0" w:color="auto"/>
      </w:divBdr>
      <w:divsChild>
        <w:div w:id="1091394222">
          <w:marLeft w:val="0"/>
          <w:marRight w:val="0"/>
          <w:marTop w:val="0"/>
          <w:marBottom w:val="0"/>
          <w:divBdr>
            <w:top w:val="none" w:sz="0" w:space="0" w:color="auto"/>
            <w:left w:val="none" w:sz="0" w:space="0" w:color="auto"/>
            <w:bottom w:val="none" w:sz="0" w:space="0" w:color="auto"/>
            <w:right w:val="none" w:sz="0" w:space="0" w:color="auto"/>
          </w:divBdr>
        </w:div>
      </w:divsChild>
    </w:div>
    <w:div w:id="1204904406">
      <w:marLeft w:val="0"/>
      <w:marRight w:val="0"/>
      <w:marTop w:val="100"/>
      <w:marBottom w:val="0"/>
      <w:divBdr>
        <w:top w:val="none" w:sz="0" w:space="0" w:color="auto"/>
        <w:left w:val="none" w:sz="0" w:space="0" w:color="auto"/>
        <w:bottom w:val="none" w:sz="0" w:space="0" w:color="auto"/>
        <w:right w:val="none" w:sz="0" w:space="0" w:color="auto"/>
      </w:divBdr>
    </w:div>
    <w:div w:id="1205216917">
      <w:marLeft w:val="0"/>
      <w:marRight w:val="0"/>
      <w:marTop w:val="0"/>
      <w:marBottom w:val="0"/>
      <w:divBdr>
        <w:top w:val="none" w:sz="0" w:space="0" w:color="auto"/>
        <w:left w:val="none" w:sz="0" w:space="0" w:color="auto"/>
        <w:bottom w:val="none" w:sz="0" w:space="0" w:color="auto"/>
        <w:right w:val="none" w:sz="0" w:space="0" w:color="auto"/>
      </w:divBdr>
      <w:divsChild>
        <w:div w:id="1134829332">
          <w:marLeft w:val="0"/>
          <w:marRight w:val="0"/>
          <w:marTop w:val="180"/>
          <w:marBottom w:val="180"/>
          <w:divBdr>
            <w:top w:val="none" w:sz="0" w:space="0" w:color="auto"/>
            <w:left w:val="none" w:sz="0" w:space="0" w:color="auto"/>
            <w:bottom w:val="none" w:sz="0" w:space="0" w:color="auto"/>
            <w:right w:val="none" w:sz="0" w:space="0" w:color="auto"/>
          </w:divBdr>
        </w:div>
      </w:divsChild>
    </w:div>
    <w:div w:id="1206527324">
      <w:marLeft w:val="0"/>
      <w:marRight w:val="0"/>
      <w:marTop w:val="180"/>
      <w:marBottom w:val="180"/>
      <w:divBdr>
        <w:top w:val="none" w:sz="0" w:space="0" w:color="auto"/>
        <w:left w:val="none" w:sz="0" w:space="0" w:color="auto"/>
        <w:bottom w:val="none" w:sz="0" w:space="0" w:color="auto"/>
        <w:right w:val="none" w:sz="0" w:space="0" w:color="auto"/>
      </w:divBdr>
    </w:div>
    <w:div w:id="1206991498">
      <w:marLeft w:val="0"/>
      <w:marRight w:val="0"/>
      <w:marTop w:val="0"/>
      <w:marBottom w:val="0"/>
      <w:divBdr>
        <w:top w:val="none" w:sz="0" w:space="0" w:color="auto"/>
        <w:left w:val="none" w:sz="0" w:space="0" w:color="auto"/>
        <w:bottom w:val="none" w:sz="0" w:space="0" w:color="auto"/>
        <w:right w:val="none" w:sz="0" w:space="0" w:color="auto"/>
      </w:divBdr>
    </w:div>
    <w:div w:id="1207716488">
      <w:marLeft w:val="0"/>
      <w:marRight w:val="0"/>
      <w:marTop w:val="180"/>
      <w:marBottom w:val="180"/>
      <w:divBdr>
        <w:top w:val="none" w:sz="0" w:space="0" w:color="auto"/>
        <w:left w:val="none" w:sz="0" w:space="0" w:color="auto"/>
        <w:bottom w:val="none" w:sz="0" w:space="0" w:color="auto"/>
        <w:right w:val="none" w:sz="0" w:space="0" w:color="auto"/>
      </w:divBdr>
    </w:div>
    <w:div w:id="1207914662">
      <w:marLeft w:val="0"/>
      <w:marRight w:val="0"/>
      <w:marTop w:val="180"/>
      <w:marBottom w:val="180"/>
      <w:divBdr>
        <w:top w:val="none" w:sz="0" w:space="0" w:color="auto"/>
        <w:left w:val="none" w:sz="0" w:space="0" w:color="auto"/>
        <w:bottom w:val="none" w:sz="0" w:space="0" w:color="auto"/>
        <w:right w:val="none" w:sz="0" w:space="0" w:color="auto"/>
      </w:divBdr>
    </w:div>
    <w:div w:id="1209681563">
      <w:marLeft w:val="0"/>
      <w:marRight w:val="0"/>
      <w:marTop w:val="0"/>
      <w:marBottom w:val="0"/>
      <w:divBdr>
        <w:top w:val="none" w:sz="0" w:space="0" w:color="auto"/>
        <w:left w:val="none" w:sz="0" w:space="0" w:color="auto"/>
        <w:bottom w:val="none" w:sz="0" w:space="0" w:color="auto"/>
        <w:right w:val="none" w:sz="0" w:space="0" w:color="auto"/>
      </w:divBdr>
      <w:divsChild>
        <w:div w:id="2029527024">
          <w:marLeft w:val="0"/>
          <w:marRight w:val="0"/>
          <w:marTop w:val="0"/>
          <w:marBottom w:val="0"/>
          <w:divBdr>
            <w:top w:val="none" w:sz="0" w:space="0" w:color="auto"/>
            <w:left w:val="none" w:sz="0" w:space="0" w:color="auto"/>
            <w:bottom w:val="none" w:sz="0" w:space="0" w:color="auto"/>
            <w:right w:val="none" w:sz="0" w:space="0" w:color="auto"/>
          </w:divBdr>
          <w:divsChild>
            <w:div w:id="14170138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10724393">
      <w:marLeft w:val="0"/>
      <w:marRight w:val="0"/>
      <w:marTop w:val="0"/>
      <w:marBottom w:val="0"/>
      <w:divBdr>
        <w:top w:val="none" w:sz="0" w:space="0" w:color="auto"/>
        <w:left w:val="none" w:sz="0" w:space="0" w:color="auto"/>
        <w:bottom w:val="none" w:sz="0" w:space="0" w:color="auto"/>
        <w:right w:val="none" w:sz="0" w:space="0" w:color="auto"/>
      </w:divBdr>
    </w:div>
    <w:div w:id="1211190274">
      <w:marLeft w:val="0"/>
      <w:marRight w:val="0"/>
      <w:marTop w:val="60"/>
      <w:marBottom w:val="60"/>
      <w:divBdr>
        <w:top w:val="none" w:sz="0" w:space="0" w:color="auto"/>
        <w:left w:val="none" w:sz="0" w:space="0" w:color="auto"/>
        <w:bottom w:val="none" w:sz="0" w:space="0" w:color="auto"/>
        <w:right w:val="none" w:sz="0" w:space="0" w:color="auto"/>
      </w:divBdr>
    </w:div>
    <w:div w:id="1211922382">
      <w:marLeft w:val="0"/>
      <w:marRight w:val="0"/>
      <w:marTop w:val="180"/>
      <w:marBottom w:val="180"/>
      <w:divBdr>
        <w:top w:val="none" w:sz="0" w:space="0" w:color="auto"/>
        <w:left w:val="none" w:sz="0" w:space="0" w:color="auto"/>
        <w:bottom w:val="none" w:sz="0" w:space="0" w:color="auto"/>
        <w:right w:val="none" w:sz="0" w:space="0" w:color="auto"/>
      </w:divBdr>
    </w:div>
    <w:div w:id="1214120595">
      <w:marLeft w:val="0"/>
      <w:marRight w:val="0"/>
      <w:marTop w:val="180"/>
      <w:marBottom w:val="180"/>
      <w:divBdr>
        <w:top w:val="none" w:sz="0" w:space="0" w:color="auto"/>
        <w:left w:val="none" w:sz="0" w:space="0" w:color="auto"/>
        <w:bottom w:val="none" w:sz="0" w:space="0" w:color="auto"/>
        <w:right w:val="none" w:sz="0" w:space="0" w:color="auto"/>
      </w:divBdr>
    </w:div>
    <w:div w:id="1214654876">
      <w:marLeft w:val="0"/>
      <w:marRight w:val="0"/>
      <w:marTop w:val="180"/>
      <w:marBottom w:val="180"/>
      <w:divBdr>
        <w:top w:val="none" w:sz="0" w:space="0" w:color="auto"/>
        <w:left w:val="none" w:sz="0" w:space="0" w:color="auto"/>
        <w:bottom w:val="none" w:sz="0" w:space="0" w:color="auto"/>
        <w:right w:val="none" w:sz="0" w:space="0" w:color="auto"/>
      </w:divBdr>
    </w:div>
    <w:div w:id="1214848947">
      <w:marLeft w:val="0"/>
      <w:marRight w:val="0"/>
      <w:marTop w:val="180"/>
      <w:marBottom w:val="180"/>
      <w:divBdr>
        <w:top w:val="none" w:sz="0" w:space="0" w:color="auto"/>
        <w:left w:val="none" w:sz="0" w:space="0" w:color="auto"/>
        <w:bottom w:val="none" w:sz="0" w:space="0" w:color="auto"/>
        <w:right w:val="none" w:sz="0" w:space="0" w:color="auto"/>
      </w:divBdr>
    </w:div>
    <w:div w:id="1214929022">
      <w:marLeft w:val="0"/>
      <w:marRight w:val="0"/>
      <w:marTop w:val="180"/>
      <w:marBottom w:val="180"/>
      <w:divBdr>
        <w:top w:val="none" w:sz="0" w:space="0" w:color="auto"/>
        <w:left w:val="none" w:sz="0" w:space="0" w:color="auto"/>
        <w:bottom w:val="none" w:sz="0" w:space="0" w:color="auto"/>
        <w:right w:val="none" w:sz="0" w:space="0" w:color="auto"/>
      </w:divBdr>
    </w:div>
    <w:div w:id="1215124377">
      <w:marLeft w:val="0"/>
      <w:marRight w:val="0"/>
      <w:marTop w:val="0"/>
      <w:marBottom w:val="0"/>
      <w:divBdr>
        <w:top w:val="none" w:sz="0" w:space="0" w:color="auto"/>
        <w:left w:val="none" w:sz="0" w:space="0" w:color="auto"/>
        <w:bottom w:val="none" w:sz="0" w:space="0" w:color="auto"/>
        <w:right w:val="none" w:sz="0" w:space="0" w:color="auto"/>
      </w:divBdr>
      <w:divsChild>
        <w:div w:id="391078557">
          <w:marLeft w:val="0"/>
          <w:marRight w:val="0"/>
          <w:marTop w:val="180"/>
          <w:marBottom w:val="180"/>
          <w:divBdr>
            <w:top w:val="none" w:sz="0" w:space="0" w:color="auto"/>
            <w:left w:val="none" w:sz="0" w:space="0" w:color="auto"/>
            <w:bottom w:val="none" w:sz="0" w:space="0" w:color="auto"/>
            <w:right w:val="none" w:sz="0" w:space="0" w:color="auto"/>
          </w:divBdr>
        </w:div>
      </w:divsChild>
    </w:div>
    <w:div w:id="1216964869">
      <w:marLeft w:val="0"/>
      <w:marRight w:val="0"/>
      <w:marTop w:val="0"/>
      <w:marBottom w:val="0"/>
      <w:divBdr>
        <w:top w:val="none" w:sz="0" w:space="0" w:color="auto"/>
        <w:left w:val="none" w:sz="0" w:space="0" w:color="auto"/>
        <w:bottom w:val="none" w:sz="0" w:space="0" w:color="auto"/>
        <w:right w:val="none" w:sz="0" w:space="0" w:color="auto"/>
      </w:divBdr>
      <w:divsChild>
        <w:div w:id="1690838184">
          <w:marLeft w:val="0"/>
          <w:marRight w:val="0"/>
          <w:marTop w:val="0"/>
          <w:marBottom w:val="0"/>
          <w:divBdr>
            <w:top w:val="none" w:sz="0" w:space="0" w:color="auto"/>
            <w:left w:val="none" w:sz="0" w:space="0" w:color="auto"/>
            <w:bottom w:val="none" w:sz="0" w:space="0" w:color="auto"/>
            <w:right w:val="none" w:sz="0" w:space="0" w:color="auto"/>
          </w:divBdr>
          <w:divsChild>
            <w:div w:id="17588182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17660770">
      <w:marLeft w:val="0"/>
      <w:marRight w:val="0"/>
      <w:marTop w:val="0"/>
      <w:marBottom w:val="0"/>
      <w:divBdr>
        <w:top w:val="none" w:sz="0" w:space="0" w:color="auto"/>
        <w:left w:val="none" w:sz="0" w:space="0" w:color="auto"/>
        <w:bottom w:val="none" w:sz="0" w:space="0" w:color="auto"/>
        <w:right w:val="none" w:sz="0" w:space="0" w:color="auto"/>
      </w:divBdr>
      <w:divsChild>
        <w:div w:id="31463020">
          <w:marLeft w:val="0"/>
          <w:marRight w:val="0"/>
          <w:marTop w:val="0"/>
          <w:marBottom w:val="0"/>
          <w:divBdr>
            <w:top w:val="none" w:sz="0" w:space="0" w:color="auto"/>
            <w:left w:val="none" w:sz="0" w:space="0" w:color="auto"/>
            <w:bottom w:val="none" w:sz="0" w:space="0" w:color="auto"/>
            <w:right w:val="none" w:sz="0" w:space="0" w:color="auto"/>
          </w:divBdr>
          <w:divsChild>
            <w:div w:id="149148023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19897424">
      <w:marLeft w:val="0"/>
      <w:marRight w:val="0"/>
      <w:marTop w:val="180"/>
      <w:marBottom w:val="180"/>
      <w:divBdr>
        <w:top w:val="none" w:sz="0" w:space="0" w:color="auto"/>
        <w:left w:val="none" w:sz="0" w:space="0" w:color="auto"/>
        <w:bottom w:val="none" w:sz="0" w:space="0" w:color="auto"/>
        <w:right w:val="none" w:sz="0" w:space="0" w:color="auto"/>
      </w:divBdr>
    </w:div>
    <w:div w:id="1220631356">
      <w:marLeft w:val="0"/>
      <w:marRight w:val="0"/>
      <w:marTop w:val="180"/>
      <w:marBottom w:val="180"/>
      <w:divBdr>
        <w:top w:val="none" w:sz="0" w:space="0" w:color="auto"/>
        <w:left w:val="none" w:sz="0" w:space="0" w:color="auto"/>
        <w:bottom w:val="none" w:sz="0" w:space="0" w:color="auto"/>
        <w:right w:val="none" w:sz="0" w:space="0" w:color="auto"/>
      </w:divBdr>
    </w:div>
    <w:div w:id="1221211699">
      <w:marLeft w:val="0"/>
      <w:marRight w:val="0"/>
      <w:marTop w:val="180"/>
      <w:marBottom w:val="180"/>
      <w:divBdr>
        <w:top w:val="none" w:sz="0" w:space="0" w:color="auto"/>
        <w:left w:val="none" w:sz="0" w:space="0" w:color="auto"/>
        <w:bottom w:val="none" w:sz="0" w:space="0" w:color="auto"/>
        <w:right w:val="none" w:sz="0" w:space="0" w:color="auto"/>
      </w:divBdr>
    </w:div>
    <w:div w:id="1221553996">
      <w:marLeft w:val="0"/>
      <w:marRight w:val="0"/>
      <w:marTop w:val="0"/>
      <w:marBottom w:val="0"/>
      <w:divBdr>
        <w:top w:val="none" w:sz="0" w:space="0" w:color="auto"/>
        <w:left w:val="none" w:sz="0" w:space="0" w:color="auto"/>
        <w:bottom w:val="none" w:sz="0" w:space="0" w:color="auto"/>
        <w:right w:val="none" w:sz="0" w:space="0" w:color="auto"/>
      </w:divBdr>
      <w:divsChild>
        <w:div w:id="2003586182">
          <w:marLeft w:val="0"/>
          <w:marRight w:val="0"/>
          <w:marTop w:val="60"/>
          <w:marBottom w:val="180"/>
          <w:divBdr>
            <w:top w:val="none" w:sz="0" w:space="0" w:color="auto"/>
            <w:left w:val="none" w:sz="0" w:space="0" w:color="auto"/>
            <w:bottom w:val="none" w:sz="0" w:space="0" w:color="auto"/>
            <w:right w:val="none" w:sz="0" w:space="0" w:color="auto"/>
          </w:divBdr>
        </w:div>
      </w:divsChild>
    </w:div>
    <w:div w:id="1222670450">
      <w:marLeft w:val="0"/>
      <w:marRight w:val="0"/>
      <w:marTop w:val="0"/>
      <w:marBottom w:val="0"/>
      <w:divBdr>
        <w:top w:val="none" w:sz="0" w:space="0" w:color="auto"/>
        <w:left w:val="none" w:sz="0" w:space="0" w:color="auto"/>
        <w:bottom w:val="none" w:sz="0" w:space="0" w:color="auto"/>
        <w:right w:val="none" w:sz="0" w:space="0" w:color="auto"/>
      </w:divBdr>
      <w:divsChild>
        <w:div w:id="1433623694">
          <w:marLeft w:val="0"/>
          <w:marRight w:val="0"/>
          <w:marTop w:val="0"/>
          <w:marBottom w:val="0"/>
          <w:divBdr>
            <w:top w:val="none" w:sz="0" w:space="0" w:color="auto"/>
            <w:left w:val="none" w:sz="0" w:space="0" w:color="auto"/>
            <w:bottom w:val="none" w:sz="0" w:space="0" w:color="auto"/>
            <w:right w:val="none" w:sz="0" w:space="0" w:color="auto"/>
          </w:divBdr>
          <w:divsChild>
            <w:div w:id="16313962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23104325">
      <w:marLeft w:val="0"/>
      <w:marRight w:val="0"/>
      <w:marTop w:val="0"/>
      <w:marBottom w:val="0"/>
      <w:divBdr>
        <w:top w:val="none" w:sz="0" w:space="0" w:color="auto"/>
        <w:left w:val="none" w:sz="0" w:space="0" w:color="auto"/>
        <w:bottom w:val="none" w:sz="0" w:space="0" w:color="auto"/>
        <w:right w:val="none" w:sz="0" w:space="0" w:color="auto"/>
      </w:divBdr>
    </w:div>
    <w:div w:id="1223325861">
      <w:marLeft w:val="0"/>
      <w:marRight w:val="0"/>
      <w:marTop w:val="0"/>
      <w:marBottom w:val="0"/>
      <w:divBdr>
        <w:top w:val="none" w:sz="0" w:space="0" w:color="auto"/>
        <w:left w:val="none" w:sz="0" w:space="0" w:color="auto"/>
        <w:bottom w:val="none" w:sz="0" w:space="0" w:color="auto"/>
        <w:right w:val="none" w:sz="0" w:space="0" w:color="auto"/>
      </w:divBdr>
      <w:divsChild>
        <w:div w:id="1625303525">
          <w:marLeft w:val="0"/>
          <w:marRight w:val="0"/>
          <w:marTop w:val="60"/>
          <w:marBottom w:val="180"/>
          <w:divBdr>
            <w:top w:val="none" w:sz="0" w:space="0" w:color="auto"/>
            <w:left w:val="none" w:sz="0" w:space="0" w:color="auto"/>
            <w:bottom w:val="none" w:sz="0" w:space="0" w:color="auto"/>
            <w:right w:val="none" w:sz="0" w:space="0" w:color="auto"/>
          </w:divBdr>
        </w:div>
      </w:divsChild>
    </w:div>
    <w:div w:id="1224871325">
      <w:marLeft w:val="0"/>
      <w:marRight w:val="0"/>
      <w:marTop w:val="180"/>
      <w:marBottom w:val="180"/>
      <w:divBdr>
        <w:top w:val="none" w:sz="0" w:space="0" w:color="auto"/>
        <w:left w:val="none" w:sz="0" w:space="0" w:color="auto"/>
        <w:bottom w:val="none" w:sz="0" w:space="0" w:color="auto"/>
        <w:right w:val="none" w:sz="0" w:space="0" w:color="auto"/>
      </w:divBdr>
    </w:div>
    <w:div w:id="1226720226">
      <w:marLeft w:val="0"/>
      <w:marRight w:val="0"/>
      <w:marTop w:val="180"/>
      <w:marBottom w:val="180"/>
      <w:divBdr>
        <w:top w:val="none" w:sz="0" w:space="0" w:color="auto"/>
        <w:left w:val="none" w:sz="0" w:space="0" w:color="auto"/>
        <w:bottom w:val="none" w:sz="0" w:space="0" w:color="auto"/>
        <w:right w:val="none" w:sz="0" w:space="0" w:color="auto"/>
      </w:divBdr>
    </w:div>
    <w:div w:id="1226919095">
      <w:marLeft w:val="0"/>
      <w:marRight w:val="0"/>
      <w:marTop w:val="180"/>
      <w:marBottom w:val="180"/>
      <w:divBdr>
        <w:top w:val="none" w:sz="0" w:space="0" w:color="auto"/>
        <w:left w:val="none" w:sz="0" w:space="0" w:color="auto"/>
        <w:bottom w:val="none" w:sz="0" w:space="0" w:color="auto"/>
        <w:right w:val="none" w:sz="0" w:space="0" w:color="auto"/>
      </w:divBdr>
    </w:div>
    <w:div w:id="1226986280">
      <w:marLeft w:val="0"/>
      <w:marRight w:val="0"/>
      <w:marTop w:val="180"/>
      <w:marBottom w:val="180"/>
      <w:divBdr>
        <w:top w:val="none" w:sz="0" w:space="0" w:color="auto"/>
        <w:left w:val="none" w:sz="0" w:space="0" w:color="auto"/>
        <w:bottom w:val="none" w:sz="0" w:space="0" w:color="auto"/>
        <w:right w:val="none" w:sz="0" w:space="0" w:color="auto"/>
      </w:divBdr>
    </w:div>
    <w:div w:id="1228030770">
      <w:marLeft w:val="0"/>
      <w:marRight w:val="0"/>
      <w:marTop w:val="180"/>
      <w:marBottom w:val="180"/>
      <w:divBdr>
        <w:top w:val="none" w:sz="0" w:space="0" w:color="auto"/>
        <w:left w:val="none" w:sz="0" w:space="0" w:color="auto"/>
        <w:bottom w:val="none" w:sz="0" w:space="0" w:color="auto"/>
        <w:right w:val="none" w:sz="0" w:space="0" w:color="auto"/>
      </w:divBdr>
    </w:div>
    <w:div w:id="1228030920">
      <w:marLeft w:val="0"/>
      <w:marRight w:val="0"/>
      <w:marTop w:val="180"/>
      <w:marBottom w:val="180"/>
      <w:divBdr>
        <w:top w:val="none" w:sz="0" w:space="0" w:color="auto"/>
        <w:left w:val="none" w:sz="0" w:space="0" w:color="auto"/>
        <w:bottom w:val="none" w:sz="0" w:space="0" w:color="auto"/>
        <w:right w:val="none" w:sz="0" w:space="0" w:color="auto"/>
      </w:divBdr>
    </w:div>
    <w:div w:id="1228373580">
      <w:marLeft w:val="0"/>
      <w:marRight w:val="0"/>
      <w:marTop w:val="180"/>
      <w:marBottom w:val="180"/>
      <w:divBdr>
        <w:top w:val="none" w:sz="0" w:space="0" w:color="auto"/>
        <w:left w:val="none" w:sz="0" w:space="0" w:color="auto"/>
        <w:bottom w:val="none" w:sz="0" w:space="0" w:color="auto"/>
        <w:right w:val="none" w:sz="0" w:space="0" w:color="auto"/>
      </w:divBdr>
    </w:div>
    <w:div w:id="1228492590">
      <w:marLeft w:val="0"/>
      <w:marRight w:val="0"/>
      <w:marTop w:val="60"/>
      <w:marBottom w:val="60"/>
      <w:divBdr>
        <w:top w:val="none" w:sz="0" w:space="0" w:color="auto"/>
        <w:left w:val="none" w:sz="0" w:space="0" w:color="auto"/>
        <w:bottom w:val="none" w:sz="0" w:space="0" w:color="auto"/>
        <w:right w:val="none" w:sz="0" w:space="0" w:color="auto"/>
      </w:divBdr>
    </w:div>
    <w:div w:id="1229419527">
      <w:marLeft w:val="0"/>
      <w:marRight w:val="0"/>
      <w:marTop w:val="180"/>
      <w:marBottom w:val="180"/>
      <w:divBdr>
        <w:top w:val="none" w:sz="0" w:space="0" w:color="auto"/>
        <w:left w:val="none" w:sz="0" w:space="0" w:color="auto"/>
        <w:bottom w:val="none" w:sz="0" w:space="0" w:color="auto"/>
        <w:right w:val="none" w:sz="0" w:space="0" w:color="auto"/>
      </w:divBdr>
    </w:div>
    <w:div w:id="1230574033">
      <w:marLeft w:val="0"/>
      <w:marRight w:val="0"/>
      <w:marTop w:val="60"/>
      <w:marBottom w:val="60"/>
      <w:divBdr>
        <w:top w:val="none" w:sz="0" w:space="0" w:color="auto"/>
        <w:left w:val="none" w:sz="0" w:space="0" w:color="auto"/>
        <w:bottom w:val="none" w:sz="0" w:space="0" w:color="auto"/>
        <w:right w:val="none" w:sz="0" w:space="0" w:color="auto"/>
      </w:divBdr>
    </w:div>
    <w:div w:id="1232086057">
      <w:marLeft w:val="0"/>
      <w:marRight w:val="0"/>
      <w:marTop w:val="180"/>
      <w:marBottom w:val="180"/>
      <w:divBdr>
        <w:top w:val="none" w:sz="0" w:space="0" w:color="auto"/>
        <w:left w:val="none" w:sz="0" w:space="0" w:color="auto"/>
        <w:bottom w:val="none" w:sz="0" w:space="0" w:color="auto"/>
        <w:right w:val="none" w:sz="0" w:space="0" w:color="auto"/>
      </w:divBdr>
    </w:div>
    <w:div w:id="1232472474">
      <w:marLeft w:val="0"/>
      <w:marRight w:val="0"/>
      <w:marTop w:val="0"/>
      <w:marBottom w:val="0"/>
      <w:divBdr>
        <w:top w:val="none" w:sz="0" w:space="0" w:color="auto"/>
        <w:left w:val="none" w:sz="0" w:space="0" w:color="auto"/>
        <w:bottom w:val="none" w:sz="0" w:space="0" w:color="auto"/>
        <w:right w:val="none" w:sz="0" w:space="0" w:color="auto"/>
      </w:divBdr>
      <w:divsChild>
        <w:div w:id="1787381517">
          <w:marLeft w:val="0"/>
          <w:marRight w:val="0"/>
          <w:marTop w:val="60"/>
          <w:marBottom w:val="180"/>
          <w:divBdr>
            <w:top w:val="none" w:sz="0" w:space="0" w:color="auto"/>
            <w:left w:val="none" w:sz="0" w:space="0" w:color="auto"/>
            <w:bottom w:val="none" w:sz="0" w:space="0" w:color="auto"/>
            <w:right w:val="none" w:sz="0" w:space="0" w:color="auto"/>
          </w:divBdr>
        </w:div>
      </w:divsChild>
    </w:div>
    <w:div w:id="1233008391">
      <w:marLeft w:val="0"/>
      <w:marRight w:val="0"/>
      <w:marTop w:val="180"/>
      <w:marBottom w:val="180"/>
      <w:divBdr>
        <w:top w:val="none" w:sz="0" w:space="0" w:color="auto"/>
        <w:left w:val="none" w:sz="0" w:space="0" w:color="auto"/>
        <w:bottom w:val="none" w:sz="0" w:space="0" w:color="auto"/>
        <w:right w:val="none" w:sz="0" w:space="0" w:color="auto"/>
      </w:divBdr>
    </w:div>
    <w:div w:id="1233271433">
      <w:marLeft w:val="0"/>
      <w:marRight w:val="0"/>
      <w:marTop w:val="180"/>
      <w:marBottom w:val="180"/>
      <w:divBdr>
        <w:top w:val="none" w:sz="0" w:space="0" w:color="auto"/>
        <w:left w:val="none" w:sz="0" w:space="0" w:color="auto"/>
        <w:bottom w:val="none" w:sz="0" w:space="0" w:color="auto"/>
        <w:right w:val="none" w:sz="0" w:space="0" w:color="auto"/>
      </w:divBdr>
    </w:div>
    <w:div w:id="1234701368">
      <w:marLeft w:val="0"/>
      <w:marRight w:val="0"/>
      <w:marTop w:val="180"/>
      <w:marBottom w:val="180"/>
      <w:divBdr>
        <w:top w:val="none" w:sz="0" w:space="0" w:color="auto"/>
        <w:left w:val="none" w:sz="0" w:space="0" w:color="auto"/>
        <w:bottom w:val="none" w:sz="0" w:space="0" w:color="auto"/>
        <w:right w:val="none" w:sz="0" w:space="0" w:color="auto"/>
      </w:divBdr>
    </w:div>
    <w:div w:id="1236622555">
      <w:marLeft w:val="0"/>
      <w:marRight w:val="0"/>
      <w:marTop w:val="0"/>
      <w:marBottom w:val="0"/>
      <w:divBdr>
        <w:top w:val="none" w:sz="0" w:space="0" w:color="auto"/>
        <w:left w:val="none" w:sz="0" w:space="0" w:color="auto"/>
        <w:bottom w:val="none" w:sz="0" w:space="0" w:color="auto"/>
        <w:right w:val="none" w:sz="0" w:space="0" w:color="auto"/>
      </w:divBdr>
      <w:divsChild>
        <w:div w:id="329722791">
          <w:marLeft w:val="0"/>
          <w:marRight w:val="0"/>
          <w:marTop w:val="60"/>
          <w:marBottom w:val="180"/>
          <w:divBdr>
            <w:top w:val="none" w:sz="0" w:space="0" w:color="auto"/>
            <w:left w:val="none" w:sz="0" w:space="0" w:color="auto"/>
            <w:bottom w:val="none" w:sz="0" w:space="0" w:color="auto"/>
            <w:right w:val="none" w:sz="0" w:space="0" w:color="auto"/>
          </w:divBdr>
        </w:div>
      </w:divsChild>
    </w:div>
    <w:div w:id="1237085088">
      <w:marLeft w:val="0"/>
      <w:marRight w:val="0"/>
      <w:marTop w:val="60"/>
      <w:marBottom w:val="60"/>
      <w:divBdr>
        <w:top w:val="none" w:sz="0" w:space="0" w:color="auto"/>
        <w:left w:val="none" w:sz="0" w:space="0" w:color="auto"/>
        <w:bottom w:val="none" w:sz="0" w:space="0" w:color="auto"/>
        <w:right w:val="none" w:sz="0" w:space="0" w:color="auto"/>
      </w:divBdr>
    </w:div>
    <w:div w:id="1238323369">
      <w:marLeft w:val="0"/>
      <w:marRight w:val="0"/>
      <w:marTop w:val="180"/>
      <w:marBottom w:val="180"/>
      <w:divBdr>
        <w:top w:val="none" w:sz="0" w:space="0" w:color="auto"/>
        <w:left w:val="none" w:sz="0" w:space="0" w:color="auto"/>
        <w:bottom w:val="none" w:sz="0" w:space="0" w:color="auto"/>
        <w:right w:val="none" w:sz="0" w:space="0" w:color="auto"/>
      </w:divBdr>
    </w:div>
    <w:div w:id="1240947232">
      <w:marLeft w:val="0"/>
      <w:marRight w:val="0"/>
      <w:marTop w:val="60"/>
      <w:marBottom w:val="60"/>
      <w:divBdr>
        <w:top w:val="none" w:sz="0" w:space="0" w:color="auto"/>
        <w:left w:val="none" w:sz="0" w:space="0" w:color="auto"/>
        <w:bottom w:val="none" w:sz="0" w:space="0" w:color="auto"/>
        <w:right w:val="none" w:sz="0" w:space="0" w:color="auto"/>
      </w:divBdr>
    </w:div>
    <w:div w:id="1241409788">
      <w:marLeft w:val="0"/>
      <w:marRight w:val="0"/>
      <w:marTop w:val="180"/>
      <w:marBottom w:val="180"/>
      <w:divBdr>
        <w:top w:val="none" w:sz="0" w:space="0" w:color="auto"/>
        <w:left w:val="none" w:sz="0" w:space="0" w:color="auto"/>
        <w:bottom w:val="none" w:sz="0" w:space="0" w:color="auto"/>
        <w:right w:val="none" w:sz="0" w:space="0" w:color="auto"/>
      </w:divBdr>
    </w:div>
    <w:div w:id="1243762090">
      <w:marLeft w:val="0"/>
      <w:marRight w:val="0"/>
      <w:marTop w:val="180"/>
      <w:marBottom w:val="180"/>
      <w:divBdr>
        <w:top w:val="none" w:sz="0" w:space="0" w:color="auto"/>
        <w:left w:val="none" w:sz="0" w:space="0" w:color="auto"/>
        <w:bottom w:val="none" w:sz="0" w:space="0" w:color="auto"/>
        <w:right w:val="none" w:sz="0" w:space="0" w:color="auto"/>
      </w:divBdr>
    </w:div>
    <w:div w:id="1244992466">
      <w:marLeft w:val="0"/>
      <w:marRight w:val="0"/>
      <w:marTop w:val="180"/>
      <w:marBottom w:val="180"/>
      <w:divBdr>
        <w:top w:val="none" w:sz="0" w:space="0" w:color="auto"/>
        <w:left w:val="none" w:sz="0" w:space="0" w:color="auto"/>
        <w:bottom w:val="none" w:sz="0" w:space="0" w:color="auto"/>
        <w:right w:val="none" w:sz="0" w:space="0" w:color="auto"/>
      </w:divBdr>
    </w:div>
    <w:div w:id="1245798352">
      <w:marLeft w:val="0"/>
      <w:marRight w:val="0"/>
      <w:marTop w:val="180"/>
      <w:marBottom w:val="180"/>
      <w:divBdr>
        <w:top w:val="none" w:sz="0" w:space="0" w:color="auto"/>
        <w:left w:val="none" w:sz="0" w:space="0" w:color="auto"/>
        <w:bottom w:val="none" w:sz="0" w:space="0" w:color="auto"/>
        <w:right w:val="none" w:sz="0" w:space="0" w:color="auto"/>
      </w:divBdr>
    </w:div>
    <w:div w:id="1245997103">
      <w:marLeft w:val="0"/>
      <w:marRight w:val="0"/>
      <w:marTop w:val="60"/>
      <w:marBottom w:val="60"/>
      <w:divBdr>
        <w:top w:val="none" w:sz="0" w:space="0" w:color="auto"/>
        <w:left w:val="none" w:sz="0" w:space="0" w:color="auto"/>
        <w:bottom w:val="none" w:sz="0" w:space="0" w:color="auto"/>
        <w:right w:val="none" w:sz="0" w:space="0" w:color="auto"/>
      </w:divBdr>
    </w:div>
    <w:div w:id="1246258763">
      <w:marLeft w:val="0"/>
      <w:marRight w:val="0"/>
      <w:marTop w:val="60"/>
      <w:marBottom w:val="60"/>
      <w:divBdr>
        <w:top w:val="none" w:sz="0" w:space="0" w:color="auto"/>
        <w:left w:val="none" w:sz="0" w:space="0" w:color="auto"/>
        <w:bottom w:val="none" w:sz="0" w:space="0" w:color="auto"/>
        <w:right w:val="none" w:sz="0" w:space="0" w:color="auto"/>
      </w:divBdr>
    </w:div>
    <w:div w:id="1246845745">
      <w:marLeft w:val="0"/>
      <w:marRight w:val="0"/>
      <w:marTop w:val="180"/>
      <w:marBottom w:val="60"/>
      <w:divBdr>
        <w:top w:val="none" w:sz="0" w:space="0" w:color="auto"/>
        <w:left w:val="none" w:sz="0" w:space="0" w:color="auto"/>
        <w:bottom w:val="none" w:sz="0" w:space="0" w:color="auto"/>
        <w:right w:val="none" w:sz="0" w:space="0" w:color="auto"/>
      </w:divBdr>
    </w:div>
    <w:div w:id="1247499143">
      <w:marLeft w:val="0"/>
      <w:marRight w:val="0"/>
      <w:marTop w:val="0"/>
      <w:marBottom w:val="0"/>
      <w:divBdr>
        <w:top w:val="none" w:sz="0" w:space="0" w:color="auto"/>
        <w:left w:val="none" w:sz="0" w:space="0" w:color="auto"/>
        <w:bottom w:val="none" w:sz="0" w:space="0" w:color="auto"/>
        <w:right w:val="none" w:sz="0" w:space="0" w:color="auto"/>
      </w:divBdr>
      <w:divsChild>
        <w:div w:id="45028582">
          <w:marLeft w:val="0"/>
          <w:marRight w:val="0"/>
          <w:marTop w:val="0"/>
          <w:marBottom w:val="0"/>
          <w:divBdr>
            <w:top w:val="none" w:sz="0" w:space="0" w:color="auto"/>
            <w:left w:val="none" w:sz="0" w:space="0" w:color="auto"/>
            <w:bottom w:val="none" w:sz="0" w:space="0" w:color="auto"/>
            <w:right w:val="none" w:sz="0" w:space="0" w:color="auto"/>
          </w:divBdr>
          <w:divsChild>
            <w:div w:id="185900752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47686641">
      <w:marLeft w:val="0"/>
      <w:marRight w:val="0"/>
      <w:marTop w:val="180"/>
      <w:marBottom w:val="180"/>
      <w:divBdr>
        <w:top w:val="none" w:sz="0" w:space="0" w:color="auto"/>
        <w:left w:val="none" w:sz="0" w:space="0" w:color="auto"/>
        <w:bottom w:val="none" w:sz="0" w:space="0" w:color="auto"/>
        <w:right w:val="none" w:sz="0" w:space="0" w:color="auto"/>
      </w:divBdr>
    </w:div>
    <w:div w:id="1248734024">
      <w:marLeft w:val="0"/>
      <w:marRight w:val="0"/>
      <w:marTop w:val="180"/>
      <w:marBottom w:val="180"/>
      <w:divBdr>
        <w:top w:val="none" w:sz="0" w:space="0" w:color="auto"/>
        <w:left w:val="none" w:sz="0" w:space="0" w:color="auto"/>
        <w:bottom w:val="none" w:sz="0" w:space="0" w:color="auto"/>
        <w:right w:val="none" w:sz="0" w:space="0" w:color="auto"/>
      </w:divBdr>
    </w:div>
    <w:div w:id="1250236832">
      <w:marLeft w:val="0"/>
      <w:marRight w:val="0"/>
      <w:marTop w:val="180"/>
      <w:marBottom w:val="180"/>
      <w:divBdr>
        <w:top w:val="none" w:sz="0" w:space="0" w:color="auto"/>
        <w:left w:val="none" w:sz="0" w:space="0" w:color="auto"/>
        <w:bottom w:val="none" w:sz="0" w:space="0" w:color="auto"/>
        <w:right w:val="none" w:sz="0" w:space="0" w:color="auto"/>
      </w:divBdr>
    </w:div>
    <w:div w:id="1250313239">
      <w:marLeft w:val="0"/>
      <w:marRight w:val="0"/>
      <w:marTop w:val="180"/>
      <w:marBottom w:val="180"/>
      <w:divBdr>
        <w:top w:val="none" w:sz="0" w:space="0" w:color="auto"/>
        <w:left w:val="none" w:sz="0" w:space="0" w:color="auto"/>
        <w:bottom w:val="none" w:sz="0" w:space="0" w:color="auto"/>
        <w:right w:val="none" w:sz="0" w:space="0" w:color="auto"/>
      </w:divBdr>
    </w:div>
    <w:div w:id="1250894924">
      <w:marLeft w:val="0"/>
      <w:marRight w:val="0"/>
      <w:marTop w:val="0"/>
      <w:marBottom w:val="0"/>
      <w:divBdr>
        <w:top w:val="none" w:sz="0" w:space="0" w:color="auto"/>
        <w:left w:val="none" w:sz="0" w:space="0" w:color="auto"/>
        <w:bottom w:val="none" w:sz="0" w:space="0" w:color="auto"/>
        <w:right w:val="none" w:sz="0" w:space="0" w:color="auto"/>
      </w:divBdr>
    </w:div>
    <w:div w:id="1251349897">
      <w:marLeft w:val="0"/>
      <w:marRight w:val="0"/>
      <w:marTop w:val="180"/>
      <w:marBottom w:val="0"/>
      <w:divBdr>
        <w:top w:val="none" w:sz="0" w:space="0" w:color="auto"/>
        <w:left w:val="none" w:sz="0" w:space="0" w:color="auto"/>
        <w:bottom w:val="none" w:sz="0" w:space="0" w:color="auto"/>
        <w:right w:val="none" w:sz="0" w:space="0" w:color="auto"/>
      </w:divBdr>
    </w:div>
    <w:div w:id="1254120536">
      <w:marLeft w:val="0"/>
      <w:marRight w:val="0"/>
      <w:marTop w:val="180"/>
      <w:marBottom w:val="180"/>
      <w:divBdr>
        <w:top w:val="none" w:sz="0" w:space="0" w:color="auto"/>
        <w:left w:val="none" w:sz="0" w:space="0" w:color="auto"/>
        <w:bottom w:val="none" w:sz="0" w:space="0" w:color="auto"/>
        <w:right w:val="none" w:sz="0" w:space="0" w:color="auto"/>
      </w:divBdr>
    </w:div>
    <w:div w:id="1254512768">
      <w:marLeft w:val="0"/>
      <w:marRight w:val="0"/>
      <w:marTop w:val="180"/>
      <w:marBottom w:val="180"/>
      <w:divBdr>
        <w:top w:val="none" w:sz="0" w:space="0" w:color="auto"/>
        <w:left w:val="none" w:sz="0" w:space="0" w:color="auto"/>
        <w:bottom w:val="none" w:sz="0" w:space="0" w:color="auto"/>
        <w:right w:val="none" w:sz="0" w:space="0" w:color="auto"/>
      </w:divBdr>
    </w:div>
    <w:div w:id="1256986328">
      <w:marLeft w:val="0"/>
      <w:marRight w:val="0"/>
      <w:marTop w:val="0"/>
      <w:marBottom w:val="0"/>
      <w:divBdr>
        <w:top w:val="none" w:sz="0" w:space="0" w:color="auto"/>
        <w:left w:val="none" w:sz="0" w:space="0" w:color="auto"/>
        <w:bottom w:val="none" w:sz="0" w:space="0" w:color="auto"/>
        <w:right w:val="none" w:sz="0" w:space="0" w:color="auto"/>
      </w:divBdr>
    </w:div>
    <w:div w:id="1257403796">
      <w:marLeft w:val="0"/>
      <w:marRight w:val="0"/>
      <w:marTop w:val="100"/>
      <w:marBottom w:val="0"/>
      <w:divBdr>
        <w:top w:val="none" w:sz="0" w:space="0" w:color="auto"/>
        <w:left w:val="none" w:sz="0" w:space="0" w:color="auto"/>
        <w:bottom w:val="none" w:sz="0" w:space="0" w:color="auto"/>
        <w:right w:val="none" w:sz="0" w:space="0" w:color="auto"/>
      </w:divBdr>
    </w:div>
    <w:div w:id="1258519771">
      <w:marLeft w:val="0"/>
      <w:marRight w:val="0"/>
      <w:marTop w:val="180"/>
      <w:marBottom w:val="180"/>
      <w:divBdr>
        <w:top w:val="none" w:sz="0" w:space="0" w:color="auto"/>
        <w:left w:val="none" w:sz="0" w:space="0" w:color="auto"/>
        <w:bottom w:val="none" w:sz="0" w:space="0" w:color="auto"/>
        <w:right w:val="none" w:sz="0" w:space="0" w:color="auto"/>
      </w:divBdr>
    </w:div>
    <w:div w:id="1258556041">
      <w:marLeft w:val="0"/>
      <w:marRight w:val="0"/>
      <w:marTop w:val="0"/>
      <w:marBottom w:val="60"/>
      <w:divBdr>
        <w:top w:val="none" w:sz="0" w:space="0" w:color="auto"/>
        <w:left w:val="none" w:sz="0" w:space="0" w:color="auto"/>
        <w:bottom w:val="none" w:sz="0" w:space="0" w:color="auto"/>
        <w:right w:val="none" w:sz="0" w:space="0" w:color="auto"/>
      </w:divBdr>
    </w:div>
    <w:div w:id="1259293818">
      <w:marLeft w:val="0"/>
      <w:marRight w:val="0"/>
      <w:marTop w:val="180"/>
      <w:marBottom w:val="180"/>
      <w:divBdr>
        <w:top w:val="none" w:sz="0" w:space="0" w:color="auto"/>
        <w:left w:val="none" w:sz="0" w:space="0" w:color="auto"/>
        <w:bottom w:val="none" w:sz="0" w:space="0" w:color="auto"/>
        <w:right w:val="none" w:sz="0" w:space="0" w:color="auto"/>
      </w:divBdr>
    </w:div>
    <w:div w:id="1259751103">
      <w:marLeft w:val="0"/>
      <w:marRight w:val="0"/>
      <w:marTop w:val="180"/>
      <w:marBottom w:val="180"/>
      <w:divBdr>
        <w:top w:val="none" w:sz="0" w:space="0" w:color="auto"/>
        <w:left w:val="none" w:sz="0" w:space="0" w:color="auto"/>
        <w:bottom w:val="none" w:sz="0" w:space="0" w:color="auto"/>
        <w:right w:val="none" w:sz="0" w:space="0" w:color="auto"/>
      </w:divBdr>
    </w:div>
    <w:div w:id="1261337383">
      <w:marLeft w:val="0"/>
      <w:marRight w:val="0"/>
      <w:marTop w:val="0"/>
      <w:marBottom w:val="0"/>
      <w:divBdr>
        <w:top w:val="none" w:sz="0" w:space="0" w:color="auto"/>
        <w:left w:val="none" w:sz="0" w:space="0" w:color="auto"/>
        <w:bottom w:val="none" w:sz="0" w:space="0" w:color="auto"/>
        <w:right w:val="none" w:sz="0" w:space="0" w:color="auto"/>
      </w:divBdr>
      <w:divsChild>
        <w:div w:id="1505440283">
          <w:marLeft w:val="0"/>
          <w:marRight w:val="0"/>
          <w:marTop w:val="0"/>
          <w:marBottom w:val="0"/>
          <w:divBdr>
            <w:top w:val="none" w:sz="0" w:space="0" w:color="auto"/>
            <w:left w:val="none" w:sz="0" w:space="0" w:color="auto"/>
            <w:bottom w:val="none" w:sz="0" w:space="0" w:color="auto"/>
            <w:right w:val="none" w:sz="0" w:space="0" w:color="auto"/>
          </w:divBdr>
          <w:divsChild>
            <w:div w:id="81888834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62026796">
      <w:marLeft w:val="0"/>
      <w:marRight w:val="0"/>
      <w:marTop w:val="60"/>
      <w:marBottom w:val="60"/>
      <w:divBdr>
        <w:top w:val="none" w:sz="0" w:space="0" w:color="auto"/>
        <w:left w:val="none" w:sz="0" w:space="0" w:color="auto"/>
        <w:bottom w:val="none" w:sz="0" w:space="0" w:color="auto"/>
        <w:right w:val="none" w:sz="0" w:space="0" w:color="auto"/>
      </w:divBdr>
    </w:div>
    <w:div w:id="1262034512">
      <w:marLeft w:val="0"/>
      <w:marRight w:val="0"/>
      <w:marTop w:val="180"/>
      <w:marBottom w:val="180"/>
      <w:divBdr>
        <w:top w:val="none" w:sz="0" w:space="0" w:color="auto"/>
        <w:left w:val="none" w:sz="0" w:space="0" w:color="auto"/>
        <w:bottom w:val="none" w:sz="0" w:space="0" w:color="auto"/>
        <w:right w:val="none" w:sz="0" w:space="0" w:color="auto"/>
      </w:divBdr>
    </w:div>
    <w:div w:id="1262449743">
      <w:marLeft w:val="0"/>
      <w:marRight w:val="0"/>
      <w:marTop w:val="180"/>
      <w:marBottom w:val="180"/>
      <w:divBdr>
        <w:top w:val="none" w:sz="0" w:space="0" w:color="auto"/>
        <w:left w:val="none" w:sz="0" w:space="0" w:color="auto"/>
        <w:bottom w:val="none" w:sz="0" w:space="0" w:color="auto"/>
        <w:right w:val="none" w:sz="0" w:space="0" w:color="auto"/>
      </w:divBdr>
    </w:div>
    <w:div w:id="1263757025">
      <w:marLeft w:val="0"/>
      <w:marRight w:val="0"/>
      <w:marTop w:val="180"/>
      <w:marBottom w:val="180"/>
      <w:divBdr>
        <w:top w:val="none" w:sz="0" w:space="0" w:color="auto"/>
        <w:left w:val="none" w:sz="0" w:space="0" w:color="auto"/>
        <w:bottom w:val="none" w:sz="0" w:space="0" w:color="auto"/>
        <w:right w:val="none" w:sz="0" w:space="0" w:color="auto"/>
      </w:divBdr>
    </w:div>
    <w:div w:id="1264344865">
      <w:marLeft w:val="0"/>
      <w:marRight w:val="0"/>
      <w:marTop w:val="180"/>
      <w:marBottom w:val="180"/>
      <w:divBdr>
        <w:top w:val="none" w:sz="0" w:space="0" w:color="auto"/>
        <w:left w:val="none" w:sz="0" w:space="0" w:color="auto"/>
        <w:bottom w:val="none" w:sz="0" w:space="0" w:color="auto"/>
        <w:right w:val="none" w:sz="0" w:space="0" w:color="auto"/>
      </w:divBdr>
    </w:div>
    <w:div w:id="1264605788">
      <w:marLeft w:val="0"/>
      <w:marRight w:val="0"/>
      <w:marTop w:val="0"/>
      <w:marBottom w:val="0"/>
      <w:divBdr>
        <w:top w:val="none" w:sz="0" w:space="0" w:color="auto"/>
        <w:left w:val="none" w:sz="0" w:space="0" w:color="auto"/>
        <w:bottom w:val="none" w:sz="0" w:space="0" w:color="auto"/>
        <w:right w:val="none" w:sz="0" w:space="0" w:color="auto"/>
      </w:divBdr>
      <w:divsChild>
        <w:div w:id="2022004847">
          <w:marLeft w:val="0"/>
          <w:marRight w:val="0"/>
          <w:marTop w:val="0"/>
          <w:marBottom w:val="0"/>
          <w:divBdr>
            <w:top w:val="none" w:sz="0" w:space="0" w:color="auto"/>
            <w:left w:val="none" w:sz="0" w:space="0" w:color="auto"/>
            <w:bottom w:val="none" w:sz="0" w:space="0" w:color="auto"/>
            <w:right w:val="none" w:sz="0" w:space="0" w:color="auto"/>
          </w:divBdr>
          <w:divsChild>
            <w:div w:id="45109415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65767138">
      <w:marLeft w:val="0"/>
      <w:marRight w:val="0"/>
      <w:marTop w:val="0"/>
      <w:marBottom w:val="0"/>
      <w:divBdr>
        <w:top w:val="none" w:sz="0" w:space="0" w:color="auto"/>
        <w:left w:val="none" w:sz="0" w:space="0" w:color="auto"/>
        <w:bottom w:val="none" w:sz="0" w:space="0" w:color="auto"/>
        <w:right w:val="none" w:sz="0" w:space="0" w:color="auto"/>
      </w:divBdr>
      <w:divsChild>
        <w:div w:id="641155669">
          <w:marLeft w:val="0"/>
          <w:marRight w:val="0"/>
          <w:marTop w:val="0"/>
          <w:marBottom w:val="0"/>
          <w:divBdr>
            <w:top w:val="none" w:sz="0" w:space="0" w:color="auto"/>
            <w:left w:val="none" w:sz="0" w:space="0" w:color="auto"/>
            <w:bottom w:val="none" w:sz="0" w:space="0" w:color="auto"/>
            <w:right w:val="none" w:sz="0" w:space="0" w:color="auto"/>
          </w:divBdr>
          <w:divsChild>
            <w:div w:id="174348472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66577147">
      <w:marLeft w:val="0"/>
      <w:marRight w:val="0"/>
      <w:marTop w:val="180"/>
      <w:marBottom w:val="180"/>
      <w:divBdr>
        <w:top w:val="none" w:sz="0" w:space="0" w:color="auto"/>
        <w:left w:val="none" w:sz="0" w:space="0" w:color="auto"/>
        <w:bottom w:val="none" w:sz="0" w:space="0" w:color="auto"/>
        <w:right w:val="none" w:sz="0" w:space="0" w:color="auto"/>
      </w:divBdr>
    </w:div>
    <w:div w:id="1267494434">
      <w:marLeft w:val="0"/>
      <w:marRight w:val="0"/>
      <w:marTop w:val="100"/>
      <w:marBottom w:val="0"/>
      <w:divBdr>
        <w:top w:val="none" w:sz="0" w:space="0" w:color="auto"/>
        <w:left w:val="none" w:sz="0" w:space="0" w:color="auto"/>
        <w:bottom w:val="none" w:sz="0" w:space="0" w:color="auto"/>
        <w:right w:val="none" w:sz="0" w:space="0" w:color="auto"/>
      </w:divBdr>
      <w:divsChild>
        <w:div w:id="547960852">
          <w:marLeft w:val="0"/>
          <w:marRight w:val="0"/>
          <w:marTop w:val="0"/>
          <w:marBottom w:val="0"/>
          <w:divBdr>
            <w:top w:val="none" w:sz="0" w:space="0" w:color="auto"/>
            <w:left w:val="none" w:sz="0" w:space="0" w:color="auto"/>
            <w:bottom w:val="none" w:sz="0" w:space="0" w:color="auto"/>
            <w:right w:val="none" w:sz="0" w:space="0" w:color="auto"/>
          </w:divBdr>
        </w:div>
        <w:div w:id="42292293">
          <w:marLeft w:val="0"/>
          <w:marRight w:val="0"/>
          <w:marTop w:val="0"/>
          <w:marBottom w:val="0"/>
          <w:divBdr>
            <w:top w:val="none" w:sz="0" w:space="0" w:color="auto"/>
            <w:left w:val="none" w:sz="0" w:space="0" w:color="auto"/>
            <w:bottom w:val="none" w:sz="0" w:space="0" w:color="auto"/>
            <w:right w:val="none" w:sz="0" w:space="0" w:color="auto"/>
          </w:divBdr>
        </w:div>
        <w:div w:id="26493251">
          <w:marLeft w:val="0"/>
          <w:marRight w:val="0"/>
          <w:marTop w:val="0"/>
          <w:marBottom w:val="0"/>
          <w:divBdr>
            <w:top w:val="none" w:sz="0" w:space="0" w:color="auto"/>
            <w:left w:val="none" w:sz="0" w:space="0" w:color="auto"/>
            <w:bottom w:val="none" w:sz="0" w:space="0" w:color="auto"/>
            <w:right w:val="none" w:sz="0" w:space="0" w:color="auto"/>
          </w:divBdr>
        </w:div>
        <w:div w:id="1128398962">
          <w:marLeft w:val="0"/>
          <w:marRight w:val="0"/>
          <w:marTop w:val="0"/>
          <w:marBottom w:val="0"/>
          <w:divBdr>
            <w:top w:val="none" w:sz="0" w:space="0" w:color="auto"/>
            <w:left w:val="none" w:sz="0" w:space="0" w:color="auto"/>
            <w:bottom w:val="none" w:sz="0" w:space="0" w:color="auto"/>
            <w:right w:val="none" w:sz="0" w:space="0" w:color="auto"/>
          </w:divBdr>
        </w:div>
        <w:div w:id="219946501">
          <w:marLeft w:val="0"/>
          <w:marRight w:val="0"/>
          <w:marTop w:val="0"/>
          <w:marBottom w:val="0"/>
          <w:divBdr>
            <w:top w:val="none" w:sz="0" w:space="0" w:color="auto"/>
            <w:left w:val="none" w:sz="0" w:space="0" w:color="auto"/>
            <w:bottom w:val="none" w:sz="0" w:space="0" w:color="auto"/>
            <w:right w:val="none" w:sz="0" w:space="0" w:color="auto"/>
          </w:divBdr>
        </w:div>
        <w:div w:id="1185291892">
          <w:marLeft w:val="0"/>
          <w:marRight w:val="0"/>
          <w:marTop w:val="0"/>
          <w:marBottom w:val="0"/>
          <w:divBdr>
            <w:top w:val="none" w:sz="0" w:space="0" w:color="auto"/>
            <w:left w:val="none" w:sz="0" w:space="0" w:color="auto"/>
            <w:bottom w:val="none" w:sz="0" w:space="0" w:color="auto"/>
            <w:right w:val="none" w:sz="0" w:space="0" w:color="auto"/>
          </w:divBdr>
        </w:div>
        <w:div w:id="1302728407">
          <w:marLeft w:val="0"/>
          <w:marRight w:val="0"/>
          <w:marTop w:val="0"/>
          <w:marBottom w:val="0"/>
          <w:divBdr>
            <w:top w:val="none" w:sz="0" w:space="0" w:color="auto"/>
            <w:left w:val="none" w:sz="0" w:space="0" w:color="auto"/>
            <w:bottom w:val="none" w:sz="0" w:space="0" w:color="auto"/>
            <w:right w:val="none" w:sz="0" w:space="0" w:color="auto"/>
          </w:divBdr>
        </w:div>
        <w:div w:id="1545679024">
          <w:marLeft w:val="0"/>
          <w:marRight w:val="0"/>
          <w:marTop w:val="0"/>
          <w:marBottom w:val="0"/>
          <w:divBdr>
            <w:top w:val="none" w:sz="0" w:space="0" w:color="auto"/>
            <w:left w:val="none" w:sz="0" w:space="0" w:color="auto"/>
            <w:bottom w:val="none" w:sz="0" w:space="0" w:color="auto"/>
            <w:right w:val="none" w:sz="0" w:space="0" w:color="auto"/>
          </w:divBdr>
        </w:div>
        <w:div w:id="1427192539">
          <w:marLeft w:val="0"/>
          <w:marRight w:val="0"/>
          <w:marTop w:val="0"/>
          <w:marBottom w:val="0"/>
          <w:divBdr>
            <w:top w:val="none" w:sz="0" w:space="0" w:color="auto"/>
            <w:left w:val="none" w:sz="0" w:space="0" w:color="auto"/>
            <w:bottom w:val="none" w:sz="0" w:space="0" w:color="auto"/>
            <w:right w:val="none" w:sz="0" w:space="0" w:color="auto"/>
          </w:divBdr>
        </w:div>
        <w:div w:id="1799637929">
          <w:marLeft w:val="0"/>
          <w:marRight w:val="0"/>
          <w:marTop w:val="0"/>
          <w:marBottom w:val="0"/>
          <w:divBdr>
            <w:top w:val="none" w:sz="0" w:space="0" w:color="auto"/>
            <w:left w:val="none" w:sz="0" w:space="0" w:color="auto"/>
            <w:bottom w:val="none" w:sz="0" w:space="0" w:color="auto"/>
            <w:right w:val="none" w:sz="0" w:space="0" w:color="auto"/>
          </w:divBdr>
        </w:div>
        <w:div w:id="689184012">
          <w:marLeft w:val="0"/>
          <w:marRight w:val="0"/>
          <w:marTop w:val="0"/>
          <w:marBottom w:val="0"/>
          <w:divBdr>
            <w:top w:val="none" w:sz="0" w:space="0" w:color="auto"/>
            <w:left w:val="none" w:sz="0" w:space="0" w:color="auto"/>
            <w:bottom w:val="none" w:sz="0" w:space="0" w:color="auto"/>
            <w:right w:val="none" w:sz="0" w:space="0" w:color="auto"/>
          </w:divBdr>
        </w:div>
        <w:div w:id="2006860116">
          <w:marLeft w:val="0"/>
          <w:marRight w:val="0"/>
          <w:marTop w:val="0"/>
          <w:marBottom w:val="0"/>
          <w:divBdr>
            <w:top w:val="none" w:sz="0" w:space="0" w:color="auto"/>
            <w:left w:val="none" w:sz="0" w:space="0" w:color="auto"/>
            <w:bottom w:val="none" w:sz="0" w:space="0" w:color="auto"/>
            <w:right w:val="none" w:sz="0" w:space="0" w:color="auto"/>
          </w:divBdr>
        </w:div>
        <w:div w:id="1554580767">
          <w:marLeft w:val="0"/>
          <w:marRight w:val="0"/>
          <w:marTop w:val="0"/>
          <w:marBottom w:val="0"/>
          <w:divBdr>
            <w:top w:val="none" w:sz="0" w:space="0" w:color="auto"/>
            <w:left w:val="none" w:sz="0" w:space="0" w:color="auto"/>
            <w:bottom w:val="none" w:sz="0" w:space="0" w:color="auto"/>
            <w:right w:val="none" w:sz="0" w:space="0" w:color="auto"/>
          </w:divBdr>
        </w:div>
        <w:div w:id="162862618">
          <w:marLeft w:val="0"/>
          <w:marRight w:val="0"/>
          <w:marTop w:val="0"/>
          <w:marBottom w:val="0"/>
          <w:divBdr>
            <w:top w:val="none" w:sz="0" w:space="0" w:color="auto"/>
            <w:left w:val="none" w:sz="0" w:space="0" w:color="auto"/>
            <w:bottom w:val="none" w:sz="0" w:space="0" w:color="auto"/>
            <w:right w:val="none" w:sz="0" w:space="0" w:color="auto"/>
          </w:divBdr>
        </w:div>
        <w:div w:id="1718434718">
          <w:marLeft w:val="0"/>
          <w:marRight w:val="0"/>
          <w:marTop w:val="0"/>
          <w:marBottom w:val="0"/>
          <w:divBdr>
            <w:top w:val="none" w:sz="0" w:space="0" w:color="auto"/>
            <w:left w:val="none" w:sz="0" w:space="0" w:color="auto"/>
            <w:bottom w:val="none" w:sz="0" w:space="0" w:color="auto"/>
            <w:right w:val="none" w:sz="0" w:space="0" w:color="auto"/>
          </w:divBdr>
        </w:div>
        <w:div w:id="1221748315">
          <w:marLeft w:val="0"/>
          <w:marRight w:val="0"/>
          <w:marTop w:val="0"/>
          <w:marBottom w:val="0"/>
          <w:divBdr>
            <w:top w:val="none" w:sz="0" w:space="0" w:color="auto"/>
            <w:left w:val="none" w:sz="0" w:space="0" w:color="auto"/>
            <w:bottom w:val="none" w:sz="0" w:space="0" w:color="auto"/>
            <w:right w:val="none" w:sz="0" w:space="0" w:color="auto"/>
          </w:divBdr>
        </w:div>
        <w:div w:id="1229464065">
          <w:marLeft w:val="0"/>
          <w:marRight w:val="0"/>
          <w:marTop w:val="0"/>
          <w:marBottom w:val="0"/>
          <w:divBdr>
            <w:top w:val="none" w:sz="0" w:space="0" w:color="auto"/>
            <w:left w:val="none" w:sz="0" w:space="0" w:color="auto"/>
            <w:bottom w:val="none" w:sz="0" w:space="0" w:color="auto"/>
            <w:right w:val="none" w:sz="0" w:space="0" w:color="auto"/>
          </w:divBdr>
        </w:div>
        <w:div w:id="603466637">
          <w:marLeft w:val="0"/>
          <w:marRight w:val="0"/>
          <w:marTop w:val="0"/>
          <w:marBottom w:val="0"/>
          <w:divBdr>
            <w:top w:val="none" w:sz="0" w:space="0" w:color="auto"/>
            <w:left w:val="none" w:sz="0" w:space="0" w:color="auto"/>
            <w:bottom w:val="none" w:sz="0" w:space="0" w:color="auto"/>
            <w:right w:val="none" w:sz="0" w:space="0" w:color="auto"/>
          </w:divBdr>
        </w:div>
        <w:div w:id="1402752760">
          <w:marLeft w:val="0"/>
          <w:marRight w:val="0"/>
          <w:marTop w:val="0"/>
          <w:marBottom w:val="0"/>
          <w:divBdr>
            <w:top w:val="none" w:sz="0" w:space="0" w:color="auto"/>
            <w:left w:val="none" w:sz="0" w:space="0" w:color="auto"/>
            <w:bottom w:val="none" w:sz="0" w:space="0" w:color="auto"/>
            <w:right w:val="none" w:sz="0" w:space="0" w:color="auto"/>
          </w:divBdr>
        </w:div>
        <w:div w:id="471485681">
          <w:marLeft w:val="0"/>
          <w:marRight w:val="0"/>
          <w:marTop w:val="0"/>
          <w:marBottom w:val="0"/>
          <w:divBdr>
            <w:top w:val="none" w:sz="0" w:space="0" w:color="auto"/>
            <w:left w:val="none" w:sz="0" w:space="0" w:color="auto"/>
            <w:bottom w:val="none" w:sz="0" w:space="0" w:color="auto"/>
            <w:right w:val="none" w:sz="0" w:space="0" w:color="auto"/>
          </w:divBdr>
        </w:div>
        <w:div w:id="1441410098">
          <w:marLeft w:val="0"/>
          <w:marRight w:val="0"/>
          <w:marTop w:val="0"/>
          <w:marBottom w:val="0"/>
          <w:divBdr>
            <w:top w:val="none" w:sz="0" w:space="0" w:color="auto"/>
            <w:left w:val="none" w:sz="0" w:space="0" w:color="auto"/>
            <w:bottom w:val="none" w:sz="0" w:space="0" w:color="auto"/>
            <w:right w:val="none" w:sz="0" w:space="0" w:color="auto"/>
          </w:divBdr>
        </w:div>
        <w:div w:id="212809932">
          <w:marLeft w:val="0"/>
          <w:marRight w:val="0"/>
          <w:marTop w:val="0"/>
          <w:marBottom w:val="0"/>
          <w:divBdr>
            <w:top w:val="none" w:sz="0" w:space="0" w:color="auto"/>
            <w:left w:val="none" w:sz="0" w:space="0" w:color="auto"/>
            <w:bottom w:val="none" w:sz="0" w:space="0" w:color="auto"/>
            <w:right w:val="none" w:sz="0" w:space="0" w:color="auto"/>
          </w:divBdr>
        </w:div>
        <w:div w:id="130947940">
          <w:marLeft w:val="0"/>
          <w:marRight w:val="0"/>
          <w:marTop w:val="180"/>
          <w:marBottom w:val="180"/>
          <w:divBdr>
            <w:top w:val="none" w:sz="0" w:space="0" w:color="auto"/>
            <w:left w:val="none" w:sz="0" w:space="0" w:color="auto"/>
            <w:bottom w:val="none" w:sz="0" w:space="0" w:color="auto"/>
            <w:right w:val="none" w:sz="0" w:space="0" w:color="auto"/>
          </w:divBdr>
        </w:div>
        <w:div w:id="1782919587">
          <w:marLeft w:val="0"/>
          <w:marRight w:val="0"/>
          <w:marTop w:val="0"/>
          <w:marBottom w:val="0"/>
          <w:divBdr>
            <w:top w:val="none" w:sz="0" w:space="0" w:color="auto"/>
            <w:left w:val="none" w:sz="0" w:space="0" w:color="auto"/>
            <w:bottom w:val="none" w:sz="0" w:space="0" w:color="auto"/>
            <w:right w:val="none" w:sz="0" w:space="0" w:color="auto"/>
          </w:divBdr>
        </w:div>
        <w:div w:id="1111126530">
          <w:marLeft w:val="0"/>
          <w:marRight w:val="0"/>
          <w:marTop w:val="0"/>
          <w:marBottom w:val="0"/>
          <w:divBdr>
            <w:top w:val="none" w:sz="0" w:space="0" w:color="auto"/>
            <w:left w:val="none" w:sz="0" w:space="0" w:color="auto"/>
            <w:bottom w:val="none" w:sz="0" w:space="0" w:color="auto"/>
            <w:right w:val="none" w:sz="0" w:space="0" w:color="auto"/>
          </w:divBdr>
        </w:div>
        <w:div w:id="1783527090">
          <w:marLeft w:val="0"/>
          <w:marRight w:val="0"/>
          <w:marTop w:val="0"/>
          <w:marBottom w:val="0"/>
          <w:divBdr>
            <w:top w:val="none" w:sz="0" w:space="0" w:color="auto"/>
            <w:left w:val="none" w:sz="0" w:space="0" w:color="auto"/>
            <w:bottom w:val="none" w:sz="0" w:space="0" w:color="auto"/>
            <w:right w:val="none" w:sz="0" w:space="0" w:color="auto"/>
          </w:divBdr>
        </w:div>
        <w:div w:id="941648429">
          <w:marLeft w:val="0"/>
          <w:marRight w:val="0"/>
          <w:marTop w:val="0"/>
          <w:marBottom w:val="0"/>
          <w:divBdr>
            <w:top w:val="none" w:sz="0" w:space="0" w:color="auto"/>
            <w:left w:val="none" w:sz="0" w:space="0" w:color="auto"/>
            <w:bottom w:val="none" w:sz="0" w:space="0" w:color="auto"/>
            <w:right w:val="none" w:sz="0" w:space="0" w:color="auto"/>
          </w:divBdr>
        </w:div>
        <w:div w:id="1800301595">
          <w:marLeft w:val="0"/>
          <w:marRight w:val="0"/>
          <w:marTop w:val="0"/>
          <w:marBottom w:val="0"/>
          <w:divBdr>
            <w:top w:val="none" w:sz="0" w:space="0" w:color="auto"/>
            <w:left w:val="none" w:sz="0" w:space="0" w:color="auto"/>
            <w:bottom w:val="none" w:sz="0" w:space="0" w:color="auto"/>
            <w:right w:val="none" w:sz="0" w:space="0" w:color="auto"/>
          </w:divBdr>
        </w:div>
        <w:div w:id="1998418915">
          <w:marLeft w:val="0"/>
          <w:marRight w:val="0"/>
          <w:marTop w:val="0"/>
          <w:marBottom w:val="0"/>
          <w:divBdr>
            <w:top w:val="none" w:sz="0" w:space="0" w:color="auto"/>
            <w:left w:val="none" w:sz="0" w:space="0" w:color="auto"/>
            <w:bottom w:val="none" w:sz="0" w:space="0" w:color="auto"/>
            <w:right w:val="none" w:sz="0" w:space="0" w:color="auto"/>
          </w:divBdr>
        </w:div>
        <w:div w:id="1693873331">
          <w:marLeft w:val="0"/>
          <w:marRight w:val="0"/>
          <w:marTop w:val="0"/>
          <w:marBottom w:val="0"/>
          <w:divBdr>
            <w:top w:val="none" w:sz="0" w:space="0" w:color="auto"/>
            <w:left w:val="none" w:sz="0" w:space="0" w:color="auto"/>
            <w:bottom w:val="none" w:sz="0" w:space="0" w:color="auto"/>
            <w:right w:val="none" w:sz="0" w:space="0" w:color="auto"/>
          </w:divBdr>
        </w:div>
        <w:div w:id="623117799">
          <w:marLeft w:val="0"/>
          <w:marRight w:val="0"/>
          <w:marTop w:val="0"/>
          <w:marBottom w:val="0"/>
          <w:divBdr>
            <w:top w:val="none" w:sz="0" w:space="0" w:color="auto"/>
            <w:left w:val="none" w:sz="0" w:space="0" w:color="auto"/>
            <w:bottom w:val="none" w:sz="0" w:space="0" w:color="auto"/>
            <w:right w:val="none" w:sz="0" w:space="0" w:color="auto"/>
          </w:divBdr>
        </w:div>
        <w:div w:id="2119133542">
          <w:marLeft w:val="0"/>
          <w:marRight w:val="0"/>
          <w:marTop w:val="0"/>
          <w:marBottom w:val="0"/>
          <w:divBdr>
            <w:top w:val="none" w:sz="0" w:space="0" w:color="auto"/>
            <w:left w:val="none" w:sz="0" w:space="0" w:color="auto"/>
            <w:bottom w:val="none" w:sz="0" w:space="0" w:color="auto"/>
            <w:right w:val="none" w:sz="0" w:space="0" w:color="auto"/>
          </w:divBdr>
        </w:div>
        <w:div w:id="217209156">
          <w:marLeft w:val="0"/>
          <w:marRight w:val="0"/>
          <w:marTop w:val="0"/>
          <w:marBottom w:val="0"/>
          <w:divBdr>
            <w:top w:val="none" w:sz="0" w:space="0" w:color="auto"/>
            <w:left w:val="none" w:sz="0" w:space="0" w:color="auto"/>
            <w:bottom w:val="none" w:sz="0" w:space="0" w:color="auto"/>
            <w:right w:val="none" w:sz="0" w:space="0" w:color="auto"/>
          </w:divBdr>
        </w:div>
        <w:div w:id="450520722">
          <w:marLeft w:val="0"/>
          <w:marRight w:val="0"/>
          <w:marTop w:val="0"/>
          <w:marBottom w:val="0"/>
          <w:divBdr>
            <w:top w:val="none" w:sz="0" w:space="0" w:color="auto"/>
            <w:left w:val="none" w:sz="0" w:space="0" w:color="auto"/>
            <w:bottom w:val="none" w:sz="0" w:space="0" w:color="auto"/>
            <w:right w:val="none" w:sz="0" w:space="0" w:color="auto"/>
          </w:divBdr>
        </w:div>
        <w:div w:id="495923214">
          <w:marLeft w:val="0"/>
          <w:marRight w:val="0"/>
          <w:marTop w:val="0"/>
          <w:marBottom w:val="0"/>
          <w:divBdr>
            <w:top w:val="none" w:sz="0" w:space="0" w:color="auto"/>
            <w:left w:val="none" w:sz="0" w:space="0" w:color="auto"/>
            <w:bottom w:val="none" w:sz="0" w:space="0" w:color="auto"/>
            <w:right w:val="none" w:sz="0" w:space="0" w:color="auto"/>
          </w:divBdr>
        </w:div>
        <w:div w:id="381058365">
          <w:marLeft w:val="0"/>
          <w:marRight w:val="0"/>
          <w:marTop w:val="0"/>
          <w:marBottom w:val="0"/>
          <w:divBdr>
            <w:top w:val="none" w:sz="0" w:space="0" w:color="auto"/>
            <w:left w:val="none" w:sz="0" w:space="0" w:color="auto"/>
            <w:bottom w:val="none" w:sz="0" w:space="0" w:color="auto"/>
            <w:right w:val="none" w:sz="0" w:space="0" w:color="auto"/>
          </w:divBdr>
        </w:div>
        <w:div w:id="678390871">
          <w:marLeft w:val="0"/>
          <w:marRight w:val="0"/>
          <w:marTop w:val="0"/>
          <w:marBottom w:val="0"/>
          <w:divBdr>
            <w:top w:val="none" w:sz="0" w:space="0" w:color="auto"/>
            <w:left w:val="none" w:sz="0" w:space="0" w:color="auto"/>
            <w:bottom w:val="none" w:sz="0" w:space="0" w:color="auto"/>
            <w:right w:val="none" w:sz="0" w:space="0" w:color="auto"/>
          </w:divBdr>
        </w:div>
        <w:div w:id="2090301921">
          <w:marLeft w:val="0"/>
          <w:marRight w:val="0"/>
          <w:marTop w:val="0"/>
          <w:marBottom w:val="0"/>
          <w:divBdr>
            <w:top w:val="none" w:sz="0" w:space="0" w:color="auto"/>
            <w:left w:val="none" w:sz="0" w:space="0" w:color="auto"/>
            <w:bottom w:val="none" w:sz="0" w:space="0" w:color="auto"/>
            <w:right w:val="none" w:sz="0" w:space="0" w:color="auto"/>
          </w:divBdr>
        </w:div>
        <w:div w:id="1298995132">
          <w:marLeft w:val="0"/>
          <w:marRight w:val="0"/>
          <w:marTop w:val="0"/>
          <w:marBottom w:val="0"/>
          <w:divBdr>
            <w:top w:val="none" w:sz="0" w:space="0" w:color="auto"/>
            <w:left w:val="none" w:sz="0" w:space="0" w:color="auto"/>
            <w:bottom w:val="none" w:sz="0" w:space="0" w:color="auto"/>
            <w:right w:val="none" w:sz="0" w:space="0" w:color="auto"/>
          </w:divBdr>
        </w:div>
        <w:div w:id="530191922">
          <w:marLeft w:val="0"/>
          <w:marRight w:val="0"/>
          <w:marTop w:val="0"/>
          <w:marBottom w:val="0"/>
          <w:divBdr>
            <w:top w:val="none" w:sz="0" w:space="0" w:color="auto"/>
            <w:left w:val="none" w:sz="0" w:space="0" w:color="auto"/>
            <w:bottom w:val="none" w:sz="0" w:space="0" w:color="auto"/>
            <w:right w:val="none" w:sz="0" w:space="0" w:color="auto"/>
          </w:divBdr>
        </w:div>
        <w:div w:id="57368461">
          <w:marLeft w:val="0"/>
          <w:marRight w:val="0"/>
          <w:marTop w:val="0"/>
          <w:marBottom w:val="0"/>
          <w:divBdr>
            <w:top w:val="none" w:sz="0" w:space="0" w:color="auto"/>
            <w:left w:val="none" w:sz="0" w:space="0" w:color="auto"/>
            <w:bottom w:val="none" w:sz="0" w:space="0" w:color="auto"/>
            <w:right w:val="none" w:sz="0" w:space="0" w:color="auto"/>
          </w:divBdr>
        </w:div>
        <w:div w:id="1180042427">
          <w:marLeft w:val="0"/>
          <w:marRight w:val="0"/>
          <w:marTop w:val="0"/>
          <w:marBottom w:val="0"/>
          <w:divBdr>
            <w:top w:val="none" w:sz="0" w:space="0" w:color="auto"/>
            <w:left w:val="none" w:sz="0" w:space="0" w:color="auto"/>
            <w:bottom w:val="none" w:sz="0" w:space="0" w:color="auto"/>
            <w:right w:val="none" w:sz="0" w:space="0" w:color="auto"/>
          </w:divBdr>
        </w:div>
        <w:div w:id="55321189">
          <w:marLeft w:val="0"/>
          <w:marRight w:val="0"/>
          <w:marTop w:val="0"/>
          <w:marBottom w:val="0"/>
          <w:divBdr>
            <w:top w:val="none" w:sz="0" w:space="0" w:color="auto"/>
            <w:left w:val="none" w:sz="0" w:space="0" w:color="auto"/>
            <w:bottom w:val="none" w:sz="0" w:space="0" w:color="auto"/>
            <w:right w:val="none" w:sz="0" w:space="0" w:color="auto"/>
          </w:divBdr>
        </w:div>
        <w:div w:id="219218118">
          <w:marLeft w:val="0"/>
          <w:marRight w:val="0"/>
          <w:marTop w:val="0"/>
          <w:marBottom w:val="0"/>
          <w:divBdr>
            <w:top w:val="none" w:sz="0" w:space="0" w:color="auto"/>
            <w:left w:val="none" w:sz="0" w:space="0" w:color="auto"/>
            <w:bottom w:val="none" w:sz="0" w:space="0" w:color="auto"/>
            <w:right w:val="none" w:sz="0" w:space="0" w:color="auto"/>
          </w:divBdr>
        </w:div>
        <w:div w:id="874587278">
          <w:marLeft w:val="0"/>
          <w:marRight w:val="0"/>
          <w:marTop w:val="0"/>
          <w:marBottom w:val="0"/>
          <w:divBdr>
            <w:top w:val="none" w:sz="0" w:space="0" w:color="auto"/>
            <w:left w:val="none" w:sz="0" w:space="0" w:color="auto"/>
            <w:bottom w:val="none" w:sz="0" w:space="0" w:color="auto"/>
            <w:right w:val="none" w:sz="0" w:space="0" w:color="auto"/>
          </w:divBdr>
        </w:div>
        <w:div w:id="1957246646">
          <w:marLeft w:val="0"/>
          <w:marRight w:val="0"/>
          <w:marTop w:val="0"/>
          <w:marBottom w:val="0"/>
          <w:divBdr>
            <w:top w:val="none" w:sz="0" w:space="0" w:color="auto"/>
            <w:left w:val="none" w:sz="0" w:space="0" w:color="auto"/>
            <w:bottom w:val="none" w:sz="0" w:space="0" w:color="auto"/>
            <w:right w:val="none" w:sz="0" w:space="0" w:color="auto"/>
          </w:divBdr>
        </w:div>
        <w:div w:id="241792460">
          <w:marLeft w:val="0"/>
          <w:marRight w:val="0"/>
          <w:marTop w:val="0"/>
          <w:marBottom w:val="0"/>
          <w:divBdr>
            <w:top w:val="none" w:sz="0" w:space="0" w:color="auto"/>
            <w:left w:val="none" w:sz="0" w:space="0" w:color="auto"/>
            <w:bottom w:val="none" w:sz="0" w:space="0" w:color="auto"/>
            <w:right w:val="none" w:sz="0" w:space="0" w:color="auto"/>
          </w:divBdr>
        </w:div>
        <w:div w:id="865873141">
          <w:marLeft w:val="0"/>
          <w:marRight w:val="0"/>
          <w:marTop w:val="0"/>
          <w:marBottom w:val="0"/>
          <w:divBdr>
            <w:top w:val="none" w:sz="0" w:space="0" w:color="auto"/>
            <w:left w:val="none" w:sz="0" w:space="0" w:color="auto"/>
            <w:bottom w:val="none" w:sz="0" w:space="0" w:color="auto"/>
            <w:right w:val="none" w:sz="0" w:space="0" w:color="auto"/>
          </w:divBdr>
        </w:div>
        <w:div w:id="955257982">
          <w:marLeft w:val="0"/>
          <w:marRight w:val="0"/>
          <w:marTop w:val="0"/>
          <w:marBottom w:val="0"/>
          <w:divBdr>
            <w:top w:val="none" w:sz="0" w:space="0" w:color="auto"/>
            <w:left w:val="none" w:sz="0" w:space="0" w:color="auto"/>
            <w:bottom w:val="none" w:sz="0" w:space="0" w:color="auto"/>
            <w:right w:val="none" w:sz="0" w:space="0" w:color="auto"/>
          </w:divBdr>
        </w:div>
        <w:div w:id="1130977921">
          <w:marLeft w:val="0"/>
          <w:marRight w:val="0"/>
          <w:marTop w:val="0"/>
          <w:marBottom w:val="0"/>
          <w:divBdr>
            <w:top w:val="none" w:sz="0" w:space="0" w:color="auto"/>
            <w:left w:val="none" w:sz="0" w:space="0" w:color="auto"/>
            <w:bottom w:val="none" w:sz="0" w:space="0" w:color="auto"/>
            <w:right w:val="none" w:sz="0" w:space="0" w:color="auto"/>
          </w:divBdr>
        </w:div>
      </w:divsChild>
    </w:div>
    <w:div w:id="1268199229">
      <w:marLeft w:val="0"/>
      <w:marRight w:val="0"/>
      <w:marTop w:val="0"/>
      <w:marBottom w:val="0"/>
      <w:divBdr>
        <w:top w:val="none" w:sz="0" w:space="0" w:color="auto"/>
        <w:left w:val="none" w:sz="0" w:space="0" w:color="auto"/>
        <w:bottom w:val="none" w:sz="0" w:space="0" w:color="auto"/>
        <w:right w:val="none" w:sz="0" w:space="0" w:color="auto"/>
      </w:divBdr>
      <w:divsChild>
        <w:div w:id="1578707906">
          <w:marLeft w:val="0"/>
          <w:marRight w:val="0"/>
          <w:marTop w:val="0"/>
          <w:marBottom w:val="0"/>
          <w:divBdr>
            <w:top w:val="none" w:sz="0" w:space="0" w:color="auto"/>
            <w:left w:val="none" w:sz="0" w:space="0" w:color="auto"/>
            <w:bottom w:val="none" w:sz="0" w:space="0" w:color="auto"/>
            <w:right w:val="none" w:sz="0" w:space="0" w:color="auto"/>
          </w:divBdr>
          <w:divsChild>
            <w:div w:id="157747052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68268460">
      <w:marLeft w:val="0"/>
      <w:marRight w:val="0"/>
      <w:marTop w:val="0"/>
      <w:marBottom w:val="0"/>
      <w:divBdr>
        <w:top w:val="none" w:sz="0" w:space="0" w:color="auto"/>
        <w:left w:val="none" w:sz="0" w:space="0" w:color="auto"/>
        <w:bottom w:val="none" w:sz="0" w:space="0" w:color="auto"/>
        <w:right w:val="none" w:sz="0" w:space="0" w:color="auto"/>
      </w:divBdr>
    </w:div>
    <w:div w:id="1269004081">
      <w:marLeft w:val="0"/>
      <w:marRight w:val="0"/>
      <w:marTop w:val="180"/>
      <w:marBottom w:val="180"/>
      <w:divBdr>
        <w:top w:val="none" w:sz="0" w:space="0" w:color="auto"/>
        <w:left w:val="none" w:sz="0" w:space="0" w:color="auto"/>
        <w:bottom w:val="none" w:sz="0" w:space="0" w:color="auto"/>
        <w:right w:val="none" w:sz="0" w:space="0" w:color="auto"/>
      </w:divBdr>
    </w:div>
    <w:div w:id="1269124829">
      <w:marLeft w:val="0"/>
      <w:marRight w:val="0"/>
      <w:marTop w:val="180"/>
      <w:marBottom w:val="180"/>
      <w:divBdr>
        <w:top w:val="none" w:sz="0" w:space="0" w:color="auto"/>
        <w:left w:val="none" w:sz="0" w:space="0" w:color="auto"/>
        <w:bottom w:val="none" w:sz="0" w:space="0" w:color="auto"/>
        <w:right w:val="none" w:sz="0" w:space="0" w:color="auto"/>
      </w:divBdr>
    </w:div>
    <w:div w:id="1269503732">
      <w:marLeft w:val="0"/>
      <w:marRight w:val="0"/>
      <w:marTop w:val="180"/>
      <w:marBottom w:val="180"/>
      <w:divBdr>
        <w:top w:val="none" w:sz="0" w:space="0" w:color="auto"/>
        <w:left w:val="none" w:sz="0" w:space="0" w:color="auto"/>
        <w:bottom w:val="none" w:sz="0" w:space="0" w:color="auto"/>
        <w:right w:val="none" w:sz="0" w:space="0" w:color="auto"/>
      </w:divBdr>
    </w:div>
    <w:div w:id="1269701771">
      <w:marLeft w:val="0"/>
      <w:marRight w:val="0"/>
      <w:marTop w:val="180"/>
      <w:marBottom w:val="180"/>
      <w:divBdr>
        <w:top w:val="none" w:sz="0" w:space="0" w:color="auto"/>
        <w:left w:val="none" w:sz="0" w:space="0" w:color="auto"/>
        <w:bottom w:val="none" w:sz="0" w:space="0" w:color="auto"/>
        <w:right w:val="none" w:sz="0" w:space="0" w:color="auto"/>
      </w:divBdr>
    </w:div>
    <w:div w:id="1270699528">
      <w:marLeft w:val="0"/>
      <w:marRight w:val="0"/>
      <w:marTop w:val="180"/>
      <w:marBottom w:val="180"/>
      <w:divBdr>
        <w:top w:val="none" w:sz="0" w:space="0" w:color="auto"/>
        <w:left w:val="none" w:sz="0" w:space="0" w:color="auto"/>
        <w:bottom w:val="none" w:sz="0" w:space="0" w:color="auto"/>
        <w:right w:val="none" w:sz="0" w:space="0" w:color="auto"/>
      </w:divBdr>
    </w:div>
    <w:div w:id="1271351356">
      <w:marLeft w:val="0"/>
      <w:marRight w:val="0"/>
      <w:marTop w:val="60"/>
      <w:marBottom w:val="60"/>
      <w:divBdr>
        <w:top w:val="none" w:sz="0" w:space="0" w:color="auto"/>
        <w:left w:val="none" w:sz="0" w:space="0" w:color="auto"/>
        <w:bottom w:val="none" w:sz="0" w:space="0" w:color="auto"/>
        <w:right w:val="none" w:sz="0" w:space="0" w:color="auto"/>
      </w:divBdr>
    </w:div>
    <w:div w:id="1271355403">
      <w:marLeft w:val="0"/>
      <w:marRight w:val="0"/>
      <w:marTop w:val="180"/>
      <w:marBottom w:val="180"/>
      <w:divBdr>
        <w:top w:val="none" w:sz="0" w:space="0" w:color="auto"/>
        <w:left w:val="none" w:sz="0" w:space="0" w:color="auto"/>
        <w:bottom w:val="none" w:sz="0" w:space="0" w:color="auto"/>
        <w:right w:val="none" w:sz="0" w:space="0" w:color="auto"/>
      </w:divBdr>
    </w:div>
    <w:div w:id="1271401458">
      <w:marLeft w:val="0"/>
      <w:marRight w:val="0"/>
      <w:marTop w:val="0"/>
      <w:marBottom w:val="0"/>
      <w:divBdr>
        <w:top w:val="none" w:sz="0" w:space="0" w:color="auto"/>
        <w:left w:val="none" w:sz="0" w:space="0" w:color="auto"/>
        <w:bottom w:val="none" w:sz="0" w:space="0" w:color="auto"/>
        <w:right w:val="none" w:sz="0" w:space="0" w:color="auto"/>
      </w:divBdr>
      <w:divsChild>
        <w:div w:id="1299265709">
          <w:marLeft w:val="0"/>
          <w:marRight w:val="0"/>
          <w:marTop w:val="0"/>
          <w:marBottom w:val="0"/>
          <w:divBdr>
            <w:top w:val="none" w:sz="0" w:space="0" w:color="auto"/>
            <w:left w:val="none" w:sz="0" w:space="0" w:color="auto"/>
            <w:bottom w:val="none" w:sz="0" w:space="0" w:color="auto"/>
            <w:right w:val="none" w:sz="0" w:space="0" w:color="auto"/>
          </w:divBdr>
          <w:divsChild>
            <w:div w:id="174590699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73242229">
      <w:marLeft w:val="0"/>
      <w:marRight w:val="0"/>
      <w:marTop w:val="180"/>
      <w:marBottom w:val="180"/>
      <w:divBdr>
        <w:top w:val="none" w:sz="0" w:space="0" w:color="auto"/>
        <w:left w:val="none" w:sz="0" w:space="0" w:color="auto"/>
        <w:bottom w:val="none" w:sz="0" w:space="0" w:color="auto"/>
        <w:right w:val="none" w:sz="0" w:space="0" w:color="auto"/>
      </w:divBdr>
    </w:div>
    <w:div w:id="1274020113">
      <w:marLeft w:val="0"/>
      <w:marRight w:val="0"/>
      <w:marTop w:val="180"/>
      <w:marBottom w:val="180"/>
      <w:divBdr>
        <w:top w:val="none" w:sz="0" w:space="0" w:color="auto"/>
        <w:left w:val="none" w:sz="0" w:space="0" w:color="auto"/>
        <w:bottom w:val="none" w:sz="0" w:space="0" w:color="auto"/>
        <w:right w:val="none" w:sz="0" w:space="0" w:color="auto"/>
      </w:divBdr>
    </w:div>
    <w:div w:id="1276596848">
      <w:marLeft w:val="0"/>
      <w:marRight w:val="0"/>
      <w:marTop w:val="180"/>
      <w:marBottom w:val="180"/>
      <w:divBdr>
        <w:top w:val="none" w:sz="0" w:space="0" w:color="auto"/>
        <w:left w:val="none" w:sz="0" w:space="0" w:color="auto"/>
        <w:bottom w:val="none" w:sz="0" w:space="0" w:color="auto"/>
        <w:right w:val="none" w:sz="0" w:space="0" w:color="auto"/>
      </w:divBdr>
    </w:div>
    <w:div w:id="1278869864">
      <w:marLeft w:val="0"/>
      <w:marRight w:val="0"/>
      <w:marTop w:val="0"/>
      <w:marBottom w:val="0"/>
      <w:divBdr>
        <w:top w:val="none" w:sz="0" w:space="0" w:color="auto"/>
        <w:left w:val="none" w:sz="0" w:space="0" w:color="auto"/>
        <w:bottom w:val="none" w:sz="0" w:space="0" w:color="auto"/>
        <w:right w:val="none" w:sz="0" w:space="0" w:color="auto"/>
      </w:divBdr>
      <w:divsChild>
        <w:div w:id="489905557">
          <w:marLeft w:val="0"/>
          <w:marRight w:val="0"/>
          <w:marTop w:val="0"/>
          <w:marBottom w:val="0"/>
          <w:divBdr>
            <w:top w:val="none" w:sz="0" w:space="0" w:color="auto"/>
            <w:left w:val="none" w:sz="0" w:space="0" w:color="auto"/>
            <w:bottom w:val="none" w:sz="0" w:space="0" w:color="auto"/>
            <w:right w:val="none" w:sz="0" w:space="0" w:color="auto"/>
          </w:divBdr>
          <w:divsChild>
            <w:div w:id="106930763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78877315">
      <w:marLeft w:val="0"/>
      <w:marRight w:val="0"/>
      <w:marTop w:val="180"/>
      <w:marBottom w:val="180"/>
      <w:divBdr>
        <w:top w:val="none" w:sz="0" w:space="0" w:color="auto"/>
        <w:left w:val="none" w:sz="0" w:space="0" w:color="auto"/>
        <w:bottom w:val="none" w:sz="0" w:space="0" w:color="auto"/>
        <w:right w:val="none" w:sz="0" w:space="0" w:color="auto"/>
      </w:divBdr>
    </w:div>
    <w:div w:id="1279337711">
      <w:marLeft w:val="0"/>
      <w:marRight w:val="0"/>
      <w:marTop w:val="180"/>
      <w:marBottom w:val="180"/>
      <w:divBdr>
        <w:top w:val="none" w:sz="0" w:space="0" w:color="auto"/>
        <w:left w:val="none" w:sz="0" w:space="0" w:color="auto"/>
        <w:bottom w:val="none" w:sz="0" w:space="0" w:color="auto"/>
        <w:right w:val="none" w:sz="0" w:space="0" w:color="auto"/>
      </w:divBdr>
    </w:div>
    <w:div w:id="1279802179">
      <w:marLeft w:val="0"/>
      <w:marRight w:val="0"/>
      <w:marTop w:val="180"/>
      <w:marBottom w:val="180"/>
      <w:divBdr>
        <w:top w:val="none" w:sz="0" w:space="0" w:color="auto"/>
        <w:left w:val="none" w:sz="0" w:space="0" w:color="auto"/>
        <w:bottom w:val="none" w:sz="0" w:space="0" w:color="auto"/>
        <w:right w:val="none" w:sz="0" w:space="0" w:color="auto"/>
      </w:divBdr>
    </w:div>
    <w:div w:id="1283919859">
      <w:marLeft w:val="0"/>
      <w:marRight w:val="0"/>
      <w:marTop w:val="0"/>
      <w:marBottom w:val="0"/>
      <w:divBdr>
        <w:top w:val="none" w:sz="0" w:space="0" w:color="auto"/>
        <w:left w:val="none" w:sz="0" w:space="0" w:color="auto"/>
        <w:bottom w:val="none" w:sz="0" w:space="0" w:color="auto"/>
        <w:right w:val="none" w:sz="0" w:space="0" w:color="auto"/>
      </w:divBdr>
      <w:divsChild>
        <w:div w:id="1258979072">
          <w:marLeft w:val="0"/>
          <w:marRight w:val="0"/>
          <w:marTop w:val="0"/>
          <w:marBottom w:val="0"/>
          <w:divBdr>
            <w:top w:val="none" w:sz="0" w:space="0" w:color="auto"/>
            <w:left w:val="none" w:sz="0" w:space="0" w:color="auto"/>
            <w:bottom w:val="none" w:sz="0" w:space="0" w:color="auto"/>
            <w:right w:val="none" w:sz="0" w:space="0" w:color="auto"/>
          </w:divBdr>
          <w:divsChild>
            <w:div w:id="132339267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84851659">
      <w:marLeft w:val="0"/>
      <w:marRight w:val="0"/>
      <w:marTop w:val="0"/>
      <w:marBottom w:val="0"/>
      <w:divBdr>
        <w:top w:val="none" w:sz="0" w:space="0" w:color="auto"/>
        <w:left w:val="none" w:sz="0" w:space="0" w:color="auto"/>
        <w:bottom w:val="none" w:sz="0" w:space="0" w:color="auto"/>
        <w:right w:val="none" w:sz="0" w:space="0" w:color="auto"/>
      </w:divBdr>
    </w:div>
    <w:div w:id="1287158187">
      <w:marLeft w:val="0"/>
      <w:marRight w:val="0"/>
      <w:marTop w:val="180"/>
      <w:marBottom w:val="180"/>
      <w:divBdr>
        <w:top w:val="none" w:sz="0" w:space="0" w:color="auto"/>
        <w:left w:val="none" w:sz="0" w:space="0" w:color="auto"/>
        <w:bottom w:val="none" w:sz="0" w:space="0" w:color="auto"/>
        <w:right w:val="none" w:sz="0" w:space="0" w:color="auto"/>
      </w:divBdr>
    </w:div>
    <w:div w:id="1287158874">
      <w:marLeft w:val="0"/>
      <w:marRight w:val="0"/>
      <w:marTop w:val="0"/>
      <w:marBottom w:val="0"/>
      <w:divBdr>
        <w:top w:val="none" w:sz="0" w:space="0" w:color="auto"/>
        <w:left w:val="none" w:sz="0" w:space="0" w:color="auto"/>
        <w:bottom w:val="none" w:sz="0" w:space="0" w:color="auto"/>
        <w:right w:val="none" w:sz="0" w:space="0" w:color="auto"/>
      </w:divBdr>
    </w:div>
    <w:div w:id="1287545567">
      <w:marLeft w:val="0"/>
      <w:marRight w:val="0"/>
      <w:marTop w:val="0"/>
      <w:marBottom w:val="0"/>
      <w:divBdr>
        <w:top w:val="none" w:sz="0" w:space="0" w:color="auto"/>
        <w:left w:val="none" w:sz="0" w:space="0" w:color="auto"/>
        <w:bottom w:val="none" w:sz="0" w:space="0" w:color="auto"/>
        <w:right w:val="none" w:sz="0" w:space="0" w:color="auto"/>
      </w:divBdr>
      <w:divsChild>
        <w:div w:id="356390735">
          <w:marLeft w:val="0"/>
          <w:marRight w:val="0"/>
          <w:marTop w:val="0"/>
          <w:marBottom w:val="0"/>
          <w:divBdr>
            <w:top w:val="none" w:sz="0" w:space="0" w:color="auto"/>
            <w:left w:val="none" w:sz="0" w:space="0" w:color="auto"/>
            <w:bottom w:val="none" w:sz="0" w:space="0" w:color="auto"/>
            <w:right w:val="none" w:sz="0" w:space="0" w:color="auto"/>
          </w:divBdr>
          <w:divsChild>
            <w:div w:id="184000065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88581055">
      <w:marLeft w:val="0"/>
      <w:marRight w:val="0"/>
      <w:marTop w:val="180"/>
      <w:marBottom w:val="180"/>
      <w:divBdr>
        <w:top w:val="none" w:sz="0" w:space="0" w:color="auto"/>
        <w:left w:val="none" w:sz="0" w:space="0" w:color="auto"/>
        <w:bottom w:val="none" w:sz="0" w:space="0" w:color="auto"/>
        <w:right w:val="none" w:sz="0" w:space="0" w:color="auto"/>
      </w:divBdr>
    </w:div>
    <w:div w:id="1290209695">
      <w:marLeft w:val="0"/>
      <w:marRight w:val="0"/>
      <w:marTop w:val="240"/>
      <w:marBottom w:val="180"/>
      <w:divBdr>
        <w:top w:val="none" w:sz="0" w:space="0" w:color="auto"/>
        <w:left w:val="none" w:sz="0" w:space="0" w:color="auto"/>
        <w:bottom w:val="none" w:sz="0" w:space="0" w:color="auto"/>
        <w:right w:val="none" w:sz="0" w:space="0" w:color="auto"/>
      </w:divBdr>
    </w:div>
    <w:div w:id="1291595580">
      <w:marLeft w:val="0"/>
      <w:marRight w:val="0"/>
      <w:marTop w:val="180"/>
      <w:marBottom w:val="180"/>
      <w:divBdr>
        <w:top w:val="none" w:sz="0" w:space="0" w:color="auto"/>
        <w:left w:val="none" w:sz="0" w:space="0" w:color="auto"/>
        <w:bottom w:val="none" w:sz="0" w:space="0" w:color="auto"/>
        <w:right w:val="none" w:sz="0" w:space="0" w:color="auto"/>
      </w:divBdr>
    </w:div>
    <w:div w:id="1291934656">
      <w:marLeft w:val="0"/>
      <w:marRight w:val="0"/>
      <w:marTop w:val="60"/>
      <w:marBottom w:val="60"/>
      <w:divBdr>
        <w:top w:val="none" w:sz="0" w:space="0" w:color="auto"/>
        <w:left w:val="none" w:sz="0" w:space="0" w:color="auto"/>
        <w:bottom w:val="none" w:sz="0" w:space="0" w:color="auto"/>
        <w:right w:val="none" w:sz="0" w:space="0" w:color="auto"/>
      </w:divBdr>
    </w:div>
    <w:div w:id="1291941419">
      <w:marLeft w:val="0"/>
      <w:marRight w:val="0"/>
      <w:marTop w:val="60"/>
      <w:marBottom w:val="60"/>
      <w:divBdr>
        <w:top w:val="none" w:sz="0" w:space="0" w:color="auto"/>
        <w:left w:val="none" w:sz="0" w:space="0" w:color="auto"/>
        <w:bottom w:val="none" w:sz="0" w:space="0" w:color="auto"/>
        <w:right w:val="none" w:sz="0" w:space="0" w:color="auto"/>
      </w:divBdr>
    </w:div>
    <w:div w:id="1297249615">
      <w:marLeft w:val="0"/>
      <w:marRight w:val="0"/>
      <w:marTop w:val="180"/>
      <w:marBottom w:val="180"/>
      <w:divBdr>
        <w:top w:val="none" w:sz="0" w:space="0" w:color="auto"/>
        <w:left w:val="none" w:sz="0" w:space="0" w:color="auto"/>
        <w:bottom w:val="none" w:sz="0" w:space="0" w:color="auto"/>
        <w:right w:val="none" w:sz="0" w:space="0" w:color="auto"/>
      </w:divBdr>
    </w:div>
    <w:div w:id="1298485202">
      <w:marLeft w:val="0"/>
      <w:marRight w:val="0"/>
      <w:marTop w:val="0"/>
      <w:marBottom w:val="0"/>
      <w:divBdr>
        <w:top w:val="none" w:sz="0" w:space="0" w:color="auto"/>
        <w:left w:val="none" w:sz="0" w:space="0" w:color="auto"/>
        <w:bottom w:val="none" w:sz="0" w:space="0" w:color="auto"/>
        <w:right w:val="none" w:sz="0" w:space="0" w:color="auto"/>
      </w:divBdr>
    </w:div>
    <w:div w:id="1298603425">
      <w:marLeft w:val="0"/>
      <w:marRight w:val="0"/>
      <w:marTop w:val="180"/>
      <w:marBottom w:val="180"/>
      <w:divBdr>
        <w:top w:val="none" w:sz="0" w:space="0" w:color="auto"/>
        <w:left w:val="none" w:sz="0" w:space="0" w:color="auto"/>
        <w:bottom w:val="none" w:sz="0" w:space="0" w:color="auto"/>
        <w:right w:val="none" w:sz="0" w:space="0" w:color="auto"/>
      </w:divBdr>
    </w:div>
    <w:div w:id="1301307940">
      <w:marLeft w:val="0"/>
      <w:marRight w:val="0"/>
      <w:marTop w:val="180"/>
      <w:marBottom w:val="180"/>
      <w:divBdr>
        <w:top w:val="none" w:sz="0" w:space="0" w:color="auto"/>
        <w:left w:val="none" w:sz="0" w:space="0" w:color="auto"/>
        <w:bottom w:val="none" w:sz="0" w:space="0" w:color="auto"/>
        <w:right w:val="none" w:sz="0" w:space="0" w:color="auto"/>
      </w:divBdr>
    </w:div>
    <w:div w:id="1301568217">
      <w:marLeft w:val="0"/>
      <w:marRight w:val="0"/>
      <w:marTop w:val="180"/>
      <w:marBottom w:val="180"/>
      <w:divBdr>
        <w:top w:val="none" w:sz="0" w:space="0" w:color="auto"/>
        <w:left w:val="none" w:sz="0" w:space="0" w:color="auto"/>
        <w:bottom w:val="none" w:sz="0" w:space="0" w:color="auto"/>
        <w:right w:val="none" w:sz="0" w:space="0" w:color="auto"/>
      </w:divBdr>
    </w:div>
    <w:div w:id="1303854113">
      <w:marLeft w:val="0"/>
      <w:marRight w:val="0"/>
      <w:marTop w:val="180"/>
      <w:marBottom w:val="180"/>
      <w:divBdr>
        <w:top w:val="none" w:sz="0" w:space="0" w:color="auto"/>
        <w:left w:val="none" w:sz="0" w:space="0" w:color="auto"/>
        <w:bottom w:val="none" w:sz="0" w:space="0" w:color="auto"/>
        <w:right w:val="none" w:sz="0" w:space="0" w:color="auto"/>
      </w:divBdr>
    </w:div>
    <w:div w:id="1307972735">
      <w:marLeft w:val="0"/>
      <w:marRight w:val="0"/>
      <w:marTop w:val="180"/>
      <w:marBottom w:val="180"/>
      <w:divBdr>
        <w:top w:val="none" w:sz="0" w:space="0" w:color="auto"/>
        <w:left w:val="none" w:sz="0" w:space="0" w:color="auto"/>
        <w:bottom w:val="none" w:sz="0" w:space="0" w:color="auto"/>
        <w:right w:val="none" w:sz="0" w:space="0" w:color="auto"/>
      </w:divBdr>
    </w:div>
    <w:div w:id="1308436800">
      <w:marLeft w:val="0"/>
      <w:marRight w:val="0"/>
      <w:marTop w:val="180"/>
      <w:marBottom w:val="180"/>
      <w:divBdr>
        <w:top w:val="none" w:sz="0" w:space="0" w:color="auto"/>
        <w:left w:val="none" w:sz="0" w:space="0" w:color="auto"/>
        <w:bottom w:val="none" w:sz="0" w:space="0" w:color="auto"/>
        <w:right w:val="none" w:sz="0" w:space="0" w:color="auto"/>
      </w:divBdr>
    </w:div>
    <w:div w:id="1308827739">
      <w:marLeft w:val="0"/>
      <w:marRight w:val="0"/>
      <w:marTop w:val="60"/>
      <w:marBottom w:val="60"/>
      <w:divBdr>
        <w:top w:val="none" w:sz="0" w:space="0" w:color="auto"/>
        <w:left w:val="none" w:sz="0" w:space="0" w:color="auto"/>
        <w:bottom w:val="none" w:sz="0" w:space="0" w:color="auto"/>
        <w:right w:val="none" w:sz="0" w:space="0" w:color="auto"/>
      </w:divBdr>
      <w:divsChild>
        <w:div w:id="1831671593">
          <w:marLeft w:val="0"/>
          <w:marRight w:val="0"/>
          <w:marTop w:val="0"/>
          <w:marBottom w:val="0"/>
          <w:divBdr>
            <w:top w:val="none" w:sz="0" w:space="0" w:color="auto"/>
            <w:left w:val="none" w:sz="0" w:space="0" w:color="auto"/>
            <w:bottom w:val="none" w:sz="0" w:space="0" w:color="auto"/>
            <w:right w:val="none" w:sz="0" w:space="0" w:color="auto"/>
          </w:divBdr>
        </w:div>
        <w:div w:id="553351622">
          <w:marLeft w:val="0"/>
          <w:marRight w:val="0"/>
          <w:marTop w:val="0"/>
          <w:marBottom w:val="0"/>
          <w:divBdr>
            <w:top w:val="none" w:sz="0" w:space="0" w:color="auto"/>
            <w:left w:val="none" w:sz="0" w:space="0" w:color="auto"/>
            <w:bottom w:val="none" w:sz="0" w:space="0" w:color="auto"/>
            <w:right w:val="none" w:sz="0" w:space="0" w:color="auto"/>
          </w:divBdr>
        </w:div>
        <w:div w:id="1290164241">
          <w:marLeft w:val="0"/>
          <w:marRight w:val="0"/>
          <w:marTop w:val="0"/>
          <w:marBottom w:val="0"/>
          <w:divBdr>
            <w:top w:val="none" w:sz="0" w:space="0" w:color="auto"/>
            <w:left w:val="none" w:sz="0" w:space="0" w:color="auto"/>
            <w:bottom w:val="none" w:sz="0" w:space="0" w:color="auto"/>
            <w:right w:val="none" w:sz="0" w:space="0" w:color="auto"/>
          </w:divBdr>
        </w:div>
        <w:div w:id="660352383">
          <w:marLeft w:val="0"/>
          <w:marRight w:val="0"/>
          <w:marTop w:val="0"/>
          <w:marBottom w:val="0"/>
          <w:divBdr>
            <w:top w:val="none" w:sz="0" w:space="0" w:color="auto"/>
            <w:left w:val="none" w:sz="0" w:space="0" w:color="auto"/>
            <w:bottom w:val="none" w:sz="0" w:space="0" w:color="auto"/>
            <w:right w:val="none" w:sz="0" w:space="0" w:color="auto"/>
          </w:divBdr>
        </w:div>
      </w:divsChild>
    </w:div>
    <w:div w:id="1309625739">
      <w:marLeft w:val="0"/>
      <w:marRight w:val="0"/>
      <w:marTop w:val="100"/>
      <w:marBottom w:val="0"/>
      <w:divBdr>
        <w:top w:val="none" w:sz="0" w:space="0" w:color="auto"/>
        <w:left w:val="none" w:sz="0" w:space="0" w:color="auto"/>
        <w:bottom w:val="none" w:sz="0" w:space="0" w:color="auto"/>
        <w:right w:val="none" w:sz="0" w:space="0" w:color="auto"/>
      </w:divBdr>
      <w:divsChild>
        <w:div w:id="1695498964">
          <w:marLeft w:val="0"/>
          <w:marRight w:val="0"/>
          <w:marTop w:val="0"/>
          <w:marBottom w:val="0"/>
          <w:divBdr>
            <w:top w:val="none" w:sz="0" w:space="0" w:color="auto"/>
            <w:left w:val="none" w:sz="0" w:space="0" w:color="auto"/>
            <w:bottom w:val="none" w:sz="0" w:space="0" w:color="auto"/>
            <w:right w:val="none" w:sz="0" w:space="0" w:color="auto"/>
          </w:divBdr>
        </w:div>
      </w:divsChild>
    </w:div>
    <w:div w:id="1310090968">
      <w:marLeft w:val="0"/>
      <w:marRight w:val="0"/>
      <w:marTop w:val="180"/>
      <w:marBottom w:val="180"/>
      <w:divBdr>
        <w:top w:val="none" w:sz="0" w:space="0" w:color="auto"/>
        <w:left w:val="none" w:sz="0" w:space="0" w:color="auto"/>
        <w:bottom w:val="none" w:sz="0" w:space="0" w:color="auto"/>
        <w:right w:val="none" w:sz="0" w:space="0" w:color="auto"/>
      </w:divBdr>
    </w:div>
    <w:div w:id="1310554820">
      <w:marLeft w:val="0"/>
      <w:marRight w:val="0"/>
      <w:marTop w:val="0"/>
      <w:marBottom w:val="0"/>
      <w:divBdr>
        <w:top w:val="none" w:sz="0" w:space="0" w:color="auto"/>
        <w:left w:val="none" w:sz="0" w:space="0" w:color="auto"/>
        <w:bottom w:val="none" w:sz="0" w:space="0" w:color="auto"/>
        <w:right w:val="none" w:sz="0" w:space="0" w:color="auto"/>
      </w:divBdr>
    </w:div>
    <w:div w:id="1311254503">
      <w:marLeft w:val="0"/>
      <w:marRight w:val="0"/>
      <w:marTop w:val="0"/>
      <w:marBottom w:val="0"/>
      <w:divBdr>
        <w:top w:val="none" w:sz="0" w:space="0" w:color="auto"/>
        <w:left w:val="none" w:sz="0" w:space="0" w:color="auto"/>
        <w:bottom w:val="none" w:sz="0" w:space="0" w:color="auto"/>
        <w:right w:val="none" w:sz="0" w:space="0" w:color="auto"/>
      </w:divBdr>
      <w:divsChild>
        <w:div w:id="296497257">
          <w:marLeft w:val="0"/>
          <w:marRight w:val="0"/>
          <w:marTop w:val="0"/>
          <w:marBottom w:val="0"/>
          <w:divBdr>
            <w:top w:val="none" w:sz="0" w:space="0" w:color="auto"/>
            <w:left w:val="none" w:sz="0" w:space="0" w:color="auto"/>
            <w:bottom w:val="none" w:sz="0" w:space="0" w:color="auto"/>
            <w:right w:val="none" w:sz="0" w:space="0" w:color="auto"/>
          </w:divBdr>
          <w:divsChild>
            <w:div w:id="3177343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12825786">
      <w:marLeft w:val="0"/>
      <w:marRight w:val="0"/>
      <w:marTop w:val="180"/>
      <w:marBottom w:val="180"/>
      <w:divBdr>
        <w:top w:val="none" w:sz="0" w:space="0" w:color="auto"/>
        <w:left w:val="none" w:sz="0" w:space="0" w:color="auto"/>
        <w:bottom w:val="none" w:sz="0" w:space="0" w:color="auto"/>
        <w:right w:val="none" w:sz="0" w:space="0" w:color="auto"/>
      </w:divBdr>
    </w:div>
    <w:div w:id="1313876504">
      <w:marLeft w:val="0"/>
      <w:marRight w:val="0"/>
      <w:marTop w:val="180"/>
      <w:marBottom w:val="180"/>
      <w:divBdr>
        <w:top w:val="none" w:sz="0" w:space="0" w:color="auto"/>
        <w:left w:val="none" w:sz="0" w:space="0" w:color="auto"/>
        <w:bottom w:val="none" w:sz="0" w:space="0" w:color="auto"/>
        <w:right w:val="none" w:sz="0" w:space="0" w:color="auto"/>
      </w:divBdr>
    </w:div>
    <w:div w:id="1314211420">
      <w:marLeft w:val="0"/>
      <w:marRight w:val="0"/>
      <w:marTop w:val="180"/>
      <w:marBottom w:val="180"/>
      <w:divBdr>
        <w:top w:val="none" w:sz="0" w:space="0" w:color="auto"/>
        <w:left w:val="none" w:sz="0" w:space="0" w:color="auto"/>
        <w:bottom w:val="none" w:sz="0" w:space="0" w:color="auto"/>
        <w:right w:val="none" w:sz="0" w:space="0" w:color="auto"/>
      </w:divBdr>
    </w:div>
    <w:div w:id="1315111829">
      <w:marLeft w:val="0"/>
      <w:marRight w:val="0"/>
      <w:marTop w:val="180"/>
      <w:marBottom w:val="180"/>
      <w:divBdr>
        <w:top w:val="none" w:sz="0" w:space="0" w:color="auto"/>
        <w:left w:val="none" w:sz="0" w:space="0" w:color="auto"/>
        <w:bottom w:val="none" w:sz="0" w:space="0" w:color="auto"/>
        <w:right w:val="none" w:sz="0" w:space="0" w:color="auto"/>
      </w:divBdr>
    </w:div>
    <w:div w:id="1319572775">
      <w:marLeft w:val="0"/>
      <w:marRight w:val="0"/>
      <w:marTop w:val="0"/>
      <w:marBottom w:val="0"/>
      <w:divBdr>
        <w:top w:val="none" w:sz="0" w:space="0" w:color="auto"/>
        <w:left w:val="none" w:sz="0" w:space="0" w:color="auto"/>
        <w:bottom w:val="none" w:sz="0" w:space="0" w:color="auto"/>
        <w:right w:val="none" w:sz="0" w:space="0" w:color="auto"/>
      </w:divBdr>
      <w:divsChild>
        <w:div w:id="1118454684">
          <w:marLeft w:val="0"/>
          <w:marRight w:val="0"/>
          <w:marTop w:val="0"/>
          <w:marBottom w:val="0"/>
          <w:divBdr>
            <w:top w:val="none" w:sz="0" w:space="0" w:color="auto"/>
            <w:left w:val="none" w:sz="0" w:space="0" w:color="auto"/>
            <w:bottom w:val="none" w:sz="0" w:space="0" w:color="auto"/>
            <w:right w:val="none" w:sz="0" w:space="0" w:color="auto"/>
          </w:divBdr>
          <w:divsChild>
            <w:div w:id="96103404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21957670">
      <w:marLeft w:val="0"/>
      <w:marRight w:val="0"/>
      <w:marTop w:val="180"/>
      <w:marBottom w:val="180"/>
      <w:divBdr>
        <w:top w:val="none" w:sz="0" w:space="0" w:color="auto"/>
        <w:left w:val="none" w:sz="0" w:space="0" w:color="auto"/>
        <w:bottom w:val="none" w:sz="0" w:space="0" w:color="auto"/>
        <w:right w:val="none" w:sz="0" w:space="0" w:color="auto"/>
      </w:divBdr>
      <w:divsChild>
        <w:div w:id="651565729">
          <w:marLeft w:val="0"/>
          <w:marRight w:val="0"/>
          <w:marTop w:val="0"/>
          <w:marBottom w:val="0"/>
          <w:divBdr>
            <w:top w:val="none" w:sz="0" w:space="0" w:color="auto"/>
            <w:left w:val="none" w:sz="0" w:space="0" w:color="auto"/>
            <w:bottom w:val="none" w:sz="0" w:space="0" w:color="auto"/>
            <w:right w:val="none" w:sz="0" w:space="0" w:color="auto"/>
          </w:divBdr>
        </w:div>
        <w:div w:id="746614205">
          <w:marLeft w:val="0"/>
          <w:marRight w:val="0"/>
          <w:marTop w:val="0"/>
          <w:marBottom w:val="0"/>
          <w:divBdr>
            <w:top w:val="none" w:sz="0" w:space="0" w:color="auto"/>
            <w:left w:val="none" w:sz="0" w:space="0" w:color="auto"/>
            <w:bottom w:val="none" w:sz="0" w:space="0" w:color="auto"/>
            <w:right w:val="none" w:sz="0" w:space="0" w:color="auto"/>
          </w:divBdr>
        </w:div>
        <w:div w:id="623854908">
          <w:marLeft w:val="0"/>
          <w:marRight w:val="0"/>
          <w:marTop w:val="0"/>
          <w:marBottom w:val="0"/>
          <w:divBdr>
            <w:top w:val="none" w:sz="0" w:space="0" w:color="auto"/>
            <w:left w:val="none" w:sz="0" w:space="0" w:color="auto"/>
            <w:bottom w:val="none" w:sz="0" w:space="0" w:color="auto"/>
            <w:right w:val="none" w:sz="0" w:space="0" w:color="auto"/>
          </w:divBdr>
        </w:div>
        <w:div w:id="492573908">
          <w:marLeft w:val="0"/>
          <w:marRight w:val="0"/>
          <w:marTop w:val="0"/>
          <w:marBottom w:val="0"/>
          <w:divBdr>
            <w:top w:val="none" w:sz="0" w:space="0" w:color="auto"/>
            <w:left w:val="none" w:sz="0" w:space="0" w:color="auto"/>
            <w:bottom w:val="none" w:sz="0" w:space="0" w:color="auto"/>
            <w:right w:val="none" w:sz="0" w:space="0" w:color="auto"/>
          </w:divBdr>
        </w:div>
        <w:div w:id="588539051">
          <w:marLeft w:val="0"/>
          <w:marRight w:val="0"/>
          <w:marTop w:val="0"/>
          <w:marBottom w:val="0"/>
          <w:divBdr>
            <w:top w:val="none" w:sz="0" w:space="0" w:color="auto"/>
            <w:left w:val="none" w:sz="0" w:space="0" w:color="auto"/>
            <w:bottom w:val="none" w:sz="0" w:space="0" w:color="auto"/>
            <w:right w:val="none" w:sz="0" w:space="0" w:color="auto"/>
          </w:divBdr>
        </w:div>
        <w:div w:id="443768052">
          <w:marLeft w:val="0"/>
          <w:marRight w:val="0"/>
          <w:marTop w:val="0"/>
          <w:marBottom w:val="0"/>
          <w:divBdr>
            <w:top w:val="none" w:sz="0" w:space="0" w:color="auto"/>
            <w:left w:val="none" w:sz="0" w:space="0" w:color="auto"/>
            <w:bottom w:val="none" w:sz="0" w:space="0" w:color="auto"/>
            <w:right w:val="none" w:sz="0" w:space="0" w:color="auto"/>
          </w:divBdr>
        </w:div>
      </w:divsChild>
    </w:div>
    <w:div w:id="1322389071">
      <w:marLeft w:val="0"/>
      <w:marRight w:val="0"/>
      <w:marTop w:val="60"/>
      <w:marBottom w:val="60"/>
      <w:divBdr>
        <w:top w:val="none" w:sz="0" w:space="0" w:color="auto"/>
        <w:left w:val="none" w:sz="0" w:space="0" w:color="auto"/>
        <w:bottom w:val="none" w:sz="0" w:space="0" w:color="auto"/>
        <w:right w:val="none" w:sz="0" w:space="0" w:color="auto"/>
      </w:divBdr>
      <w:divsChild>
        <w:div w:id="2047102630">
          <w:marLeft w:val="0"/>
          <w:marRight w:val="0"/>
          <w:marTop w:val="0"/>
          <w:marBottom w:val="0"/>
          <w:divBdr>
            <w:top w:val="none" w:sz="0" w:space="0" w:color="auto"/>
            <w:left w:val="none" w:sz="0" w:space="0" w:color="auto"/>
            <w:bottom w:val="none" w:sz="0" w:space="0" w:color="auto"/>
            <w:right w:val="none" w:sz="0" w:space="0" w:color="auto"/>
          </w:divBdr>
        </w:div>
        <w:div w:id="1615332572">
          <w:marLeft w:val="0"/>
          <w:marRight w:val="0"/>
          <w:marTop w:val="0"/>
          <w:marBottom w:val="0"/>
          <w:divBdr>
            <w:top w:val="none" w:sz="0" w:space="0" w:color="auto"/>
            <w:left w:val="none" w:sz="0" w:space="0" w:color="auto"/>
            <w:bottom w:val="none" w:sz="0" w:space="0" w:color="auto"/>
            <w:right w:val="none" w:sz="0" w:space="0" w:color="auto"/>
          </w:divBdr>
        </w:div>
        <w:div w:id="2084836895">
          <w:marLeft w:val="0"/>
          <w:marRight w:val="0"/>
          <w:marTop w:val="0"/>
          <w:marBottom w:val="0"/>
          <w:divBdr>
            <w:top w:val="none" w:sz="0" w:space="0" w:color="auto"/>
            <w:left w:val="none" w:sz="0" w:space="0" w:color="auto"/>
            <w:bottom w:val="none" w:sz="0" w:space="0" w:color="auto"/>
            <w:right w:val="none" w:sz="0" w:space="0" w:color="auto"/>
          </w:divBdr>
        </w:div>
        <w:div w:id="730152725">
          <w:marLeft w:val="0"/>
          <w:marRight w:val="0"/>
          <w:marTop w:val="0"/>
          <w:marBottom w:val="0"/>
          <w:divBdr>
            <w:top w:val="none" w:sz="0" w:space="0" w:color="auto"/>
            <w:left w:val="none" w:sz="0" w:space="0" w:color="auto"/>
            <w:bottom w:val="none" w:sz="0" w:space="0" w:color="auto"/>
            <w:right w:val="none" w:sz="0" w:space="0" w:color="auto"/>
          </w:divBdr>
        </w:div>
        <w:div w:id="504899147">
          <w:marLeft w:val="0"/>
          <w:marRight w:val="0"/>
          <w:marTop w:val="0"/>
          <w:marBottom w:val="0"/>
          <w:divBdr>
            <w:top w:val="none" w:sz="0" w:space="0" w:color="auto"/>
            <w:left w:val="none" w:sz="0" w:space="0" w:color="auto"/>
            <w:bottom w:val="none" w:sz="0" w:space="0" w:color="auto"/>
            <w:right w:val="none" w:sz="0" w:space="0" w:color="auto"/>
          </w:divBdr>
        </w:div>
      </w:divsChild>
    </w:div>
    <w:div w:id="1322854061">
      <w:marLeft w:val="0"/>
      <w:marRight w:val="0"/>
      <w:marTop w:val="180"/>
      <w:marBottom w:val="180"/>
      <w:divBdr>
        <w:top w:val="none" w:sz="0" w:space="0" w:color="auto"/>
        <w:left w:val="none" w:sz="0" w:space="0" w:color="auto"/>
        <w:bottom w:val="none" w:sz="0" w:space="0" w:color="auto"/>
        <w:right w:val="none" w:sz="0" w:space="0" w:color="auto"/>
      </w:divBdr>
    </w:div>
    <w:div w:id="1323195159">
      <w:marLeft w:val="0"/>
      <w:marRight w:val="0"/>
      <w:marTop w:val="60"/>
      <w:marBottom w:val="60"/>
      <w:divBdr>
        <w:top w:val="none" w:sz="0" w:space="0" w:color="auto"/>
        <w:left w:val="none" w:sz="0" w:space="0" w:color="auto"/>
        <w:bottom w:val="none" w:sz="0" w:space="0" w:color="auto"/>
        <w:right w:val="none" w:sz="0" w:space="0" w:color="auto"/>
      </w:divBdr>
    </w:div>
    <w:div w:id="1324236203">
      <w:marLeft w:val="0"/>
      <w:marRight w:val="0"/>
      <w:marTop w:val="180"/>
      <w:marBottom w:val="180"/>
      <w:divBdr>
        <w:top w:val="none" w:sz="0" w:space="0" w:color="auto"/>
        <w:left w:val="none" w:sz="0" w:space="0" w:color="auto"/>
        <w:bottom w:val="none" w:sz="0" w:space="0" w:color="auto"/>
        <w:right w:val="none" w:sz="0" w:space="0" w:color="auto"/>
      </w:divBdr>
    </w:div>
    <w:div w:id="1324427958">
      <w:marLeft w:val="0"/>
      <w:marRight w:val="0"/>
      <w:marTop w:val="180"/>
      <w:marBottom w:val="180"/>
      <w:divBdr>
        <w:top w:val="none" w:sz="0" w:space="0" w:color="auto"/>
        <w:left w:val="none" w:sz="0" w:space="0" w:color="auto"/>
        <w:bottom w:val="none" w:sz="0" w:space="0" w:color="auto"/>
        <w:right w:val="none" w:sz="0" w:space="0" w:color="auto"/>
      </w:divBdr>
    </w:div>
    <w:div w:id="1324821076">
      <w:marLeft w:val="0"/>
      <w:marRight w:val="0"/>
      <w:marTop w:val="180"/>
      <w:marBottom w:val="180"/>
      <w:divBdr>
        <w:top w:val="none" w:sz="0" w:space="0" w:color="auto"/>
        <w:left w:val="none" w:sz="0" w:space="0" w:color="auto"/>
        <w:bottom w:val="none" w:sz="0" w:space="0" w:color="auto"/>
        <w:right w:val="none" w:sz="0" w:space="0" w:color="auto"/>
      </w:divBdr>
    </w:div>
    <w:div w:id="1325280562">
      <w:marLeft w:val="0"/>
      <w:marRight w:val="0"/>
      <w:marTop w:val="60"/>
      <w:marBottom w:val="60"/>
      <w:divBdr>
        <w:top w:val="none" w:sz="0" w:space="0" w:color="auto"/>
        <w:left w:val="none" w:sz="0" w:space="0" w:color="auto"/>
        <w:bottom w:val="none" w:sz="0" w:space="0" w:color="auto"/>
        <w:right w:val="none" w:sz="0" w:space="0" w:color="auto"/>
      </w:divBdr>
    </w:div>
    <w:div w:id="1325281045">
      <w:marLeft w:val="0"/>
      <w:marRight w:val="0"/>
      <w:marTop w:val="180"/>
      <w:marBottom w:val="180"/>
      <w:divBdr>
        <w:top w:val="none" w:sz="0" w:space="0" w:color="auto"/>
        <w:left w:val="none" w:sz="0" w:space="0" w:color="auto"/>
        <w:bottom w:val="none" w:sz="0" w:space="0" w:color="auto"/>
        <w:right w:val="none" w:sz="0" w:space="0" w:color="auto"/>
      </w:divBdr>
    </w:div>
    <w:div w:id="1325547933">
      <w:marLeft w:val="0"/>
      <w:marRight w:val="0"/>
      <w:marTop w:val="180"/>
      <w:marBottom w:val="180"/>
      <w:divBdr>
        <w:top w:val="none" w:sz="0" w:space="0" w:color="auto"/>
        <w:left w:val="none" w:sz="0" w:space="0" w:color="auto"/>
        <w:bottom w:val="none" w:sz="0" w:space="0" w:color="auto"/>
        <w:right w:val="none" w:sz="0" w:space="0" w:color="auto"/>
      </w:divBdr>
    </w:div>
    <w:div w:id="1328285200">
      <w:marLeft w:val="0"/>
      <w:marRight w:val="0"/>
      <w:marTop w:val="180"/>
      <w:marBottom w:val="180"/>
      <w:divBdr>
        <w:top w:val="none" w:sz="0" w:space="0" w:color="auto"/>
        <w:left w:val="none" w:sz="0" w:space="0" w:color="auto"/>
        <w:bottom w:val="none" w:sz="0" w:space="0" w:color="auto"/>
        <w:right w:val="none" w:sz="0" w:space="0" w:color="auto"/>
      </w:divBdr>
    </w:div>
    <w:div w:id="1329136373">
      <w:marLeft w:val="0"/>
      <w:marRight w:val="0"/>
      <w:marTop w:val="180"/>
      <w:marBottom w:val="180"/>
      <w:divBdr>
        <w:top w:val="none" w:sz="0" w:space="0" w:color="auto"/>
        <w:left w:val="none" w:sz="0" w:space="0" w:color="auto"/>
        <w:bottom w:val="none" w:sz="0" w:space="0" w:color="auto"/>
        <w:right w:val="none" w:sz="0" w:space="0" w:color="auto"/>
      </w:divBdr>
    </w:div>
    <w:div w:id="1329553309">
      <w:marLeft w:val="0"/>
      <w:marRight w:val="0"/>
      <w:marTop w:val="60"/>
      <w:marBottom w:val="60"/>
      <w:divBdr>
        <w:top w:val="none" w:sz="0" w:space="0" w:color="auto"/>
        <w:left w:val="none" w:sz="0" w:space="0" w:color="auto"/>
        <w:bottom w:val="none" w:sz="0" w:space="0" w:color="auto"/>
        <w:right w:val="none" w:sz="0" w:space="0" w:color="auto"/>
      </w:divBdr>
    </w:div>
    <w:div w:id="1331762107">
      <w:marLeft w:val="0"/>
      <w:marRight w:val="0"/>
      <w:marTop w:val="180"/>
      <w:marBottom w:val="0"/>
      <w:divBdr>
        <w:top w:val="none" w:sz="0" w:space="0" w:color="auto"/>
        <w:left w:val="none" w:sz="0" w:space="0" w:color="auto"/>
        <w:bottom w:val="none" w:sz="0" w:space="0" w:color="auto"/>
        <w:right w:val="none" w:sz="0" w:space="0" w:color="auto"/>
      </w:divBdr>
    </w:div>
    <w:div w:id="1331912931">
      <w:marLeft w:val="0"/>
      <w:marRight w:val="0"/>
      <w:marTop w:val="180"/>
      <w:marBottom w:val="180"/>
      <w:divBdr>
        <w:top w:val="none" w:sz="0" w:space="0" w:color="auto"/>
        <w:left w:val="none" w:sz="0" w:space="0" w:color="auto"/>
        <w:bottom w:val="none" w:sz="0" w:space="0" w:color="auto"/>
        <w:right w:val="none" w:sz="0" w:space="0" w:color="auto"/>
      </w:divBdr>
    </w:div>
    <w:div w:id="1332876209">
      <w:marLeft w:val="0"/>
      <w:marRight w:val="0"/>
      <w:marTop w:val="100"/>
      <w:marBottom w:val="0"/>
      <w:divBdr>
        <w:top w:val="none" w:sz="0" w:space="0" w:color="auto"/>
        <w:left w:val="none" w:sz="0" w:space="0" w:color="auto"/>
        <w:bottom w:val="none" w:sz="0" w:space="0" w:color="auto"/>
        <w:right w:val="none" w:sz="0" w:space="0" w:color="auto"/>
      </w:divBdr>
      <w:divsChild>
        <w:div w:id="1771462744">
          <w:marLeft w:val="0"/>
          <w:marRight w:val="0"/>
          <w:marTop w:val="0"/>
          <w:marBottom w:val="0"/>
          <w:divBdr>
            <w:top w:val="none" w:sz="0" w:space="0" w:color="auto"/>
            <w:left w:val="none" w:sz="0" w:space="0" w:color="auto"/>
            <w:bottom w:val="none" w:sz="0" w:space="0" w:color="auto"/>
            <w:right w:val="none" w:sz="0" w:space="0" w:color="auto"/>
          </w:divBdr>
        </w:div>
      </w:divsChild>
    </w:div>
    <w:div w:id="1335572688">
      <w:marLeft w:val="0"/>
      <w:marRight w:val="0"/>
      <w:marTop w:val="0"/>
      <w:marBottom w:val="0"/>
      <w:divBdr>
        <w:top w:val="none" w:sz="0" w:space="0" w:color="auto"/>
        <w:left w:val="none" w:sz="0" w:space="0" w:color="auto"/>
        <w:bottom w:val="none" w:sz="0" w:space="0" w:color="auto"/>
        <w:right w:val="none" w:sz="0" w:space="0" w:color="auto"/>
      </w:divBdr>
    </w:div>
    <w:div w:id="1336037172">
      <w:marLeft w:val="0"/>
      <w:marRight w:val="0"/>
      <w:marTop w:val="0"/>
      <w:marBottom w:val="0"/>
      <w:divBdr>
        <w:top w:val="none" w:sz="0" w:space="0" w:color="auto"/>
        <w:left w:val="none" w:sz="0" w:space="0" w:color="auto"/>
        <w:bottom w:val="none" w:sz="0" w:space="0" w:color="auto"/>
        <w:right w:val="none" w:sz="0" w:space="0" w:color="auto"/>
      </w:divBdr>
      <w:divsChild>
        <w:div w:id="568466069">
          <w:marLeft w:val="0"/>
          <w:marRight w:val="0"/>
          <w:marTop w:val="0"/>
          <w:marBottom w:val="0"/>
          <w:divBdr>
            <w:top w:val="none" w:sz="0" w:space="0" w:color="auto"/>
            <w:left w:val="none" w:sz="0" w:space="0" w:color="auto"/>
            <w:bottom w:val="none" w:sz="0" w:space="0" w:color="auto"/>
            <w:right w:val="none" w:sz="0" w:space="0" w:color="auto"/>
          </w:divBdr>
          <w:divsChild>
            <w:div w:id="62273453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36573437">
      <w:marLeft w:val="0"/>
      <w:marRight w:val="0"/>
      <w:marTop w:val="180"/>
      <w:marBottom w:val="180"/>
      <w:divBdr>
        <w:top w:val="none" w:sz="0" w:space="0" w:color="auto"/>
        <w:left w:val="none" w:sz="0" w:space="0" w:color="auto"/>
        <w:bottom w:val="none" w:sz="0" w:space="0" w:color="auto"/>
        <w:right w:val="none" w:sz="0" w:space="0" w:color="auto"/>
      </w:divBdr>
    </w:div>
    <w:div w:id="1337683490">
      <w:marLeft w:val="0"/>
      <w:marRight w:val="0"/>
      <w:marTop w:val="180"/>
      <w:marBottom w:val="180"/>
      <w:divBdr>
        <w:top w:val="none" w:sz="0" w:space="0" w:color="auto"/>
        <w:left w:val="none" w:sz="0" w:space="0" w:color="auto"/>
        <w:bottom w:val="none" w:sz="0" w:space="0" w:color="auto"/>
        <w:right w:val="none" w:sz="0" w:space="0" w:color="auto"/>
      </w:divBdr>
    </w:div>
    <w:div w:id="1338576006">
      <w:marLeft w:val="0"/>
      <w:marRight w:val="0"/>
      <w:marTop w:val="180"/>
      <w:marBottom w:val="180"/>
      <w:divBdr>
        <w:top w:val="none" w:sz="0" w:space="0" w:color="auto"/>
        <w:left w:val="none" w:sz="0" w:space="0" w:color="auto"/>
        <w:bottom w:val="none" w:sz="0" w:space="0" w:color="auto"/>
        <w:right w:val="none" w:sz="0" w:space="0" w:color="auto"/>
      </w:divBdr>
    </w:div>
    <w:div w:id="1338576030">
      <w:marLeft w:val="0"/>
      <w:marRight w:val="0"/>
      <w:marTop w:val="180"/>
      <w:marBottom w:val="180"/>
      <w:divBdr>
        <w:top w:val="none" w:sz="0" w:space="0" w:color="auto"/>
        <w:left w:val="none" w:sz="0" w:space="0" w:color="auto"/>
        <w:bottom w:val="none" w:sz="0" w:space="0" w:color="auto"/>
        <w:right w:val="none" w:sz="0" w:space="0" w:color="auto"/>
      </w:divBdr>
    </w:div>
    <w:div w:id="1338918233">
      <w:marLeft w:val="0"/>
      <w:marRight w:val="0"/>
      <w:marTop w:val="60"/>
      <w:marBottom w:val="60"/>
      <w:divBdr>
        <w:top w:val="none" w:sz="0" w:space="0" w:color="auto"/>
        <w:left w:val="none" w:sz="0" w:space="0" w:color="auto"/>
        <w:bottom w:val="none" w:sz="0" w:space="0" w:color="auto"/>
        <w:right w:val="none" w:sz="0" w:space="0" w:color="auto"/>
      </w:divBdr>
    </w:div>
    <w:div w:id="1339624064">
      <w:marLeft w:val="0"/>
      <w:marRight w:val="0"/>
      <w:marTop w:val="180"/>
      <w:marBottom w:val="180"/>
      <w:divBdr>
        <w:top w:val="none" w:sz="0" w:space="0" w:color="auto"/>
        <w:left w:val="none" w:sz="0" w:space="0" w:color="auto"/>
        <w:bottom w:val="none" w:sz="0" w:space="0" w:color="auto"/>
        <w:right w:val="none" w:sz="0" w:space="0" w:color="auto"/>
      </w:divBdr>
    </w:div>
    <w:div w:id="1342393572">
      <w:marLeft w:val="0"/>
      <w:marRight w:val="0"/>
      <w:marTop w:val="180"/>
      <w:marBottom w:val="180"/>
      <w:divBdr>
        <w:top w:val="none" w:sz="0" w:space="0" w:color="auto"/>
        <w:left w:val="none" w:sz="0" w:space="0" w:color="auto"/>
        <w:bottom w:val="none" w:sz="0" w:space="0" w:color="auto"/>
        <w:right w:val="none" w:sz="0" w:space="0" w:color="auto"/>
      </w:divBdr>
      <w:divsChild>
        <w:div w:id="1595046652">
          <w:marLeft w:val="0"/>
          <w:marRight w:val="0"/>
          <w:marTop w:val="0"/>
          <w:marBottom w:val="0"/>
          <w:divBdr>
            <w:top w:val="none" w:sz="0" w:space="0" w:color="auto"/>
            <w:left w:val="none" w:sz="0" w:space="0" w:color="auto"/>
            <w:bottom w:val="none" w:sz="0" w:space="0" w:color="auto"/>
            <w:right w:val="none" w:sz="0" w:space="0" w:color="auto"/>
          </w:divBdr>
        </w:div>
      </w:divsChild>
    </w:div>
    <w:div w:id="1344354840">
      <w:marLeft w:val="0"/>
      <w:marRight w:val="0"/>
      <w:marTop w:val="60"/>
      <w:marBottom w:val="60"/>
      <w:divBdr>
        <w:top w:val="none" w:sz="0" w:space="0" w:color="auto"/>
        <w:left w:val="none" w:sz="0" w:space="0" w:color="auto"/>
        <w:bottom w:val="none" w:sz="0" w:space="0" w:color="auto"/>
        <w:right w:val="none" w:sz="0" w:space="0" w:color="auto"/>
      </w:divBdr>
    </w:div>
    <w:div w:id="1345783860">
      <w:marLeft w:val="0"/>
      <w:marRight w:val="0"/>
      <w:marTop w:val="180"/>
      <w:marBottom w:val="180"/>
      <w:divBdr>
        <w:top w:val="none" w:sz="0" w:space="0" w:color="auto"/>
        <w:left w:val="none" w:sz="0" w:space="0" w:color="auto"/>
        <w:bottom w:val="none" w:sz="0" w:space="0" w:color="auto"/>
        <w:right w:val="none" w:sz="0" w:space="0" w:color="auto"/>
      </w:divBdr>
    </w:div>
    <w:div w:id="1346636770">
      <w:marLeft w:val="0"/>
      <w:marRight w:val="0"/>
      <w:marTop w:val="0"/>
      <w:marBottom w:val="0"/>
      <w:divBdr>
        <w:top w:val="none" w:sz="0" w:space="0" w:color="auto"/>
        <w:left w:val="none" w:sz="0" w:space="0" w:color="auto"/>
        <w:bottom w:val="none" w:sz="0" w:space="0" w:color="auto"/>
        <w:right w:val="none" w:sz="0" w:space="0" w:color="auto"/>
      </w:divBdr>
    </w:div>
    <w:div w:id="1347290171">
      <w:marLeft w:val="0"/>
      <w:marRight w:val="0"/>
      <w:marTop w:val="60"/>
      <w:marBottom w:val="60"/>
      <w:divBdr>
        <w:top w:val="none" w:sz="0" w:space="0" w:color="auto"/>
        <w:left w:val="none" w:sz="0" w:space="0" w:color="auto"/>
        <w:bottom w:val="none" w:sz="0" w:space="0" w:color="auto"/>
        <w:right w:val="none" w:sz="0" w:space="0" w:color="auto"/>
      </w:divBdr>
    </w:div>
    <w:div w:id="1347512465">
      <w:marLeft w:val="0"/>
      <w:marRight w:val="0"/>
      <w:marTop w:val="0"/>
      <w:marBottom w:val="0"/>
      <w:divBdr>
        <w:top w:val="none" w:sz="0" w:space="0" w:color="auto"/>
        <w:left w:val="none" w:sz="0" w:space="0" w:color="auto"/>
        <w:bottom w:val="none" w:sz="0" w:space="0" w:color="auto"/>
        <w:right w:val="none" w:sz="0" w:space="0" w:color="auto"/>
      </w:divBdr>
      <w:divsChild>
        <w:div w:id="2038047061">
          <w:marLeft w:val="0"/>
          <w:marRight w:val="0"/>
          <w:marTop w:val="0"/>
          <w:marBottom w:val="0"/>
          <w:divBdr>
            <w:top w:val="none" w:sz="0" w:space="0" w:color="auto"/>
            <w:left w:val="none" w:sz="0" w:space="0" w:color="auto"/>
            <w:bottom w:val="none" w:sz="0" w:space="0" w:color="auto"/>
            <w:right w:val="none" w:sz="0" w:space="0" w:color="auto"/>
          </w:divBdr>
          <w:divsChild>
            <w:div w:id="21647433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47752308">
      <w:marLeft w:val="0"/>
      <w:marRight w:val="0"/>
      <w:marTop w:val="60"/>
      <w:marBottom w:val="60"/>
      <w:divBdr>
        <w:top w:val="none" w:sz="0" w:space="0" w:color="auto"/>
        <w:left w:val="none" w:sz="0" w:space="0" w:color="auto"/>
        <w:bottom w:val="none" w:sz="0" w:space="0" w:color="auto"/>
        <w:right w:val="none" w:sz="0" w:space="0" w:color="auto"/>
      </w:divBdr>
    </w:div>
    <w:div w:id="1350251068">
      <w:marLeft w:val="0"/>
      <w:marRight w:val="0"/>
      <w:marTop w:val="180"/>
      <w:marBottom w:val="180"/>
      <w:divBdr>
        <w:top w:val="none" w:sz="0" w:space="0" w:color="auto"/>
        <w:left w:val="none" w:sz="0" w:space="0" w:color="auto"/>
        <w:bottom w:val="none" w:sz="0" w:space="0" w:color="auto"/>
        <w:right w:val="none" w:sz="0" w:space="0" w:color="auto"/>
      </w:divBdr>
    </w:div>
    <w:div w:id="1350719700">
      <w:marLeft w:val="0"/>
      <w:marRight w:val="0"/>
      <w:marTop w:val="180"/>
      <w:marBottom w:val="180"/>
      <w:divBdr>
        <w:top w:val="none" w:sz="0" w:space="0" w:color="auto"/>
        <w:left w:val="none" w:sz="0" w:space="0" w:color="auto"/>
        <w:bottom w:val="none" w:sz="0" w:space="0" w:color="auto"/>
        <w:right w:val="none" w:sz="0" w:space="0" w:color="auto"/>
      </w:divBdr>
    </w:div>
    <w:div w:id="1351881836">
      <w:marLeft w:val="0"/>
      <w:marRight w:val="0"/>
      <w:marTop w:val="60"/>
      <w:marBottom w:val="60"/>
      <w:divBdr>
        <w:top w:val="none" w:sz="0" w:space="0" w:color="auto"/>
        <w:left w:val="none" w:sz="0" w:space="0" w:color="auto"/>
        <w:bottom w:val="none" w:sz="0" w:space="0" w:color="auto"/>
        <w:right w:val="none" w:sz="0" w:space="0" w:color="auto"/>
      </w:divBdr>
    </w:div>
    <w:div w:id="1355031172">
      <w:marLeft w:val="0"/>
      <w:marRight w:val="0"/>
      <w:marTop w:val="0"/>
      <w:marBottom w:val="0"/>
      <w:divBdr>
        <w:top w:val="none" w:sz="0" w:space="0" w:color="auto"/>
        <w:left w:val="none" w:sz="0" w:space="0" w:color="auto"/>
        <w:bottom w:val="none" w:sz="0" w:space="0" w:color="auto"/>
        <w:right w:val="none" w:sz="0" w:space="0" w:color="auto"/>
      </w:divBdr>
      <w:divsChild>
        <w:div w:id="1512911140">
          <w:marLeft w:val="0"/>
          <w:marRight w:val="0"/>
          <w:marTop w:val="0"/>
          <w:marBottom w:val="0"/>
          <w:divBdr>
            <w:top w:val="none" w:sz="0" w:space="0" w:color="auto"/>
            <w:left w:val="none" w:sz="0" w:space="0" w:color="auto"/>
            <w:bottom w:val="none" w:sz="0" w:space="0" w:color="auto"/>
            <w:right w:val="none" w:sz="0" w:space="0" w:color="auto"/>
          </w:divBdr>
          <w:divsChild>
            <w:div w:id="148577607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55694046">
      <w:marLeft w:val="0"/>
      <w:marRight w:val="0"/>
      <w:marTop w:val="60"/>
      <w:marBottom w:val="60"/>
      <w:divBdr>
        <w:top w:val="none" w:sz="0" w:space="0" w:color="auto"/>
        <w:left w:val="none" w:sz="0" w:space="0" w:color="auto"/>
        <w:bottom w:val="none" w:sz="0" w:space="0" w:color="auto"/>
        <w:right w:val="none" w:sz="0" w:space="0" w:color="auto"/>
      </w:divBdr>
    </w:div>
    <w:div w:id="1355955310">
      <w:marLeft w:val="0"/>
      <w:marRight w:val="0"/>
      <w:marTop w:val="0"/>
      <w:marBottom w:val="0"/>
      <w:divBdr>
        <w:top w:val="none" w:sz="0" w:space="0" w:color="auto"/>
        <w:left w:val="none" w:sz="0" w:space="0" w:color="auto"/>
        <w:bottom w:val="none" w:sz="0" w:space="0" w:color="auto"/>
        <w:right w:val="none" w:sz="0" w:space="0" w:color="auto"/>
      </w:divBdr>
    </w:div>
    <w:div w:id="1356228918">
      <w:marLeft w:val="0"/>
      <w:marRight w:val="0"/>
      <w:marTop w:val="180"/>
      <w:marBottom w:val="180"/>
      <w:divBdr>
        <w:top w:val="none" w:sz="0" w:space="0" w:color="auto"/>
        <w:left w:val="none" w:sz="0" w:space="0" w:color="auto"/>
        <w:bottom w:val="none" w:sz="0" w:space="0" w:color="auto"/>
        <w:right w:val="none" w:sz="0" w:space="0" w:color="auto"/>
      </w:divBdr>
    </w:div>
    <w:div w:id="1356733300">
      <w:marLeft w:val="0"/>
      <w:marRight w:val="0"/>
      <w:marTop w:val="180"/>
      <w:marBottom w:val="180"/>
      <w:divBdr>
        <w:top w:val="none" w:sz="0" w:space="0" w:color="auto"/>
        <w:left w:val="none" w:sz="0" w:space="0" w:color="auto"/>
        <w:bottom w:val="none" w:sz="0" w:space="0" w:color="auto"/>
        <w:right w:val="none" w:sz="0" w:space="0" w:color="auto"/>
      </w:divBdr>
    </w:div>
    <w:div w:id="1357123946">
      <w:marLeft w:val="0"/>
      <w:marRight w:val="0"/>
      <w:marTop w:val="180"/>
      <w:marBottom w:val="180"/>
      <w:divBdr>
        <w:top w:val="none" w:sz="0" w:space="0" w:color="auto"/>
        <w:left w:val="none" w:sz="0" w:space="0" w:color="auto"/>
        <w:bottom w:val="none" w:sz="0" w:space="0" w:color="auto"/>
        <w:right w:val="none" w:sz="0" w:space="0" w:color="auto"/>
      </w:divBdr>
    </w:div>
    <w:div w:id="1358390785">
      <w:marLeft w:val="0"/>
      <w:marRight w:val="0"/>
      <w:marTop w:val="180"/>
      <w:marBottom w:val="180"/>
      <w:divBdr>
        <w:top w:val="none" w:sz="0" w:space="0" w:color="auto"/>
        <w:left w:val="none" w:sz="0" w:space="0" w:color="auto"/>
        <w:bottom w:val="none" w:sz="0" w:space="0" w:color="auto"/>
        <w:right w:val="none" w:sz="0" w:space="0" w:color="auto"/>
      </w:divBdr>
    </w:div>
    <w:div w:id="1359159225">
      <w:marLeft w:val="0"/>
      <w:marRight w:val="0"/>
      <w:marTop w:val="60"/>
      <w:marBottom w:val="60"/>
      <w:divBdr>
        <w:top w:val="none" w:sz="0" w:space="0" w:color="auto"/>
        <w:left w:val="none" w:sz="0" w:space="0" w:color="auto"/>
        <w:bottom w:val="none" w:sz="0" w:space="0" w:color="auto"/>
        <w:right w:val="none" w:sz="0" w:space="0" w:color="auto"/>
      </w:divBdr>
    </w:div>
    <w:div w:id="1360161327">
      <w:marLeft w:val="0"/>
      <w:marRight w:val="0"/>
      <w:marTop w:val="60"/>
      <w:marBottom w:val="60"/>
      <w:divBdr>
        <w:top w:val="none" w:sz="0" w:space="0" w:color="auto"/>
        <w:left w:val="none" w:sz="0" w:space="0" w:color="auto"/>
        <w:bottom w:val="none" w:sz="0" w:space="0" w:color="auto"/>
        <w:right w:val="none" w:sz="0" w:space="0" w:color="auto"/>
      </w:divBdr>
    </w:div>
    <w:div w:id="1361516070">
      <w:marLeft w:val="0"/>
      <w:marRight w:val="0"/>
      <w:marTop w:val="120"/>
      <w:marBottom w:val="180"/>
      <w:divBdr>
        <w:top w:val="none" w:sz="0" w:space="0" w:color="auto"/>
        <w:left w:val="none" w:sz="0" w:space="0" w:color="auto"/>
        <w:bottom w:val="none" w:sz="0" w:space="0" w:color="auto"/>
        <w:right w:val="none" w:sz="0" w:space="0" w:color="auto"/>
      </w:divBdr>
    </w:div>
    <w:div w:id="1361585508">
      <w:marLeft w:val="0"/>
      <w:marRight w:val="0"/>
      <w:marTop w:val="180"/>
      <w:marBottom w:val="180"/>
      <w:divBdr>
        <w:top w:val="none" w:sz="0" w:space="0" w:color="auto"/>
        <w:left w:val="none" w:sz="0" w:space="0" w:color="auto"/>
        <w:bottom w:val="none" w:sz="0" w:space="0" w:color="auto"/>
        <w:right w:val="none" w:sz="0" w:space="0" w:color="auto"/>
      </w:divBdr>
    </w:div>
    <w:div w:id="1363902187">
      <w:marLeft w:val="0"/>
      <w:marRight w:val="0"/>
      <w:marTop w:val="180"/>
      <w:marBottom w:val="180"/>
      <w:divBdr>
        <w:top w:val="none" w:sz="0" w:space="0" w:color="auto"/>
        <w:left w:val="none" w:sz="0" w:space="0" w:color="auto"/>
        <w:bottom w:val="none" w:sz="0" w:space="0" w:color="auto"/>
        <w:right w:val="none" w:sz="0" w:space="0" w:color="auto"/>
      </w:divBdr>
    </w:div>
    <w:div w:id="1364137442">
      <w:marLeft w:val="0"/>
      <w:marRight w:val="0"/>
      <w:marTop w:val="60"/>
      <w:marBottom w:val="60"/>
      <w:divBdr>
        <w:top w:val="none" w:sz="0" w:space="0" w:color="auto"/>
        <w:left w:val="none" w:sz="0" w:space="0" w:color="auto"/>
        <w:bottom w:val="none" w:sz="0" w:space="0" w:color="auto"/>
        <w:right w:val="none" w:sz="0" w:space="0" w:color="auto"/>
      </w:divBdr>
    </w:div>
    <w:div w:id="1364405920">
      <w:marLeft w:val="0"/>
      <w:marRight w:val="0"/>
      <w:marTop w:val="180"/>
      <w:marBottom w:val="60"/>
      <w:divBdr>
        <w:top w:val="none" w:sz="0" w:space="0" w:color="auto"/>
        <w:left w:val="none" w:sz="0" w:space="0" w:color="auto"/>
        <w:bottom w:val="none" w:sz="0" w:space="0" w:color="auto"/>
        <w:right w:val="none" w:sz="0" w:space="0" w:color="auto"/>
      </w:divBdr>
      <w:divsChild>
        <w:div w:id="879972899">
          <w:marLeft w:val="0"/>
          <w:marRight w:val="0"/>
          <w:marTop w:val="0"/>
          <w:marBottom w:val="0"/>
          <w:divBdr>
            <w:top w:val="none" w:sz="0" w:space="0" w:color="auto"/>
            <w:left w:val="none" w:sz="0" w:space="0" w:color="auto"/>
            <w:bottom w:val="none" w:sz="0" w:space="0" w:color="auto"/>
            <w:right w:val="none" w:sz="0" w:space="0" w:color="auto"/>
          </w:divBdr>
        </w:div>
      </w:divsChild>
    </w:div>
    <w:div w:id="1364819056">
      <w:marLeft w:val="0"/>
      <w:marRight w:val="0"/>
      <w:marTop w:val="180"/>
      <w:marBottom w:val="180"/>
      <w:divBdr>
        <w:top w:val="none" w:sz="0" w:space="0" w:color="auto"/>
        <w:left w:val="none" w:sz="0" w:space="0" w:color="auto"/>
        <w:bottom w:val="none" w:sz="0" w:space="0" w:color="auto"/>
        <w:right w:val="none" w:sz="0" w:space="0" w:color="auto"/>
      </w:divBdr>
    </w:div>
    <w:div w:id="1365209956">
      <w:marLeft w:val="0"/>
      <w:marRight w:val="0"/>
      <w:marTop w:val="100"/>
      <w:marBottom w:val="0"/>
      <w:divBdr>
        <w:top w:val="none" w:sz="0" w:space="0" w:color="auto"/>
        <w:left w:val="none" w:sz="0" w:space="0" w:color="auto"/>
        <w:bottom w:val="none" w:sz="0" w:space="0" w:color="auto"/>
        <w:right w:val="none" w:sz="0" w:space="0" w:color="auto"/>
      </w:divBdr>
    </w:div>
    <w:div w:id="1367363913">
      <w:marLeft w:val="0"/>
      <w:marRight w:val="0"/>
      <w:marTop w:val="180"/>
      <w:marBottom w:val="180"/>
      <w:divBdr>
        <w:top w:val="none" w:sz="0" w:space="0" w:color="auto"/>
        <w:left w:val="none" w:sz="0" w:space="0" w:color="auto"/>
        <w:bottom w:val="none" w:sz="0" w:space="0" w:color="auto"/>
        <w:right w:val="none" w:sz="0" w:space="0" w:color="auto"/>
      </w:divBdr>
    </w:div>
    <w:div w:id="1367680339">
      <w:marLeft w:val="0"/>
      <w:marRight w:val="0"/>
      <w:marTop w:val="180"/>
      <w:marBottom w:val="180"/>
      <w:divBdr>
        <w:top w:val="none" w:sz="0" w:space="0" w:color="auto"/>
        <w:left w:val="none" w:sz="0" w:space="0" w:color="auto"/>
        <w:bottom w:val="none" w:sz="0" w:space="0" w:color="auto"/>
        <w:right w:val="none" w:sz="0" w:space="0" w:color="auto"/>
      </w:divBdr>
    </w:div>
    <w:div w:id="1368677168">
      <w:marLeft w:val="0"/>
      <w:marRight w:val="0"/>
      <w:marTop w:val="0"/>
      <w:marBottom w:val="0"/>
      <w:divBdr>
        <w:top w:val="none" w:sz="0" w:space="0" w:color="auto"/>
        <w:left w:val="none" w:sz="0" w:space="0" w:color="auto"/>
        <w:bottom w:val="none" w:sz="0" w:space="0" w:color="auto"/>
        <w:right w:val="none" w:sz="0" w:space="0" w:color="auto"/>
      </w:divBdr>
    </w:div>
    <w:div w:id="1370842021">
      <w:marLeft w:val="0"/>
      <w:marRight w:val="0"/>
      <w:marTop w:val="180"/>
      <w:marBottom w:val="180"/>
      <w:divBdr>
        <w:top w:val="none" w:sz="0" w:space="0" w:color="auto"/>
        <w:left w:val="none" w:sz="0" w:space="0" w:color="auto"/>
        <w:bottom w:val="none" w:sz="0" w:space="0" w:color="auto"/>
        <w:right w:val="none" w:sz="0" w:space="0" w:color="auto"/>
      </w:divBdr>
    </w:div>
    <w:div w:id="1371764258">
      <w:marLeft w:val="0"/>
      <w:marRight w:val="0"/>
      <w:marTop w:val="60"/>
      <w:marBottom w:val="60"/>
      <w:divBdr>
        <w:top w:val="none" w:sz="0" w:space="0" w:color="auto"/>
        <w:left w:val="none" w:sz="0" w:space="0" w:color="auto"/>
        <w:bottom w:val="none" w:sz="0" w:space="0" w:color="auto"/>
        <w:right w:val="none" w:sz="0" w:space="0" w:color="auto"/>
      </w:divBdr>
    </w:div>
    <w:div w:id="1372339431">
      <w:marLeft w:val="0"/>
      <w:marRight w:val="0"/>
      <w:marTop w:val="0"/>
      <w:marBottom w:val="180"/>
      <w:divBdr>
        <w:top w:val="none" w:sz="0" w:space="0" w:color="auto"/>
        <w:left w:val="none" w:sz="0" w:space="0" w:color="auto"/>
        <w:bottom w:val="none" w:sz="0" w:space="0" w:color="auto"/>
        <w:right w:val="none" w:sz="0" w:space="0" w:color="auto"/>
      </w:divBdr>
    </w:div>
    <w:div w:id="1373075376">
      <w:marLeft w:val="0"/>
      <w:marRight w:val="0"/>
      <w:marTop w:val="180"/>
      <w:marBottom w:val="180"/>
      <w:divBdr>
        <w:top w:val="none" w:sz="0" w:space="0" w:color="auto"/>
        <w:left w:val="none" w:sz="0" w:space="0" w:color="auto"/>
        <w:bottom w:val="none" w:sz="0" w:space="0" w:color="auto"/>
        <w:right w:val="none" w:sz="0" w:space="0" w:color="auto"/>
      </w:divBdr>
    </w:div>
    <w:div w:id="1373191879">
      <w:marLeft w:val="0"/>
      <w:marRight w:val="0"/>
      <w:marTop w:val="60"/>
      <w:marBottom w:val="60"/>
      <w:divBdr>
        <w:top w:val="none" w:sz="0" w:space="0" w:color="auto"/>
        <w:left w:val="none" w:sz="0" w:space="0" w:color="auto"/>
        <w:bottom w:val="none" w:sz="0" w:space="0" w:color="auto"/>
        <w:right w:val="none" w:sz="0" w:space="0" w:color="auto"/>
      </w:divBdr>
    </w:div>
    <w:div w:id="1373723047">
      <w:marLeft w:val="0"/>
      <w:marRight w:val="0"/>
      <w:marTop w:val="180"/>
      <w:marBottom w:val="180"/>
      <w:divBdr>
        <w:top w:val="none" w:sz="0" w:space="0" w:color="auto"/>
        <w:left w:val="none" w:sz="0" w:space="0" w:color="auto"/>
        <w:bottom w:val="none" w:sz="0" w:space="0" w:color="auto"/>
        <w:right w:val="none" w:sz="0" w:space="0" w:color="auto"/>
      </w:divBdr>
    </w:div>
    <w:div w:id="1374430283">
      <w:marLeft w:val="0"/>
      <w:marRight w:val="0"/>
      <w:marTop w:val="60"/>
      <w:marBottom w:val="60"/>
      <w:divBdr>
        <w:top w:val="none" w:sz="0" w:space="0" w:color="auto"/>
        <w:left w:val="none" w:sz="0" w:space="0" w:color="auto"/>
        <w:bottom w:val="none" w:sz="0" w:space="0" w:color="auto"/>
        <w:right w:val="none" w:sz="0" w:space="0" w:color="auto"/>
      </w:divBdr>
    </w:div>
    <w:div w:id="1374814900">
      <w:marLeft w:val="0"/>
      <w:marRight w:val="0"/>
      <w:marTop w:val="180"/>
      <w:marBottom w:val="180"/>
      <w:divBdr>
        <w:top w:val="none" w:sz="0" w:space="0" w:color="auto"/>
        <w:left w:val="none" w:sz="0" w:space="0" w:color="auto"/>
        <w:bottom w:val="none" w:sz="0" w:space="0" w:color="auto"/>
        <w:right w:val="none" w:sz="0" w:space="0" w:color="auto"/>
      </w:divBdr>
    </w:div>
    <w:div w:id="1378629872">
      <w:marLeft w:val="0"/>
      <w:marRight w:val="0"/>
      <w:marTop w:val="180"/>
      <w:marBottom w:val="180"/>
      <w:divBdr>
        <w:top w:val="none" w:sz="0" w:space="0" w:color="auto"/>
        <w:left w:val="none" w:sz="0" w:space="0" w:color="auto"/>
        <w:bottom w:val="none" w:sz="0" w:space="0" w:color="auto"/>
        <w:right w:val="none" w:sz="0" w:space="0" w:color="auto"/>
      </w:divBdr>
    </w:div>
    <w:div w:id="1380128492">
      <w:marLeft w:val="0"/>
      <w:marRight w:val="0"/>
      <w:marTop w:val="180"/>
      <w:marBottom w:val="60"/>
      <w:divBdr>
        <w:top w:val="none" w:sz="0" w:space="0" w:color="auto"/>
        <w:left w:val="none" w:sz="0" w:space="0" w:color="auto"/>
        <w:bottom w:val="none" w:sz="0" w:space="0" w:color="auto"/>
        <w:right w:val="none" w:sz="0" w:space="0" w:color="auto"/>
      </w:divBdr>
    </w:div>
    <w:div w:id="1380202812">
      <w:marLeft w:val="0"/>
      <w:marRight w:val="0"/>
      <w:marTop w:val="0"/>
      <w:marBottom w:val="0"/>
      <w:divBdr>
        <w:top w:val="none" w:sz="0" w:space="0" w:color="auto"/>
        <w:left w:val="none" w:sz="0" w:space="0" w:color="auto"/>
        <w:bottom w:val="none" w:sz="0" w:space="0" w:color="auto"/>
        <w:right w:val="none" w:sz="0" w:space="0" w:color="auto"/>
      </w:divBdr>
      <w:divsChild>
        <w:div w:id="1752460388">
          <w:marLeft w:val="0"/>
          <w:marRight w:val="0"/>
          <w:marTop w:val="180"/>
          <w:marBottom w:val="180"/>
          <w:divBdr>
            <w:top w:val="none" w:sz="0" w:space="0" w:color="auto"/>
            <w:left w:val="none" w:sz="0" w:space="0" w:color="auto"/>
            <w:bottom w:val="none" w:sz="0" w:space="0" w:color="auto"/>
            <w:right w:val="none" w:sz="0" w:space="0" w:color="auto"/>
          </w:divBdr>
        </w:div>
      </w:divsChild>
    </w:div>
    <w:div w:id="1380326177">
      <w:marLeft w:val="0"/>
      <w:marRight w:val="0"/>
      <w:marTop w:val="60"/>
      <w:marBottom w:val="60"/>
      <w:divBdr>
        <w:top w:val="none" w:sz="0" w:space="0" w:color="auto"/>
        <w:left w:val="none" w:sz="0" w:space="0" w:color="auto"/>
        <w:bottom w:val="none" w:sz="0" w:space="0" w:color="auto"/>
        <w:right w:val="none" w:sz="0" w:space="0" w:color="auto"/>
      </w:divBdr>
    </w:div>
    <w:div w:id="1381444954">
      <w:marLeft w:val="0"/>
      <w:marRight w:val="0"/>
      <w:marTop w:val="180"/>
      <w:marBottom w:val="180"/>
      <w:divBdr>
        <w:top w:val="none" w:sz="0" w:space="0" w:color="auto"/>
        <w:left w:val="none" w:sz="0" w:space="0" w:color="auto"/>
        <w:bottom w:val="none" w:sz="0" w:space="0" w:color="auto"/>
        <w:right w:val="none" w:sz="0" w:space="0" w:color="auto"/>
      </w:divBdr>
    </w:div>
    <w:div w:id="1381831200">
      <w:marLeft w:val="0"/>
      <w:marRight w:val="0"/>
      <w:marTop w:val="180"/>
      <w:marBottom w:val="180"/>
      <w:divBdr>
        <w:top w:val="none" w:sz="0" w:space="0" w:color="auto"/>
        <w:left w:val="none" w:sz="0" w:space="0" w:color="auto"/>
        <w:bottom w:val="none" w:sz="0" w:space="0" w:color="auto"/>
        <w:right w:val="none" w:sz="0" w:space="0" w:color="auto"/>
      </w:divBdr>
    </w:div>
    <w:div w:id="1381974144">
      <w:marLeft w:val="0"/>
      <w:marRight w:val="0"/>
      <w:marTop w:val="180"/>
      <w:marBottom w:val="180"/>
      <w:divBdr>
        <w:top w:val="none" w:sz="0" w:space="0" w:color="auto"/>
        <w:left w:val="none" w:sz="0" w:space="0" w:color="auto"/>
        <w:bottom w:val="none" w:sz="0" w:space="0" w:color="auto"/>
        <w:right w:val="none" w:sz="0" w:space="0" w:color="auto"/>
      </w:divBdr>
    </w:div>
    <w:div w:id="1382166014">
      <w:marLeft w:val="0"/>
      <w:marRight w:val="0"/>
      <w:marTop w:val="180"/>
      <w:marBottom w:val="180"/>
      <w:divBdr>
        <w:top w:val="none" w:sz="0" w:space="0" w:color="auto"/>
        <w:left w:val="none" w:sz="0" w:space="0" w:color="auto"/>
        <w:bottom w:val="none" w:sz="0" w:space="0" w:color="auto"/>
        <w:right w:val="none" w:sz="0" w:space="0" w:color="auto"/>
      </w:divBdr>
    </w:div>
    <w:div w:id="1382241806">
      <w:marLeft w:val="0"/>
      <w:marRight w:val="0"/>
      <w:marTop w:val="180"/>
      <w:marBottom w:val="60"/>
      <w:divBdr>
        <w:top w:val="none" w:sz="0" w:space="0" w:color="auto"/>
        <w:left w:val="none" w:sz="0" w:space="0" w:color="auto"/>
        <w:bottom w:val="none" w:sz="0" w:space="0" w:color="auto"/>
        <w:right w:val="none" w:sz="0" w:space="0" w:color="auto"/>
      </w:divBdr>
    </w:div>
    <w:div w:id="1382484245">
      <w:marLeft w:val="0"/>
      <w:marRight w:val="0"/>
      <w:marTop w:val="180"/>
      <w:marBottom w:val="180"/>
      <w:divBdr>
        <w:top w:val="none" w:sz="0" w:space="0" w:color="auto"/>
        <w:left w:val="none" w:sz="0" w:space="0" w:color="auto"/>
        <w:bottom w:val="none" w:sz="0" w:space="0" w:color="auto"/>
        <w:right w:val="none" w:sz="0" w:space="0" w:color="auto"/>
      </w:divBdr>
    </w:div>
    <w:div w:id="1382553400">
      <w:marLeft w:val="0"/>
      <w:marRight w:val="0"/>
      <w:marTop w:val="180"/>
      <w:marBottom w:val="180"/>
      <w:divBdr>
        <w:top w:val="none" w:sz="0" w:space="0" w:color="auto"/>
        <w:left w:val="none" w:sz="0" w:space="0" w:color="auto"/>
        <w:bottom w:val="none" w:sz="0" w:space="0" w:color="auto"/>
        <w:right w:val="none" w:sz="0" w:space="0" w:color="auto"/>
      </w:divBdr>
    </w:div>
    <w:div w:id="1382751763">
      <w:marLeft w:val="0"/>
      <w:marRight w:val="0"/>
      <w:marTop w:val="180"/>
      <w:marBottom w:val="180"/>
      <w:divBdr>
        <w:top w:val="none" w:sz="0" w:space="0" w:color="auto"/>
        <w:left w:val="none" w:sz="0" w:space="0" w:color="auto"/>
        <w:bottom w:val="none" w:sz="0" w:space="0" w:color="auto"/>
        <w:right w:val="none" w:sz="0" w:space="0" w:color="auto"/>
      </w:divBdr>
    </w:div>
    <w:div w:id="1383098093">
      <w:marLeft w:val="0"/>
      <w:marRight w:val="0"/>
      <w:marTop w:val="0"/>
      <w:marBottom w:val="0"/>
      <w:divBdr>
        <w:top w:val="none" w:sz="0" w:space="0" w:color="auto"/>
        <w:left w:val="none" w:sz="0" w:space="0" w:color="auto"/>
        <w:bottom w:val="none" w:sz="0" w:space="0" w:color="auto"/>
        <w:right w:val="none" w:sz="0" w:space="0" w:color="auto"/>
      </w:divBdr>
      <w:divsChild>
        <w:div w:id="119228223">
          <w:marLeft w:val="0"/>
          <w:marRight w:val="0"/>
          <w:marTop w:val="180"/>
          <w:marBottom w:val="180"/>
          <w:divBdr>
            <w:top w:val="none" w:sz="0" w:space="0" w:color="auto"/>
            <w:left w:val="none" w:sz="0" w:space="0" w:color="auto"/>
            <w:bottom w:val="none" w:sz="0" w:space="0" w:color="auto"/>
            <w:right w:val="none" w:sz="0" w:space="0" w:color="auto"/>
          </w:divBdr>
        </w:div>
      </w:divsChild>
    </w:div>
    <w:div w:id="1383407751">
      <w:marLeft w:val="0"/>
      <w:marRight w:val="0"/>
      <w:marTop w:val="0"/>
      <w:marBottom w:val="180"/>
      <w:divBdr>
        <w:top w:val="none" w:sz="0" w:space="0" w:color="auto"/>
        <w:left w:val="none" w:sz="0" w:space="0" w:color="auto"/>
        <w:bottom w:val="none" w:sz="0" w:space="0" w:color="auto"/>
        <w:right w:val="none" w:sz="0" w:space="0" w:color="auto"/>
      </w:divBdr>
    </w:div>
    <w:div w:id="1384402208">
      <w:marLeft w:val="0"/>
      <w:marRight w:val="0"/>
      <w:marTop w:val="180"/>
      <w:marBottom w:val="60"/>
      <w:divBdr>
        <w:top w:val="none" w:sz="0" w:space="0" w:color="auto"/>
        <w:left w:val="none" w:sz="0" w:space="0" w:color="auto"/>
        <w:bottom w:val="none" w:sz="0" w:space="0" w:color="auto"/>
        <w:right w:val="none" w:sz="0" w:space="0" w:color="auto"/>
      </w:divBdr>
    </w:div>
    <w:div w:id="1384406448">
      <w:marLeft w:val="0"/>
      <w:marRight w:val="0"/>
      <w:marTop w:val="60"/>
      <w:marBottom w:val="60"/>
      <w:divBdr>
        <w:top w:val="none" w:sz="0" w:space="0" w:color="auto"/>
        <w:left w:val="none" w:sz="0" w:space="0" w:color="auto"/>
        <w:bottom w:val="none" w:sz="0" w:space="0" w:color="auto"/>
        <w:right w:val="none" w:sz="0" w:space="0" w:color="auto"/>
      </w:divBdr>
    </w:div>
    <w:div w:id="1384866403">
      <w:marLeft w:val="0"/>
      <w:marRight w:val="0"/>
      <w:marTop w:val="180"/>
      <w:marBottom w:val="60"/>
      <w:divBdr>
        <w:top w:val="none" w:sz="0" w:space="0" w:color="auto"/>
        <w:left w:val="none" w:sz="0" w:space="0" w:color="auto"/>
        <w:bottom w:val="none" w:sz="0" w:space="0" w:color="auto"/>
        <w:right w:val="none" w:sz="0" w:space="0" w:color="auto"/>
      </w:divBdr>
    </w:div>
    <w:div w:id="1386223810">
      <w:marLeft w:val="0"/>
      <w:marRight w:val="0"/>
      <w:marTop w:val="60"/>
      <w:marBottom w:val="60"/>
      <w:divBdr>
        <w:top w:val="none" w:sz="0" w:space="0" w:color="auto"/>
        <w:left w:val="none" w:sz="0" w:space="0" w:color="auto"/>
        <w:bottom w:val="none" w:sz="0" w:space="0" w:color="auto"/>
        <w:right w:val="none" w:sz="0" w:space="0" w:color="auto"/>
      </w:divBdr>
    </w:div>
    <w:div w:id="1386568335">
      <w:marLeft w:val="0"/>
      <w:marRight w:val="0"/>
      <w:marTop w:val="60"/>
      <w:marBottom w:val="60"/>
      <w:divBdr>
        <w:top w:val="none" w:sz="0" w:space="0" w:color="auto"/>
        <w:left w:val="none" w:sz="0" w:space="0" w:color="auto"/>
        <w:bottom w:val="none" w:sz="0" w:space="0" w:color="auto"/>
        <w:right w:val="none" w:sz="0" w:space="0" w:color="auto"/>
      </w:divBdr>
      <w:divsChild>
        <w:div w:id="399404590">
          <w:marLeft w:val="0"/>
          <w:marRight w:val="0"/>
          <w:marTop w:val="0"/>
          <w:marBottom w:val="0"/>
          <w:divBdr>
            <w:top w:val="none" w:sz="0" w:space="0" w:color="auto"/>
            <w:left w:val="none" w:sz="0" w:space="0" w:color="auto"/>
            <w:bottom w:val="none" w:sz="0" w:space="0" w:color="auto"/>
            <w:right w:val="none" w:sz="0" w:space="0" w:color="auto"/>
          </w:divBdr>
        </w:div>
        <w:div w:id="79059403">
          <w:marLeft w:val="0"/>
          <w:marRight w:val="0"/>
          <w:marTop w:val="0"/>
          <w:marBottom w:val="0"/>
          <w:divBdr>
            <w:top w:val="none" w:sz="0" w:space="0" w:color="auto"/>
            <w:left w:val="none" w:sz="0" w:space="0" w:color="auto"/>
            <w:bottom w:val="none" w:sz="0" w:space="0" w:color="auto"/>
            <w:right w:val="none" w:sz="0" w:space="0" w:color="auto"/>
          </w:divBdr>
        </w:div>
        <w:div w:id="1955940767">
          <w:marLeft w:val="0"/>
          <w:marRight w:val="0"/>
          <w:marTop w:val="0"/>
          <w:marBottom w:val="0"/>
          <w:divBdr>
            <w:top w:val="none" w:sz="0" w:space="0" w:color="auto"/>
            <w:left w:val="none" w:sz="0" w:space="0" w:color="auto"/>
            <w:bottom w:val="none" w:sz="0" w:space="0" w:color="auto"/>
            <w:right w:val="none" w:sz="0" w:space="0" w:color="auto"/>
          </w:divBdr>
        </w:div>
      </w:divsChild>
    </w:div>
    <w:div w:id="1389917557">
      <w:marLeft w:val="0"/>
      <w:marRight w:val="0"/>
      <w:marTop w:val="180"/>
      <w:marBottom w:val="180"/>
      <w:divBdr>
        <w:top w:val="none" w:sz="0" w:space="0" w:color="auto"/>
        <w:left w:val="none" w:sz="0" w:space="0" w:color="auto"/>
        <w:bottom w:val="none" w:sz="0" w:space="0" w:color="auto"/>
        <w:right w:val="none" w:sz="0" w:space="0" w:color="auto"/>
      </w:divBdr>
    </w:div>
    <w:div w:id="1390617837">
      <w:marLeft w:val="0"/>
      <w:marRight w:val="0"/>
      <w:marTop w:val="180"/>
      <w:marBottom w:val="180"/>
      <w:divBdr>
        <w:top w:val="none" w:sz="0" w:space="0" w:color="auto"/>
        <w:left w:val="none" w:sz="0" w:space="0" w:color="auto"/>
        <w:bottom w:val="none" w:sz="0" w:space="0" w:color="auto"/>
        <w:right w:val="none" w:sz="0" w:space="0" w:color="auto"/>
      </w:divBdr>
    </w:div>
    <w:div w:id="1390881772">
      <w:marLeft w:val="0"/>
      <w:marRight w:val="0"/>
      <w:marTop w:val="0"/>
      <w:marBottom w:val="0"/>
      <w:divBdr>
        <w:top w:val="none" w:sz="0" w:space="0" w:color="auto"/>
        <w:left w:val="none" w:sz="0" w:space="0" w:color="auto"/>
        <w:bottom w:val="none" w:sz="0" w:space="0" w:color="auto"/>
        <w:right w:val="none" w:sz="0" w:space="0" w:color="auto"/>
      </w:divBdr>
      <w:divsChild>
        <w:div w:id="951787561">
          <w:marLeft w:val="0"/>
          <w:marRight w:val="0"/>
          <w:marTop w:val="0"/>
          <w:marBottom w:val="0"/>
          <w:divBdr>
            <w:top w:val="none" w:sz="0" w:space="0" w:color="auto"/>
            <w:left w:val="none" w:sz="0" w:space="0" w:color="auto"/>
            <w:bottom w:val="none" w:sz="0" w:space="0" w:color="auto"/>
            <w:right w:val="none" w:sz="0" w:space="0" w:color="auto"/>
          </w:divBdr>
          <w:divsChild>
            <w:div w:id="30724883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94430080">
      <w:marLeft w:val="0"/>
      <w:marRight w:val="0"/>
      <w:marTop w:val="180"/>
      <w:marBottom w:val="180"/>
      <w:divBdr>
        <w:top w:val="none" w:sz="0" w:space="0" w:color="auto"/>
        <w:left w:val="none" w:sz="0" w:space="0" w:color="auto"/>
        <w:bottom w:val="none" w:sz="0" w:space="0" w:color="auto"/>
        <w:right w:val="none" w:sz="0" w:space="0" w:color="auto"/>
      </w:divBdr>
    </w:div>
    <w:div w:id="1395347981">
      <w:marLeft w:val="0"/>
      <w:marRight w:val="0"/>
      <w:marTop w:val="0"/>
      <w:marBottom w:val="0"/>
      <w:divBdr>
        <w:top w:val="none" w:sz="0" w:space="0" w:color="auto"/>
        <w:left w:val="none" w:sz="0" w:space="0" w:color="auto"/>
        <w:bottom w:val="none" w:sz="0" w:space="0" w:color="auto"/>
        <w:right w:val="none" w:sz="0" w:space="0" w:color="auto"/>
      </w:divBdr>
      <w:divsChild>
        <w:div w:id="1401947215">
          <w:marLeft w:val="0"/>
          <w:marRight w:val="0"/>
          <w:marTop w:val="180"/>
          <w:marBottom w:val="180"/>
          <w:divBdr>
            <w:top w:val="none" w:sz="0" w:space="0" w:color="auto"/>
            <w:left w:val="none" w:sz="0" w:space="0" w:color="auto"/>
            <w:bottom w:val="none" w:sz="0" w:space="0" w:color="auto"/>
            <w:right w:val="none" w:sz="0" w:space="0" w:color="auto"/>
          </w:divBdr>
        </w:div>
      </w:divsChild>
    </w:div>
    <w:div w:id="1396319102">
      <w:marLeft w:val="0"/>
      <w:marRight w:val="0"/>
      <w:marTop w:val="140"/>
      <w:marBottom w:val="180"/>
      <w:divBdr>
        <w:top w:val="none" w:sz="0" w:space="0" w:color="auto"/>
        <w:left w:val="none" w:sz="0" w:space="0" w:color="auto"/>
        <w:bottom w:val="none" w:sz="0" w:space="0" w:color="auto"/>
        <w:right w:val="none" w:sz="0" w:space="0" w:color="auto"/>
      </w:divBdr>
    </w:div>
    <w:div w:id="1396926300">
      <w:marLeft w:val="0"/>
      <w:marRight w:val="0"/>
      <w:marTop w:val="180"/>
      <w:marBottom w:val="180"/>
      <w:divBdr>
        <w:top w:val="none" w:sz="0" w:space="0" w:color="auto"/>
        <w:left w:val="none" w:sz="0" w:space="0" w:color="auto"/>
        <w:bottom w:val="none" w:sz="0" w:space="0" w:color="auto"/>
        <w:right w:val="none" w:sz="0" w:space="0" w:color="auto"/>
      </w:divBdr>
    </w:div>
    <w:div w:id="1397774727">
      <w:marLeft w:val="0"/>
      <w:marRight w:val="0"/>
      <w:marTop w:val="180"/>
      <w:marBottom w:val="180"/>
      <w:divBdr>
        <w:top w:val="none" w:sz="0" w:space="0" w:color="auto"/>
        <w:left w:val="none" w:sz="0" w:space="0" w:color="auto"/>
        <w:bottom w:val="none" w:sz="0" w:space="0" w:color="auto"/>
        <w:right w:val="none" w:sz="0" w:space="0" w:color="auto"/>
      </w:divBdr>
    </w:div>
    <w:div w:id="1399010540">
      <w:marLeft w:val="0"/>
      <w:marRight w:val="0"/>
      <w:marTop w:val="180"/>
      <w:marBottom w:val="180"/>
      <w:divBdr>
        <w:top w:val="none" w:sz="0" w:space="0" w:color="auto"/>
        <w:left w:val="none" w:sz="0" w:space="0" w:color="auto"/>
        <w:bottom w:val="none" w:sz="0" w:space="0" w:color="auto"/>
        <w:right w:val="none" w:sz="0" w:space="0" w:color="auto"/>
      </w:divBdr>
    </w:div>
    <w:div w:id="1399668014">
      <w:marLeft w:val="0"/>
      <w:marRight w:val="0"/>
      <w:marTop w:val="180"/>
      <w:marBottom w:val="180"/>
      <w:divBdr>
        <w:top w:val="none" w:sz="0" w:space="0" w:color="auto"/>
        <w:left w:val="none" w:sz="0" w:space="0" w:color="auto"/>
        <w:bottom w:val="none" w:sz="0" w:space="0" w:color="auto"/>
        <w:right w:val="none" w:sz="0" w:space="0" w:color="auto"/>
      </w:divBdr>
    </w:div>
    <w:div w:id="1399673988">
      <w:marLeft w:val="0"/>
      <w:marRight w:val="0"/>
      <w:marTop w:val="0"/>
      <w:marBottom w:val="0"/>
      <w:divBdr>
        <w:top w:val="none" w:sz="0" w:space="0" w:color="auto"/>
        <w:left w:val="none" w:sz="0" w:space="0" w:color="auto"/>
        <w:bottom w:val="none" w:sz="0" w:space="0" w:color="auto"/>
        <w:right w:val="none" w:sz="0" w:space="0" w:color="auto"/>
      </w:divBdr>
      <w:divsChild>
        <w:div w:id="844789277">
          <w:marLeft w:val="0"/>
          <w:marRight w:val="0"/>
          <w:marTop w:val="60"/>
          <w:marBottom w:val="180"/>
          <w:divBdr>
            <w:top w:val="none" w:sz="0" w:space="0" w:color="auto"/>
            <w:left w:val="none" w:sz="0" w:space="0" w:color="auto"/>
            <w:bottom w:val="none" w:sz="0" w:space="0" w:color="auto"/>
            <w:right w:val="none" w:sz="0" w:space="0" w:color="auto"/>
          </w:divBdr>
        </w:div>
      </w:divsChild>
    </w:div>
    <w:div w:id="1402170209">
      <w:marLeft w:val="0"/>
      <w:marRight w:val="0"/>
      <w:marTop w:val="180"/>
      <w:marBottom w:val="180"/>
      <w:divBdr>
        <w:top w:val="none" w:sz="0" w:space="0" w:color="auto"/>
        <w:left w:val="none" w:sz="0" w:space="0" w:color="auto"/>
        <w:bottom w:val="none" w:sz="0" w:space="0" w:color="auto"/>
        <w:right w:val="none" w:sz="0" w:space="0" w:color="auto"/>
      </w:divBdr>
    </w:div>
    <w:div w:id="1402871167">
      <w:marLeft w:val="0"/>
      <w:marRight w:val="0"/>
      <w:marTop w:val="0"/>
      <w:marBottom w:val="0"/>
      <w:divBdr>
        <w:top w:val="none" w:sz="0" w:space="0" w:color="auto"/>
        <w:left w:val="none" w:sz="0" w:space="0" w:color="auto"/>
        <w:bottom w:val="none" w:sz="0" w:space="0" w:color="auto"/>
        <w:right w:val="none" w:sz="0" w:space="0" w:color="auto"/>
      </w:divBdr>
      <w:divsChild>
        <w:div w:id="1064914948">
          <w:marLeft w:val="0"/>
          <w:marRight w:val="0"/>
          <w:marTop w:val="60"/>
          <w:marBottom w:val="180"/>
          <w:divBdr>
            <w:top w:val="none" w:sz="0" w:space="0" w:color="auto"/>
            <w:left w:val="none" w:sz="0" w:space="0" w:color="auto"/>
            <w:bottom w:val="none" w:sz="0" w:space="0" w:color="auto"/>
            <w:right w:val="none" w:sz="0" w:space="0" w:color="auto"/>
          </w:divBdr>
        </w:div>
      </w:divsChild>
    </w:div>
    <w:div w:id="1402942851">
      <w:marLeft w:val="0"/>
      <w:marRight w:val="0"/>
      <w:marTop w:val="0"/>
      <w:marBottom w:val="0"/>
      <w:divBdr>
        <w:top w:val="none" w:sz="0" w:space="0" w:color="auto"/>
        <w:left w:val="none" w:sz="0" w:space="0" w:color="auto"/>
        <w:bottom w:val="none" w:sz="0" w:space="0" w:color="auto"/>
        <w:right w:val="none" w:sz="0" w:space="0" w:color="auto"/>
      </w:divBdr>
    </w:div>
    <w:div w:id="1403984165">
      <w:marLeft w:val="0"/>
      <w:marRight w:val="0"/>
      <w:marTop w:val="180"/>
      <w:marBottom w:val="180"/>
      <w:divBdr>
        <w:top w:val="none" w:sz="0" w:space="0" w:color="auto"/>
        <w:left w:val="none" w:sz="0" w:space="0" w:color="auto"/>
        <w:bottom w:val="none" w:sz="0" w:space="0" w:color="auto"/>
        <w:right w:val="none" w:sz="0" w:space="0" w:color="auto"/>
      </w:divBdr>
    </w:div>
    <w:div w:id="1404327666">
      <w:marLeft w:val="0"/>
      <w:marRight w:val="0"/>
      <w:marTop w:val="180"/>
      <w:marBottom w:val="180"/>
      <w:divBdr>
        <w:top w:val="none" w:sz="0" w:space="0" w:color="auto"/>
        <w:left w:val="none" w:sz="0" w:space="0" w:color="auto"/>
        <w:bottom w:val="none" w:sz="0" w:space="0" w:color="auto"/>
        <w:right w:val="none" w:sz="0" w:space="0" w:color="auto"/>
      </w:divBdr>
    </w:div>
    <w:div w:id="1406337690">
      <w:marLeft w:val="0"/>
      <w:marRight w:val="0"/>
      <w:marTop w:val="180"/>
      <w:marBottom w:val="180"/>
      <w:divBdr>
        <w:top w:val="none" w:sz="0" w:space="0" w:color="auto"/>
        <w:left w:val="none" w:sz="0" w:space="0" w:color="auto"/>
        <w:bottom w:val="none" w:sz="0" w:space="0" w:color="auto"/>
        <w:right w:val="none" w:sz="0" w:space="0" w:color="auto"/>
      </w:divBdr>
    </w:div>
    <w:div w:id="1406953550">
      <w:marLeft w:val="0"/>
      <w:marRight w:val="0"/>
      <w:marTop w:val="60"/>
      <w:marBottom w:val="60"/>
      <w:divBdr>
        <w:top w:val="none" w:sz="0" w:space="0" w:color="auto"/>
        <w:left w:val="none" w:sz="0" w:space="0" w:color="auto"/>
        <w:bottom w:val="none" w:sz="0" w:space="0" w:color="auto"/>
        <w:right w:val="none" w:sz="0" w:space="0" w:color="auto"/>
      </w:divBdr>
    </w:div>
    <w:div w:id="1409380617">
      <w:marLeft w:val="0"/>
      <w:marRight w:val="0"/>
      <w:marTop w:val="180"/>
      <w:marBottom w:val="180"/>
      <w:divBdr>
        <w:top w:val="none" w:sz="0" w:space="0" w:color="auto"/>
        <w:left w:val="none" w:sz="0" w:space="0" w:color="auto"/>
        <w:bottom w:val="none" w:sz="0" w:space="0" w:color="auto"/>
        <w:right w:val="none" w:sz="0" w:space="0" w:color="auto"/>
      </w:divBdr>
    </w:div>
    <w:div w:id="1410733528">
      <w:marLeft w:val="0"/>
      <w:marRight w:val="0"/>
      <w:marTop w:val="180"/>
      <w:marBottom w:val="180"/>
      <w:divBdr>
        <w:top w:val="none" w:sz="0" w:space="0" w:color="auto"/>
        <w:left w:val="none" w:sz="0" w:space="0" w:color="auto"/>
        <w:bottom w:val="none" w:sz="0" w:space="0" w:color="auto"/>
        <w:right w:val="none" w:sz="0" w:space="0" w:color="auto"/>
      </w:divBdr>
    </w:div>
    <w:div w:id="1412503381">
      <w:marLeft w:val="0"/>
      <w:marRight w:val="0"/>
      <w:marTop w:val="180"/>
      <w:marBottom w:val="180"/>
      <w:divBdr>
        <w:top w:val="none" w:sz="0" w:space="0" w:color="auto"/>
        <w:left w:val="none" w:sz="0" w:space="0" w:color="auto"/>
        <w:bottom w:val="none" w:sz="0" w:space="0" w:color="auto"/>
        <w:right w:val="none" w:sz="0" w:space="0" w:color="auto"/>
      </w:divBdr>
    </w:div>
    <w:div w:id="1413235062">
      <w:marLeft w:val="0"/>
      <w:marRight w:val="0"/>
      <w:marTop w:val="180"/>
      <w:marBottom w:val="180"/>
      <w:divBdr>
        <w:top w:val="none" w:sz="0" w:space="0" w:color="auto"/>
        <w:left w:val="none" w:sz="0" w:space="0" w:color="auto"/>
        <w:bottom w:val="none" w:sz="0" w:space="0" w:color="auto"/>
        <w:right w:val="none" w:sz="0" w:space="0" w:color="auto"/>
      </w:divBdr>
    </w:div>
    <w:div w:id="1413621510">
      <w:marLeft w:val="0"/>
      <w:marRight w:val="0"/>
      <w:marTop w:val="180"/>
      <w:marBottom w:val="180"/>
      <w:divBdr>
        <w:top w:val="none" w:sz="0" w:space="0" w:color="auto"/>
        <w:left w:val="none" w:sz="0" w:space="0" w:color="auto"/>
        <w:bottom w:val="none" w:sz="0" w:space="0" w:color="auto"/>
        <w:right w:val="none" w:sz="0" w:space="0" w:color="auto"/>
      </w:divBdr>
    </w:div>
    <w:div w:id="1414929461">
      <w:marLeft w:val="0"/>
      <w:marRight w:val="0"/>
      <w:marTop w:val="100"/>
      <w:marBottom w:val="0"/>
      <w:divBdr>
        <w:top w:val="none" w:sz="0" w:space="0" w:color="auto"/>
        <w:left w:val="none" w:sz="0" w:space="0" w:color="auto"/>
        <w:bottom w:val="none" w:sz="0" w:space="0" w:color="auto"/>
        <w:right w:val="none" w:sz="0" w:space="0" w:color="auto"/>
      </w:divBdr>
    </w:div>
    <w:div w:id="1417096026">
      <w:marLeft w:val="0"/>
      <w:marRight w:val="0"/>
      <w:marTop w:val="180"/>
      <w:marBottom w:val="180"/>
      <w:divBdr>
        <w:top w:val="none" w:sz="0" w:space="0" w:color="auto"/>
        <w:left w:val="none" w:sz="0" w:space="0" w:color="auto"/>
        <w:bottom w:val="none" w:sz="0" w:space="0" w:color="auto"/>
        <w:right w:val="none" w:sz="0" w:space="0" w:color="auto"/>
      </w:divBdr>
    </w:div>
    <w:div w:id="1417939627">
      <w:marLeft w:val="0"/>
      <w:marRight w:val="0"/>
      <w:marTop w:val="180"/>
      <w:marBottom w:val="180"/>
      <w:divBdr>
        <w:top w:val="none" w:sz="0" w:space="0" w:color="auto"/>
        <w:left w:val="none" w:sz="0" w:space="0" w:color="auto"/>
        <w:bottom w:val="none" w:sz="0" w:space="0" w:color="auto"/>
        <w:right w:val="none" w:sz="0" w:space="0" w:color="auto"/>
      </w:divBdr>
    </w:div>
    <w:div w:id="1418213935">
      <w:marLeft w:val="0"/>
      <w:marRight w:val="0"/>
      <w:marTop w:val="0"/>
      <w:marBottom w:val="0"/>
      <w:divBdr>
        <w:top w:val="none" w:sz="0" w:space="0" w:color="auto"/>
        <w:left w:val="none" w:sz="0" w:space="0" w:color="auto"/>
        <w:bottom w:val="none" w:sz="0" w:space="0" w:color="auto"/>
        <w:right w:val="none" w:sz="0" w:space="0" w:color="auto"/>
      </w:divBdr>
    </w:div>
    <w:div w:id="1418286527">
      <w:marLeft w:val="0"/>
      <w:marRight w:val="0"/>
      <w:marTop w:val="60"/>
      <w:marBottom w:val="60"/>
      <w:divBdr>
        <w:top w:val="none" w:sz="0" w:space="0" w:color="auto"/>
        <w:left w:val="none" w:sz="0" w:space="0" w:color="auto"/>
        <w:bottom w:val="none" w:sz="0" w:space="0" w:color="auto"/>
        <w:right w:val="none" w:sz="0" w:space="0" w:color="auto"/>
      </w:divBdr>
    </w:div>
    <w:div w:id="1420178726">
      <w:marLeft w:val="0"/>
      <w:marRight w:val="0"/>
      <w:marTop w:val="0"/>
      <w:marBottom w:val="0"/>
      <w:divBdr>
        <w:top w:val="none" w:sz="0" w:space="0" w:color="auto"/>
        <w:left w:val="none" w:sz="0" w:space="0" w:color="auto"/>
        <w:bottom w:val="none" w:sz="0" w:space="0" w:color="auto"/>
        <w:right w:val="none" w:sz="0" w:space="0" w:color="auto"/>
      </w:divBdr>
      <w:divsChild>
        <w:div w:id="297150219">
          <w:marLeft w:val="0"/>
          <w:marRight w:val="0"/>
          <w:marTop w:val="0"/>
          <w:marBottom w:val="0"/>
          <w:divBdr>
            <w:top w:val="none" w:sz="0" w:space="0" w:color="auto"/>
            <w:left w:val="none" w:sz="0" w:space="0" w:color="auto"/>
            <w:bottom w:val="none" w:sz="0" w:space="0" w:color="auto"/>
            <w:right w:val="none" w:sz="0" w:space="0" w:color="auto"/>
          </w:divBdr>
          <w:divsChild>
            <w:div w:id="130253829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21567079">
      <w:marLeft w:val="0"/>
      <w:marRight w:val="0"/>
      <w:marTop w:val="180"/>
      <w:marBottom w:val="180"/>
      <w:divBdr>
        <w:top w:val="none" w:sz="0" w:space="0" w:color="auto"/>
        <w:left w:val="none" w:sz="0" w:space="0" w:color="auto"/>
        <w:bottom w:val="none" w:sz="0" w:space="0" w:color="auto"/>
        <w:right w:val="none" w:sz="0" w:space="0" w:color="auto"/>
      </w:divBdr>
    </w:div>
    <w:div w:id="1422070575">
      <w:marLeft w:val="0"/>
      <w:marRight w:val="0"/>
      <w:marTop w:val="180"/>
      <w:marBottom w:val="180"/>
      <w:divBdr>
        <w:top w:val="none" w:sz="0" w:space="0" w:color="auto"/>
        <w:left w:val="none" w:sz="0" w:space="0" w:color="auto"/>
        <w:bottom w:val="none" w:sz="0" w:space="0" w:color="auto"/>
        <w:right w:val="none" w:sz="0" w:space="0" w:color="auto"/>
      </w:divBdr>
    </w:div>
    <w:div w:id="1423144146">
      <w:marLeft w:val="0"/>
      <w:marRight w:val="0"/>
      <w:marTop w:val="180"/>
      <w:marBottom w:val="180"/>
      <w:divBdr>
        <w:top w:val="none" w:sz="0" w:space="0" w:color="auto"/>
        <w:left w:val="none" w:sz="0" w:space="0" w:color="auto"/>
        <w:bottom w:val="none" w:sz="0" w:space="0" w:color="auto"/>
        <w:right w:val="none" w:sz="0" w:space="0" w:color="auto"/>
      </w:divBdr>
    </w:div>
    <w:div w:id="1424381453">
      <w:marLeft w:val="0"/>
      <w:marRight w:val="0"/>
      <w:marTop w:val="180"/>
      <w:marBottom w:val="180"/>
      <w:divBdr>
        <w:top w:val="none" w:sz="0" w:space="0" w:color="auto"/>
        <w:left w:val="none" w:sz="0" w:space="0" w:color="auto"/>
        <w:bottom w:val="none" w:sz="0" w:space="0" w:color="auto"/>
        <w:right w:val="none" w:sz="0" w:space="0" w:color="auto"/>
      </w:divBdr>
    </w:div>
    <w:div w:id="1424571833">
      <w:marLeft w:val="0"/>
      <w:marRight w:val="0"/>
      <w:marTop w:val="180"/>
      <w:marBottom w:val="180"/>
      <w:divBdr>
        <w:top w:val="none" w:sz="0" w:space="0" w:color="auto"/>
        <w:left w:val="none" w:sz="0" w:space="0" w:color="auto"/>
        <w:bottom w:val="none" w:sz="0" w:space="0" w:color="auto"/>
        <w:right w:val="none" w:sz="0" w:space="0" w:color="auto"/>
      </w:divBdr>
    </w:div>
    <w:div w:id="1425372472">
      <w:marLeft w:val="0"/>
      <w:marRight w:val="0"/>
      <w:marTop w:val="60"/>
      <w:marBottom w:val="60"/>
      <w:divBdr>
        <w:top w:val="none" w:sz="0" w:space="0" w:color="auto"/>
        <w:left w:val="none" w:sz="0" w:space="0" w:color="auto"/>
        <w:bottom w:val="none" w:sz="0" w:space="0" w:color="auto"/>
        <w:right w:val="none" w:sz="0" w:space="0" w:color="auto"/>
      </w:divBdr>
    </w:div>
    <w:div w:id="1426415768">
      <w:marLeft w:val="0"/>
      <w:marRight w:val="0"/>
      <w:marTop w:val="180"/>
      <w:marBottom w:val="180"/>
      <w:divBdr>
        <w:top w:val="none" w:sz="0" w:space="0" w:color="auto"/>
        <w:left w:val="none" w:sz="0" w:space="0" w:color="auto"/>
        <w:bottom w:val="none" w:sz="0" w:space="0" w:color="auto"/>
        <w:right w:val="none" w:sz="0" w:space="0" w:color="auto"/>
      </w:divBdr>
    </w:div>
    <w:div w:id="1426463811">
      <w:marLeft w:val="0"/>
      <w:marRight w:val="0"/>
      <w:marTop w:val="60"/>
      <w:marBottom w:val="60"/>
      <w:divBdr>
        <w:top w:val="none" w:sz="0" w:space="0" w:color="auto"/>
        <w:left w:val="none" w:sz="0" w:space="0" w:color="auto"/>
        <w:bottom w:val="none" w:sz="0" w:space="0" w:color="auto"/>
        <w:right w:val="none" w:sz="0" w:space="0" w:color="auto"/>
      </w:divBdr>
    </w:div>
    <w:div w:id="1426732587">
      <w:marLeft w:val="0"/>
      <w:marRight w:val="0"/>
      <w:marTop w:val="0"/>
      <w:marBottom w:val="0"/>
      <w:divBdr>
        <w:top w:val="none" w:sz="0" w:space="0" w:color="auto"/>
        <w:left w:val="none" w:sz="0" w:space="0" w:color="auto"/>
        <w:bottom w:val="none" w:sz="0" w:space="0" w:color="auto"/>
        <w:right w:val="none" w:sz="0" w:space="0" w:color="auto"/>
      </w:divBdr>
      <w:divsChild>
        <w:div w:id="1475171763">
          <w:marLeft w:val="0"/>
          <w:marRight w:val="0"/>
          <w:marTop w:val="0"/>
          <w:marBottom w:val="0"/>
          <w:divBdr>
            <w:top w:val="none" w:sz="0" w:space="0" w:color="auto"/>
            <w:left w:val="none" w:sz="0" w:space="0" w:color="auto"/>
            <w:bottom w:val="none" w:sz="0" w:space="0" w:color="auto"/>
            <w:right w:val="none" w:sz="0" w:space="0" w:color="auto"/>
          </w:divBdr>
          <w:divsChild>
            <w:div w:id="203583625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26801486">
      <w:marLeft w:val="0"/>
      <w:marRight w:val="0"/>
      <w:marTop w:val="180"/>
      <w:marBottom w:val="180"/>
      <w:divBdr>
        <w:top w:val="none" w:sz="0" w:space="0" w:color="auto"/>
        <w:left w:val="none" w:sz="0" w:space="0" w:color="auto"/>
        <w:bottom w:val="none" w:sz="0" w:space="0" w:color="auto"/>
        <w:right w:val="none" w:sz="0" w:space="0" w:color="auto"/>
      </w:divBdr>
    </w:div>
    <w:div w:id="1430007651">
      <w:marLeft w:val="0"/>
      <w:marRight w:val="0"/>
      <w:marTop w:val="0"/>
      <w:marBottom w:val="0"/>
      <w:divBdr>
        <w:top w:val="none" w:sz="0" w:space="0" w:color="auto"/>
        <w:left w:val="none" w:sz="0" w:space="0" w:color="auto"/>
        <w:bottom w:val="none" w:sz="0" w:space="0" w:color="auto"/>
        <w:right w:val="none" w:sz="0" w:space="0" w:color="auto"/>
      </w:divBdr>
      <w:divsChild>
        <w:div w:id="746341593">
          <w:marLeft w:val="0"/>
          <w:marRight w:val="0"/>
          <w:marTop w:val="0"/>
          <w:marBottom w:val="0"/>
          <w:divBdr>
            <w:top w:val="none" w:sz="0" w:space="0" w:color="auto"/>
            <w:left w:val="none" w:sz="0" w:space="0" w:color="auto"/>
            <w:bottom w:val="none" w:sz="0" w:space="0" w:color="auto"/>
            <w:right w:val="none" w:sz="0" w:space="0" w:color="auto"/>
          </w:divBdr>
          <w:divsChild>
            <w:div w:id="4356428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30928512">
      <w:marLeft w:val="0"/>
      <w:marRight w:val="0"/>
      <w:marTop w:val="180"/>
      <w:marBottom w:val="180"/>
      <w:divBdr>
        <w:top w:val="none" w:sz="0" w:space="0" w:color="auto"/>
        <w:left w:val="none" w:sz="0" w:space="0" w:color="auto"/>
        <w:bottom w:val="none" w:sz="0" w:space="0" w:color="auto"/>
        <w:right w:val="none" w:sz="0" w:space="0" w:color="auto"/>
      </w:divBdr>
    </w:div>
    <w:div w:id="1431047677">
      <w:marLeft w:val="0"/>
      <w:marRight w:val="0"/>
      <w:marTop w:val="60"/>
      <w:marBottom w:val="60"/>
      <w:divBdr>
        <w:top w:val="none" w:sz="0" w:space="0" w:color="auto"/>
        <w:left w:val="none" w:sz="0" w:space="0" w:color="auto"/>
        <w:bottom w:val="none" w:sz="0" w:space="0" w:color="auto"/>
        <w:right w:val="none" w:sz="0" w:space="0" w:color="auto"/>
      </w:divBdr>
    </w:div>
    <w:div w:id="1432511395">
      <w:marLeft w:val="0"/>
      <w:marRight w:val="0"/>
      <w:marTop w:val="180"/>
      <w:marBottom w:val="180"/>
      <w:divBdr>
        <w:top w:val="none" w:sz="0" w:space="0" w:color="auto"/>
        <w:left w:val="none" w:sz="0" w:space="0" w:color="auto"/>
        <w:bottom w:val="none" w:sz="0" w:space="0" w:color="auto"/>
        <w:right w:val="none" w:sz="0" w:space="0" w:color="auto"/>
      </w:divBdr>
    </w:div>
    <w:div w:id="1433621764">
      <w:marLeft w:val="0"/>
      <w:marRight w:val="0"/>
      <w:marTop w:val="180"/>
      <w:marBottom w:val="180"/>
      <w:divBdr>
        <w:top w:val="none" w:sz="0" w:space="0" w:color="auto"/>
        <w:left w:val="none" w:sz="0" w:space="0" w:color="auto"/>
        <w:bottom w:val="none" w:sz="0" w:space="0" w:color="auto"/>
        <w:right w:val="none" w:sz="0" w:space="0" w:color="auto"/>
      </w:divBdr>
    </w:div>
    <w:div w:id="1433939103">
      <w:marLeft w:val="0"/>
      <w:marRight w:val="0"/>
      <w:marTop w:val="0"/>
      <w:marBottom w:val="0"/>
      <w:divBdr>
        <w:top w:val="none" w:sz="0" w:space="0" w:color="auto"/>
        <w:left w:val="none" w:sz="0" w:space="0" w:color="auto"/>
        <w:bottom w:val="none" w:sz="0" w:space="0" w:color="auto"/>
        <w:right w:val="none" w:sz="0" w:space="0" w:color="auto"/>
      </w:divBdr>
      <w:divsChild>
        <w:div w:id="885218439">
          <w:marLeft w:val="0"/>
          <w:marRight w:val="0"/>
          <w:marTop w:val="60"/>
          <w:marBottom w:val="180"/>
          <w:divBdr>
            <w:top w:val="none" w:sz="0" w:space="0" w:color="auto"/>
            <w:left w:val="none" w:sz="0" w:space="0" w:color="auto"/>
            <w:bottom w:val="none" w:sz="0" w:space="0" w:color="auto"/>
            <w:right w:val="none" w:sz="0" w:space="0" w:color="auto"/>
          </w:divBdr>
        </w:div>
      </w:divsChild>
    </w:div>
    <w:div w:id="1434474149">
      <w:marLeft w:val="0"/>
      <w:marRight w:val="0"/>
      <w:marTop w:val="180"/>
      <w:marBottom w:val="180"/>
      <w:divBdr>
        <w:top w:val="none" w:sz="0" w:space="0" w:color="auto"/>
        <w:left w:val="none" w:sz="0" w:space="0" w:color="auto"/>
        <w:bottom w:val="none" w:sz="0" w:space="0" w:color="auto"/>
        <w:right w:val="none" w:sz="0" w:space="0" w:color="auto"/>
      </w:divBdr>
    </w:div>
    <w:div w:id="1437749226">
      <w:marLeft w:val="0"/>
      <w:marRight w:val="0"/>
      <w:marTop w:val="180"/>
      <w:marBottom w:val="180"/>
      <w:divBdr>
        <w:top w:val="none" w:sz="0" w:space="0" w:color="auto"/>
        <w:left w:val="none" w:sz="0" w:space="0" w:color="auto"/>
        <w:bottom w:val="none" w:sz="0" w:space="0" w:color="auto"/>
        <w:right w:val="none" w:sz="0" w:space="0" w:color="auto"/>
      </w:divBdr>
    </w:div>
    <w:div w:id="1439448941">
      <w:marLeft w:val="0"/>
      <w:marRight w:val="0"/>
      <w:marTop w:val="180"/>
      <w:marBottom w:val="180"/>
      <w:divBdr>
        <w:top w:val="none" w:sz="0" w:space="0" w:color="auto"/>
        <w:left w:val="none" w:sz="0" w:space="0" w:color="auto"/>
        <w:bottom w:val="none" w:sz="0" w:space="0" w:color="auto"/>
        <w:right w:val="none" w:sz="0" w:space="0" w:color="auto"/>
      </w:divBdr>
    </w:div>
    <w:div w:id="1439913359">
      <w:marLeft w:val="0"/>
      <w:marRight w:val="0"/>
      <w:marTop w:val="180"/>
      <w:marBottom w:val="180"/>
      <w:divBdr>
        <w:top w:val="none" w:sz="0" w:space="0" w:color="auto"/>
        <w:left w:val="none" w:sz="0" w:space="0" w:color="auto"/>
        <w:bottom w:val="none" w:sz="0" w:space="0" w:color="auto"/>
        <w:right w:val="none" w:sz="0" w:space="0" w:color="auto"/>
      </w:divBdr>
    </w:div>
    <w:div w:id="1440222791">
      <w:marLeft w:val="0"/>
      <w:marRight w:val="0"/>
      <w:marTop w:val="180"/>
      <w:marBottom w:val="180"/>
      <w:divBdr>
        <w:top w:val="none" w:sz="0" w:space="0" w:color="auto"/>
        <w:left w:val="none" w:sz="0" w:space="0" w:color="auto"/>
        <w:bottom w:val="none" w:sz="0" w:space="0" w:color="auto"/>
        <w:right w:val="none" w:sz="0" w:space="0" w:color="auto"/>
      </w:divBdr>
    </w:div>
    <w:div w:id="1441341636">
      <w:marLeft w:val="0"/>
      <w:marRight w:val="0"/>
      <w:marTop w:val="60"/>
      <w:marBottom w:val="60"/>
      <w:divBdr>
        <w:top w:val="none" w:sz="0" w:space="0" w:color="auto"/>
        <w:left w:val="none" w:sz="0" w:space="0" w:color="auto"/>
        <w:bottom w:val="none" w:sz="0" w:space="0" w:color="auto"/>
        <w:right w:val="none" w:sz="0" w:space="0" w:color="auto"/>
      </w:divBdr>
    </w:div>
    <w:div w:id="1441752738">
      <w:marLeft w:val="0"/>
      <w:marRight w:val="0"/>
      <w:marTop w:val="60"/>
      <w:marBottom w:val="60"/>
      <w:divBdr>
        <w:top w:val="none" w:sz="0" w:space="0" w:color="auto"/>
        <w:left w:val="none" w:sz="0" w:space="0" w:color="auto"/>
        <w:bottom w:val="none" w:sz="0" w:space="0" w:color="auto"/>
        <w:right w:val="none" w:sz="0" w:space="0" w:color="auto"/>
      </w:divBdr>
    </w:div>
    <w:div w:id="1441804638">
      <w:marLeft w:val="0"/>
      <w:marRight w:val="0"/>
      <w:marTop w:val="0"/>
      <w:marBottom w:val="0"/>
      <w:divBdr>
        <w:top w:val="none" w:sz="0" w:space="0" w:color="auto"/>
        <w:left w:val="none" w:sz="0" w:space="0" w:color="auto"/>
        <w:bottom w:val="none" w:sz="0" w:space="0" w:color="auto"/>
        <w:right w:val="none" w:sz="0" w:space="0" w:color="auto"/>
      </w:divBdr>
      <w:divsChild>
        <w:div w:id="1780906652">
          <w:marLeft w:val="0"/>
          <w:marRight w:val="0"/>
          <w:marTop w:val="180"/>
          <w:marBottom w:val="180"/>
          <w:divBdr>
            <w:top w:val="none" w:sz="0" w:space="0" w:color="auto"/>
            <w:left w:val="none" w:sz="0" w:space="0" w:color="auto"/>
            <w:bottom w:val="none" w:sz="0" w:space="0" w:color="auto"/>
            <w:right w:val="none" w:sz="0" w:space="0" w:color="auto"/>
          </w:divBdr>
        </w:div>
      </w:divsChild>
    </w:div>
    <w:div w:id="1443380759">
      <w:marLeft w:val="0"/>
      <w:marRight w:val="0"/>
      <w:marTop w:val="0"/>
      <w:marBottom w:val="0"/>
      <w:divBdr>
        <w:top w:val="none" w:sz="0" w:space="0" w:color="auto"/>
        <w:left w:val="none" w:sz="0" w:space="0" w:color="auto"/>
        <w:bottom w:val="none" w:sz="0" w:space="0" w:color="auto"/>
        <w:right w:val="none" w:sz="0" w:space="0" w:color="auto"/>
      </w:divBdr>
      <w:divsChild>
        <w:div w:id="1263689223">
          <w:marLeft w:val="0"/>
          <w:marRight w:val="0"/>
          <w:marTop w:val="0"/>
          <w:marBottom w:val="0"/>
          <w:divBdr>
            <w:top w:val="none" w:sz="0" w:space="0" w:color="auto"/>
            <w:left w:val="none" w:sz="0" w:space="0" w:color="auto"/>
            <w:bottom w:val="none" w:sz="0" w:space="0" w:color="auto"/>
            <w:right w:val="none" w:sz="0" w:space="0" w:color="auto"/>
          </w:divBdr>
          <w:divsChild>
            <w:div w:id="198924220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44349854">
      <w:marLeft w:val="0"/>
      <w:marRight w:val="0"/>
      <w:marTop w:val="240"/>
      <w:marBottom w:val="180"/>
      <w:divBdr>
        <w:top w:val="none" w:sz="0" w:space="0" w:color="auto"/>
        <w:left w:val="none" w:sz="0" w:space="0" w:color="auto"/>
        <w:bottom w:val="none" w:sz="0" w:space="0" w:color="auto"/>
        <w:right w:val="none" w:sz="0" w:space="0" w:color="auto"/>
      </w:divBdr>
    </w:div>
    <w:div w:id="1444685198">
      <w:marLeft w:val="0"/>
      <w:marRight w:val="0"/>
      <w:marTop w:val="60"/>
      <w:marBottom w:val="60"/>
      <w:divBdr>
        <w:top w:val="none" w:sz="0" w:space="0" w:color="auto"/>
        <w:left w:val="none" w:sz="0" w:space="0" w:color="auto"/>
        <w:bottom w:val="none" w:sz="0" w:space="0" w:color="auto"/>
        <w:right w:val="none" w:sz="0" w:space="0" w:color="auto"/>
      </w:divBdr>
    </w:div>
    <w:div w:id="1444836000">
      <w:marLeft w:val="0"/>
      <w:marRight w:val="0"/>
      <w:marTop w:val="180"/>
      <w:marBottom w:val="180"/>
      <w:divBdr>
        <w:top w:val="none" w:sz="0" w:space="0" w:color="auto"/>
        <w:left w:val="none" w:sz="0" w:space="0" w:color="auto"/>
        <w:bottom w:val="none" w:sz="0" w:space="0" w:color="auto"/>
        <w:right w:val="none" w:sz="0" w:space="0" w:color="auto"/>
      </w:divBdr>
    </w:div>
    <w:div w:id="1448508086">
      <w:marLeft w:val="0"/>
      <w:marRight w:val="0"/>
      <w:marTop w:val="180"/>
      <w:marBottom w:val="180"/>
      <w:divBdr>
        <w:top w:val="none" w:sz="0" w:space="0" w:color="auto"/>
        <w:left w:val="none" w:sz="0" w:space="0" w:color="auto"/>
        <w:bottom w:val="none" w:sz="0" w:space="0" w:color="auto"/>
        <w:right w:val="none" w:sz="0" w:space="0" w:color="auto"/>
      </w:divBdr>
    </w:div>
    <w:div w:id="1451709204">
      <w:marLeft w:val="0"/>
      <w:marRight w:val="0"/>
      <w:marTop w:val="180"/>
      <w:marBottom w:val="180"/>
      <w:divBdr>
        <w:top w:val="none" w:sz="0" w:space="0" w:color="auto"/>
        <w:left w:val="none" w:sz="0" w:space="0" w:color="auto"/>
        <w:bottom w:val="none" w:sz="0" w:space="0" w:color="auto"/>
        <w:right w:val="none" w:sz="0" w:space="0" w:color="auto"/>
      </w:divBdr>
    </w:div>
    <w:div w:id="1451779578">
      <w:marLeft w:val="0"/>
      <w:marRight w:val="0"/>
      <w:marTop w:val="180"/>
      <w:marBottom w:val="180"/>
      <w:divBdr>
        <w:top w:val="none" w:sz="0" w:space="0" w:color="auto"/>
        <w:left w:val="none" w:sz="0" w:space="0" w:color="auto"/>
        <w:bottom w:val="none" w:sz="0" w:space="0" w:color="auto"/>
        <w:right w:val="none" w:sz="0" w:space="0" w:color="auto"/>
      </w:divBdr>
    </w:div>
    <w:div w:id="1452630695">
      <w:marLeft w:val="0"/>
      <w:marRight w:val="0"/>
      <w:marTop w:val="60"/>
      <w:marBottom w:val="60"/>
      <w:divBdr>
        <w:top w:val="none" w:sz="0" w:space="0" w:color="auto"/>
        <w:left w:val="none" w:sz="0" w:space="0" w:color="auto"/>
        <w:bottom w:val="none" w:sz="0" w:space="0" w:color="auto"/>
        <w:right w:val="none" w:sz="0" w:space="0" w:color="auto"/>
      </w:divBdr>
    </w:div>
    <w:div w:id="1454010976">
      <w:marLeft w:val="0"/>
      <w:marRight w:val="0"/>
      <w:marTop w:val="60"/>
      <w:marBottom w:val="60"/>
      <w:divBdr>
        <w:top w:val="none" w:sz="0" w:space="0" w:color="auto"/>
        <w:left w:val="none" w:sz="0" w:space="0" w:color="auto"/>
        <w:bottom w:val="none" w:sz="0" w:space="0" w:color="auto"/>
        <w:right w:val="none" w:sz="0" w:space="0" w:color="auto"/>
      </w:divBdr>
    </w:div>
    <w:div w:id="1454322868">
      <w:marLeft w:val="0"/>
      <w:marRight w:val="0"/>
      <w:marTop w:val="180"/>
      <w:marBottom w:val="180"/>
      <w:divBdr>
        <w:top w:val="none" w:sz="0" w:space="0" w:color="auto"/>
        <w:left w:val="none" w:sz="0" w:space="0" w:color="auto"/>
        <w:bottom w:val="none" w:sz="0" w:space="0" w:color="auto"/>
        <w:right w:val="none" w:sz="0" w:space="0" w:color="auto"/>
      </w:divBdr>
    </w:div>
    <w:div w:id="1454906316">
      <w:marLeft w:val="0"/>
      <w:marRight w:val="0"/>
      <w:marTop w:val="0"/>
      <w:marBottom w:val="0"/>
      <w:divBdr>
        <w:top w:val="none" w:sz="0" w:space="0" w:color="auto"/>
        <w:left w:val="none" w:sz="0" w:space="0" w:color="auto"/>
        <w:bottom w:val="none" w:sz="0" w:space="0" w:color="auto"/>
        <w:right w:val="none" w:sz="0" w:space="0" w:color="auto"/>
      </w:divBdr>
      <w:divsChild>
        <w:div w:id="1241410550">
          <w:marLeft w:val="0"/>
          <w:marRight w:val="0"/>
          <w:marTop w:val="60"/>
          <w:marBottom w:val="60"/>
          <w:divBdr>
            <w:top w:val="none" w:sz="0" w:space="0" w:color="auto"/>
            <w:left w:val="none" w:sz="0" w:space="0" w:color="auto"/>
            <w:bottom w:val="none" w:sz="0" w:space="0" w:color="auto"/>
            <w:right w:val="none" w:sz="0" w:space="0" w:color="auto"/>
          </w:divBdr>
        </w:div>
      </w:divsChild>
    </w:div>
    <w:div w:id="1455293213">
      <w:marLeft w:val="0"/>
      <w:marRight w:val="0"/>
      <w:marTop w:val="180"/>
      <w:marBottom w:val="180"/>
      <w:divBdr>
        <w:top w:val="none" w:sz="0" w:space="0" w:color="auto"/>
        <w:left w:val="none" w:sz="0" w:space="0" w:color="auto"/>
        <w:bottom w:val="none" w:sz="0" w:space="0" w:color="auto"/>
        <w:right w:val="none" w:sz="0" w:space="0" w:color="auto"/>
      </w:divBdr>
    </w:div>
    <w:div w:id="1455321233">
      <w:marLeft w:val="0"/>
      <w:marRight w:val="0"/>
      <w:marTop w:val="180"/>
      <w:marBottom w:val="180"/>
      <w:divBdr>
        <w:top w:val="none" w:sz="0" w:space="0" w:color="auto"/>
        <w:left w:val="none" w:sz="0" w:space="0" w:color="auto"/>
        <w:bottom w:val="none" w:sz="0" w:space="0" w:color="auto"/>
        <w:right w:val="none" w:sz="0" w:space="0" w:color="auto"/>
      </w:divBdr>
    </w:div>
    <w:div w:id="1456026627">
      <w:marLeft w:val="0"/>
      <w:marRight w:val="0"/>
      <w:marTop w:val="180"/>
      <w:marBottom w:val="180"/>
      <w:divBdr>
        <w:top w:val="none" w:sz="0" w:space="0" w:color="auto"/>
        <w:left w:val="none" w:sz="0" w:space="0" w:color="auto"/>
        <w:bottom w:val="none" w:sz="0" w:space="0" w:color="auto"/>
        <w:right w:val="none" w:sz="0" w:space="0" w:color="auto"/>
      </w:divBdr>
    </w:div>
    <w:div w:id="1456948442">
      <w:marLeft w:val="0"/>
      <w:marRight w:val="0"/>
      <w:marTop w:val="100"/>
      <w:marBottom w:val="0"/>
      <w:divBdr>
        <w:top w:val="none" w:sz="0" w:space="0" w:color="auto"/>
        <w:left w:val="none" w:sz="0" w:space="0" w:color="auto"/>
        <w:bottom w:val="none" w:sz="0" w:space="0" w:color="auto"/>
        <w:right w:val="none" w:sz="0" w:space="0" w:color="auto"/>
      </w:divBdr>
    </w:div>
    <w:div w:id="1457286237">
      <w:marLeft w:val="0"/>
      <w:marRight w:val="0"/>
      <w:marTop w:val="180"/>
      <w:marBottom w:val="60"/>
      <w:divBdr>
        <w:top w:val="none" w:sz="0" w:space="0" w:color="auto"/>
        <w:left w:val="none" w:sz="0" w:space="0" w:color="auto"/>
        <w:bottom w:val="none" w:sz="0" w:space="0" w:color="auto"/>
        <w:right w:val="none" w:sz="0" w:space="0" w:color="auto"/>
      </w:divBdr>
    </w:div>
    <w:div w:id="1458985926">
      <w:marLeft w:val="0"/>
      <w:marRight w:val="0"/>
      <w:marTop w:val="0"/>
      <w:marBottom w:val="0"/>
      <w:divBdr>
        <w:top w:val="none" w:sz="0" w:space="0" w:color="auto"/>
        <w:left w:val="none" w:sz="0" w:space="0" w:color="auto"/>
        <w:bottom w:val="none" w:sz="0" w:space="0" w:color="auto"/>
        <w:right w:val="none" w:sz="0" w:space="0" w:color="auto"/>
      </w:divBdr>
    </w:div>
    <w:div w:id="1459028300">
      <w:marLeft w:val="0"/>
      <w:marRight w:val="0"/>
      <w:marTop w:val="180"/>
      <w:marBottom w:val="180"/>
      <w:divBdr>
        <w:top w:val="none" w:sz="0" w:space="0" w:color="auto"/>
        <w:left w:val="none" w:sz="0" w:space="0" w:color="auto"/>
        <w:bottom w:val="none" w:sz="0" w:space="0" w:color="auto"/>
        <w:right w:val="none" w:sz="0" w:space="0" w:color="auto"/>
      </w:divBdr>
    </w:div>
    <w:div w:id="1460801261">
      <w:marLeft w:val="0"/>
      <w:marRight w:val="0"/>
      <w:marTop w:val="180"/>
      <w:marBottom w:val="180"/>
      <w:divBdr>
        <w:top w:val="none" w:sz="0" w:space="0" w:color="auto"/>
        <w:left w:val="none" w:sz="0" w:space="0" w:color="auto"/>
        <w:bottom w:val="none" w:sz="0" w:space="0" w:color="auto"/>
        <w:right w:val="none" w:sz="0" w:space="0" w:color="auto"/>
      </w:divBdr>
    </w:div>
    <w:div w:id="1461725440">
      <w:marLeft w:val="0"/>
      <w:marRight w:val="0"/>
      <w:marTop w:val="0"/>
      <w:marBottom w:val="0"/>
      <w:divBdr>
        <w:top w:val="none" w:sz="0" w:space="0" w:color="auto"/>
        <w:left w:val="none" w:sz="0" w:space="0" w:color="auto"/>
        <w:bottom w:val="none" w:sz="0" w:space="0" w:color="auto"/>
        <w:right w:val="none" w:sz="0" w:space="0" w:color="auto"/>
      </w:divBdr>
      <w:divsChild>
        <w:div w:id="1918318605">
          <w:marLeft w:val="0"/>
          <w:marRight w:val="0"/>
          <w:marTop w:val="60"/>
          <w:marBottom w:val="180"/>
          <w:divBdr>
            <w:top w:val="none" w:sz="0" w:space="0" w:color="auto"/>
            <w:left w:val="none" w:sz="0" w:space="0" w:color="auto"/>
            <w:bottom w:val="none" w:sz="0" w:space="0" w:color="auto"/>
            <w:right w:val="none" w:sz="0" w:space="0" w:color="auto"/>
          </w:divBdr>
        </w:div>
      </w:divsChild>
    </w:div>
    <w:div w:id="1462042717">
      <w:marLeft w:val="0"/>
      <w:marRight w:val="0"/>
      <w:marTop w:val="0"/>
      <w:marBottom w:val="0"/>
      <w:divBdr>
        <w:top w:val="none" w:sz="0" w:space="0" w:color="auto"/>
        <w:left w:val="none" w:sz="0" w:space="0" w:color="auto"/>
        <w:bottom w:val="none" w:sz="0" w:space="0" w:color="auto"/>
        <w:right w:val="none" w:sz="0" w:space="0" w:color="auto"/>
      </w:divBdr>
    </w:div>
    <w:div w:id="1462771004">
      <w:marLeft w:val="0"/>
      <w:marRight w:val="0"/>
      <w:marTop w:val="0"/>
      <w:marBottom w:val="0"/>
      <w:divBdr>
        <w:top w:val="none" w:sz="0" w:space="0" w:color="auto"/>
        <w:left w:val="none" w:sz="0" w:space="0" w:color="auto"/>
        <w:bottom w:val="none" w:sz="0" w:space="0" w:color="auto"/>
        <w:right w:val="none" w:sz="0" w:space="0" w:color="auto"/>
      </w:divBdr>
      <w:divsChild>
        <w:div w:id="546725029">
          <w:marLeft w:val="0"/>
          <w:marRight w:val="0"/>
          <w:marTop w:val="60"/>
          <w:marBottom w:val="180"/>
          <w:divBdr>
            <w:top w:val="none" w:sz="0" w:space="0" w:color="auto"/>
            <w:left w:val="none" w:sz="0" w:space="0" w:color="auto"/>
            <w:bottom w:val="none" w:sz="0" w:space="0" w:color="auto"/>
            <w:right w:val="none" w:sz="0" w:space="0" w:color="auto"/>
          </w:divBdr>
        </w:div>
      </w:divsChild>
    </w:div>
    <w:div w:id="1463619460">
      <w:marLeft w:val="0"/>
      <w:marRight w:val="0"/>
      <w:marTop w:val="0"/>
      <w:marBottom w:val="0"/>
      <w:divBdr>
        <w:top w:val="none" w:sz="0" w:space="0" w:color="auto"/>
        <w:left w:val="none" w:sz="0" w:space="0" w:color="auto"/>
        <w:bottom w:val="none" w:sz="0" w:space="0" w:color="auto"/>
        <w:right w:val="none" w:sz="0" w:space="0" w:color="auto"/>
      </w:divBdr>
      <w:divsChild>
        <w:div w:id="924412734">
          <w:marLeft w:val="0"/>
          <w:marRight w:val="0"/>
          <w:marTop w:val="180"/>
          <w:marBottom w:val="180"/>
          <w:divBdr>
            <w:top w:val="none" w:sz="0" w:space="0" w:color="auto"/>
            <w:left w:val="none" w:sz="0" w:space="0" w:color="auto"/>
            <w:bottom w:val="none" w:sz="0" w:space="0" w:color="auto"/>
            <w:right w:val="none" w:sz="0" w:space="0" w:color="auto"/>
          </w:divBdr>
        </w:div>
      </w:divsChild>
    </w:div>
    <w:div w:id="1464426415">
      <w:marLeft w:val="0"/>
      <w:marRight w:val="0"/>
      <w:marTop w:val="0"/>
      <w:marBottom w:val="0"/>
      <w:divBdr>
        <w:top w:val="none" w:sz="0" w:space="0" w:color="auto"/>
        <w:left w:val="none" w:sz="0" w:space="0" w:color="auto"/>
        <w:bottom w:val="none" w:sz="0" w:space="0" w:color="auto"/>
        <w:right w:val="none" w:sz="0" w:space="0" w:color="auto"/>
      </w:divBdr>
      <w:divsChild>
        <w:div w:id="1171140213">
          <w:marLeft w:val="0"/>
          <w:marRight w:val="0"/>
          <w:marTop w:val="180"/>
          <w:marBottom w:val="180"/>
          <w:divBdr>
            <w:top w:val="none" w:sz="0" w:space="0" w:color="auto"/>
            <w:left w:val="none" w:sz="0" w:space="0" w:color="auto"/>
            <w:bottom w:val="none" w:sz="0" w:space="0" w:color="auto"/>
            <w:right w:val="none" w:sz="0" w:space="0" w:color="auto"/>
          </w:divBdr>
        </w:div>
      </w:divsChild>
    </w:div>
    <w:div w:id="1466584173">
      <w:marLeft w:val="0"/>
      <w:marRight w:val="0"/>
      <w:marTop w:val="180"/>
      <w:marBottom w:val="180"/>
      <w:divBdr>
        <w:top w:val="none" w:sz="0" w:space="0" w:color="auto"/>
        <w:left w:val="none" w:sz="0" w:space="0" w:color="auto"/>
        <w:bottom w:val="none" w:sz="0" w:space="0" w:color="auto"/>
        <w:right w:val="none" w:sz="0" w:space="0" w:color="auto"/>
      </w:divBdr>
    </w:div>
    <w:div w:id="1466653599">
      <w:marLeft w:val="0"/>
      <w:marRight w:val="0"/>
      <w:marTop w:val="120"/>
      <w:marBottom w:val="180"/>
      <w:divBdr>
        <w:top w:val="none" w:sz="0" w:space="0" w:color="auto"/>
        <w:left w:val="none" w:sz="0" w:space="0" w:color="auto"/>
        <w:bottom w:val="none" w:sz="0" w:space="0" w:color="auto"/>
        <w:right w:val="none" w:sz="0" w:space="0" w:color="auto"/>
      </w:divBdr>
    </w:div>
    <w:div w:id="1468401848">
      <w:marLeft w:val="0"/>
      <w:marRight w:val="0"/>
      <w:marTop w:val="180"/>
      <w:marBottom w:val="180"/>
      <w:divBdr>
        <w:top w:val="none" w:sz="0" w:space="0" w:color="auto"/>
        <w:left w:val="none" w:sz="0" w:space="0" w:color="auto"/>
        <w:bottom w:val="none" w:sz="0" w:space="0" w:color="auto"/>
        <w:right w:val="none" w:sz="0" w:space="0" w:color="auto"/>
      </w:divBdr>
    </w:div>
    <w:div w:id="1469012735">
      <w:marLeft w:val="0"/>
      <w:marRight w:val="0"/>
      <w:marTop w:val="60"/>
      <w:marBottom w:val="60"/>
      <w:divBdr>
        <w:top w:val="none" w:sz="0" w:space="0" w:color="auto"/>
        <w:left w:val="none" w:sz="0" w:space="0" w:color="auto"/>
        <w:bottom w:val="none" w:sz="0" w:space="0" w:color="auto"/>
        <w:right w:val="none" w:sz="0" w:space="0" w:color="auto"/>
      </w:divBdr>
    </w:div>
    <w:div w:id="1469931190">
      <w:marLeft w:val="0"/>
      <w:marRight w:val="0"/>
      <w:marTop w:val="180"/>
      <w:marBottom w:val="180"/>
      <w:divBdr>
        <w:top w:val="none" w:sz="0" w:space="0" w:color="auto"/>
        <w:left w:val="none" w:sz="0" w:space="0" w:color="auto"/>
        <w:bottom w:val="none" w:sz="0" w:space="0" w:color="auto"/>
        <w:right w:val="none" w:sz="0" w:space="0" w:color="auto"/>
      </w:divBdr>
    </w:div>
    <w:div w:id="1470395820">
      <w:marLeft w:val="0"/>
      <w:marRight w:val="0"/>
      <w:marTop w:val="180"/>
      <w:marBottom w:val="180"/>
      <w:divBdr>
        <w:top w:val="none" w:sz="0" w:space="0" w:color="auto"/>
        <w:left w:val="none" w:sz="0" w:space="0" w:color="auto"/>
        <w:bottom w:val="none" w:sz="0" w:space="0" w:color="auto"/>
        <w:right w:val="none" w:sz="0" w:space="0" w:color="auto"/>
      </w:divBdr>
    </w:div>
    <w:div w:id="1470976057">
      <w:marLeft w:val="0"/>
      <w:marRight w:val="0"/>
      <w:marTop w:val="60"/>
      <w:marBottom w:val="60"/>
      <w:divBdr>
        <w:top w:val="none" w:sz="0" w:space="0" w:color="auto"/>
        <w:left w:val="none" w:sz="0" w:space="0" w:color="auto"/>
        <w:bottom w:val="none" w:sz="0" w:space="0" w:color="auto"/>
        <w:right w:val="none" w:sz="0" w:space="0" w:color="auto"/>
      </w:divBdr>
    </w:div>
    <w:div w:id="1470977127">
      <w:marLeft w:val="0"/>
      <w:marRight w:val="0"/>
      <w:marTop w:val="180"/>
      <w:marBottom w:val="180"/>
      <w:divBdr>
        <w:top w:val="none" w:sz="0" w:space="0" w:color="auto"/>
        <w:left w:val="none" w:sz="0" w:space="0" w:color="auto"/>
        <w:bottom w:val="none" w:sz="0" w:space="0" w:color="auto"/>
        <w:right w:val="none" w:sz="0" w:space="0" w:color="auto"/>
      </w:divBdr>
    </w:div>
    <w:div w:id="1471632937">
      <w:marLeft w:val="0"/>
      <w:marRight w:val="0"/>
      <w:marTop w:val="180"/>
      <w:marBottom w:val="180"/>
      <w:divBdr>
        <w:top w:val="none" w:sz="0" w:space="0" w:color="auto"/>
        <w:left w:val="none" w:sz="0" w:space="0" w:color="auto"/>
        <w:bottom w:val="none" w:sz="0" w:space="0" w:color="auto"/>
        <w:right w:val="none" w:sz="0" w:space="0" w:color="auto"/>
      </w:divBdr>
    </w:div>
    <w:div w:id="1472553876">
      <w:marLeft w:val="0"/>
      <w:marRight w:val="0"/>
      <w:marTop w:val="180"/>
      <w:marBottom w:val="180"/>
      <w:divBdr>
        <w:top w:val="none" w:sz="0" w:space="0" w:color="auto"/>
        <w:left w:val="none" w:sz="0" w:space="0" w:color="auto"/>
        <w:bottom w:val="none" w:sz="0" w:space="0" w:color="auto"/>
        <w:right w:val="none" w:sz="0" w:space="0" w:color="auto"/>
      </w:divBdr>
    </w:div>
    <w:div w:id="1473059779">
      <w:marLeft w:val="0"/>
      <w:marRight w:val="0"/>
      <w:marTop w:val="180"/>
      <w:marBottom w:val="180"/>
      <w:divBdr>
        <w:top w:val="none" w:sz="0" w:space="0" w:color="auto"/>
        <w:left w:val="none" w:sz="0" w:space="0" w:color="auto"/>
        <w:bottom w:val="none" w:sz="0" w:space="0" w:color="auto"/>
        <w:right w:val="none" w:sz="0" w:space="0" w:color="auto"/>
      </w:divBdr>
    </w:div>
    <w:div w:id="1473209351">
      <w:marLeft w:val="0"/>
      <w:marRight w:val="0"/>
      <w:marTop w:val="0"/>
      <w:marBottom w:val="60"/>
      <w:divBdr>
        <w:top w:val="none" w:sz="0" w:space="0" w:color="auto"/>
        <w:left w:val="none" w:sz="0" w:space="0" w:color="auto"/>
        <w:bottom w:val="none" w:sz="0" w:space="0" w:color="auto"/>
        <w:right w:val="none" w:sz="0" w:space="0" w:color="auto"/>
      </w:divBdr>
    </w:div>
    <w:div w:id="1474369971">
      <w:marLeft w:val="0"/>
      <w:marRight w:val="0"/>
      <w:marTop w:val="180"/>
      <w:marBottom w:val="180"/>
      <w:divBdr>
        <w:top w:val="none" w:sz="0" w:space="0" w:color="auto"/>
        <w:left w:val="none" w:sz="0" w:space="0" w:color="auto"/>
        <w:bottom w:val="none" w:sz="0" w:space="0" w:color="auto"/>
        <w:right w:val="none" w:sz="0" w:space="0" w:color="auto"/>
      </w:divBdr>
    </w:div>
    <w:div w:id="1475483200">
      <w:marLeft w:val="0"/>
      <w:marRight w:val="0"/>
      <w:marTop w:val="180"/>
      <w:marBottom w:val="180"/>
      <w:divBdr>
        <w:top w:val="none" w:sz="0" w:space="0" w:color="auto"/>
        <w:left w:val="none" w:sz="0" w:space="0" w:color="auto"/>
        <w:bottom w:val="none" w:sz="0" w:space="0" w:color="auto"/>
        <w:right w:val="none" w:sz="0" w:space="0" w:color="auto"/>
      </w:divBdr>
    </w:div>
    <w:div w:id="1475634637">
      <w:marLeft w:val="0"/>
      <w:marRight w:val="0"/>
      <w:marTop w:val="60"/>
      <w:marBottom w:val="60"/>
      <w:divBdr>
        <w:top w:val="none" w:sz="0" w:space="0" w:color="auto"/>
        <w:left w:val="none" w:sz="0" w:space="0" w:color="auto"/>
        <w:bottom w:val="none" w:sz="0" w:space="0" w:color="auto"/>
        <w:right w:val="none" w:sz="0" w:space="0" w:color="auto"/>
      </w:divBdr>
    </w:div>
    <w:div w:id="1478109585">
      <w:marLeft w:val="0"/>
      <w:marRight w:val="0"/>
      <w:marTop w:val="60"/>
      <w:marBottom w:val="60"/>
      <w:divBdr>
        <w:top w:val="none" w:sz="0" w:space="0" w:color="auto"/>
        <w:left w:val="none" w:sz="0" w:space="0" w:color="auto"/>
        <w:bottom w:val="none" w:sz="0" w:space="0" w:color="auto"/>
        <w:right w:val="none" w:sz="0" w:space="0" w:color="auto"/>
      </w:divBdr>
    </w:div>
    <w:div w:id="1478110621">
      <w:marLeft w:val="0"/>
      <w:marRight w:val="0"/>
      <w:marTop w:val="60"/>
      <w:marBottom w:val="60"/>
      <w:divBdr>
        <w:top w:val="none" w:sz="0" w:space="0" w:color="auto"/>
        <w:left w:val="none" w:sz="0" w:space="0" w:color="auto"/>
        <w:bottom w:val="none" w:sz="0" w:space="0" w:color="auto"/>
        <w:right w:val="none" w:sz="0" w:space="0" w:color="auto"/>
      </w:divBdr>
    </w:div>
    <w:div w:id="1480225951">
      <w:marLeft w:val="0"/>
      <w:marRight w:val="0"/>
      <w:marTop w:val="180"/>
      <w:marBottom w:val="180"/>
      <w:divBdr>
        <w:top w:val="none" w:sz="0" w:space="0" w:color="auto"/>
        <w:left w:val="none" w:sz="0" w:space="0" w:color="auto"/>
        <w:bottom w:val="none" w:sz="0" w:space="0" w:color="auto"/>
        <w:right w:val="none" w:sz="0" w:space="0" w:color="auto"/>
      </w:divBdr>
    </w:div>
    <w:div w:id="1480419135">
      <w:marLeft w:val="0"/>
      <w:marRight w:val="0"/>
      <w:marTop w:val="180"/>
      <w:marBottom w:val="180"/>
      <w:divBdr>
        <w:top w:val="none" w:sz="0" w:space="0" w:color="auto"/>
        <w:left w:val="none" w:sz="0" w:space="0" w:color="auto"/>
        <w:bottom w:val="none" w:sz="0" w:space="0" w:color="auto"/>
        <w:right w:val="none" w:sz="0" w:space="0" w:color="auto"/>
      </w:divBdr>
    </w:div>
    <w:div w:id="1480609094">
      <w:marLeft w:val="0"/>
      <w:marRight w:val="0"/>
      <w:marTop w:val="60"/>
      <w:marBottom w:val="60"/>
      <w:divBdr>
        <w:top w:val="none" w:sz="0" w:space="0" w:color="auto"/>
        <w:left w:val="none" w:sz="0" w:space="0" w:color="auto"/>
        <w:bottom w:val="none" w:sz="0" w:space="0" w:color="auto"/>
        <w:right w:val="none" w:sz="0" w:space="0" w:color="auto"/>
      </w:divBdr>
    </w:div>
    <w:div w:id="1480610980">
      <w:marLeft w:val="0"/>
      <w:marRight w:val="0"/>
      <w:marTop w:val="60"/>
      <w:marBottom w:val="60"/>
      <w:divBdr>
        <w:top w:val="none" w:sz="0" w:space="0" w:color="auto"/>
        <w:left w:val="none" w:sz="0" w:space="0" w:color="auto"/>
        <w:bottom w:val="none" w:sz="0" w:space="0" w:color="auto"/>
        <w:right w:val="none" w:sz="0" w:space="0" w:color="auto"/>
      </w:divBdr>
    </w:div>
    <w:div w:id="1480999814">
      <w:marLeft w:val="0"/>
      <w:marRight w:val="0"/>
      <w:marTop w:val="60"/>
      <w:marBottom w:val="60"/>
      <w:divBdr>
        <w:top w:val="none" w:sz="0" w:space="0" w:color="auto"/>
        <w:left w:val="none" w:sz="0" w:space="0" w:color="auto"/>
        <w:bottom w:val="none" w:sz="0" w:space="0" w:color="auto"/>
        <w:right w:val="none" w:sz="0" w:space="0" w:color="auto"/>
      </w:divBdr>
    </w:div>
    <w:div w:id="1482111154">
      <w:marLeft w:val="0"/>
      <w:marRight w:val="0"/>
      <w:marTop w:val="0"/>
      <w:marBottom w:val="0"/>
      <w:divBdr>
        <w:top w:val="none" w:sz="0" w:space="0" w:color="auto"/>
        <w:left w:val="none" w:sz="0" w:space="0" w:color="auto"/>
        <w:bottom w:val="none" w:sz="0" w:space="0" w:color="auto"/>
        <w:right w:val="none" w:sz="0" w:space="0" w:color="auto"/>
      </w:divBdr>
    </w:div>
    <w:div w:id="1482503704">
      <w:marLeft w:val="0"/>
      <w:marRight w:val="0"/>
      <w:marTop w:val="240"/>
      <w:marBottom w:val="180"/>
      <w:divBdr>
        <w:top w:val="none" w:sz="0" w:space="0" w:color="auto"/>
        <w:left w:val="none" w:sz="0" w:space="0" w:color="auto"/>
        <w:bottom w:val="none" w:sz="0" w:space="0" w:color="auto"/>
        <w:right w:val="none" w:sz="0" w:space="0" w:color="auto"/>
      </w:divBdr>
    </w:div>
    <w:div w:id="1483234804">
      <w:marLeft w:val="0"/>
      <w:marRight w:val="0"/>
      <w:marTop w:val="60"/>
      <w:marBottom w:val="60"/>
      <w:divBdr>
        <w:top w:val="none" w:sz="0" w:space="0" w:color="auto"/>
        <w:left w:val="none" w:sz="0" w:space="0" w:color="auto"/>
        <w:bottom w:val="none" w:sz="0" w:space="0" w:color="auto"/>
        <w:right w:val="none" w:sz="0" w:space="0" w:color="auto"/>
      </w:divBdr>
    </w:div>
    <w:div w:id="1484543418">
      <w:marLeft w:val="0"/>
      <w:marRight w:val="0"/>
      <w:marTop w:val="180"/>
      <w:marBottom w:val="180"/>
      <w:divBdr>
        <w:top w:val="none" w:sz="0" w:space="0" w:color="auto"/>
        <w:left w:val="none" w:sz="0" w:space="0" w:color="auto"/>
        <w:bottom w:val="none" w:sz="0" w:space="0" w:color="auto"/>
        <w:right w:val="none" w:sz="0" w:space="0" w:color="auto"/>
      </w:divBdr>
    </w:div>
    <w:div w:id="1484815678">
      <w:marLeft w:val="0"/>
      <w:marRight w:val="0"/>
      <w:marTop w:val="0"/>
      <w:marBottom w:val="0"/>
      <w:divBdr>
        <w:top w:val="none" w:sz="0" w:space="0" w:color="auto"/>
        <w:left w:val="none" w:sz="0" w:space="0" w:color="auto"/>
        <w:bottom w:val="none" w:sz="0" w:space="0" w:color="auto"/>
        <w:right w:val="none" w:sz="0" w:space="0" w:color="auto"/>
      </w:divBdr>
      <w:divsChild>
        <w:div w:id="488330502">
          <w:marLeft w:val="0"/>
          <w:marRight w:val="0"/>
          <w:marTop w:val="0"/>
          <w:marBottom w:val="0"/>
          <w:divBdr>
            <w:top w:val="none" w:sz="0" w:space="0" w:color="auto"/>
            <w:left w:val="none" w:sz="0" w:space="0" w:color="auto"/>
            <w:bottom w:val="none" w:sz="0" w:space="0" w:color="auto"/>
            <w:right w:val="none" w:sz="0" w:space="0" w:color="auto"/>
          </w:divBdr>
          <w:divsChild>
            <w:div w:id="23096870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86362366">
      <w:marLeft w:val="0"/>
      <w:marRight w:val="0"/>
      <w:marTop w:val="180"/>
      <w:marBottom w:val="180"/>
      <w:divBdr>
        <w:top w:val="none" w:sz="0" w:space="0" w:color="auto"/>
        <w:left w:val="none" w:sz="0" w:space="0" w:color="auto"/>
        <w:bottom w:val="none" w:sz="0" w:space="0" w:color="auto"/>
        <w:right w:val="none" w:sz="0" w:space="0" w:color="auto"/>
      </w:divBdr>
    </w:div>
    <w:div w:id="1487239966">
      <w:marLeft w:val="0"/>
      <w:marRight w:val="0"/>
      <w:marTop w:val="180"/>
      <w:marBottom w:val="180"/>
      <w:divBdr>
        <w:top w:val="none" w:sz="0" w:space="0" w:color="auto"/>
        <w:left w:val="none" w:sz="0" w:space="0" w:color="auto"/>
        <w:bottom w:val="none" w:sz="0" w:space="0" w:color="auto"/>
        <w:right w:val="none" w:sz="0" w:space="0" w:color="auto"/>
      </w:divBdr>
    </w:div>
    <w:div w:id="1488015160">
      <w:marLeft w:val="0"/>
      <w:marRight w:val="0"/>
      <w:marTop w:val="180"/>
      <w:marBottom w:val="180"/>
      <w:divBdr>
        <w:top w:val="none" w:sz="0" w:space="0" w:color="auto"/>
        <w:left w:val="none" w:sz="0" w:space="0" w:color="auto"/>
        <w:bottom w:val="none" w:sz="0" w:space="0" w:color="auto"/>
        <w:right w:val="none" w:sz="0" w:space="0" w:color="auto"/>
      </w:divBdr>
    </w:div>
    <w:div w:id="1489397532">
      <w:marLeft w:val="0"/>
      <w:marRight w:val="0"/>
      <w:marTop w:val="180"/>
      <w:marBottom w:val="180"/>
      <w:divBdr>
        <w:top w:val="none" w:sz="0" w:space="0" w:color="auto"/>
        <w:left w:val="none" w:sz="0" w:space="0" w:color="auto"/>
        <w:bottom w:val="none" w:sz="0" w:space="0" w:color="auto"/>
        <w:right w:val="none" w:sz="0" w:space="0" w:color="auto"/>
      </w:divBdr>
    </w:div>
    <w:div w:id="1490949939">
      <w:marLeft w:val="0"/>
      <w:marRight w:val="0"/>
      <w:marTop w:val="180"/>
      <w:marBottom w:val="180"/>
      <w:divBdr>
        <w:top w:val="none" w:sz="0" w:space="0" w:color="auto"/>
        <w:left w:val="none" w:sz="0" w:space="0" w:color="auto"/>
        <w:bottom w:val="none" w:sz="0" w:space="0" w:color="auto"/>
        <w:right w:val="none" w:sz="0" w:space="0" w:color="auto"/>
      </w:divBdr>
    </w:div>
    <w:div w:id="1491676038">
      <w:marLeft w:val="0"/>
      <w:marRight w:val="0"/>
      <w:marTop w:val="0"/>
      <w:marBottom w:val="60"/>
      <w:divBdr>
        <w:top w:val="none" w:sz="0" w:space="0" w:color="auto"/>
        <w:left w:val="none" w:sz="0" w:space="0" w:color="auto"/>
        <w:bottom w:val="none" w:sz="0" w:space="0" w:color="auto"/>
        <w:right w:val="none" w:sz="0" w:space="0" w:color="auto"/>
      </w:divBdr>
    </w:div>
    <w:div w:id="1492285079">
      <w:marLeft w:val="0"/>
      <w:marRight w:val="0"/>
      <w:marTop w:val="180"/>
      <w:marBottom w:val="180"/>
      <w:divBdr>
        <w:top w:val="none" w:sz="0" w:space="0" w:color="auto"/>
        <w:left w:val="none" w:sz="0" w:space="0" w:color="auto"/>
        <w:bottom w:val="none" w:sz="0" w:space="0" w:color="auto"/>
        <w:right w:val="none" w:sz="0" w:space="0" w:color="auto"/>
      </w:divBdr>
    </w:div>
    <w:div w:id="1495143351">
      <w:marLeft w:val="0"/>
      <w:marRight w:val="0"/>
      <w:marTop w:val="180"/>
      <w:marBottom w:val="180"/>
      <w:divBdr>
        <w:top w:val="none" w:sz="0" w:space="0" w:color="auto"/>
        <w:left w:val="none" w:sz="0" w:space="0" w:color="auto"/>
        <w:bottom w:val="none" w:sz="0" w:space="0" w:color="auto"/>
        <w:right w:val="none" w:sz="0" w:space="0" w:color="auto"/>
      </w:divBdr>
    </w:div>
    <w:div w:id="1495335288">
      <w:marLeft w:val="0"/>
      <w:marRight w:val="0"/>
      <w:marTop w:val="0"/>
      <w:marBottom w:val="0"/>
      <w:divBdr>
        <w:top w:val="none" w:sz="0" w:space="0" w:color="auto"/>
        <w:left w:val="none" w:sz="0" w:space="0" w:color="auto"/>
        <w:bottom w:val="none" w:sz="0" w:space="0" w:color="auto"/>
        <w:right w:val="none" w:sz="0" w:space="0" w:color="auto"/>
      </w:divBdr>
      <w:divsChild>
        <w:div w:id="313418538">
          <w:marLeft w:val="0"/>
          <w:marRight w:val="0"/>
          <w:marTop w:val="0"/>
          <w:marBottom w:val="0"/>
          <w:divBdr>
            <w:top w:val="none" w:sz="0" w:space="0" w:color="auto"/>
            <w:left w:val="none" w:sz="0" w:space="0" w:color="auto"/>
            <w:bottom w:val="none" w:sz="0" w:space="0" w:color="auto"/>
            <w:right w:val="none" w:sz="0" w:space="0" w:color="auto"/>
          </w:divBdr>
          <w:divsChild>
            <w:div w:id="104032374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97116042">
      <w:marLeft w:val="0"/>
      <w:marRight w:val="0"/>
      <w:marTop w:val="180"/>
      <w:marBottom w:val="180"/>
      <w:divBdr>
        <w:top w:val="none" w:sz="0" w:space="0" w:color="auto"/>
        <w:left w:val="none" w:sz="0" w:space="0" w:color="auto"/>
        <w:bottom w:val="none" w:sz="0" w:space="0" w:color="auto"/>
        <w:right w:val="none" w:sz="0" w:space="0" w:color="auto"/>
      </w:divBdr>
    </w:div>
    <w:div w:id="1499348605">
      <w:marLeft w:val="0"/>
      <w:marRight w:val="0"/>
      <w:marTop w:val="180"/>
      <w:marBottom w:val="60"/>
      <w:divBdr>
        <w:top w:val="none" w:sz="0" w:space="0" w:color="auto"/>
        <w:left w:val="none" w:sz="0" w:space="0" w:color="auto"/>
        <w:bottom w:val="none" w:sz="0" w:space="0" w:color="auto"/>
        <w:right w:val="none" w:sz="0" w:space="0" w:color="auto"/>
      </w:divBdr>
      <w:divsChild>
        <w:div w:id="1351646118">
          <w:marLeft w:val="0"/>
          <w:marRight w:val="0"/>
          <w:marTop w:val="0"/>
          <w:marBottom w:val="0"/>
          <w:divBdr>
            <w:top w:val="none" w:sz="0" w:space="0" w:color="auto"/>
            <w:left w:val="none" w:sz="0" w:space="0" w:color="auto"/>
            <w:bottom w:val="none" w:sz="0" w:space="0" w:color="auto"/>
            <w:right w:val="none" w:sz="0" w:space="0" w:color="auto"/>
          </w:divBdr>
        </w:div>
        <w:div w:id="1274510603">
          <w:marLeft w:val="0"/>
          <w:marRight w:val="0"/>
          <w:marTop w:val="0"/>
          <w:marBottom w:val="0"/>
          <w:divBdr>
            <w:top w:val="none" w:sz="0" w:space="0" w:color="auto"/>
            <w:left w:val="none" w:sz="0" w:space="0" w:color="auto"/>
            <w:bottom w:val="none" w:sz="0" w:space="0" w:color="auto"/>
            <w:right w:val="none" w:sz="0" w:space="0" w:color="auto"/>
          </w:divBdr>
        </w:div>
        <w:div w:id="942348277">
          <w:marLeft w:val="0"/>
          <w:marRight w:val="0"/>
          <w:marTop w:val="0"/>
          <w:marBottom w:val="0"/>
          <w:divBdr>
            <w:top w:val="none" w:sz="0" w:space="0" w:color="auto"/>
            <w:left w:val="none" w:sz="0" w:space="0" w:color="auto"/>
            <w:bottom w:val="none" w:sz="0" w:space="0" w:color="auto"/>
            <w:right w:val="none" w:sz="0" w:space="0" w:color="auto"/>
          </w:divBdr>
        </w:div>
        <w:div w:id="728847110">
          <w:marLeft w:val="0"/>
          <w:marRight w:val="0"/>
          <w:marTop w:val="0"/>
          <w:marBottom w:val="0"/>
          <w:divBdr>
            <w:top w:val="none" w:sz="0" w:space="0" w:color="auto"/>
            <w:left w:val="none" w:sz="0" w:space="0" w:color="auto"/>
            <w:bottom w:val="none" w:sz="0" w:space="0" w:color="auto"/>
            <w:right w:val="none" w:sz="0" w:space="0" w:color="auto"/>
          </w:divBdr>
        </w:div>
        <w:div w:id="795830676">
          <w:marLeft w:val="0"/>
          <w:marRight w:val="0"/>
          <w:marTop w:val="0"/>
          <w:marBottom w:val="0"/>
          <w:divBdr>
            <w:top w:val="none" w:sz="0" w:space="0" w:color="auto"/>
            <w:left w:val="none" w:sz="0" w:space="0" w:color="auto"/>
            <w:bottom w:val="none" w:sz="0" w:space="0" w:color="auto"/>
            <w:right w:val="none" w:sz="0" w:space="0" w:color="auto"/>
          </w:divBdr>
        </w:div>
        <w:div w:id="1918636802">
          <w:marLeft w:val="0"/>
          <w:marRight w:val="0"/>
          <w:marTop w:val="0"/>
          <w:marBottom w:val="0"/>
          <w:divBdr>
            <w:top w:val="none" w:sz="0" w:space="0" w:color="auto"/>
            <w:left w:val="none" w:sz="0" w:space="0" w:color="auto"/>
            <w:bottom w:val="none" w:sz="0" w:space="0" w:color="auto"/>
            <w:right w:val="none" w:sz="0" w:space="0" w:color="auto"/>
          </w:divBdr>
        </w:div>
        <w:div w:id="885288793">
          <w:marLeft w:val="0"/>
          <w:marRight w:val="0"/>
          <w:marTop w:val="0"/>
          <w:marBottom w:val="0"/>
          <w:divBdr>
            <w:top w:val="none" w:sz="0" w:space="0" w:color="auto"/>
            <w:left w:val="none" w:sz="0" w:space="0" w:color="auto"/>
            <w:bottom w:val="none" w:sz="0" w:space="0" w:color="auto"/>
            <w:right w:val="none" w:sz="0" w:space="0" w:color="auto"/>
          </w:divBdr>
        </w:div>
        <w:div w:id="1145048609">
          <w:marLeft w:val="0"/>
          <w:marRight w:val="0"/>
          <w:marTop w:val="0"/>
          <w:marBottom w:val="0"/>
          <w:divBdr>
            <w:top w:val="none" w:sz="0" w:space="0" w:color="auto"/>
            <w:left w:val="none" w:sz="0" w:space="0" w:color="auto"/>
            <w:bottom w:val="none" w:sz="0" w:space="0" w:color="auto"/>
            <w:right w:val="none" w:sz="0" w:space="0" w:color="auto"/>
          </w:divBdr>
        </w:div>
        <w:div w:id="591158655">
          <w:marLeft w:val="0"/>
          <w:marRight w:val="0"/>
          <w:marTop w:val="0"/>
          <w:marBottom w:val="0"/>
          <w:divBdr>
            <w:top w:val="none" w:sz="0" w:space="0" w:color="auto"/>
            <w:left w:val="none" w:sz="0" w:space="0" w:color="auto"/>
            <w:bottom w:val="none" w:sz="0" w:space="0" w:color="auto"/>
            <w:right w:val="none" w:sz="0" w:space="0" w:color="auto"/>
          </w:divBdr>
        </w:div>
        <w:div w:id="507790413">
          <w:marLeft w:val="0"/>
          <w:marRight w:val="0"/>
          <w:marTop w:val="0"/>
          <w:marBottom w:val="0"/>
          <w:divBdr>
            <w:top w:val="none" w:sz="0" w:space="0" w:color="auto"/>
            <w:left w:val="none" w:sz="0" w:space="0" w:color="auto"/>
            <w:bottom w:val="none" w:sz="0" w:space="0" w:color="auto"/>
            <w:right w:val="none" w:sz="0" w:space="0" w:color="auto"/>
          </w:divBdr>
        </w:div>
        <w:div w:id="1251501390">
          <w:marLeft w:val="0"/>
          <w:marRight w:val="0"/>
          <w:marTop w:val="0"/>
          <w:marBottom w:val="0"/>
          <w:divBdr>
            <w:top w:val="none" w:sz="0" w:space="0" w:color="auto"/>
            <w:left w:val="none" w:sz="0" w:space="0" w:color="auto"/>
            <w:bottom w:val="none" w:sz="0" w:space="0" w:color="auto"/>
            <w:right w:val="none" w:sz="0" w:space="0" w:color="auto"/>
          </w:divBdr>
        </w:div>
        <w:div w:id="391931662">
          <w:marLeft w:val="0"/>
          <w:marRight w:val="0"/>
          <w:marTop w:val="0"/>
          <w:marBottom w:val="0"/>
          <w:divBdr>
            <w:top w:val="none" w:sz="0" w:space="0" w:color="auto"/>
            <w:left w:val="none" w:sz="0" w:space="0" w:color="auto"/>
            <w:bottom w:val="none" w:sz="0" w:space="0" w:color="auto"/>
            <w:right w:val="none" w:sz="0" w:space="0" w:color="auto"/>
          </w:divBdr>
        </w:div>
        <w:div w:id="737554525">
          <w:marLeft w:val="0"/>
          <w:marRight w:val="0"/>
          <w:marTop w:val="0"/>
          <w:marBottom w:val="0"/>
          <w:divBdr>
            <w:top w:val="none" w:sz="0" w:space="0" w:color="auto"/>
            <w:left w:val="none" w:sz="0" w:space="0" w:color="auto"/>
            <w:bottom w:val="none" w:sz="0" w:space="0" w:color="auto"/>
            <w:right w:val="none" w:sz="0" w:space="0" w:color="auto"/>
          </w:divBdr>
        </w:div>
        <w:div w:id="105083094">
          <w:marLeft w:val="0"/>
          <w:marRight w:val="0"/>
          <w:marTop w:val="0"/>
          <w:marBottom w:val="0"/>
          <w:divBdr>
            <w:top w:val="none" w:sz="0" w:space="0" w:color="auto"/>
            <w:left w:val="none" w:sz="0" w:space="0" w:color="auto"/>
            <w:bottom w:val="none" w:sz="0" w:space="0" w:color="auto"/>
            <w:right w:val="none" w:sz="0" w:space="0" w:color="auto"/>
          </w:divBdr>
        </w:div>
        <w:div w:id="2040545130">
          <w:marLeft w:val="0"/>
          <w:marRight w:val="0"/>
          <w:marTop w:val="0"/>
          <w:marBottom w:val="0"/>
          <w:divBdr>
            <w:top w:val="none" w:sz="0" w:space="0" w:color="auto"/>
            <w:left w:val="none" w:sz="0" w:space="0" w:color="auto"/>
            <w:bottom w:val="none" w:sz="0" w:space="0" w:color="auto"/>
            <w:right w:val="none" w:sz="0" w:space="0" w:color="auto"/>
          </w:divBdr>
        </w:div>
      </w:divsChild>
    </w:div>
    <w:div w:id="1499661156">
      <w:marLeft w:val="0"/>
      <w:marRight w:val="0"/>
      <w:marTop w:val="0"/>
      <w:marBottom w:val="0"/>
      <w:divBdr>
        <w:top w:val="none" w:sz="0" w:space="0" w:color="auto"/>
        <w:left w:val="none" w:sz="0" w:space="0" w:color="auto"/>
        <w:bottom w:val="none" w:sz="0" w:space="0" w:color="auto"/>
        <w:right w:val="none" w:sz="0" w:space="0" w:color="auto"/>
      </w:divBdr>
    </w:div>
    <w:div w:id="1500076174">
      <w:marLeft w:val="0"/>
      <w:marRight w:val="0"/>
      <w:marTop w:val="180"/>
      <w:marBottom w:val="180"/>
      <w:divBdr>
        <w:top w:val="none" w:sz="0" w:space="0" w:color="auto"/>
        <w:left w:val="none" w:sz="0" w:space="0" w:color="auto"/>
        <w:bottom w:val="none" w:sz="0" w:space="0" w:color="auto"/>
        <w:right w:val="none" w:sz="0" w:space="0" w:color="auto"/>
      </w:divBdr>
    </w:div>
    <w:div w:id="1500080747">
      <w:marLeft w:val="0"/>
      <w:marRight w:val="0"/>
      <w:marTop w:val="180"/>
      <w:marBottom w:val="180"/>
      <w:divBdr>
        <w:top w:val="none" w:sz="0" w:space="0" w:color="auto"/>
        <w:left w:val="none" w:sz="0" w:space="0" w:color="auto"/>
        <w:bottom w:val="none" w:sz="0" w:space="0" w:color="auto"/>
        <w:right w:val="none" w:sz="0" w:space="0" w:color="auto"/>
      </w:divBdr>
    </w:div>
    <w:div w:id="1500190890">
      <w:marLeft w:val="0"/>
      <w:marRight w:val="0"/>
      <w:marTop w:val="0"/>
      <w:marBottom w:val="0"/>
      <w:divBdr>
        <w:top w:val="none" w:sz="0" w:space="0" w:color="auto"/>
        <w:left w:val="none" w:sz="0" w:space="0" w:color="auto"/>
        <w:bottom w:val="none" w:sz="0" w:space="0" w:color="auto"/>
        <w:right w:val="none" w:sz="0" w:space="0" w:color="auto"/>
      </w:divBdr>
      <w:divsChild>
        <w:div w:id="240599871">
          <w:marLeft w:val="0"/>
          <w:marRight w:val="0"/>
          <w:marTop w:val="0"/>
          <w:marBottom w:val="0"/>
          <w:divBdr>
            <w:top w:val="none" w:sz="0" w:space="0" w:color="auto"/>
            <w:left w:val="none" w:sz="0" w:space="0" w:color="auto"/>
            <w:bottom w:val="none" w:sz="0" w:space="0" w:color="auto"/>
            <w:right w:val="none" w:sz="0" w:space="0" w:color="auto"/>
          </w:divBdr>
          <w:divsChild>
            <w:div w:id="170066452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00729110">
      <w:marLeft w:val="0"/>
      <w:marRight w:val="0"/>
      <w:marTop w:val="60"/>
      <w:marBottom w:val="60"/>
      <w:divBdr>
        <w:top w:val="none" w:sz="0" w:space="0" w:color="auto"/>
        <w:left w:val="none" w:sz="0" w:space="0" w:color="auto"/>
        <w:bottom w:val="none" w:sz="0" w:space="0" w:color="auto"/>
        <w:right w:val="none" w:sz="0" w:space="0" w:color="auto"/>
      </w:divBdr>
    </w:div>
    <w:div w:id="1501002481">
      <w:marLeft w:val="0"/>
      <w:marRight w:val="0"/>
      <w:marTop w:val="0"/>
      <w:marBottom w:val="0"/>
      <w:divBdr>
        <w:top w:val="none" w:sz="0" w:space="0" w:color="auto"/>
        <w:left w:val="none" w:sz="0" w:space="0" w:color="auto"/>
        <w:bottom w:val="none" w:sz="0" w:space="0" w:color="auto"/>
        <w:right w:val="none" w:sz="0" w:space="0" w:color="auto"/>
      </w:divBdr>
      <w:divsChild>
        <w:div w:id="1334869934">
          <w:marLeft w:val="0"/>
          <w:marRight w:val="0"/>
          <w:marTop w:val="0"/>
          <w:marBottom w:val="0"/>
          <w:divBdr>
            <w:top w:val="none" w:sz="0" w:space="0" w:color="auto"/>
            <w:left w:val="none" w:sz="0" w:space="0" w:color="auto"/>
            <w:bottom w:val="none" w:sz="0" w:space="0" w:color="auto"/>
            <w:right w:val="none" w:sz="0" w:space="0" w:color="auto"/>
          </w:divBdr>
          <w:divsChild>
            <w:div w:id="170872430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01385116">
      <w:marLeft w:val="0"/>
      <w:marRight w:val="0"/>
      <w:marTop w:val="60"/>
      <w:marBottom w:val="0"/>
      <w:divBdr>
        <w:top w:val="none" w:sz="0" w:space="0" w:color="auto"/>
        <w:left w:val="none" w:sz="0" w:space="0" w:color="auto"/>
        <w:bottom w:val="none" w:sz="0" w:space="0" w:color="auto"/>
        <w:right w:val="none" w:sz="0" w:space="0" w:color="auto"/>
      </w:divBdr>
    </w:div>
    <w:div w:id="1502426492">
      <w:marLeft w:val="0"/>
      <w:marRight w:val="0"/>
      <w:marTop w:val="180"/>
      <w:marBottom w:val="180"/>
      <w:divBdr>
        <w:top w:val="none" w:sz="0" w:space="0" w:color="auto"/>
        <w:left w:val="none" w:sz="0" w:space="0" w:color="auto"/>
        <w:bottom w:val="none" w:sz="0" w:space="0" w:color="auto"/>
        <w:right w:val="none" w:sz="0" w:space="0" w:color="auto"/>
      </w:divBdr>
    </w:div>
    <w:div w:id="1502820425">
      <w:marLeft w:val="0"/>
      <w:marRight w:val="0"/>
      <w:marTop w:val="180"/>
      <w:marBottom w:val="180"/>
      <w:divBdr>
        <w:top w:val="none" w:sz="0" w:space="0" w:color="auto"/>
        <w:left w:val="none" w:sz="0" w:space="0" w:color="auto"/>
        <w:bottom w:val="none" w:sz="0" w:space="0" w:color="auto"/>
        <w:right w:val="none" w:sz="0" w:space="0" w:color="auto"/>
      </w:divBdr>
    </w:div>
    <w:div w:id="1503665359">
      <w:marLeft w:val="0"/>
      <w:marRight w:val="0"/>
      <w:marTop w:val="180"/>
      <w:marBottom w:val="180"/>
      <w:divBdr>
        <w:top w:val="none" w:sz="0" w:space="0" w:color="auto"/>
        <w:left w:val="none" w:sz="0" w:space="0" w:color="auto"/>
        <w:bottom w:val="none" w:sz="0" w:space="0" w:color="auto"/>
        <w:right w:val="none" w:sz="0" w:space="0" w:color="auto"/>
      </w:divBdr>
    </w:div>
    <w:div w:id="1506285829">
      <w:marLeft w:val="0"/>
      <w:marRight w:val="0"/>
      <w:marTop w:val="180"/>
      <w:marBottom w:val="180"/>
      <w:divBdr>
        <w:top w:val="none" w:sz="0" w:space="0" w:color="auto"/>
        <w:left w:val="none" w:sz="0" w:space="0" w:color="auto"/>
        <w:bottom w:val="none" w:sz="0" w:space="0" w:color="auto"/>
        <w:right w:val="none" w:sz="0" w:space="0" w:color="auto"/>
      </w:divBdr>
    </w:div>
    <w:div w:id="1506869449">
      <w:marLeft w:val="0"/>
      <w:marRight w:val="0"/>
      <w:marTop w:val="60"/>
      <w:marBottom w:val="60"/>
      <w:divBdr>
        <w:top w:val="none" w:sz="0" w:space="0" w:color="auto"/>
        <w:left w:val="none" w:sz="0" w:space="0" w:color="auto"/>
        <w:bottom w:val="none" w:sz="0" w:space="0" w:color="auto"/>
        <w:right w:val="none" w:sz="0" w:space="0" w:color="auto"/>
      </w:divBdr>
    </w:div>
    <w:div w:id="1508906552">
      <w:marLeft w:val="0"/>
      <w:marRight w:val="0"/>
      <w:marTop w:val="180"/>
      <w:marBottom w:val="180"/>
      <w:divBdr>
        <w:top w:val="none" w:sz="0" w:space="0" w:color="auto"/>
        <w:left w:val="none" w:sz="0" w:space="0" w:color="auto"/>
        <w:bottom w:val="none" w:sz="0" w:space="0" w:color="auto"/>
        <w:right w:val="none" w:sz="0" w:space="0" w:color="auto"/>
      </w:divBdr>
    </w:div>
    <w:div w:id="1510874157">
      <w:marLeft w:val="0"/>
      <w:marRight w:val="0"/>
      <w:marTop w:val="60"/>
      <w:marBottom w:val="60"/>
      <w:divBdr>
        <w:top w:val="none" w:sz="0" w:space="0" w:color="auto"/>
        <w:left w:val="none" w:sz="0" w:space="0" w:color="auto"/>
        <w:bottom w:val="none" w:sz="0" w:space="0" w:color="auto"/>
        <w:right w:val="none" w:sz="0" w:space="0" w:color="auto"/>
      </w:divBdr>
    </w:div>
    <w:div w:id="1513061827">
      <w:marLeft w:val="0"/>
      <w:marRight w:val="0"/>
      <w:marTop w:val="180"/>
      <w:marBottom w:val="180"/>
      <w:divBdr>
        <w:top w:val="none" w:sz="0" w:space="0" w:color="auto"/>
        <w:left w:val="none" w:sz="0" w:space="0" w:color="auto"/>
        <w:bottom w:val="none" w:sz="0" w:space="0" w:color="auto"/>
        <w:right w:val="none" w:sz="0" w:space="0" w:color="auto"/>
      </w:divBdr>
    </w:div>
    <w:div w:id="1513302116">
      <w:marLeft w:val="0"/>
      <w:marRight w:val="0"/>
      <w:marTop w:val="60"/>
      <w:marBottom w:val="60"/>
      <w:divBdr>
        <w:top w:val="none" w:sz="0" w:space="0" w:color="auto"/>
        <w:left w:val="none" w:sz="0" w:space="0" w:color="auto"/>
        <w:bottom w:val="none" w:sz="0" w:space="0" w:color="auto"/>
        <w:right w:val="none" w:sz="0" w:space="0" w:color="auto"/>
      </w:divBdr>
    </w:div>
    <w:div w:id="1514804284">
      <w:marLeft w:val="0"/>
      <w:marRight w:val="0"/>
      <w:marTop w:val="180"/>
      <w:marBottom w:val="180"/>
      <w:divBdr>
        <w:top w:val="none" w:sz="0" w:space="0" w:color="auto"/>
        <w:left w:val="none" w:sz="0" w:space="0" w:color="auto"/>
        <w:bottom w:val="none" w:sz="0" w:space="0" w:color="auto"/>
        <w:right w:val="none" w:sz="0" w:space="0" w:color="auto"/>
      </w:divBdr>
    </w:div>
    <w:div w:id="1515027493">
      <w:marLeft w:val="0"/>
      <w:marRight w:val="0"/>
      <w:marTop w:val="60"/>
      <w:marBottom w:val="60"/>
      <w:divBdr>
        <w:top w:val="none" w:sz="0" w:space="0" w:color="auto"/>
        <w:left w:val="none" w:sz="0" w:space="0" w:color="auto"/>
        <w:bottom w:val="none" w:sz="0" w:space="0" w:color="auto"/>
        <w:right w:val="none" w:sz="0" w:space="0" w:color="auto"/>
      </w:divBdr>
    </w:div>
    <w:div w:id="1516503245">
      <w:marLeft w:val="0"/>
      <w:marRight w:val="0"/>
      <w:marTop w:val="180"/>
      <w:marBottom w:val="180"/>
      <w:divBdr>
        <w:top w:val="none" w:sz="0" w:space="0" w:color="auto"/>
        <w:left w:val="none" w:sz="0" w:space="0" w:color="auto"/>
        <w:bottom w:val="none" w:sz="0" w:space="0" w:color="auto"/>
        <w:right w:val="none" w:sz="0" w:space="0" w:color="auto"/>
      </w:divBdr>
    </w:div>
    <w:div w:id="1516725510">
      <w:marLeft w:val="0"/>
      <w:marRight w:val="0"/>
      <w:marTop w:val="180"/>
      <w:marBottom w:val="60"/>
      <w:divBdr>
        <w:top w:val="none" w:sz="0" w:space="0" w:color="auto"/>
        <w:left w:val="none" w:sz="0" w:space="0" w:color="auto"/>
        <w:bottom w:val="none" w:sz="0" w:space="0" w:color="auto"/>
        <w:right w:val="none" w:sz="0" w:space="0" w:color="auto"/>
      </w:divBdr>
    </w:div>
    <w:div w:id="1517690789">
      <w:marLeft w:val="0"/>
      <w:marRight w:val="0"/>
      <w:marTop w:val="180"/>
      <w:marBottom w:val="180"/>
      <w:divBdr>
        <w:top w:val="none" w:sz="0" w:space="0" w:color="auto"/>
        <w:left w:val="none" w:sz="0" w:space="0" w:color="auto"/>
        <w:bottom w:val="none" w:sz="0" w:space="0" w:color="auto"/>
        <w:right w:val="none" w:sz="0" w:space="0" w:color="auto"/>
      </w:divBdr>
    </w:div>
    <w:div w:id="1518083328">
      <w:marLeft w:val="0"/>
      <w:marRight w:val="0"/>
      <w:marTop w:val="180"/>
      <w:marBottom w:val="180"/>
      <w:divBdr>
        <w:top w:val="none" w:sz="0" w:space="0" w:color="auto"/>
        <w:left w:val="none" w:sz="0" w:space="0" w:color="auto"/>
        <w:bottom w:val="none" w:sz="0" w:space="0" w:color="auto"/>
        <w:right w:val="none" w:sz="0" w:space="0" w:color="auto"/>
      </w:divBdr>
    </w:div>
    <w:div w:id="1519150016">
      <w:marLeft w:val="0"/>
      <w:marRight w:val="0"/>
      <w:marTop w:val="0"/>
      <w:marBottom w:val="0"/>
      <w:divBdr>
        <w:top w:val="none" w:sz="0" w:space="0" w:color="auto"/>
        <w:left w:val="none" w:sz="0" w:space="0" w:color="auto"/>
        <w:bottom w:val="none" w:sz="0" w:space="0" w:color="auto"/>
        <w:right w:val="none" w:sz="0" w:space="0" w:color="auto"/>
      </w:divBdr>
      <w:divsChild>
        <w:div w:id="875391189">
          <w:marLeft w:val="0"/>
          <w:marRight w:val="0"/>
          <w:marTop w:val="60"/>
          <w:marBottom w:val="180"/>
          <w:divBdr>
            <w:top w:val="none" w:sz="0" w:space="0" w:color="auto"/>
            <w:left w:val="none" w:sz="0" w:space="0" w:color="auto"/>
            <w:bottom w:val="none" w:sz="0" w:space="0" w:color="auto"/>
            <w:right w:val="none" w:sz="0" w:space="0" w:color="auto"/>
          </w:divBdr>
        </w:div>
      </w:divsChild>
    </w:div>
    <w:div w:id="1520242920">
      <w:marLeft w:val="0"/>
      <w:marRight w:val="0"/>
      <w:marTop w:val="180"/>
      <w:marBottom w:val="180"/>
      <w:divBdr>
        <w:top w:val="none" w:sz="0" w:space="0" w:color="auto"/>
        <w:left w:val="none" w:sz="0" w:space="0" w:color="auto"/>
        <w:bottom w:val="none" w:sz="0" w:space="0" w:color="auto"/>
        <w:right w:val="none" w:sz="0" w:space="0" w:color="auto"/>
      </w:divBdr>
    </w:div>
    <w:div w:id="1520972032">
      <w:marLeft w:val="0"/>
      <w:marRight w:val="0"/>
      <w:marTop w:val="60"/>
      <w:marBottom w:val="60"/>
      <w:divBdr>
        <w:top w:val="none" w:sz="0" w:space="0" w:color="auto"/>
        <w:left w:val="none" w:sz="0" w:space="0" w:color="auto"/>
        <w:bottom w:val="none" w:sz="0" w:space="0" w:color="auto"/>
        <w:right w:val="none" w:sz="0" w:space="0" w:color="auto"/>
      </w:divBdr>
    </w:div>
    <w:div w:id="1523543465">
      <w:marLeft w:val="0"/>
      <w:marRight w:val="0"/>
      <w:marTop w:val="60"/>
      <w:marBottom w:val="0"/>
      <w:divBdr>
        <w:top w:val="none" w:sz="0" w:space="0" w:color="auto"/>
        <w:left w:val="none" w:sz="0" w:space="0" w:color="auto"/>
        <w:bottom w:val="none" w:sz="0" w:space="0" w:color="auto"/>
        <w:right w:val="none" w:sz="0" w:space="0" w:color="auto"/>
      </w:divBdr>
      <w:divsChild>
        <w:div w:id="980617509">
          <w:marLeft w:val="0"/>
          <w:marRight w:val="0"/>
          <w:marTop w:val="0"/>
          <w:marBottom w:val="0"/>
          <w:divBdr>
            <w:top w:val="none" w:sz="0" w:space="0" w:color="auto"/>
            <w:left w:val="none" w:sz="0" w:space="0" w:color="auto"/>
            <w:bottom w:val="none" w:sz="0" w:space="0" w:color="auto"/>
            <w:right w:val="none" w:sz="0" w:space="0" w:color="auto"/>
          </w:divBdr>
        </w:div>
        <w:div w:id="1223105250">
          <w:marLeft w:val="0"/>
          <w:marRight w:val="0"/>
          <w:marTop w:val="0"/>
          <w:marBottom w:val="0"/>
          <w:divBdr>
            <w:top w:val="none" w:sz="0" w:space="0" w:color="auto"/>
            <w:left w:val="none" w:sz="0" w:space="0" w:color="auto"/>
            <w:bottom w:val="none" w:sz="0" w:space="0" w:color="auto"/>
            <w:right w:val="none" w:sz="0" w:space="0" w:color="auto"/>
          </w:divBdr>
        </w:div>
      </w:divsChild>
    </w:div>
    <w:div w:id="1525512574">
      <w:marLeft w:val="0"/>
      <w:marRight w:val="0"/>
      <w:marTop w:val="180"/>
      <w:marBottom w:val="180"/>
      <w:divBdr>
        <w:top w:val="none" w:sz="0" w:space="0" w:color="auto"/>
        <w:left w:val="none" w:sz="0" w:space="0" w:color="auto"/>
        <w:bottom w:val="none" w:sz="0" w:space="0" w:color="auto"/>
        <w:right w:val="none" w:sz="0" w:space="0" w:color="auto"/>
      </w:divBdr>
    </w:div>
    <w:div w:id="1526358837">
      <w:marLeft w:val="0"/>
      <w:marRight w:val="0"/>
      <w:marTop w:val="0"/>
      <w:marBottom w:val="0"/>
      <w:divBdr>
        <w:top w:val="none" w:sz="0" w:space="0" w:color="auto"/>
        <w:left w:val="none" w:sz="0" w:space="0" w:color="auto"/>
        <w:bottom w:val="none" w:sz="0" w:space="0" w:color="auto"/>
        <w:right w:val="none" w:sz="0" w:space="0" w:color="auto"/>
      </w:divBdr>
      <w:divsChild>
        <w:div w:id="656228309">
          <w:marLeft w:val="0"/>
          <w:marRight w:val="0"/>
          <w:marTop w:val="0"/>
          <w:marBottom w:val="0"/>
          <w:divBdr>
            <w:top w:val="none" w:sz="0" w:space="0" w:color="auto"/>
            <w:left w:val="none" w:sz="0" w:space="0" w:color="auto"/>
            <w:bottom w:val="none" w:sz="0" w:space="0" w:color="auto"/>
            <w:right w:val="none" w:sz="0" w:space="0" w:color="auto"/>
          </w:divBdr>
          <w:divsChild>
            <w:div w:id="115533713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27061351">
      <w:marLeft w:val="0"/>
      <w:marRight w:val="0"/>
      <w:marTop w:val="60"/>
      <w:marBottom w:val="60"/>
      <w:divBdr>
        <w:top w:val="none" w:sz="0" w:space="0" w:color="auto"/>
        <w:left w:val="none" w:sz="0" w:space="0" w:color="auto"/>
        <w:bottom w:val="none" w:sz="0" w:space="0" w:color="auto"/>
        <w:right w:val="none" w:sz="0" w:space="0" w:color="auto"/>
      </w:divBdr>
    </w:div>
    <w:div w:id="1529102713">
      <w:marLeft w:val="0"/>
      <w:marRight w:val="0"/>
      <w:marTop w:val="180"/>
      <w:marBottom w:val="180"/>
      <w:divBdr>
        <w:top w:val="none" w:sz="0" w:space="0" w:color="auto"/>
        <w:left w:val="none" w:sz="0" w:space="0" w:color="auto"/>
        <w:bottom w:val="none" w:sz="0" w:space="0" w:color="auto"/>
        <w:right w:val="none" w:sz="0" w:space="0" w:color="auto"/>
      </w:divBdr>
    </w:div>
    <w:div w:id="1530483765">
      <w:marLeft w:val="0"/>
      <w:marRight w:val="0"/>
      <w:marTop w:val="60"/>
      <w:marBottom w:val="60"/>
      <w:divBdr>
        <w:top w:val="none" w:sz="0" w:space="0" w:color="auto"/>
        <w:left w:val="none" w:sz="0" w:space="0" w:color="auto"/>
        <w:bottom w:val="none" w:sz="0" w:space="0" w:color="auto"/>
        <w:right w:val="none" w:sz="0" w:space="0" w:color="auto"/>
      </w:divBdr>
    </w:div>
    <w:div w:id="1531184850">
      <w:marLeft w:val="0"/>
      <w:marRight w:val="0"/>
      <w:marTop w:val="0"/>
      <w:marBottom w:val="15"/>
      <w:divBdr>
        <w:top w:val="none" w:sz="0" w:space="0" w:color="auto"/>
        <w:left w:val="none" w:sz="0" w:space="0" w:color="auto"/>
        <w:bottom w:val="none" w:sz="0" w:space="0" w:color="auto"/>
        <w:right w:val="none" w:sz="0" w:space="0" w:color="auto"/>
      </w:divBdr>
    </w:div>
    <w:div w:id="1532382390">
      <w:marLeft w:val="0"/>
      <w:marRight w:val="0"/>
      <w:marTop w:val="180"/>
      <w:marBottom w:val="180"/>
      <w:divBdr>
        <w:top w:val="none" w:sz="0" w:space="0" w:color="auto"/>
        <w:left w:val="none" w:sz="0" w:space="0" w:color="auto"/>
        <w:bottom w:val="none" w:sz="0" w:space="0" w:color="auto"/>
        <w:right w:val="none" w:sz="0" w:space="0" w:color="auto"/>
      </w:divBdr>
    </w:div>
    <w:div w:id="1532524701">
      <w:marLeft w:val="0"/>
      <w:marRight w:val="0"/>
      <w:marTop w:val="180"/>
      <w:marBottom w:val="180"/>
      <w:divBdr>
        <w:top w:val="none" w:sz="0" w:space="0" w:color="auto"/>
        <w:left w:val="none" w:sz="0" w:space="0" w:color="auto"/>
        <w:bottom w:val="none" w:sz="0" w:space="0" w:color="auto"/>
        <w:right w:val="none" w:sz="0" w:space="0" w:color="auto"/>
      </w:divBdr>
    </w:div>
    <w:div w:id="1533149975">
      <w:marLeft w:val="0"/>
      <w:marRight w:val="0"/>
      <w:marTop w:val="180"/>
      <w:marBottom w:val="60"/>
      <w:divBdr>
        <w:top w:val="none" w:sz="0" w:space="0" w:color="auto"/>
        <w:left w:val="none" w:sz="0" w:space="0" w:color="auto"/>
        <w:bottom w:val="none" w:sz="0" w:space="0" w:color="auto"/>
        <w:right w:val="none" w:sz="0" w:space="0" w:color="auto"/>
      </w:divBdr>
      <w:divsChild>
        <w:div w:id="2120029874">
          <w:marLeft w:val="0"/>
          <w:marRight w:val="0"/>
          <w:marTop w:val="0"/>
          <w:marBottom w:val="0"/>
          <w:divBdr>
            <w:top w:val="none" w:sz="0" w:space="0" w:color="auto"/>
            <w:left w:val="none" w:sz="0" w:space="0" w:color="auto"/>
            <w:bottom w:val="none" w:sz="0" w:space="0" w:color="auto"/>
            <w:right w:val="none" w:sz="0" w:space="0" w:color="auto"/>
          </w:divBdr>
        </w:div>
        <w:div w:id="1249076954">
          <w:marLeft w:val="0"/>
          <w:marRight w:val="0"/>
          <w:marTop w:val="0"/>
          <w:marBottom w:val="0"/>
          <w:divBdr>
            <w:top w:val="none" w:sz="0" w:space="0" w:color="auto"/>
            <w:left w:val="none" w:sz="0" w:space="0" w:color="auto"/>
            <w:bottom w:val="none" w:sz="0" w:space="0" w:color="auto"/>
            <w:right w:val="none" w:sz="0" w:space="0" w:color="auto"/>
          </w:divBdr>
        </w:div>
      </w:divsChild>
    </w:div>
    <w:div w:id="1533811143">
      <w:marLeft w:val="0"/>
      <w:marRight w:val="0"/>
      <w:marTop w:val="180"/>
      <w:marBottom w:val="180"/>
      <w:divBdr>
        <w:top w:val="none" w:sz="0" w:space="0" w:color="auto"/>
        <w:left w:val="none" w:sz="0" w:space="0" w:color="auto"/>
        <w:bottom w:val="none" w:sz="0" w:space="0" w:color="auto"/>
        <w:right w:val="none" w:sz="0" w:space="0" w:color="auto"/>
      </w:divBdr>
    </w:div>
    <w:div w:id="1534539964">
      <w:marLeft w:val="0"/>
      <w:marRight w:val="0"/>
      <w:marTop w:val="0"/>
      <w:marBottom w:val="180"/>
      <w:divBdr>
        <w:top w:val="none" w:sz="0" w:space="0" w:color="auto"/>
        <w:left w:val="none" w:sz="0" w:space="0" w:color="auto"/>
        <w:bottom w:val="none" w:sz="0" w:space="0" w:color="auto"/>
        <w:right w:val="none" w:sz="0" w:space="0" w:color="auto"/>
      </w:divBdr>
    </w:div>
    <w:div w:id="1534924754">
      <w:marLeft w:val="0"/>
      <w:marRight w:val="0"/>
      <w:marTop w:val="180"/>
      <w:marBottom w:val="180"/>
      <w:divBdr>
        <w:top w:val="none" w:sz="0" w:space="0" w:color="auto"/>
        <w:left w:val="none" w:sz="0" w:space="0" w:color="auto"/>
        <w:bottom w:val="none" w:sz="0" w:space="0" w:color="auto"/>
        <w:right w:val="none" w:sz="0" w:space="0" w:color="auto"/>
      </w:divBdr>
    </w:div>
    <w:div w:id="1535657673">
      <w:marLeft w:val="0"/>
      <w:marRight w:val="0"/>
      <w:marTop w:val="180"/>
      <w:marBottom w:val="0"/>
      <w:divBdr>
        <w:top w:val="none" w:sz="0" w:space="0" w:color="auto"/>
        <w:left w:val="none" w:sz="0" w:space="0" w:color="auto"/>
        <w:bottom w:val="none" w:sz="0" w:space="0" w:color="auto"/>
        <w:right w:val="none" w:sz="0" w:space="0" w:color="auto"/>
      </w:divBdr>
    </w:div>
    <w:div w:id="1536650024">
      <w:marLeft w:val="0"/>
      <w:marRight w:val="0"/>
      <w:marTop w:val="180"/>
      <w:marBottom w:val="180"/>
      <w:divBdr>
        <w:top w:val="none" w:sz="0" w:space="0" w:color="auto"/>
        <w:left w:val="none" w:sz="0" w:space="0" w:color="auto"/>
        <w:bottom w:val="none" w:sz="0" w:space="0" w:color="auto"/>
        <w:right w:val="none" w:sz="0" w:space="0" w:color="auto"/>
      </w:divBdr>
    </w:div>
    <w:div w:id="1538467348">
      <w:marLeft w:val="0"/>
      <w:marRight w:val="0"/>
      <w:marTop w:val="180"/>
      <w:marBottom w:val="180"/>
      <w:divBdr>
        <w:top w:val="none" w:sz="0" w:space="0" w:color="auto"/>
        <w:left w:val="none" w:sz="0" w:space="0" w:color="auto"/>
        <w:bottom w:val="none" w:sz="0" w:space="0" w:color="auto"/>
        <w:right w:val="none" w:sz="0" w:space="0" w:color="auto"/>
      </w:divBdr>
    </w:div>
    <w:div w:id="1541551275">
      <w:marLeft w:val="0"/>
      <w:marRight w:val="0"/>
      <w:marTop w:val="60"/>
      <w:marBottom w:val="60"/>
      <w:divBdr>
        <w:top w:val="none" w:sz="0" w:space="0" w:color="auto"/>
        <w:left w:val="none" w:sz="0" w:space="0" w:color="auto"/>
        <w:bottom w:val="none" w:sz="0" w:space="0" w:color="auto"/>
        <w:right w:val="none" w:sz="0" w:space="0" w:color="auto"/>
      </w:divBdr>
    </w:div>
    <w:div w:id="1543594965">
      <w:marLeft w:val="0"/>
      <w:marRight w:val="0"/>
      <w:marTop w:val="0"/>
      <w:marBottom w:val="60"/>
      <w:divBdr>
        <w:top w:val="none" w:sz="0" w:space="0" w:color="auto"/>
        <w:left w:val="none" w:sz="0" w:space="0" w:color="auto"/>
        <w:bottom w:val="none" w:sz="0" w:space="0" w:color="auto"/>
        <w:right w:val="none" w:sz="0" w:space="0" w:color="auto"/>
      </w:divBdr>
    </w:div>
    <w:div w:id="1545095456">
      <w:marLeft w:val="0"/>
      <w:marRight w:val="0"/>
      <w:marTop w:val="0"/>
      <w:marBottom w:val="0"/>
      <w:divBdr>
        <w:top w:val="none" w:sz="0" w:space="0" w:color="auto"/>
        <w:left w:val="none" w:sz="0" w:space="0" w:color="auto"/>
        <w:bottom w:val="none" w:sz="0" w:space="0" w:color="auto"/>
        <w:right w:val="none" w:sz="0" w:space="0" w:color="auto"/>
      </w:divBdr>
      <w:divsChild>
        <w:div w:id="146409278">
          <w:marLeft w:val="0"/>
          <w:marRight w:val="0"/>
          <w:marTop w:val="0"/>
          <w:marBottom w:val="0"/>
          <w:divBdr>
            <w:top w:val="none" w:sz="0" w:space="0" w:color="auto"/>
            <w:left w:val="none" w:sz="0" w:space="0" w:color="auto"/>
            <w:bottom w:val="none" w:sz="0" w:space="0" w:color="auto"/>
            <w:right w:val="none" w:sz="0" w:space="0" w:color="auto"/>
          </w:divBdr>
          <w:divsChild>
            <w:div w:id="125543077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46332045">
      <w:marLeft w:val="0"/>
      <w:marRight w:val="0"/>
      <w:marTop w:val="180"/>
      <w:marBottom w:val="180"/>
      <w:divBdr>
        <w:top w:val="none" w:sz="0" w:space="0" w:color="auto"/>
        <w:left w:val="none" w:sz="0" w:space="0" w:color="auto"/>
        <w:bottom w:val="none" w:sz="0" w:space="0" w:color="auto"/>
        <w:right w:val="none" w:sz="0" w:space="0" w:color="auto"/>
      </w:divBdr>
    </w:div>
    <w:div w:id="1546722758">
      <w:marLeft w:val="0"/>
      <w:marRight w:val="0"/>
      <w:marTop w:val="180"/>
      <w:marBottom w:val="180"/>
      <w:divBdr>
        <w:top w:val="none" w:sz="0" w:space="0" w:color="auto"/>
        <w:left w:val="none" w:sz="0" w:space="0" w:color="auto"/>
        <w:bottom w:val="none" w:sz="0" w:space="0" w:color="auto"/>
        <w:right w:val="none" w:sz="0" w:space="0" w:color="auto"/>
      </w:divBdr>
    </w:div>
    <w:div w:id="1547597930">
      <w:marLeft w:val="0"/>
      <w:marRight w:val="0"/>
      <w:marTop w:val="180"/>
      <w:marBottom w:val="180"/>
      <w:divBdr>
        <w:top w:val="none" w:sz="0" w:space="0" w:color="auto"/>
        <w:left w:val="none" w:sz="0" w:space="0" w:color="auto"/>
        <w:bottom w:val="none" w:sz="0" w:space="0" w:color="auto"/>
        <w:right w:val="none" w:sz="0" w:space="0" w:color="auto"/>
      </w:divBdr>
    </w:div>
    <w:div w:id="1548446880">
      <w:marLeft w:val="0"/>
      <w:marRight w:val="0"/>
      <w:marTop w:val="0"/>
      <w:marBottom w:val="0"/>
      <w:divBdr>
        <w:top w:val="none" w:sz="0" w:space="0" w:color="auto"/>
        <w:left w:val="none" w:sz="0" w:space="0" w:color="auto"/>
        <w:bottom w:val="none" w:sz="0" w:space="0" w:color="auto"/>
        <w:right w:val="none" w:sz="0" w:space="0" w:color="auto"/>
      </w:divBdr>
      <w:divsChild>
        <w:div w:id="1551921896">
          <w:marLeft w:val="0"/>
          <w:marRight w:val="0"/>
          <w:marTop w:val="0"/>
          <w:marBottom w:val="0"/>
          <w:divBdr>
            <w:top w:val="none" w:sz="0" w:space="0" w:color="auto"/>
            <w:left w:val="none" w:sz="0" w:space="0" w:color="auto"/>
            <w:bottom w:val="none" w:sz="0" w:space="0" w:color="auto"/>
            <w:right w:val="none" w:sz="0" w:space="0" w:color="auto"/>
          </w:divBdr>
          <w:divsChild>
            <w:div w:id="165317724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48760819">
      <w:marLeft w:val="0"/>
      <w:marRight w:val="0"/>
      <w:marTop w:val="0"/>
      <w:marBottom w:val="0"/>
      <w:divBdr>
        <w:top w:val="none" w:sz="0" w:space="0" w:color="auto"/>
        <w:left w:val="none" w:sz="0" w:space="0" w:color="auto"/>
        <w:bottom w:val="none" w:sz="0" w:space="0" w:color="auto"/>
        <w:right w:val="none" w:sz="0" w:space="0" w:color="auto"/>
      </w:divBdr>
    </w:div>
    <w:div w:id="1549607717">
      <w:marLeft w:val="0"/>
      <w:marRight w:val="0"/>
      <w:marTop w:val="180"/>
      <w:marBottom w:val="0"/>
      <w:divBdr>
        <w:top w:val="none" w:sz="0" w:space="0" w:color="auto"/>
        <w:left w:val="none" w:sz="0" w:space="0" w:color="auto"/>
        <w:bottom w:val="none" w:sz="0" w:space="0" w:color="auto"/>
        <w:right w:val="none" w:sz="0" w:space="0" w:color="auto"/>
      </w:divBdr>
    </w:div>
    <w:div w:id="1550604112">
      <w:marLeft w:val="0"/>
      <w:marRight w:val="0"/>
      <w:marTop w:val="180"/>
      <w:marBottom w:val="180"/>
      <w:divBdr>
        <w:top w:val="none" w:sz="0" w:space="0" w:color="auto"/>
        <w:left w:val="none" w:sz="0" w:space="0" w:color="auto"/>
        <w:bottom w:val="none" w:sz="0" w:space="0" w:color="auto"/>
        <w:right w:val="none" w:sz="0" w:space="0" w:color="auto"/>
      </w:divBdr>
    </w:div>
    <w:div w:id="1554657302">
      <w:marLeft w:val="0"/>
      <w:marRight w:val="0"/>
      <w:marTop w:val="180"/>
      <w:marBottom w:val="180"/>
      <w:divBdr>
        <w:top w:val="none" w:sz="0" w:space="0" w:color="auto"/>
        <w:left w:val="none" w:sz="0" w:space="0" w:color="auto"/>
        <w:bottom w:val="none" w:sz="0" w:space="0" w:color="auto"/>
        <w:right w:val="none" w:sz="0" w:space="0" w:color="auto"/>
      </w:divBdr>
    </w:div>
    <w:div w:id="1554849373">
      <w:marLeft w:val="0"/>
      <w:marRight w:val="0"/>
      <w:marTop w:val="180"/>
      <w:marBottom w:val="180"/>
      <w:divBdr>
        <w:top w:val="none" w:sz="0" w:space="0" w:color="auto"/>
        <w:left w:val="none" w:sz="0" w:space="0" w:color="auto"/>
        <w:bottom w:val="none" w:sz="0" w:space="0" w:color="auto"/>
        <w:right w:val="none" w:sz="0" w:space="0" w:color="auto"/>
      </w:divBdr>
    </w:div>
    <w:div w:id="1554853519">
      <w:marLeft w:val="0"/>
      <w:marRight w:val="0"/>
      <w:marTop w:val="180"/>
      <w:marBottom w:val="180"/>
      <w:divBdr>
        <w:top w:val="none" w:sz="0" w:space="0" w:color="auto"/>
        <w:left w:val="none" w:sz="0" w:space="0" w:color="auto"/>
        <w:bottom w:val="none" w:sz="0" w:space="0" w:color="auto"/>
        <w:right w:val="none" w:sz="0" w:space="0" w:color="auto"/>
      </w:divBdr>
    </w:div>
    <w:div w:id="1554996597">
      <w:marLeft w:val="0"/>
      <w:marRight w:val="0"/>
      <w:marTop w:val="0"/>
      <w:marBottom w:val="0"/>
      <w:divBdr>
        <w:top w:val="none" w:sz="0" w:space="0" w:color="auto"/>
        <w:left w:val="none" w:sz="0" w:space="0" w:color="auto"/>
        <w:bottom w:val="none" w:sz="0" w:space="0" w:color="auto"/>
        <w:right w:val="none" w:sz="0" w:space="0" w:color="auto"/>
      </w:divBdr>
    </w:div>
    <w:div w:id="1557817383">
      <w:marLeft w:val="0"/>
      <w:marRight w:val="0"/>
      <w:marTop w:val="180"/>
      <w:marBottom w:val="180"/>
      <w:divBdr>
        <w:top w:val="none" w:sz="0" w:space="0" w:color="auto"/>
        <w:left w:val="none" w:sz="0" w:space="0" w:color="auto"/>
        <w:bottom w:val="none" w:sz="0" w:space="0" w:color="auto"/>
        <w:right w:val="none" w:sz="0" w:space="0" w:color="auto"/>
      </w:divBdr>
    </w:div>
    <w:div w:id="1559322632">
      <w:marLeft w:val="0"/>
      <w:marRight w:val="0"/>
      <w:marTop w:val="180"/>
      <w:marBottom w:val="180"/>
      <w:divBdr>
        <w:top w:val="none" w:sz="0" w:space="0" w:color="auto"/>
        <w:left w:val="none" w:sz="0" w:space="0" w:color="auto"/>
        <w:bottom w:val="none" w:sz="0" w:space="0" w:color="auto"/>
        <w:right w:val="none" w:sz="0" w:space="0" w:color="auto"/>
      </w:divBdr>
    </w:div>
    <w:div w:id="1560240848">
      <w:marLeft w:val="0"/>
      <w:marRight w:val="0"/>
      <w:marTop w:val="180"/>
      <w:marBottom w:val="180"/>
      <w:divBdr>
        <w:top w:val="none" w:sz="0" w:space="0" w:color="auto"/>
        <w:left w:val="none" w:sz="0" w:space="0" w:color="auto"/>
        <w:bottom w:val="none" w:sz="0" w:space="0" w:color="auto"/>
        <w:right w:val="none" w:sz="0" w:space="0" w:color="auto"/>
      </w:divBdr>
    </w:div>
    <w:div w:id="1560556569">
      <w:marLeft w:val="0"/>
      <w:marRight w:val="0"/>
      <w:marTop w:val="0"/>
      <w:marBottom w:val="0"/>
      <w:divBdr>
        <w:top w:val="none" w:sz="0" w:space="0" w:color="auto"/>
        <w:left w:val="none" w:sz="0" w:space="0" w:color="auto"/>
        <w:bottom w:val="none" w:sz="0" w:space="0" w:color="auto"/>
        <w:right w:val="none" w:sz="0" w:space="0" w:color="auto"/>
      </w:divBdr>
      <w:divsChild>
        <w:div w:id="975448580">
          <w:marLeft w:val="0"/>
          <w:marRight w:val="0"/>
          <w:marTop w:val="0"/>
          <w:marBottom w:val="0"/>
          <w:divBdr>
            <w:top w:val="none" w:sz="0" w:space="0" w:color="auto"/>
            <w:left w:val="none" w:sz="0" w:space="0" w:color="auto"/>
            <w:bottom w:val="none" w:sz="0" w:space="0" w:color="auto"/>
            <w:right w:val="none" w:sz="0" w:space="0" w:color="auto"/>
          </w:divBdr>
          <w:divsChild>
            <w:div w:id="13044175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61138773">
      <w:marLeft w:val="0"/>
      <w:marRight w:val="0"/>
      <w:marTop w:val="180"/>
      <w:marBottom w:val="180"/>
      <w:divBdr>
        <w:top w:val="none" w:sz="0" w:space="0" w:color="auto"/>
        <w:left w:val="none" w:sz="0" w:space="0" w:color="auto"/>
        <w:bottom w:val="none" w:sz="0" w:space="0" w:color="auto"/>
        <w:right w:val="none" w:sz="0" w:space="0" w:color="auto"/>
      </w:divBdr>
    </w:div>
    <w:div w:id="1562062854">
      <w:marLeft w:val="0"/>
      <w:marRight w:val="0"/>
      <w:marTop w:val="180"/>
      <w:marBottom w:val="180"/>
      <w:divBdr>
        <w:top w:val="none" w:sz="0" w:space="0" w:color="auto"/>
        <w:left w:val="none" w:sz="0" w:space="0" w:color="auto"/>
        <w:bottom w:val="none" w:sz="0" w:space="0" w:color="auto"/>
        <w:right w:val="none" w:sz="0" w:space="0" w:color="auto"/>
      </w:divBdr>
    </w:div>
    <w:div w:id="1562252513">
      <w:marLeft w:val="0"/>
      <w:marRight w:val="0"/>
      <w:marTop w:val="180"/>
      <w:marBottom w:val="180"/>
      <w:divBdr>
        <w:top w:val="none" w:sz="0" w:space="0" w:color="auto"/>
        <w:left w:val="none" w:sz="0" w:space="0" w:color="auto"/>
        <w:bottom w:val="none" w:sz="0" w:space="0" w:color="auto"/>
        <w:right w:val="none" w:sz="0" w:space="0" w:color="auto"/>
      </w:divBdr>
    </w:div>
    <w:div w:id="1563711497">
      <w:marLeft w:val="0"/>
      <w:marRight w:val="0"/>
      <w:marTop w:val="0"/>
      <w:marBottom w:val="0"/>
      <w:divBdr>
        <w:top w:val="none" w:sz="0" w:space="0" w:color="auto"/>
        <w:left w:val="none" w:sz="0" w:space="0" w:color="auto"/>
        <w:bottom w:val="none" w:sz="0" w:space="0" w:color="auto"/>
        <w:right w:val="none" w:sz="0" w:space="0" w:color="auto"/>
      </w:divBdr>
      <w:divsChild>
        <w:div w:id="1618484972">
          <w:marLeft w:val="0"/>
          <w:marRight w:val="0"/>
          <w:marTop w:val="0"/>
          <w:marBottom w:val="0"/>
          <w:divBdr>
            <w:top w:val="none" w:sz="0" w:space="0" w:color="auto"/>
            <w:left w:val="none" w:sz="0" w:space="0" w:color="auto"/>
            <w:bottom w:val="none" w:sz="0" w:space="0" w:color="auto"/>
            <w:right w:val="none" w:sz="0" w:space="0" w:color="auto"/>
          </w:divBdr>
          <w:divsChild>
            <w:div w:id="120063245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67567421">
      <w:marLeft w:val="0"/>
      <w:marRight w:val="0"/>
      <w:marTop w:val="0"/>
      <w:marBottom w:val="0"/>
      <w:divBdr>
        <w:top w:val="none" w:sz="0" w:space="0" w:color="auto"/>
        <w:left w:val="none" w:sz="0" w:space="0" w:color="auto"/>
        <w:bottom w:val="none" w:sz="0" w:space="0" w:color="auto"/>
        <w:right w:val="none" w:sz="0" w:space="0" w:color="auto"/>
      </w:divBdr>
      <w:divsChild>
        <w:div w:id="1486043085">
          <w:marLeft w:val="0"/>
          <w:marRight w:val="0"/>
          <w:marTop w:val="0"/>
          <w:marBottom w:val="0"/>
          <w:divBdr>
            <w:top w:val="none" w:sz="0" w:space="0" w:color="auto"/>
            <w:left w:val="none" w:sz="0" w:space="0" w:color="auto"/>
            <w:bottom w:val="none" w:sz="0" w:space="0" w:color="auto"/>
            <w:right w:val="none" w:sz="0" w:space="0" w:color="auto"/>
          </w:divBdr>
          <w:divsChild>
            <w:div w:id="41670622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67567723">
      <w:marLeft w:val="0"/>
      <w:marRight w:val="0"/>
      <w:marTop w:val="180"/>
      <w:marBottom w:val="180"/>
      <w:divBdr>
        <w:top w:val="none" w:sz="0" w:space="0" w:color="auto"/>
        <w:left w:val="none" w:sz="0" w:space="0" w:color="auto"/>
        <w:bottom w:val="none" w:sz="0" w:space="0" w:color="auto"/>
        <w:right w:val="none" w:sz="0" w:space="0" w:color="auto"/>
      </w:divBdr>
    </w:div>
    <w:div w:id="1568028988">
      <w:marLeft w:val="0"/>
      <w:marRight w:val="0"/>
      <w:marTop w:val="180"/>
      <w:marBottom w:val="180"/>
      <w:divBdr>
        <w:top w:val="none" w:sz="0" w:space="0" w:color="auto"/>
        <w:left w:val="none" w:sz="0" w:space="0" w:color="auto"/>
        <w:bottom w:val="none" w:sz="0" w:space="0" w:color="auto"/>
        <w:right w:val="none" w:sz="0" w:space="0" w:color="auto"/>
      </w:divBdr>
    </w:div>
    <w:div w:id="1568422338">
      <w:marLeft w:val="0"/>
      <w:marRight w:val="0"/>
      <w:marTop w:val="180"/>
      <w:marBottom w:val="0"/>
      <w:divBdr>
        <w:top w:val="none" w:sz="0" w:space="0" w:color="auto"/>
        <w:left w:val="none" w:sz="0" w:space="0" w:color="auto"/>
        <w:bottom w:val="none" w:sz="0" w:space="0" w:color="auto"/>
        <w:right w:val="none" w:sz="0" w:space="0" w:color="auto"/>
      </w:divBdr>
    </w:div>
    <w:div w:id="1568607375">
      <w:marLeft w:val="0"/>
      <w:marRight w:val="0"/>
      <w:marTop w:val="60"/>
      <w:marBottom w:val="60"/>
      <w:divBdr>
        <w:top w:val="none" w:sz="0" w:space="0" w:color="auto"/>
        <w:left w:val="none" w:sz="0" w:space="0" w:color="auto"/>
        <w:bottom w:val="none" w:sz="0" w:space="0" w:color="auto"/>
        <w:right w:val="none" w:sz="0" w:space="0" w:color="auto"/>
      </w:divBdr>
    </w:div>
    <w:div w:id="1568766501">
      <w:marLeft w:val="0"/>
      <w:marRight w:val="0"/>
      <w:marTop w:val="0"/>
      <w:marBottom w:val="0"/>
      <w:divBdr>
        <w:top w:val="none" w:sz="0" w:space="0" w:color="auto"/>
        <w:left w:val="none" w:sz="0" w:space="0" w:color="auto"/>
        <w:bottom w:val="none" w:sz="0" w:space="0" w:color="auto"/>
        <w:right w:val="none" w:sz="0" w:space="0" w:color="auto"/>
      </w:divBdr>
      <w:divsChild>
        <w:div w:id="1470517393">
          <w:marLeft w:val="0"/>
          <w:marRight w:val="0"/>
          <w:marTop w:val="180"/>
          <w:marBottom w:val="180"/>
          <w:divBdr>
            <w:top w:val="none" w:sz="0" w:space="0" w:color="auto"/>
            <w:left w:val="none" w:sz="0" w:space="0" w:color="auto"/>
            <w:bottom w:val="none" w:sz="0" w:space="0" w:color="auto"/>
            <w:right w:val="none" w:sz="0" w:space="0" w:color="auto"/>
          </w:divBdr>
        </w:div>
      </w:divsChild>
    </w:div>
    <w:div w:id="1570573705">
      <w:marLeft w:val="0"/>
      <w:marRight w:val="0"/>
      <w:marTop w:val="0"/>
      <w:marBottom w:val="0"/>
      <w:divBdr>
        <w:top w:val="none" w:sz="0" w:space="0" w:color="auto"/>
        <w:left w:val="none" w:sz="0" w:space="0" w:color="auto"/>
        <w:bottom w:val="none" w:sz="0" w:space="0" w:color="auto"/>
        <w:right w:val="none" w:sz="0" w:space="0" w:color="auto"/>
      </w:divBdr>
    </w:div>
    <w:div w:id="1571572057">
      <w:marLeft w:val="0"/>
      <w:marRight w:val="0"/>
      <w:marTop w:val="180"/>
      <w:marBottom w:val="180"/>
      <w:divBdr>
        <w:top w:val="none" w:sz="0" w:space="0" w:color="auto"/>
        <w:left w:val="none" w:sz="0" w:space="0" w:color="auto"/>
        <w:bottom w:val="none" w:sz="0" w:space="0" w:color="auto"/>
        <w:right w:val="none" w:sz="0" w:space="0" w:color="auto"/>
      </w:divBdr>
    </w:div>
    <w:div w:id="1574120904">
      <w:marLeft w:val="0"/>
      <w:marRight w:val="0"/>
      <w:marTop w:val="180"/>
      <w:marBottom w:val="180"/>
      <w:divBdr>
        <w:top w:val="none" w:sz="0" w:space="0" w:color="auto"/>
        <w:left w:val="none" w:sz="0" w:space="0" w:color="auto"/>
        <w:bottom w:val="none" w:sz="0" w:space="0" w:color="auto"/>
        <w:right w:val="none" w:sz="0" w:space="0" w:color="auto"/>
      </w:divBdr>
    </w:div>
    <w:div w:id="1575701436">
      <w:marLeft w:val="0"/>
      <w:marRight w:val="0"/>
      <w:marTop w:val="180"/>
      <w:marBottom w:val="180"/>
      <w:divBdr>
        <w:top w:val="none" w:sz="0" w:space="0" w:color="auto"/>
        <w:left w:val="none" w:sz="0" w:space="0" w:color="auto"/>
        <w:bottom w:val="none" w:sz="0" w:space="0" w:color="auto"/>
        <w:right w:val="none" w:sz="0" w:space="0" w:color="auto"/>
      </w:divBdr>
    </w:div>
    <w:div w:id="1578124076">
      <w:marLeft w:val="0"/>
      <w:marRight w:val="0"/>
      <w:marTop w:val="180"/>
      <w:marBottom w:val="180"/>
      <w:divBdr>
        <w:top w:val="none" w:sz="0" w:space="0" w:color="auto"/>
        <w:left w:val="none" w:sz="0" w:space="0" w:color="auto"/>
        <w:bottom w:val="none" w:sz="0" w:space="0" w:color="auto"/>
        <w:right w:val="none" w:sz="0" w:space="0" w:color="auto"/>
      </w:divBdr>
    </w:div>
    <w:div w:id="1578779757">
      <w:marLeft w:val="0"/>
      <w:marRight w:val="0"/>
      <w:marTop w:val="0"/>
      <w:marBottom w:val="0"/>
      <w:divBdr>
        <w:top w:val="none" w:sz="0" w:space="0" w:color="auto"/>
        <w:left w:val="none" w:sz="0" w:space="0" w:color="auto"/>
        <w:bottom w:val="none" w:sz="0" w:space="0" w:color="auto"/>
        <w:right w:val="none" w:sz="0" w:space="0" w:color="auto"/>
      </w:divBdr>
    </w:div>
    <w:div w:id="1579511816">
      <w:marLeft w:val="0"/>
      <w:marRight w:val="0"/>
      <w:marTop w:val="0"/>
      <w:marBottom w:val="0"/>
      <w:divBdr>
        <w:top w:val="none" w:sz="0" w:space="0" w:color="auto"/>
        <w:left w:val="none" w:sz="0" w:space="0" w:color="auto"/>
        <w:bottom w:val="none" w:sz="0" w:space="0" w:color="auto"/>
        <w:right w:val="none" w:sz="0" w:space="0" w:color="auto"/>
      </w:divBdr>
      <w:divsChild>
        <w:div w:id="505827393">
          <w:marLeft w:val="0"/>
          <w:marRight w:val="0"/>
          <w:marTop w:val="0"/>
          <w:marBottom w:val="0"/>
          <w:divBdr>
            <w:top w:val="none" w:sz="0" w:space="0" w:color="auto"/>
            <w:left w:val="none" w:sz="0" w:space="0" w:color="auto"/>
            <w:bottom w:val="none" w:sz="0" w:space="0" w:color="auto"/>
            <w:right w:val="none" w:sz="0" w:space="0" w:color="auto"/>
          </w:divBdr>
          <w:divsChild>
            <w:div w:id="160484567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79555642">
      <w:marLeft w:val="0"/>
      <w:marRight w:val="0"/>
      <w:marTop w:val="180"/>
      <w:marBottom w:val="180"/>
      <w:divBdr>
        <w:top w:val="none" w:sz="0" w:space="0" w:color="auto"/>
        <w:left w:val="none" w:sz="0" w:space="0" w:color="auto"/>
        <w:bottom w:val="none" w:sz="0" w:space="0" w:color="auto"/>
        <w:right w:val="none" w:sz="0" w:space="0" w:color="auto"/>
      </w:divBdr>
    </w:div>
    <w:div w:id="1580017597">
      <w:marLeft w:val="0"/>
      <w:marRight w:val="0"/>
      <w:marTop w:val="180"/>
      <w:marBottom w:val="180"/>
      <w:divBdr>
        <w:top w:val="none" w:sz="0" w:space="0" w:color="auto"/>
        <w:left w:val="none" w:sz="0" w:space="0" w:color="auto"/>
        <w:bottom w:val="none" w:sz="0" w:space="0" w:color="auto"/>
        <w:right w:val="none" w:sz="0" w:space="0" w:color="auto"/>
      </w:divBdr>
    </w:div>
    <w:div w:id="1584341176">
      <w:marLeft w:val="0"/>
      <w:marRight w:val="0"/>
      <w:marTop w:val="0"/>
      <w:marBottom w:val="0"/>
      <w:divBdr>
        <w:top w:val="none" w:sz="0" w:space="0" w:color="auto"/>
        <w:left w:val="none" w:sz="0" w:space="0" w:color="auto"/>
        <w:bottom w:val="none" w:sz="0" w:space="0" w:color="auto"/>
        <w:right w:val="none" w:sz="0" w:space="0" w:color="auto"/>
      </w:divBdr>
    </w:div>
    <w:div w:id="1585454018">
      <w:marLeft w:val="0"/>
      <w:marRight w:val="0"/>
      <w:marTop w:val="180"/>
      <w:marBottom w:val="180"/>
      <w:divBdr>
        <w:top w:val="none" w:sz="0" w:space="0" w:color="auto"/>
        <w:left w:val="none" w:sz="0" w:space="0" w:color="auto"/>
        <w:bottom w:val="none" w:sz="0" w:space="0" w:color="auto"/>
        <w:right w:val="none" w:sz="0" w:space="0" w:color="auto"/>
      </w:divBdr>
    </w:div>
    <w:div w:id="1585609546">
      <w:marLeft w:val="0"/>
      <w:marRight w:val="0"/>
      <w:marTop w:val="0"/>
      <w:marBottom w:val="0"/>
      <w:divBdr>
        <w:top w:val="none" w:sz="0" w:space="0" w:color="auto"/>
        <w:left w:val="none" w:sz="0" w:space="0" w:color="auto"/>
        <w:bottom w:val="none" w:sz="0" w:space="0" w:color="auto"/>
        <w:right w:val="none" w:sz="0" w:space="0" w:color="auto"/>
      </w:divBdr>
      <w:divsChild>
        <w:div w:id="406727882">
          <w:marLeft w:val="0"/>
          <w:marRight w:val="0"/>
          <w:marTop w:val="0"/>
          <w:marBottom w:val="0"/>
          <w:divBdr>
            <w:top w:val="none" w:sz="0" w:space="0" w:color="auto"/>
            <w:left w:val="none" w:sz="0" w:space="0" w:color="auto"/>
            <w:bottom w:val="none" w:sz="0" w:space="0" w:color="auto"/>
            <w:right w:val="none" w:sz="0" w:space="0" w:color="auto"/>
          </w:divBdr>
          <w:divsChild>
            <w:div w:id="46474163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87960481">
      <w:marLeft w:val="0"/>
      <w:marRight w:val="0"/>
      <w:marTop w:val="180"/>
      <w:marBottom w:val="180"/>
      <w:divBdr>
        <w:top w:val="none" w:sz="0" w:space="0" w:color="auto"/>
        <w:left w:val="none" w:sz="0" w:space="0" w:color="auto"/>
        <w:bottom w:val="none" w:sz="0" w:space="0" w:color="auto"/>
        <w:right w:val="none" w:sz="0" w:space="0" w:color="auto"/>
      </w:divBdr>
    </w:div>
    <w:div w:id="1590771570">
      <w:marLeft w:val="0"/>
      <w:marRight w:val="0"/>
      <w:marTop w:val="180"/>
      <w:marBottom w:val="180"/>
      <w:divBdr>
        <w:top w:val="none" w:sz="0" w:space="0" w:color="auto"/>
        <w:left w:val="none" w:sz="0" w:space="0" w:color="auto"/>
        <w:bottom w:val="none" w:sz="0" w:space="0" w:color="auto"/>
        <w:right w:val="none" w:sz="0" w:space="0" w:color="auto"/>
      </w:divBdr>
    </w:div>
    <w:div w:id="1590962334">
      <w:marLeft w:val="0"/>
      <w:marRight w:val="0"/>
      <w:marTop w:val="180"/>
      <w:marBottom w:val="180"/>
      <w:divBdr>
        <w:top w:val="none" w:sz="0" w:space="0" w:color="auto"/>
        <w:left w:val="none" w:sz="0" w:space="0" w:color="auto"/>
        <w:bottom w:val="none" w:sz="0" w:space="0" w:color="auto"/>
        <w:right w:val="none" w:sz="0" w:space="0" w:color="auto"/>
      </w:divBdr>
    </w:div>
    <w:div w:id="1591236296">
      <w:marLeft w:val="0"/>
      <w:marRight w:val="0"/>
      <w:marTop w:val="180"/>
      <w:marBottom w:val="180"/>
      <w:divBdr>
        <w:top w:val="none" w:sz="0" w:space="0" w:color="auto"/>
        <w:left w:val="none" w:sz="0" w:space="0" w:color="auto"/>
        <w:bottom w:val="none" w:sz="0" w:space="0" w:color="auto"/>
        <w:right w:val="none" w:sz="0" w:space="0" w:color="auto"/>
      </w:divBdr>
    </w:div>
    <w:div w:id="1591309012">
      <w:marLeft w:val="0"/>
      <w:marRight w:val="0"/>
      <w:marTop w:val="120"/>
      <w:marBottom w:val="180"/>
      <w:divBdr>
        <w:top w:val="none" w:sz="0" w:space="0" w:color="auto"/>
        <w:left w:val="none" w:sz="0" w:space="0" w:color="auto"/>
        <w:bottom w:val="none" w:sz="0" w:space="0" w:color="auto"/>
        <w:right w:val="none" w:sz="0" w:space="0" w:color="auto"/>
      </w:divBdr>
    </w:div>
    <w:div w:id="1592081288">
      <w:marLeft w:val="0"/>
      <w:marRight w:val="0"/>
      <w:marTop w:val="180"/>
      <w:marBottom w:val="180"/>
      <w:divBdr>
        <w:top w:val="none" w:sz="0" w:space="0" w:color="auto"/>
        <w:left w:val="none" w:sz="0" w:space="0" w:color="auto"/>
        <w:bottom w:val="none" w:sz="0" w:space="0" w:color="auto"/>
        <w:right w:val="none" w:sz="0" w:space="0" w:color="auto"/>
      </w:divBdr>
    </w:div>
    <w:div w:id="1595868561">
      <w:marLeft w:val="0"/>
      <w:marRight w:val="0"/>
      <w:marTop w:val="180"/>
      <w:marBottom w:val="180"/>
      <w:divBdr>
        <w:top w:val="none" w:sz="0" w:space="0" w:color="auto"/>
        <w:left w:val="none" w:sz="0" w:space="0" w:color="auto"/>
        <w:bottom w:val="none" w:sz="0" w:space="0" w:color="auto"/>
        <w:right w:val="none" w:sz="0" w:space="0" w:color="auto"/>
      </w:divBdr>
    </w:div>
    <w:div w:id="1595940977">
      <w:marLeft w:val="0"/>
      <w:marRight w:val="0"/>
      <w:marTop w:val="0"/>
      <w:marBottom w:val="0"/>
      <w:divBdr>
        <w:top w:val="none" w:sz="0" w:space="0" w:color="auto"/>
        <w:left w:val="none" w:sz="0" w:space="0" w:color="auto"/>
        <w:bottom w:val="none" w:sz="0" w:space="0" w:color="auto"/>
        <w:right w:val="none" w:sz="0" w:space="0" w:color="auto"/>
      </w:divBdr>
      <w:divsChild>
        <w:div w:id="1115714881">
          <w:marLeft w:val="0"/>
          <w:marRight w:val="0"/>
          <w:marTop w:val="0"/>
          <w:marBottom w:val="0"/>
          <w:divBdr>
            <w:top w:val="none" w:sz="0" w:space="0" w:color="auto"/>
            <w:left w:val="none" w:sz="0" w:space="0" w:color="auto"/>
            <w:bottom w:val="none" w:sz="0" w:space="0" w:color="auto"/>
            <w:right w:val="none" w:sz="0" w:space="0" w:color="auto"/>
          </w:divBdr>
          <w:divsChild>
            <w:div w:id="29630222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96089093">
      <w:marLeft w:val="0"/>
      <w:marRight w:val="0"/>
      <w:marTop w:val="180"/>
      <w:marBottom w:val="180"/>
      <w:divBdr>
        <w:top w:val="none" w:sz="0" w:space="0" w:color="auto"/>
        <w:left w:val="none" w:sz="0" w:space="0" w:color="auto"/>
        <w:bottom w:val="none" w:sz="0" w:space="0" w:color="auto"/>
        <w:right w:val="none" w:sz="0" w:space="0" w:color="auto"/>
      </w:divBdr>
    </w:div>
    <w:div w:id="1597128823">
      <w:marLeft w:val="0"/>
      <w:marRight w:val="0"/>
      <w:marTop w:val="180"/>
      <w:marBottom w:val="180"/>
      <w:divBdr>
        <w:top w:val="none" w:sz="0" w:space="0" w:color="auto"/>
        <w:left w:val="none" w:sz="0" w:space="0" w:color="auto"/>
        <w:bottom w:val="none" w:sz="0" w:space="0" w:color="auto"/>
        <w:right w:val="none" w:sz="0" w:space="0" w:color="auto"/>
      </w:divBdr>
      <w:divsChild>
        <w:div w:id="1232931278">
          <w:marLeft w:val="0"/>
          <w:marRight w:val="0"/>
          <w:marTop w:val="0"/>
          <w:marBottom w:val="0"/>
          <w:divBdr>
            <w:top w:val="none" w:sz="0" w:space="0" w:color="auto"/>
            <w:left w:val="none" w:sz="0" w:space="0" w:color="auto"/>
            <w:bottom w:val="none" w:sz="0" w:space="0" w:color="auto"/>
            <w:right w:val="none" w:sz="0" w:space="0" w:color="auto"/>
          </w:divBdr>
        </w:div>
        <w:div w:id="578829746">
          <w:marLeft w:val="0"/>
          <w:marRight w:val="0"/>
          <w:marTop w:val="0"/>
          <w:marBottom w:val="0"/>
          <w:divBdr>
            <w:top w:val="none" w:sz="0" w:space="0" w:color="auto"/>
            <w:left w:val="none" w:sz="0" w:space="0" w:color="auto"/>
            <w:bottom w:val="none" w:sz="0" w:space="0" w:color="auto"/>
            <w:right w:val="none" w:sz="0" w:space="0" w:color="auto"/>
          </w:divBdr>
        </w:div>
      </w:divsChild>
    </w:div>
    <w:div w:id="1599024758">
      <w:marLeft w:val="0"/>
      <w:marRight w:val="0"/>
      <w:marTop w:val="180"/>
      <w:marBottom w:val="180"/>
      <w:divBdr>
        <w:top w:val="none" w:sz="0" w:space="0" w:color="auto"/>
        <w:left w:val="none" w:sz="0" w:space="0" w:color="auto"/>
        <w:bottom w:val="none" w:sz="0" w:space="0" w:color="auto"/>
        <w:right w:val="none" w:sz="0" w:space="0" w:color="auto"/>
      </w:divBdr>
    </w:div>
    <w:div w:id="1599750588">
      <w:marLeft w:val="0"/>
      <w:marRight w:val="0"/>
      <w:marTop w:val="60"/>
      <w:marBottom w:val="60"/>
      <w:divBdr>
        <w:top w:val="none" w:sz="0" w:space="0" w:color="auto"/>
        <w:left w:val="none" w:sz="0" w:space="0" w:color="auto"/>
        <w:bottom w:val="none" w:sz="0" w:space="0" w:color="auto"/>
        <w:right w:val="none" w:sz="0" w:space="0" w:color="auto"/>
      </w:divBdr>
    </w:div>
    <w:div w:id="1603143074">
      <w:marLeft w:val="0"/>
      <w:marRight w:val="0"/>
      <w:marTop w:val="180"/>
      <w:marBottom w:val="180"/>
      <w:divBdr>
        <w:top w:val="none" w:sz="0" w:space="0" w:color="auto"/>
        <w:left w:val="none" w:sz="0" w:space="0" w:color="auto"/>
        <w:bottom w:val="none" w:sz="0" w:space="0" w:color="auto"/>
        <w:right w:val="none" w:sz="0" w:space="0" w:color="auto"/>
      </w:divBdr>
    </w:div>
    <w:div w:id="1603217614">
      <w:marLeft w:val="0"/>
      <w:marRight w:val="0"/>
      <w:marTop w:val="180"/>
      <w:marBottom w:val="180"/>
      <w:divBdr>
        <w:top w:val="none" w:sz="0" w:space="0" w:color="auto"/>
        <w:left w:val="none" w:sz="0" w:space="0" w:color="auto"/>
        <w:bottom w:val="none" w:sz="0" w:space="0" w:color="auto"/>
        <w:right w:val="none" w:sz="0" w:space="0" w:color="auto"/>
      </w:divBdr>
    </w:div>
    <w:div w:id="1603799916">
      <w:marLeft w:val="0"/>
      <w:marRight w:val="0"/>
      <w:marTop w:val="180"/>
      <w:marBottom w:val="180"/>
      <w:divBdr>
        <w:top w:val="none" w:sz="0" w:space="0" w:color="auto"/>
        <w:left w:val="none" w:sz="0" w:space="0" w:color="auto"/>
        <w:bottom w:val="none" w:sz="0" w:space="0" w:color="auto"/>
        <w:right w:val="none" w:sz="0" w:space="0" w:color="auto"/>
      </w:divBdr>
    </w:div>
    <w:div w:id="1604533292">
      <w:marLeft w:val="0"/>
      <w:marRight w:val="0"/>
      <w:marTop w:val="60"/>
      <w:marBottom w:val="60"/>
      <w:divBdr>
        <w:top w:val="none" w:sz="0" w:space="0" w:color="auto"/>
        <w:left w:val="none" w:sz="0" w:space="0" w:color="auto"/>
        <w:bottom w:val="none" w:sz="0" w:space="0" w:color="auto"/>
        <w:right w:val="none" w:sz="0" w:space="0" w:color="auto"/>
      </w:divBdr>
    </w:div>
    <w:div w:id="1605191980">
      <w:marLeft w:val="0"/>
      <w:marRight w:val="0"/>
      <w:marTop w:val="180"/>
      <w:marBottom w:val="180"/>
      <w:divBdr>
        <w:top w:val="none" w:sz="0" w:space="0" w:color="auto"/>
        <w:left w:val="none" w:sz="0" w:space="0" w:color="auto"/>
        <w:bottom w:val="none" w:sz="0" w:space="0" w:color="auto"/>
        <w:right w:val="none" w:sz="0" w:space="0" w:color="auto"/>
      </w:divBdr>
    </w:div>
    <w:div w:id="1605961218">
      <w:marLeft w:val="0"/>
      <w:marRight w:val="0"/>
      <w:marTop w:val="180"/>
      <w:marBottom w:val="180"/>
      <w:divBdr>
        <w:top w:val="none" w:sz="0" w:space="0" w:color="auto"/>
        <w:left w:val="none" w:sz="0" w:space="0" w:color="auto"/>
        <w:bottom w:val="none" w:sz="0" w:space="0" w:color="auto"/>
        <w:right w:val="none" w:sz="0" w:space="0" w:color="auto"/>
      </w:divBdr>
    </w:div>
    <w:div w:id="1606159206">
      <w:marLeft w:val="0"/>
      <w:marRight w:val="0"/>
      <w:marTop w:val="180"/>
      <w:marBottom w:val="180"/>
      <w:divBdr>
        <w:top w:val="none" w:sz="0" w:space="0" w:color="auto"/>
        <w:left w:val="none" w:sz="0" w:space="0" w:color="auto"/>
        <w:bottom w:val="none" w:sz="0" w:space="0" w:color="auto"/>
        <w:right w:val="none" w:sz="0" w:space="0" w:color="auto"/>
      </w:divBdr>
    </w:div>
    <w:div w:id="1607351492">
      <w:marLeft w:val="0"/>
      <w:marRight w:val="0"/>
      <w:marTop w:val="180"/>
      <w:marBottom w:val="180"/>
      <w:divBdr>
        <w:top w:val="none" w:sz="0" w:space="0" w:color="auto"/>
        <w:left w:val="none" w:sz="0" w:space="0" w:color="auto"/>
        <w:bottom w:val="none" w:sz="0" w:space="0" w:color="auto"/>
        <w:right w:val="none" w:sz="0" w:space="0" w:color="auto"/>
      </w:divBdr>
    </w:div>
    <w:div w:id="1608928300">
      <w:marLeft w:val="0"/>
      <w:marRight w:val="0"/>
      <w:marTop w:val="180"/>
      <w:marBottom w:val="180"/>
      <w:divBdr>
        <w:top w:val="none" w:sz="0" w:space="0" w:color="auto"/>
        <w:left w:val="none" w:sz="0" w:space="0" w:color="auto"/>
        <w:bottom w:val="none" w:sz="0" w:space="0" w:color="auto"/>
        <w:right w:val="none" w:sz="0" w:space="0" w:color="auto"/>
      </w:divBdr>
    </w:div>
    <w:div w:id="1609121924">
      <w:marLeft w:val="0"/>
      <w:marRight w:val="0"/>
      <w:marTop w:val="0"/>
      <w:marBottom w:val="0"/>
      <w:divBdr>
        <w:top w:val="none" w:sz="0" w:space="0" w:color="auto"/>
        <w:left w:val="none" w:sz="0" w:space="0" w:color="auto"/>
        <w:bottom w:val="none" w:sz="0" w:space="0" w:color="auto"/>
        <w:right w:val="none" w:sz="0" w:space="0" w:color="auto"/>
      </w:divBdr>
      <w:divsChild>
        <w:div w:id="488910977">
          <w:marLeft w:val="0"/>
          <w:marRight w:val="0"/>
          <w:marTop w:val="0"/>
          <w:marBottom w:val="0"/>
          <w:divBdr>
            <w:top w:val="none" w:sz="0" w:space="0" w:color="auto"/>
            <w:left w:val="none" w:sz="0" w:space="0" w:color="auto"/>
            <w:bottom w:val="none" w:sz="0" w:space="0" w:color="auto"/>
            <w:right w:val="none" w:sz="0" w:space="0" w:color="auto"/>
          </w:divBdr>
          <w:divsChild>
            <w:div w:id="121014215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09462845">
      <w:marLeft w:val="0"/>
      <w:marRight w:val="0"/>
      <w:marTop w:val="60"/>
      <w:marBottom w:val="60"/>
      <w:divBdr>
        <w:top w:val="none" w:sz="0" w:space="0" w:color="auto"/>
        <w:left w:val="none" w:sz="0" w:space="0" w:color="auto"/>
        <w:bottom w:val="none" w:sz="0" w:space="0" w:color="auto"/>
        <w:right w:val="none" w:sz="0" w:space="0" w:color="auto"/>
      </w:divBdr>
    </w:div>
    <w:div w:id="1609463437">
      <w:marLeft w:val="0"/>
      <w:marRight w:val="0"/>
      <w:marTop w:val="180"/>
      <w:marBottom w:val="180"/>
      <w:divBdr>
        <w:top w:val="none" w:sz="0" w:space="0" w:color="auto"/>
        <w:left w:val="none" w:sz="0" w:space="0" w:color="auto"/>
        <w:bottom w:val="none" w:sz="0" w:space="0" w:color="auto"/>
        <w:right w:val="none" w:sz="0" w:space="0" w:color="auto"/>
      </w:divBdr>
    </w:div>
    <w:div w:id="1609774882">
      <w:marLeft w:val="0"/>
      <w:marRight w:val="0"/>
      <w:marTop w:val="0"/>
      <w:marBottom w:val="60"/>
      <w:divBdr>
        <w:top w:val="none" w:sz="0" w:space="0" w:color="auto"/>
        <w:left w:val="none" w:sz="0" w:space="0" w:color="auto"/>
        <w:bottom w:val="none" w:sz="0" w:space="0" w:color="auto"/>
        <w:right w:val="none" w:sz="0" w:space="0" w:color="auto"/>
      </w:divBdr>
    </w:div>
    <w:div w:id="1610119188">
      <w:marLeft w:val="0"/>
      <w:marRight w:val="0"/>
      <w:marTop w:val="180"/>
      <w:marBottom w:val="180"/>
      <w:divBdr>
        <w:top w:val="none" w:sz="0" w:space="0" w:color="auto"/>
        <w:left w:val="none" w:sz="0" w:space="0" w:color="auto"/>
        <w:bottom w:val="none" w:sz="0" w:space="0" w:color="auto"/>
        <w:right w:val="none" w:sz="0" w:space="0" w:color="auto"/>
      </w:divBdr>
    </w:div>
    <w:div w:id="1610234353">
      <w:marLeft w:val="0"/>
      <w:marRight w:val="0"/>
      <w:marTop w:val="0"/>
      <w:marBottom w:val="0"/>
      <w:divBdr>
        <w:top w:val="none" w:sz="0" w:space="0" w:color="auto"/>
        <w:left w:val="none" w:sz="0" w:space="0" w:color="auto"/>
        <w:bottom w:val="none" w:sz="0" w:space="0" w:color="auto"/>
        <w:right w:val="none" w:sz="0" w:space="0" w:color="auto"/>
      </w:divBdr>
      <w:divsChild>
        <w:div w:id="316806905">
          <w:marLeft w:val="0"/>
          <w:marRight w:val="0"/>
          <w:marTop w:val="0"/>
          <w:marBottom w:val="0"/>
          <w:divBdr>
            <w:top w:val="none" w:sz="0" w:space="0" w:color="auto"/>
            <w:left w:val="none" w:sz="0" w:space="0" w:color="auto"/>
            <w:bottom w:val="none" w:sz="0" w:space="0" w:color="auto"/>
            <w:right w:val="none" w:sz="0" w:space="0" w:color="auto"/>
          </w:divBdr>
          <w:divsChild>
            <w:div w:id="163934168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10744919">
      <w:marLeft w:val="0"/>
      <w:marRight w:val="0"/>
      <w:marTop w:val="0"/>
      <w:marBottom w:val="0"/>
      <w:divBdr>
        <w:top w:val="none" w:sz="0" w:space="0" w:color="auto"/>
        <w:left w:val="none" w:sz="0" w:space="0" w:color="auto"/>
        <w:bottom w:val="none" w:sz="0" w:space="0" w:color="auto"/>
        <w:right w:val="none" w:sz="0" w:space="0" w:color="auto"/>
      </w:divBdr>
      <w:divsChild>
        <w:div w:id="517306175">
          <w:marLeft w:val="0"/>
          <w:marRight w:val="0"/>
          <w:marTop w:val="60"/>
          <w:marBottom w:val="180"/>
          <w:divBdr>
            <w:top w:val="none" w:sz="0" w:space="0" w:color="auto"/>
            <w:left w:val="none" w:sz="0" w:space="0" w:color="auto"/>
            <w:bottom w:val="none" w:sz="0" w:space="0" w:color="auto"/>
            <w:right w:val="none" w:sz="0" w:space="0" w:color="auto"/>
          </w:divBdr>
        </w:div>
      </w:divsChild>
    </w:div>
    <w:div w:id="1611277083">
      <w:marLeft w:val="0"/>
      <w:marRight w:val="0"/>
      <w:marTop w:val="180"/>
      <w:marBottom w:val="180"/>
      <w:divBdr>
        <w:top w:val="none" w:sz="0" w:space="0" w:color="auto"/>
        <w:left w:val="none" w:sz="0" w:space="0" w:color="auto"/>
        <w:bottom w:val="none" w:sz="0" w:space="0" w:color="auto"/>
        <w:right w:val="none" w:sz="0" w:space="0" w:color="auto"/>
      </w:divBdr>
    </w:div>
    <w:div w:id="1611662160">
      <w:marLeft w:val="0"/>
      <w:marRight w:val="0"/>
      <w:marTop w:val="180"/>
      <w:marBottom w:val="180"/>
      <w:divBdr>
        <w:top w:val="none" w:sz="0" w:space="0" w:color="auto"/>
        <w:left w:val="none" w:sz="0" w:space="0" w:color="auto"/>
        <w:bottom w:val="none" w:sz="0" w:space="0" w:color="auto"/>
        <w:right w:val="none" w:sz="0" w:space="0" w:color="auto"/>
      </w:divBdr>
    </w:div>
    <w:div w:id="1612471443">
      <w:marLeft w:val="0"/>
      <w:marRight w:val="0"/>
      <w:marTop w:val="0"/>
      <w:marBottom w:val="0"/>
      <w:divBdr>
        <w:top w:val="none" w:sz="0" w:space="0" w:color="auto"/>
        <w:left w:val="none" w:sz="0" w:space="0" w:color="auto"/>
        <w:bottom w:val="none" w:sz="0" w:space="0" w:color="auto"/>
        <w:right w:val="none" w:sz="0" w:space="0" w:color="auto"/>
      </w:divBdr>
      <w:divsChild>
        <w:div w:id="1940789632">
          <w:marLeft w:val="0"/>
          <w:marRight w:val="0"/>
          <w:marTop w:val="180"/>
          <w:marBottom w:val="180"/>
          <w:divBdr>
            <w:top w:val="none" w:sz="0" w:space="0" w:color="auto"/>
            <w:left w:val="none" w:sz="0" w:space="0" w:color="auto"/>
            <w:bottom w:val="none" w:sz="0" w:space="0" w:color="auto"/>
            <w:right w:val="none" w:sz="0" w:space="0" w:color="auto"/>
          </w:divBdr>
        </w:div>
      </w:divsChild>
    </w:div>
    <w:div w:id="1614164356">
      <w:marLeft w:val="0"/>
      <w:marRight w:val="0"/>
      <w:marTop w:val="60"/>
      <w:marBottom w:val="60"/>
      <w:divBdr>
        <w:top w:val="none" w:sz="0" w:space="0" w:color="auto"/>
        <w:left w:val="none" w:sz="0" w:space="0" w:color="auto"/>
        <w:bottom w:val="none" w:sz="0" w:space="0" w:color="auto"/>
        <w:right w:val="none" w:sz="0" w:space="0" w:color="auto"/>
      </w:divBdr>
    </w:div>
    <w:div w:id="1615674655">
      <w:marLeft w:val="0"/>
      <w:marRight w:val="0"/>
      <w:marTop w:val="0"/>
      <w:marBottom w:val="0"/>
      <w:divBdr>
        <w:top w:val="none" w:sz="0" w:space="0" w:color="auto"/>
        <w:left w:val="none" w:sz="0" w:space="0" w:color="auto"/>
        <w:bottom w:val="none" w:sz="0" w:space="0" w:color="auto"/>
        <w:right w:val="none" w:sz="0" w:space="0" w:color="auto"/>
      </w:divBdr>
    </w:div>
    <w:div w:id="1616473816">
      <w:marLeft w:val="0"/>
      <w:marRight w:val="0"/>
      <w:marTop w:val="0"/>
      <w:marBottom w:val="0"/>
      <w:divBdr>
        <w:top w:val="none" w:sz="0" w:space="0" w:color="auto"/>
        <w:left w:val="none" w:sz="0" w:space="0" w:color="auto"/>
        <w:bottom w:val="none" w:sz="0" w:space="0" w:color="auto"/>
        <w:right w:val="none" w:sz="0" w:space="0" w:color="auto"/>
      </w:divBdr>
    </w:div>
    <w:div w:id="1617247909">
      <w:marLeft w:val="0"/>
      <w:marRight w:val="0"/>
      <w:marTop w:val="180"/>
      <w:marBottom w:val="180"/>
      <w:divBdr>
        <w:top w:val="none" w:sz="0" w:space="0" w:color="auto"/>
        <w:left w:val="none" w:sz="0" w:space="0" w:color="auto"/>
        <w:bottom w:val="none" w:sz="0" w:space="0" w:color="auto"/>
        <w:right w:val="none" w:sz="0" w:space="0" w:color="auto"/>
      </w:divBdr>
    </w:div>
    <w:div w:id="1618830667">
      <w:marLeft w:val="0"/>
      <w:marRight w:val="0"/>
      <w:marTop w:val="0"/>
      <w:marBottom w:val="0"/>
      <w:divBdr>
        <w:top w:val="none" w:sz="0" w:space="0" w:color="auto"/>
        <w:left w:val="none" w:sz="0" w:space="0" w:color="auto"/>
        <w:bottom w:val="none" w:sz="0" w:space="0" w:color="auto"/>
        <w:right w:val="none" w:sz="0" w:space="0" w:color="auto"/>
      </w:divBdr>
    </w:div>
    <w:div w:id="1619679369">
      <w:marLeft w:val="0"/>
      <w:marRight w:val="0"/>
      <w:marTop w:val="0"/>
      <w:marBottom w:val="0"/>
      <w:divBdr>
        <w:top w:val="none" w:sz="0" w:space="0" w:color="auto"/>
        <w:left w:val="none" w:sz="0" w:space="0" w:color="auto"/>
        <w:bottom w:val="none" w:sz="0" w:space="0" w:color="auto"/>
        <w:right w:val="none" w:sz="0" w:space="0" w:color="auto"/>
      </w:divBdr>
      <w:divsChild>
        <w:div w:id="2004507837">
          <w:marLeft w:val="0"/>
          <w:marRight w:val="0"/>
          <w:marTop w:val="60"/>
          <w:marBottom w:val="180"/>
          <w:divBdr>
            <w:top w:val="none" w:sz="0" w:space="0" w:color="auto"/>
            <w:left w:val="none" w:sz="0" w:space="0" w:color="auto"/>
            <w:bottom w:val="none" w:sz="0" w:space="0" w:color="auto"/>
            <w:right w:val="none" w:sz="0" w:space="0" w:color="auto"/>
          </w:divBdr>
        </w:div>
      </w:divsChild>
    </w:div>
    <w:div w:id="1619869743">
      <w:marLeft w:val="0"/>
      <w:marRight w:val="0"/>
      <w:marTop w:val="0"/>
      <w:marBottom w:val="0"/>
      <w:divBdr>
        <w:top w:val="none" w:sz="0" w:space="0" w:color="auto"/>
        <w:left w:val="none" w:sz="0" w:space="0" w:color="auto"/>
        <w:bottom w:val="none" w:sz="0" w:space="0" w:color="auto"/>
        <w:right w:val="none" w:sz="0" w:space="0" w:color="auto"/>
      </w:divBdr>
      <w:divsChild>
        <w:div w:id="1707175873">
          <w:marLeft w:val="0"/>
          <w:marRight w:val="0"/>
          <w:marTop w:val="0"/>
          <w:marBottom w:val="0"/>
          <w:divBdr>
            <w:top w:val="none" w:sz="0" w:space="0" w:color="auto"/>
            <w:left w:val="none" w:sz="0" w:space="0" w:color="auto"/>
            <w:bottom w:val="none" w:sz="0" w:space="0" w:color="auto"/>
            <w:right w:val="none" w:sz="0" w:space="0" w:color="auto"/>
          </w:divBdr>
          <w:divsChild>
            <w:div w:id="35338181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22109431">
      <w:marLeft w:val="0"/>
      <w:marRight w:val="0"/>
      <w:marTop w:val="180"/>
      <w:marBottom w:val="180"/>
      <w:divBdr>
        <w:top w:val="none" w:sz="0" w:space="0" w:color="auto"/>
        <w:left w:val="none" w:sz="0" w:space="0" w:color="auto"/>
        <w:bottom w:val="none" w:sz="0" w:space="0" w:color="auto"/>
        <w:right w:val="none" w:sz="0" w:space="0" w:color="auto"/>
      </w:divBdr>
    </w:div>
    <w:div w:id="1623881192">
      <w:marLeft w:val="0"/>
      <w:marRight w:val="0"/>
      <w:marTop w:val="0"/>
      <w:marBottom w:val="0"/>
      <w:divBdr>
        <w:top w:val="none" w:sz="0" w:space="0" w:color="auto"/>
        <w:left w:val="none" w:sz="0" w:space="0" w:color="auto"/>
        <w:bottom w:val="none" w:sz="0" w:space="0" w:color="auto"/>
        <w:right w:val="none" w:sz="0" w:space="0" w:color="auto"/>
      </w:divBdr>
    </w:div>
    <w:div w:id="1623997137">
      <w:marLeft w:val="0"/>
      <w:marRight w:val="0"/>
      <w:marTop w:val="180"/>
      <w:marBottom w:val="180"/>
      <w:divBdr>
        <w:top w:val="none" w:sz="0" w:space="0" w:color="auto"/>
        <w:left w:val="none" w:sz="0" w:space="0" w:color="auto"/>
        <w:bottom w:val="none" w:sz="0" w:space="0" w:color="auto"/>
        <w:right w:val="none" w:sz="0" w:space="0" w:color="auto"/>
      </w:divBdr>
    </w:div>
    <w:div w:id="1624995832">
      <w:marLeft w:val="0"/>
      <w:marRight w:val="0"/>
      <w:marTop w:val="0"/>
      <w:marBottom w:val="0"/>
      <w:divBdr>
        <w:top w:val="none" w:sz="0" w:space="0" w:color="auto"/>
        <w:left w:val="none" w:sz="0" w:space="0" w:color="auto"/>
        <w:bottom w:val="none" w:sz="0" w:space="0" w:color="auto"/>
        <w:right w:val="none" w:sz="0" w:space="0" w:color="auto"/>
      </w:divBdr>
      <w:divsChild>
        <w:div w:id="2006977910">
          <w:marLeft w:val="0"/>
          <w:marRight w:val="0"/>
          <w:marTop w:val="60"/>
          <w:marBottom w:val="180"/>
          <w:divBdr>
            <w:top w:val="none" w:sz="0" w:space="0" w:color="auto"/>
            <w:left w:val="none" w:sz="0" w:space="0" w:color="auto"/>
            <w:bottom w:val="none" w:sz="0" w:space="0" w:color="auto"/>
            <w:right w:val="none" w:sz="0" w:space="0" w:color="auto"/>
          </w:divBdr>
        </w:div>
      </w:divsChild>
    </w:div>
    <w:div w:id="1627277204">
      <w:marLeft w:val="0"/>
      <w:marRight w:val="0"/>
      <w:marTop w:val="180"/>
      <w:marBottom w:val="0"/>
      <w:divBdr>
        <w:top w:val="none" w:sz="0" w:space="0" w:color="auto"/>
        <w:left w:val="none" w:sz="0" w:space="0" w:color="auto"/>
        <w:bottom w:val="none" w:sz="0" w:space="0" w:color="auto"/>
        <w:right w:val="none" w:sz="0" w:space="0" w:color="auto"/>
      </w:divBdr>
    </w:div>
    <w:div w:id="1629582449">
      <w:marLeft w:val="0"/>
      <w:marRight w:val="0"/>
      <w:marTop w:val="180"/>
      <w:marBottom w:val="180"/>
      <w:divBdr>
        <w:top w:val="none" w:sz="0" w:space="0" w:color="auto"/>
        <w:left w:val="none" w:sz="0" w:space="0" w:color="auto"/>
        <w:bottom w:val="none" w:sz="0" w:space="0" w:color="auto"/>
        <w:right w:val="none" w:sz="0" w:space="0" w:color="auto"/>
      </w:divBdr>
    </w:div>
    <w:div w:id="1629621671">
      <w:marLeft w:val="0"/>
      <w:marRight w:val="0"/>
      <w:marTop w:val="0"/>
      <w:marBottom w:val="0"/>
      <w:divBdr>
        <w:top w:val="none" w:sz="0" w:space="0" w:color="auto"/>
        <w:left w:val="none" w:sz="0" w:space="0" w:color="auto"/>
        <w:bottom w:val="none" w:sz="0" w:space="0" w:color="auto"/>
        <w:right w:val="none" w:sz="0" w:space="0" w:color="auto"/>
      </w:divBdr>
    </w:div>
    <w:div w:id="1629623332">
      <w:marLeft w:val="0"/>
      <w:marRight w:val="0"/>
      <w:marTop w:val="0"/>
      <w:marBottom w:val="0"/>
      <w:divBdr>
        <w:top w:val="none" w:sz="0" w:space="0" w:color="auto"/>
        <w:left w:val="none" w:sz="0" w:space="0" w:color="auto"/>
        <w:bottom w:val="none" w:sz="0" w:space="0" w:color="auto"/>
        <w:right w:val="none" w:sz="0" w:space="0" w:color="auto"/>
      </w:divBdr>
      <w:divsChild>
        <w:div w:id="2006854485">
          <w:marLeft w:val="0"/>
          <w:marRight w:val="0"/>
          <w:marTop w:val="60"/>
          <w:marBottom w:val="180"/>
          <w:divBdr>
            <w:top w:val="none" w:sz="0" w:space="0" w:color="auto"/>
            <w:left w:val="none" w:sz="0" w:space="0" w:color="auto"/>
            <w:bottom w:val="none" w:sz="0" w:space="0" w:color="auto"/>
            <w:right w:val="none" w:sz="0" w:space="0" w:color="auto"/>
          </w:divBdr>
        </w:div>
      </w:divsChild>
    </w:div>
    <w:div w:id="1630281564">
      <w:marLeft w:val="0"/>
      <w:marRight w:val="0"/>
      <w:marTop w:val="180"/>
      <w:marBottom w:val="180"/>
      <w:divBdr>
        <w:top w:val="none" w:sz="0" w:space="0" w:color="auto"/>
        <w:left w:val="none" w:sz="0" w:space="0" w:color="auto"/>
        <w:bottom w:val="none" w:sz="0" w:space="0" w:color="auto"/>
        <w:right w:val="none" w:sz="0" w:space="0" w:color="auto"/>
      </w:divBdr>
    </w:div>
    <w:div w:id="1631740749">
      <w:marLeft w:val="0"/>
      <w:marRight w:val="0"/>
      <w:marTop w:val="180"/>
      <w:marBottom w:val="180"/>
      <w:divBdr>
        <w:top w:val="none" w:sz="0" w:space="0" w:color="auto"/>
        <w:left w:val="none" w:sz="0" w:space="0" w:color="auto"/>
        <w:bottom w:val="none" w:sz="0" w:space="0" w:color="auto"/>
        <w:right w:val="none" w:sz="0" w:space="0" w:color="auto"/>
      </w:divBdr>
    </w:div>
    <w:div w:id="1632318174">
      <w:marLeft w:val="0"/>
      <w:marRight w:val="0"/>
      <w:marTop w:val="0"/>
      <w:marBottom w:val="0"/>
      <w:divBdr>
        <w:top w:val="none" w:sz="0" w:space="0" w:color="auto"/>
        <w:left w:val="none" w:sz="0" w:space="0" w:color="auto"/>
        <w:bottom w:val="none" w:sz="0" w:space="0" w:color="auto"/>
        <w:right w:val="none" w:sz="0" w:space="0" w:color="auto"/>
      </w:divBdr>
      <w:divsChild>
        <w:div w:id="208996638">
          <w:marLeft w:val="0"/>
          <w:marRight w:val="0"/>
          <w:marTop w:val="0"/>
          <w:marBottom w:val="0"/>
          <w:divBdr>
            <w:top w:val="none" w:sz="0" w:space="0" w:color="auto"/>
            <w:left w:val="none" w:sz="0" w:space="0" w:color="auto"/>
            <w:bottom w:val="none" w:sz="0" w:space="0" w:color="auto"/>
            <w:right w:val="none" w:sz="0" w:space="0" w:color="auto"/>
          </w:divBdr>
          <w:divsChild>
            <w:div w:id="474825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33748792">
      <w:marLeft w:val="0"/>
      <w:marRight w:val="0"/>
      <w:marTop w:val="0"/>
      <w:marBottom w:val="0"/>
      <w:divBdr>
        <w:top w:val="none" w:sz="0" w:space="0" w:color="auto"/>
        <w:left w:val="none" w:sz="0" w:space="0" w:color="auto"/>
        <w:bottom w:val="none" w:sz="0" w:space="0" w:color="auto"/>
        <w:right w:val="none" w:sz="0" w:space="0" w:color="auto"/>
      </w:divBdr>
    </w:div>
    <w:div w:id="1633825344">
      <w:marLeft w:val="0"/>
      <w:marRight w:val="0"/>
      <w:marTop w:val="180"/>
      <w:marBottom w:val="180"/>
      <w:divBdr>
        <w:top w:val="none" w:sz="0" w:space="0" w:color="auto"/>
        <w:left w:val="none" w:sz="0" w:space="0" w:color="auto"/>
        <w:bottom w:val="none" w:sz="0" w:space="0" w:color="auto"/>
        <w:right w:val="none" w:sz="0" w:space="0" w:color="auto"/>
      </w:divBdr>
    </w:div>
    <w:div w:id="1639070173">
      <w:marLeft w:val="0"/>
      <w:marRight w:val="0"/>
      <w:marTop w:val="180"/>
      <w:marBottom w:val="180"/>
      <w:divBdr>
        <w:top w:val="none" w:sz="0" w:space="0" w:color="auto"/>
        <w:left w:val="none" w:sz="0" w:space="0" w:color="auto"/>
        <w:bottom w:val="none" w:sz="0" w:space="0" w:color="auto"/>
        <w:right w:val="none" w:sz="0" w:space="0" w:color="auto"/>
      </w:divBdr>
    </w:div>
    <w:div w:id="1640723163">
      <w:marLeft w:val="0"/>
      <w:marRight w:val="0"/>
      <w:marTop w:val="180"/>
      <w:marBottom w:val="180"/>
      <w:divBdr>
        <w:top w:val="none" w:sz="0" w:space="0" w:color="auto"/>
        <w:left w:val="none" w:sz="0" w:space="0" w:color="auto"/>
        <w:bottom w:val="none" w:sz="0" w:space="0" w:color="auto"/>
        <w:right w:val="none" w:sz="0" w:space="0" w:color="auto"/>
      </w:divBdr>
    </w:div>
    <w:div w:id="1640723560">
      <w:marLeft w:val="0"/>
      <w:marRight w:val="0"/>
      <w:marTop w:val="180"/>
      <w:marBottom w:val="180"/>
      <w:divBdr>
        <w:top w:val="none" w:sz="0" w:space="0" w:color="auto"/>
        <w:left w:val="none" w:sz="0" w:space="0" w:color="auto"/>
        <w:bottom w:val="none" w:sz="0" w:space="0" w:color="auto"/>
        <w:right w:val="none" w:sz="0" w:space="0" w:color="auto"/>
      </w:divBdr>
    </w:div>
    <w:div w:id="1640725779">
      <w:marLeft w:val="0"/>
      <w:marRight w:val="0"/>
      <w:marTop w:val="60"/>
      <w:marBottom w:val="60"/>
      <w:divBdr>
        <w:top w:val="none" w:sz="0" w:space="0" w:color="auto"/>
        <w:left w:val="none" w:sz="0" w:space="0" w:color="auto"/>
        <w:bottom w:val="none" w:sz="0" w:space="0" w:color="auto"/>
        <w:right w:val="none" w:sz="0" w:space="0" w:color="auto"/>
      </w:divBdr>
    </w:div>
    <w:div w:id="1641495556">
      <w:marLeft w:val="0"/>
      <w:marRight w:val="0"/>
      <w:marTop w:val="180"/>
      <w:marBottom w:val="180"/>
      <w:divBdr>
        <w:top w:val="none" w:sz="0" w:space="0" w:color="auto"/>
        <w:left w:val="none" w:sz="0" w:space="0" w:color="auto"/>
        <w:bottom w:val="none" w:sz="0" w:space="0" w:color="auto"/>
        <w:right w:val="none" w:sz="0" w:space="0" w:color="auto"/>
      </w:divBdr>
    </w:div>
    <w:div w:id="1641573292">
      <w:marLeft w:val="0"/>
      <w:marRight w:val="0"/>
      <w:marTop w:val="60"/>
      <w:marBottom w:val="60"/>
      <w:divBdr>
        <w:top w:val="none" w:sz="0" w:space="0" w:color="auto"/>
        <w:left w:val="none" w:sz="0" w:space="0" w:color="auto"/>
        <w:bottom w:val="none" w:sz="0" w:space="0" w:color="auto"/>
        <w:right w:val="none" w:sz="0" w:space="0" w:color="auto"/>
      </w:divBdr>
    </w:div>
    <w:div w:id="1642421103">
      <w:marLeft w:val="0"/>
      <w:marRight w:val="0"/>
      <w:marTop w:val="180"/>
      <w:marBottom w:val="180"/>
      <w:divBdr>
        <w:top w:val="none" w:sz="0" w:space="0" w:color="auto"/>
        <w:left w:val="none" w:sz="0" w:space="0" w:color="auto"/>
        <w:bottom w:val="none" w:sz="0" w:space="0" w:color="auto"/>
        <w:right w:val="none" w:sz="0" w:space="0" w:color="auto"/>
      </w:divBdr>
    </w:div>
    <w:div w:id="1643267198">
      <w:marLeft w:val="0"/>
      <w:marRight w:val="0"/>
      <w:marTop w:val="0"/>
      <w:marBottom w:val="0"/>
      <w:divBdr>
        <w:top w:val="none" w:sz="0" w:space="0" w:color="auto"/>
        <w:left w:val="none" w:sz="0" w:space="0" w:color="auto"/>
        <w:bottom w:val="none" w:sz="0" w:space="0" w:color="auto"/>
        <w:right w:val="none" w:sz="0" w:space="0" w:color="auto"/>
      </w:divBdr>
      <w:divsChild>
        <w:div w:id="1299458120">
          <w:marLeft w:val="0"/>
          <w:marRight w:val="0"/>
          <w:marTop w:val="60"/>
          <w:marBottom w:val="60"/>
          <w:divBdr>
            <w:top w:val="none" w:sz="0" w:space="0" w:color="auto"/>
            <w:left w:val="none" w:sz="0" w:space="0" w:color="auto"/>
            <w:bottom w:val="none" w:sz="0" w:space="0" w:color="auto"/>
            <w:right w:val="none" w:sz="0" w:space="0" w:color="auto"/>
          </w:divBdr>
        </w:div>
      </w:divsChild>
    </w:div>
    <w:div w:id="1645085684">
      <w:marLeft w:val="0"/>
      <w:marRight w:val="0"/>
      <w:marTop w:val="180"/>
      <w:marBottom w:val="180"/>
      <w:divBdr>
        <w:top w:val="none" w:sz="0" w:space="0" w:color="auto"/>
        <w:left w:val="none" w:sz="0" w:space="0" w:color="auto"/>
        <w:bottom w:val="none" w:sz="0" w:space="0" w:color="auto"/>
        <w:right w:val="none" w:sz="0" w:space="0" w:color="auto"/>
      </w:divBdr>
    </w:div>
    <w:div w:id="1645813435">
      <w:marLeft w:val="0"/>
      <w:marRight w:val="0"/>
      <w:marTop w:val="180"/>
      <w:marBottom w:val="180"/>
      <w:divBdr>
        <w:top w:val="none" w:sz="0" w:space="0" w:color="auto"/>
        <w:left w:val="none" w:sz="0" w:space="0" w:color="auto"/>
        <w:bottom w:val="none" w:sz="0" w:space="0" w:color="auto"/>
        <w:right w:val="none" w:sz="0" w:space="0" w:color="auto"/>
      </w:divBdr>
    </w:div>
    <w:div w:id="1646161177">
      <w:marLeft w:val="0"/>
      <w:marRight w:val="0"/>
      <w:marTop w:val="60"/>
      <w:marBottom w:val="60"/>
      <w:divBdr>
        <w:top w:val="none" w:sz="0" w:space="0" w:color="auto"/>
        <w:left w:val="none" w:sz="0" w:space="0" w:color="auto"/>
        <w:bottom w:val="none" w:sz="0" w:space="0" w:color="auto"/>
        <w:right w:val="none" w:sz="0" w:space="0" w:color="auto"/>
      </w:divBdr>
    </w:div>
    <w:div w:id="1647052745">
      <w:marLeft w:val="0"/>
      <w:marRight w:val="0"/>
      <w:marTop w:val="180"/>
      <w:marBottom w:val="180"/>
      <w:divBdr>
        <w:top w:val="none" w:sz="0" w:space="0" w:color="auto"/>
        <w:left w:val="none" w:sz="0" w:space="0" w:color="auto"/>
        <w:bottom w:val="none" w:sz="0" w:space="0" w:color="auto"/>
        <w:right w:val="none" w:sz="0" w:space="0" w:color="auto"/>
      </w:divBdr>
    </w:div>
    <w:div w:id="1648239169">
      <w:marLeft w:val="0"/>
      <w:marRight w:val="0"/>
      <w:marTop w:val="180"/>
      <w:marBottom w:val="180"/>
      <w:divBdr>
        <w:top w:val="none" w:sz="0" w:space="0" w:color="auto"/>
        <w:left w:val="none" w:sz="0" w:space="0" w:color="auto"/>
        <w:bottom w:val="none" w:sz="0" w:space="0" w:color="auto"/>
        <w:right w:val="none" w:sz="0" w:space="0" w:color="auto"/>
      </w:divBdr>
    </w:div>
    <w:div w:id="1650013223">
      <w:marLeft w:val="0"/>
      <w:marRight w:val="0"/>
      <w:marTop w:val="0"/>
      <w:marBottom w:val="0"/>
      <w:divBdr>
        <w:top w:val="none" w:sz="0" w:space="0" w:color="auto"/>
        <w:left w:val="none" w:sz="0" w:space="0" w:color="auto"/>
        <w:bottom w:val="none" w:sz="0" w:space="0" w:color="auto"/>
        <w:right w:val="none" w:sz="0" w:space="0" w:color="auto"/>
      </w:divBdr>
      <w:divsChild>
        <w:div w:id="1417508608">
          <w:marLeft w:val="0"/>
          <w:marRight w:val="0"/>
          <w:marTop w:val="0"/>
          <w:marBottom w:val="0"/>
          <w:divBdr>
            <w:top w:val="none" w:sz="0" w:space="0" w:color="auto"/>
            <w:left w:val="none" w:sz="0" w:space="0" w:color="auto"/>
            <w:bottom w:val="none" w:sz="0" w:space="0" w:color="auto"/>
            <w:right w:val="none" w:sz="0" w:space="0" w:color="auto"/>
          </w:divBdr>
          <w:divsChild>
            <w:div w:id="74804543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50477011">
      <w:marLeft w:val="0"/>
      <w:marRight w:val="0"/>
      <w:marTop w:val="0"/>
      <w:marBottom w:val="0"/>
      <w:divBdr>
        <w:top w:val="none" w:sz="0" w:space="0" w:color="auto"/>
        <w:left w:val="none" w:sz="0" w:space="0" w:color="auto"/>
        <w:bottom w:val="none" w:sz="0" w:space="0" w:color="auto"/>
        <w:right w:val="none" w:sz="0" w:space="0" w:color="auto"/>
      </w:divBdr>
      <w:divsChild>
        <w:div w:id="1078094648">
          <w:marLeft w:val="0"/>
          <w:marRight w:val="0"/>
          <w:marTop w:val="0"/>
          <w:marBottom w:val="0"/>
          <w:divBdr>
            <w:top w:val="none" w:sz="0" w:space="0" w:color="auto"/>
            <w:left w:val="none" w:sz="0" w:space="0" w:color="auto"/>
            <w:bottom w:val="none" w:sz="0" w:space="0" w:color="auto"/>
            <w:right w:val="none" w:sz="0" w:space="0" w:color="auto"/>
          </w:divBdr>
          <w:divsChild>
            <w:div w:id="22626220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56716313">
      <w:marLeft w:val="0"/>
      <w:marRight w:val="0"/>
      <w:marTop w:val="180"/>
      <w:marBottom w:val="60"/>
      <w:divBdr>
        <w:top w:val="none" w:sz="0" w:space="0" w:color="auto"/>
        <w:left w:val="none" w:sz="0" w:space="0" w:color="auto"/>
        <w:bottom w:val="none" w:sz="0" w:space="0" w:color="auto"/>
        <w:right w:val="none" w:sz="0" w:space="0" w:color="auto"/>
      </w:divBdr>
    </w:div>
    <w:div w:id="1657105240">
      <w:marLeft w:val="0"/>
      <w:marRight w:val="0"/>
      <w:marTop w:val="0"/>
      <w:marBottom w:val="0"/>
      <w:divBdr>
        <w:top w:val="none" w:sz="0" w:space="0" w:color="auto"/>
        <w:left w:val="none" w:sz="0" w:space="0" w:color="auto"/>
        <w:bottom w:val="none" w:sz="0" w:space="0" w:color="auto"/>
        <w:right w:val="none" w:sz="0" w:space="0" w:color="auto"/>
      </w:divBdr>
      <w:divsChild>
        <w:div w:id="1608461034">
          <w:marLeft w:val="0"/>
          <w:marRight w:val="0"/>
          <w:marTop w:val="60"/>
          <w:marBottom w:val="180"/>
          <w:divBdr>
            <w:top w:val="none" w:sz="0" w:space="0" w:color="auto"/>
            <w:left w:val="none" w:sz="0" w:space="0" w:color="auto"/>
            <w:bottom w:val="none" w:sz="0" w:space="0" w:color="auto"/>
            <w:right w:val="none" w:sz="0" w:space="0" w:color="auto"/>
          </w:divBdr>
        </w:div>
      </w:divsChild>
    </w:div>
    <w:div w:id="1657874769">
      <w:marLeft w:val="0"/>
      <w:marRight w:val="0"/>
      <w:marTop w:val="60"/>
      <w:marBottom w:val="60"/>
      <w:divBdr>
        <w:top w:val="none" w:sz="0" w:space="0" w:color="auto"/>
        <w:left w:val="none" w:sz="0" w:space="0" w:color="auto"/>
        <w:bottom w:val="none" w:sz="0" w:space="0" w:color="auto"/>
        <w:right w:val="none" w:sz="0" w:space="0" w:color="auto"/>
      </w:divBdr>
    </w:div>
    <w:div w:id="1658027100">
      <w:marLeft w:val="0"/>
      <w:marRight w:val="0"/>
      <w:marTop w:val="0"/>
      <w:marBottom w:val="0"/>
      <w:divBdr>
        <w:top w:val="none" w:sz="0" w:space="0" w:color="auto"/>
        <w:left w:val="none" w:sz="0" w:space="0" w:color="auto"/>
        <w:bottom w:val="none" w:sz="0" w:space="0" w:color="auto"/>
        <w:right w:val="none" w:sz="0" w:space="0" w:color="auto"/>
      </w:divBdr>
    </w:div>
    <w:div w:id="1658991274">
      <w:marLeft w:val="0"/>
      <w:marRight w:val="0"/>
      <w:marTop w:val="180"/>
      <w:marBottom w:val="180"/>
      <w:divBdr>
        <w:top w:val="none" w:sz="0" w:space="0" w:color="auto"/>
        <w:left w:val="none" w:sz="0" w:space="0" w:color="auto"/>
        <w:bottom w:val="none" w:sz="0" w:space="0" w:color="auto"/>
        <w:right w:val="none" w:sz="0" w:space="0" w:color="auto"/>
      </w:divBdr>
    </w:div>
    <w:div w:id="1658994508">
      <w:marLeft w:val="0"/>
      <w:marRight w:val="0"/>
      <w:marTop w:val="180"/>
      <w:marBottom w:val="180"/>
      <w:divBdr>
        <w:top w:val="none" w:sz="0" w:space="0" w:color="auto"/>
        <w:left w:val="none" w:sz="0" w:space="0" w:color="auto"/>
        <w:bottom w:val="none" w:sz="0" w:space="0" w:color="auto"/>
        <w:right w:val="none" w:sz="0" w:space="0" w:color="auto"/>
      </w:divBdr>
    </w:div>
    <w:div w:id="1659111466">
      <w:marLeft w:val="0"/>
      <w:marRight w:val="0"/>
      <w:marTop w:val="0"/>
      <w:marBottom w:val="0"/>
      <w:divBdr>
        <w:top w:val="none" w:sz="0" w:space="0" w:color="auto"/>
        <w:left w:val="none" w:sz="0" w:space="0" w:color="auto"/>
        <w:bottom w:val="none" w:sz="0" w:space="0" w:color="auto"/>
        <w:right w:val="none" w:sz="0" w:space="0" w:color="auto"/>
      </w:divBdr>
      <w:divsChild>
        <w:div w:id="181357666">
          <w:marLeft w:val="0"/>
          <w:marRight w:val="0"/>
          <w:marTop w:val="60"/>
          <w:marBottom w:val="60"/>
          <w:divBdr>
            <w:top w:val="none" w:sz="0" w:space="0" w:color="auto"/>
            <w:left w:val="none" w:sz="0" w:space="0" w:color="auto"/>
            <w:bottom w:val="none" w:sz="0" w:space="0" w:color="auto"/>
            <w:right w:val="none" w:sz="0" w:space="0" w:color="auto"/>
          </w:divBdr>
        </w:div>
      </w:divsChild>
    </w:div>
    <w:div w:id="1660230535">
      <w:marLeft w:val="0"/>
      <w:marRight w:val="0"/>
      <w:marTop w:val="0"/>
      <w:marBottom w:val="0"/>
      <w:divBdr>
        <w:top w:val="none" w:sz="0" w:space="0" w:color="auto"/>
        <w:left w:val="none" w:sz="0" w:space="0" w:color="auto"/>
        <w:bottom w:val="none" w:sz="0" w:space="0" w:color="auto"/>
        <w:right w:val="none" w:sz="0" w:space="0" w:color="auto"/>
      </w:divBdr>
      <w:divsChild>
        <w:div w:id="2047561703">
          <w:marLeft w:val="0"/>
          <w:marRight w:val="0"/>
          <w:marTop w:val="180"/>
          <w:marBottom w:val="180"/>
          <w:divBdr>
            <w:top w:val="none" w:sz="0" w:space="0" w:color="auto"/>
            <w:left w:val="none" w:sz="0" w:space="0" w:color="auto"/>
            <w:bottom w:val="none" w:sz="0" w:space="0" w:color="auto"/>
            <w:right w:val="none" w:sz="0" w:space="0" w:color="auto"/>
          </w:divBdr>
        </w:div>
      </w:divsChild>
    </w:div>
    <w:div w:id="1660452195">
      <w:marLeft w:val="0"/>
      <w:marRight w:val="0"/>
      <w:marTop w:val="180"/>
      <w:marBottom w:val="180"/>
      <w:divBdr>
        <w:top w:val="none" w:sz="0" w:space="0" w:color="auto"/>
        <w:left w:val="none" w:sz="0" w:space="0" w:color="auto"/>
        <w:bottom w:val="none" w:sz="0" w:space="0" w:color="auto"/>
        <w:right w:val="none" w:sz="0" w:space="0" w:color="auto"/>
      </w:divBdr>
    </w:div>
    <w:div w:id="1661546309">
      <w:marLeft w:val="0"/>
      <w:marRight w:val="0"/>
      <w:marTop w:val="180"/>
      <w:marBottom w:val="180"/>
      <w:divBdr>
        <w:top w:val="none" w:sz="0" w:space="0" w:color="auto"/>
        <w:left w:val="none" w:sz="0" w:space="0" w:color="auto"/>
        <w:bottom w:val="none" w:sz="0" w:space="0" w:color="auto"/>
        <w:right w:val="none" w:sz="0" w:space="0" w:color="auto"/>
      </w:divBdr>
    </w:div>
    <w:div w:id="1661692334">
      <w:marLeft w:val="0"/>
      <w:marRight w:val="0"/>
      <w:marTop w:val="60"/>
      <w:marBottom w:val="60"/>
      <w:divBdr>
        <w:top w:val="none" w:sz="0" w:space="0" w:color="auto"/>
        <w:left w:val="none" w:sz="0" w:space="0" w:color="auto"/>
        <w:bottom w:val="none" w:sz="0" w:space="0" w:color="auto"/>
        <w:right w:val="none" w:sz="0" w:space="0" w:color="auto"/>
      </w:divBdr>
    </w:div>
    <w:div w:id="1661882729">
      <w:marLeft w:val="0"/>
      <w:marRight w:val="0"/>
      <w:marTop w:val="180"/>
      <w:marBottom w:val="180"/>
      <w:divBdr>
        <w:top w:val="none" w:sz="0" w:space="0" w:color="auto"/>
        <w:left w:val="none" w:sz="0" w:space="0" w:color="auto"/>
        <w:bottom w:val="none" w:sz="0" w:space="0" w:color="auto"/>
        <w:right w:val="none" w:sz="0" w:space="0" w:color="auto"/>
      </w:divBdr>
    </w:div>
    <w:div w:id="1662270341">
      <w:marLeft w:val="0"/>
      <w:marRight w:val="0"/>
      <w:marTop w:val="100"/>
      <w:marBottom w:val="0"/>
      <w:divBdr>
        <w:top w:val="none" w:sz="0" w:space="0" w:color="auto"/>
        <w:left w:val="none" w:sz="0" w:space="0" w:color="auto"/>
        <w:bottom w:val="none" w:sz="0" w:space="0" w:color="auto"/>
        <w:right w:val="none" w:sz="0" w:space="0" w:color="auto"/>
      </w:divBdr>
    </w:div>
    <w:div w:id="1662271573">
      <w:marLeft w:val="0"/>
      <w:marRight w:val="0"/>
      <w:marTop w:val="240"/>
      <w:marBottom w:val="180"/>
      <w:divBdr>
        <w:top w:val="none" w:sz="0" w:space="0" w:color="auto"/>
        <w:left w:val="none" w:sz="0" w:space="0" w:color="auto"/>
        <w:bottom w:val="none" w:sz="0" w:space="0" w:color="auto"/>
        <w:right w:val="none" w:sz="0" w:space="0" w:color="auto"/>
      </w:divBdr>
    </w:div>
    <w:div w:id="1662730091">
      <w:marLeft w:val="0"/>
      <w:marRight w:val="0"/>
      <w:marTop w:val="180"/>
      <w:marBottom w:val="180"/>
      <w:divBdr>
        <w:top w:val="none" w:sz="0" w:space="0" w:color="auto"/>
        <w:left w:val="none" w:sz="0" w:space="0" w:color="auto"/>
        <w:bottom w:val="none" w:sz="0" w:space="0" w:color="auto"/>
        <w:right w:val="none" w:sz="0" w:space="0" w:color="auto"/>
      </w:divBdr>
    </w:div>
    <w:div w:id="1663896101">
      <w:marLeft w:val="0"/>
      <w:marRight w:val="0"/>
      <w:marTop w:val="0"/>
      <w:marBottom w:val="0"/>
      <w:divBdr>
        <w:top w:val="none" w:sz="0" w:space="0" w:color="auto"/>
        <w:left w:val="none" w:sz="0" w:space="0" w:color="auto"/>
        <w:bottom w:val="none" w:sz="0" w:space="0" w:color="auto"/>
        <w:right w:val="none" w:sz="0" w:space="0" w:color="auto"/>
      </w:divBdr>
      <w:divsChild>
        <w:div w:id="2069449506">
          <w:marLeft w:val="0"/>
          <w:marRight w:val="0"/>
          <w:marTop w:val="180"/>
          <w:marBottom w:val="180"/>
          <w:divBdr>
            <w:top w:val="none" w:sz="0" w:space="0" w:color="auto"/>
            <w:left w:val="none" w:sz="0" w:space="0" w:color="auto"/>
            <w:bottom w:val="none" w:sz="0" w:space="0" w:color="auto"/>
            <w:right w:val="none" w:sz="0" w:space="0" w:color="auto"/>
          </w:divBdr>
        </w:div>
      </w:divsChild>
    </w:div>
    <w:div w:id="1664235640">
      <w:marLeft w:val="0"/>
      <w:marRight w:val="0"/>
      <w:marTop w:val="60"/>
      <w:marBottom w:val="60"/>
      <w:divBdr>
        <w:top w:val="none" w:sz="0" w:space="0" w:color="auto"/>
        <w:left w:val="none" w:sz="0" w:space="0" w:color="auto"/>
        <w:bottom w:val="none" w:sz="0" w:space="0" w:color="auto"/>
        <w:right w:val="none" w:sz="0" w:space="0" w:color="auto"/>
      </w:divBdr>
    </w:div>
    <w:div w:id="1664503780">
      <w:marLeft w:val="0"/>
      <w:marRight w:val="0"/>
      <w:marTop w:val="0"/>
      <w:marBottom w:val="0"/>
      <w:divBdr>
        <w:top w:val="none" w:sz="0" w:space="0" w:color="auto"/>
        <w:left w:val="none" w:sz="0" w:space="0" w:color="auto"/>
        <w:bottom w:val="none" w:sz="0" w:space="0" w:color="auto"/>
        <w:right w:val="none" w:sz="0" w:space="0" w:color="auto"/>
      </w:divBdr>
    </w:div>
    <w:div w:id="1665235543">
      <w:marLeft w:val="0"/>
      <w:marRight w:val="0"/>
      <w:marTop w:val="60"/>
      <w:marBottom w:val="60"/>
      <w:divBdr>
        <w:top w:val="none" w:sz="0" w:space="0" w:color="auto"/>
        <w:left w:val="none" w:sz="0" w:space="0" w:color="auto"/>
        <w:bottom w:val="none" w:sz="0" w:space="0" w:color="auto"/>
        <w:right w:val="none" w:sz="0" w:space="0" w:color="auto"/>
      </w:divBdr>
    </w:div>
    <w:div w:id="1665236566">
      <w:marLeft w:val="0"/>
      <w:marRight w:val="0"/>
      <w:marTop w:val="180"/>
      <w:marBottom w:val="180"/>
      <w:divBdr>
        <w:top w:val="none" w:sz="0" w:space="0" w:color="auto"/>
        <w:left w:val="none" w:sz="0" w:space="0" w:color="auto"/>
        <w:bottom w:val="none" w:sz="0" w:space="0" w:color="auto"/>
        <w:right w:val="none" w:sz="0" w:space="0" w:color="auto"/>
      </w:divBdr>
    </w:div>
    <w:div w:id="1665281088">
      <w:marLeft w:val="0"/>
      <w:marRight w:val="0"/>
      <w:marTop w:val="60"/>
      <w:marBottom w:val="60"/>
      <w:divBdr>
        <w:top w:val="none" w:sz="0" w:space="0" w:color="auto"/>
        <w:left w:val="none" w:sz="0" w:space="0" w:color="auto"/>
        <w:bottom w:val="none" w:sz="0" w:space="0" w:color="auto"/>
        <w:right w:val="none" w:sz="0" w:space="0" w:color="auto"/>
      </w:divBdr>
    </w:div>
    <w:div w:id="1666476942">
      <w:marLeft w:val="0"/>
      <w:marRight w:val="0"/>
      <w:marTop w:val="180"/>
      <w:marBottom w:val="180"/>
      <w:divBdr>
        <w:top w:val="none" w:sz="0" w:space="0" w:color="auto"/>
        <w:left w:val="none" w:sz="0" w:space="0" w:color="auto"/>
        <w:bottom w:val="none" w:sz="0" w:space="0" w:color="auto"/>
        <w:right w:val="none" w:sz="0" w:space="0" w:color="auto"/>
      </w:divBdr>
    </w:div>
    <w:div w:id="1667202572">
      <w:marLeft w:val="0"/>
      <w:marRight w:val="0"/>
      <w:marTop w:val="180"/>
      <w:marBottom w:val="180"/>
      <w:divBdr>
        <w:top w:val="none" w:sz="0" w:space="0" w:color="auto"/>
        <w:left w:val="none" w:sz="0" w:space="0" w:color="auto"/>
        <w:bottom w:val="none" w:sz="0" w:space="0" w:color="auto"/>
        <w:right w:val="none" w:sz="0" w:space="0" w:color="auto"/>
      </w:divBdr>
    </w:div>
    <w:div w:id="1668828067">
      <w:marLeft w:val="0"/>
      <w:marRight w:val="0"/>
      <w:marTop w:val="180"/>
      <w:marBottom w:val="60"/>
      <w:divBdr>
        <w:top w:val="none" w:sz="0" w:space="0" w:color="auto"/>
        <w:left w:val="none" w:sz="0" w:space="0" w:color="auto"/>
        <w:bottom w:val="none" w:sz="0" w:space="0" w:color="auto"/>
        <w:right w:val="none" w:sz="0" w:space="0" w:color="auto"/>
      </w:divBdr>
    </w:div>
    <w:div w:id="1670254312">
      <w:marLeft w:val="0"/>
      <w:marRight w:val="0"/>
      <w:marTop w:val="180"/>
      <w:marBottom w:val="180"/>
      <w:divBdr>
        <w:top w:val="none" w:sz="0" w:space="0" w:color="auto"/>
        <w:left w:val="none" w:sz="0" w:space="0" w:color="auto"/>
        <w:bottom w:val="none" w:sz="0" w:space="0" w:color="auto"/>
        <w:right w:val="none" w:sz="0" w:space="0" w:color="auto"/>
      </w:divBdr>
    </w:div>
    <w:div w:id="1670792514">
      <w:marLeft w:val="0"/>
      <w:marRight w:val="0"/>
      <w:marTop w:val="180"/>
      <w:marBottom w:val="180"/>
      <w:divBdr>
        <w:top w:val="none" w:sz="0" w:space="0" w:color="auto"/>
        <w:left w:val="none" w:sz="0" w:space="0" w:color="auto"/>
        <w:bottom w:val="none" w:sz="0" w:space="0" w:color="auto"/>
        <w:right w:val="none" w:sz="0" w:space="0" w:color="auto"/>
      </w:divBdr>
    </w:div>
    <w:div w:id="1670980401">
      <w:marLeft w:val="0"/>
      <w:marRight w:val="0"/>
      <w:marTop w:val="180"/>
      <w:marBottom w:val="180"/>
      <w:divBdr>
        <w:top w:val="none" w:sz="0" w:space="0" w:color="auto"/>
        <w:left w:val="none" w:sz="0" w:space="0" w:color="auto"/>
        <w:bottom w:val="none" w:sz="0" w:space="0" w:color="auto"/>
        <w:right w:val="none" w:sz="0" w:space="0" w:color="auto"/>
      </w:divBdr>
    </w:div>
    <w:div w:id="1672751776">
      <w:marLeft w:val="0"/>
      <w:marRight w:val="0"/>
      <w:marTop w:val="180"/>
      <w:marBottom w:val="180"/>
      <w:divBdr>
        <w:top w:val="none" w:sz="0" w:space="0" w:color="auto"/>
        <w:left w:val="none" w:sz="0" w:space="0" w:color="auto"/>
        <w:bottom w:val="none" w:sz="0" w:space="0" w:color="auto"/>
        <w:right w:val="none" w:sz="0" w:space="0" w:color="auto"/>
      </w:divBdr>
    </w:div>
    <w:div w:id="1677489853">
      <w:marLeft w:val="0"/>
      <w:marRight w:val="0"/>
      <w:marTop w:val="180"/>
      <w:marBottom w:val="180"/>
      <w:divBdr>
        <w:top w:val="none" w:sz="0" w:space="0" w:color="auto"/>
        <w:left w:val="none" w:sz="0" w:space="0" w:color="auto"/>
        <w:bottom w:val="none" w:sz="0" w:space="0" w:color="auto"/>
        <w:right w:val="none" w:sz="0" w:space="0" w:color="auto"/>
      </w:divBdr>
    </w:div>
    <w:div w:id="1677536939">
      <w:marLeft w:val="0"/>
      <w:marRight w:val="0"/>
      <w:marTop w:val="60"/>
      <w:marBottom w:val="60"/>
      <w:divBdr>
        <w:top w:val="none" w:sz="0" w:space="0" w:color="auto"/>
        <w:left w:val="none" w:sz="0" w:space="0" w:color="auto"/>
        <w:bottom w:val="none" w:sz="0" w:space="0" w:color="auto"/>
        <w:right w:val="none" w:sz="0" w:space="0" w:color="auto"/>
      </w:divBdr>
    </w:div>
    <w:div w:id="1678917957">
      <w:marLeft w:val="0"/>
      <w:marRight w:val="0"/>
      <w:marTop w:val="100"/>
      <w:marBottom w:val="180"/>
      <w:divBdr>
        <w:top w:val="none" w:sz="0" w:space="0" w:color="auto"/>
        <w:left w:val="none" w:sz="0" w:space="0" w:color="auto"/>
        <w:bottom w:val="none" w:sz="0" w:space="0" w:color="auto"/>
        <w:right w:val="none" w:sz="0" w:space="0" w:color="auto"/>
      </w:divBdr>
    </w:div>
    <w:div w:id="1679189812">
      <w:marLeft w:val="0"/>
      <w:marRight w:val="0"/>
      <w:marTop w:val="180"/>
      <w:marBottom w:val="180"/>
      <w:divBdr>
        <w:top w:val="none" w:sz="0" w:space="0" w:color="auto"/>
        <w:left w:val="none" w:sz="0" w:space="0" w:color="auto"/>
        <w:bottom w:val="none" w:sz="0" w:space="0" w:color="auto"/>
        <w:right w:val="none" w:sz="0" w:space="0" w:color="auto"/>
      </w:divBdr>
    </w:div>
    <w:div w:id="1679884776">
      <w:marLeft w:val="0"/>
      <w:marRight w:val="0"/>
      <w:marTop w:val="180"/>
      <w:marBottom w:val="180"/>
      <w:divBdr>
        <w:top w:val="none" w:sz="0" w:space="0" w:color="auto"/>
        <w:left w:val="none" w:sz="0" w:space="0" w:color="auto"/>
        <w:bottom w:val="none" w:sz="0" w:space="0" w:color="auto"/>
        <w:right w:val="none" w:sz="0" w:space="0" w:color="auto"/>
      </w:divBdr>
    </w:div>
    <w:div w:id="1680961103">
      <w:marLeft w:val="0"/>
      <w:marRight w:val="0"/>
      <w:marTop w:val="180"/>
      <w:marBottom w:val="180"/>
      <w:divBdr>
        <w:top w:val="none" w:sz="0" w:space="0" w:color="auto"/>
        <w:left w:val="none" w:sz="0" w:space="0" w:color="auto"/>
        <w:bottom w:val="none" w:sz="0" w:space="0" w:color="auto"/>
        <w:right w:val="none" w:sz="0" w:space="0" w:color="auto"/>
      </w:divBdr>
    </w:div>
    <w:div w:id="1681470617">
      <w:marLeft w:val="0"/>
      <w:marRight w:val="0"/>
      <w:marTop w:val="180"/>
      <w:marBottom w:val="180"/>
      <w:divBdr>
        <w:top w:val="none" w:sz="0" w:space="0" w:color="auto"/>
        <w:left w:val="none" w:sz="0" w:space="0" w:color="auto"/>
        <w:bottom w:val="none" w:sz="0" w:space="0" w:color="auto"/>
        <w:right w:val="none" w:sz="0" w:space="0" w:color="auto"/>
      </w:divBdr>
    </w:div>
    <w:div w:id="1683127307">
      <w:marLeft w:val="0"/>
      <w:marRight w:val="0"/>
      <w:marTop w:val="180"/>
      <w:marBottom w:val="180"/>
      <w:divBdr>
        <w:top w:val="none" w:sz="0" w:space="0" w:color="auto"/>
        <w:left w:val="none" w:sz="0" w:space="0" w:color="auto"/>
        <w:bottom w:val="none" w:sz="0" w:space="0" w:color="auto"/>
        <w:right w:val="none" w:sz="0" w:space="0" w:color="auto"/>
      </w:divBdr>
    </w:div>
    <w:div w:id="1683164736">
      <w:marLeft w:val="0"/>
      <w:marRight w:val="0"/>
      <w:marTop w:val="180"/>
      <w:marBottom w:val="180"/>
      <w:divBdr>
        <w:top w:val="none" w:sz="0" w:space="0" w:color="auto"/>
        <w:left w:val="none" w:sz="0" w:space="0" w:color="auto"/>
        <w:bottom w:val="none" w:sz="0" w:space="0" w:color="auto"/>
        <w:right w:val="none" w:sz="0" w:space="0" w:color="auto"/>
      </w:divBdr>
    </w:div>
    <w:div w:id="1684697675">
      <w:marLeft w:val="0"/>
      <w:marRight w:val="0"/>
      <w:marTop w:val="180"/>
      <w:marBottom w:val="180"/>
      <w:divBdr>
        <w:top w:val="none" w:sz="0" w:space="0" w:color="auto"/>
        <w:left w:val="none" w:sz="0" w:space="0" w:color="auto"/>
        <w:bottom w:val="none" w:sz="0" w:space="0" w:color="auto"/>
        <w:right w:val="none" w:sz="0" w:space="0" w:color="auto"/>
      </w:divBdr>
    </w:div>
    <w:div w:id="1685012543">
      <w:marLeft w:val="0"/>
      <w:marRight w:val="0"/>
      <w:marTop w:val="0"/>
      <w:marBottom w:val="0"/>
      <w:divBdr>
        <w:top w:val="none" w:sz="0" w:space="0" w:color="auto"/>
        <w:left w:val="none" w:sz="0" w:space="0" w:color="auto"/>
        <w:bottom w:val="none" w:sz="0" w:space="0" w:color="auto"/>
        <w:right w:val="none" w:sz="0" w:space="0" w:color="auto"/>
      </w:divBdr>
      <w:divsChild>
        <w:div w:id="1684362265">
          <w:marLeft w:val="0"/>
          <w:marRight w:val="0"/>
          <w:marTop w:val="0"/>
          <w:marBottom w:val="0"/>
          <w:divBdr>
            <w:top w:val="none" w:sz="0" w:space="0" w:color="auto"/>
            <w:left w:val="none" w:sz="0" w:space="0" w:color="auto"/>
            <w:bottom w:val="none" w:sz="0" w:space="0" w:color="auto"/>
            <w:right w:val="none" w:sz="0" w:space="0" w:color="auto"/>
          </w:divBdr>
          <w:divsChild>
            <w:div w:id="61605911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85324074">
      <w:marLeft w:val="0"/>
      <w:marRight w:val="0"/>
      <w:marTop w:val="180"/>
      <w:marBottom w:val="180"/>
      <w:divBdr>
        <w:top w:val="none" w:sz="0" w:space="0" w:color="auto"/>
        <w:left w:val="none" w:sz="0" w:space="0" w:color="auto"/>
        <w:bottom w:val="none" w:sz="0" w:space="0" w:color="auto"/>
        <w:right w:val="none" w:sz="0" w:space="0" w:color="auto"/>
      </w:divBdr>
    </w:div>
    <w:div w:id="1685327496">
      <w:marLeft w:val="0"/>
      <w:marRight w:val="0"/>
      <w:marTop w:val="0"/>
      <w:marBottom w:val="0"/>
      <w:divBdr>
        <w:top w:val="none" w:sz="0" w:space="0" w:color="auto"/>
        <w:left w:val="none" w:sz="0" w:space="0" w:color="auto"/>
        <w:bottom w:val="none" w:sz="0" w:space="0" w:color="auto"/>
        <w:right w:val="none" w:sz="0" w:space="0" w:color="auto"/>
      </w:divBdr>
    </w:div>
    <w:div w:id="1686203358">
      <w:marLeft w:val="0"/>
      <w:marRight w:val="0"/>
      <w:marTop w:val="180"/>
      <w:marBottom w:val="180"/>
      <w:divBdr>
        <w:top w:val="none" w:sz="0" w:space="0" w:color="auto"/>
        <w:left w:val="none" w:sz="0" w:space="0" w:color="auto"/>
        <w:bottom w:val="none" w:sz="0" w:space="0" w:color="auto"/>
        <w:right w:val="none" w:sz="0" w:space="0" w:color="auto"/>
      </w:divBdr>
    </w:div>
    <w:div w:id="1687445048">
      <w:marLeft w:val="0"/>
      <w:marRight w:val="0"/>
      <w:marTop w:val="60"/>
      <w:marBottom w:val="60"/>
      <w:divBdr>
        <w:top w:val="none" w:sz="0" w:space="0" w:color="auto"/>
        <w:left w:val="none" w:sz="0" w:space="0" w:color="auto"/>
        <w:bottom w:val="none" w:sz="0" w:space="0" w:color="auto"/>
        <w:right w:val="none" w:sz="0" w:space="0" w:color="auto"/>
      </w:divBdr>
    </w:div>
    <w:div w:id="1688555848">
      <w:marLeft w:val="0"/>
      <w:marRight w:val="0"/>
      <w:marTop w:val="180"/>
      <w:marBottom w:val="180"/>
      <w:divBdr>
        <w:top w:val="none" w:sz="0" w:space="0" w:color="auto"/>
        <w:left w:val="none" w:sz="0" w:space="0" w:color="auto"/>
        <w:bottom w:val="none" w:sz="0" w:space="0" w:color="auto"/>
        <w:right w:val="none" w:sz="0" w:space="0" w:color="auto"/>
      </w:divBdr>
    </w:div>
    <w:div w:id="1688755133">
      <w:marLeft w:val="0"/>
      <w:marRight w:val="0"/>
      <w:marTop w:val="180"/>
      <w:marBottom w:val="180"/>
      <w:divBdr>
        <w:top w:val="none" w:sz="0" w:space="0" w:color="auto"/>
        <w:left w:val="none" w:sz="0" w:space="0" w:color="auto"/>
        <w:bottom w:val="none" w:sz="0" w:space="0" w:color="auto"/>
        <w:right w:val="none" w:sz="0" w:space="0" w:color="auto"/>
      </w:divBdr>
    </w:div>
    <w:div w:id="1689140428">
      <w:marLeft w:val="0"/>
      <w:marRight w:val="0"/>
      <w:marTop w:val="0"/>
      <w:marBottom w:val="0"/>
      <w:divBdr>
        <w:top w:val="none" w:sz="0" w:space="0" w:color="auto"/>
        <w:left w:val="none" w:sz="0" w:space="0" w:color="auto"/>
        <w:bottom w:val="none" w:sz="0" w:space="0" w:color="auto"/>
        <w:right w:val="none" w:sz="0" w:space="0" w:color="auto"/>
      </w:divBdr>
    </w:div>
    <w:div w:id="1693264870">
      <w:marLeft w:val="0"/>
      <w:marRight w:val="0"/>
      <w:marTop w:val="180"/>
      <w:marBottom w:val="180"/>
      <w:divBdr>
        <w:top w:val="none" w:sz="0" w:space="0" w:color="auto"/>
        <w:left w:val="none" w:sz="0" w:space="0" w:color="auto"/>
        <w:bottom w:val="none" w:sz="0" w:space="0" w:color="auto"/>
        <w:right w:val="none" w:sz="0" w:space="0" w:color="auto"/>
      </w:divBdr>
    </w:div>
    <w:div w:id="1696033753">
      <w:marLeft w:val="0"/>
      <w:marRight w:val="0"/>
      <w:marTop w:val="180"/>
      <w:marBottom w:val="180"/>
      <w:divBdr>
        <w:top w:val="none" w:sz="0" w:space="0" w:color="auto"/>
        <w:left w:val="none" w:sz="0" w:space="0" w:color="auto"/>
        <w:bottom w:val="none" w:sz="0" w:space="0" w:color="auto"/>
        <w:right w:val="none" w:sz="0" w:space="0" w:color="auto"/>
      </w:divBdr>
    </w:div>
    <w:div w:id="1697579361">
      <w:marLeft w:val="0"/>
      <w:marRight w:val="0"/>
      <w:marTop w:val="180"/>
      <w:marBottom w:val="180"/>
      <w:divBdr>
        <w:top w:val="none" w:sz="0" w:space="0" w:color="auto"/>
        <w:left w:val="none" w:sz="0" w:space="0" w:color="auto"/>
        <w:bottom w:val="none" w:sz="0" w:space="0" w:color="auto"/>
        <w:right w:val="none" w:sz="0" w:space="0" w:color="auto"/>
      </w:divBdr>
    </w:div>
    <w:div w:id="1707633019">
      <w:marLeft w:val="0"/>
      <w:marRight w:val="0"/>
      <w:marTop w:val="0"/>
      <w:marBottom w:val="0"/>
      <w:divBdr>
        <w:top w:val="none" w:sz="0" w:space="0" w:color="auto"/>
        <w:left w:val="none" w:sz="0" w:space="0" w:color="auto"/>
        <w:bottom w:val="none" w:sz="0" w:space="0" w:color="auto"/>
        <w:right w:val="none" w:sz="0" w:space="0" w:color="auto"/>
      </w:divBdr>
    </w:div>
    <w:div w:id="1708027688">
      <w:marLeft w:val="0"/>
      <w:marRight w:val="0"/>
      <w:marTop w:val="180"/>
      <w:marBottom w:val="180"/>
      <w:divBdr>
        <w:top w:val="none" w:sz="0" w:space="0" w:color="auto"/>
        <w:left w:val="none" w:sz="0" w:space="0" w:color="auto"/>
        <w:bottom w:val="none" w:sz="0" w:space="0" w:color="auto"/>
        <w:right w:val="none" w:sz="0" w:space="0" w:color="auto"/>
      </w:divBdr>
    </w:div>
    <w:div w:id="1708406995">
      <w:marLeft w:val="0"/>
      <w:marRight w:val="0"/>
      <w:marTop w:val="180"/>
      <w:marBottom w:val="180"/>
      <w:divBdr>
        <w:top w:val="none" w:sz="0" w:space="0" w:color="auto"/>
        <w:left w:val="none" w:sz="0" w:space="0" w:color="auto"/>
        <w:bottom w:val="none" w:sz="0" w:space="0" w:color="auto"/>
        <w:right w:val="none" w:sz="0" w:space="0" w:color="auto"/>
      </w:divBdr>
    </w:div>
    <w:div w:id="1708874235">
      <w:marLeft w:val="0"/>
      <w:marRight w:val="0"/>
      <w:marTop w:val="180"/>
      <w:marBottom w:val="0"/>
      <w:divBdr>
        <w:top w:val="none" w:sz="0" w:space="0" w:color="auto"/>
        <w:left w:val="none" w:sz="0" w:space="0" w:color="auto"/>
        <w:bottom w:val="none" w:sz="0" w:space="0" w:color="auto"/>
        <w:right w:val="none" w:sz="0" w:space="0" w:color="auto"/>
      </w:divBdr>
    </w:div>
    <w:div w:id="1709720390">
      <w:marLeft w:val="0"/>
      <w:marRight w:val="0"/>
      <w:marTop w:val="180"/>
      <w:marBottom w:val="180"/>
      <w:divBdr>
        <w:top w:val="none" w:sz="0" w:space="0" w:color="auto"/>
        <w:left w:val="none" w:sz="0" w:space="0" w:color="auto"/>
        <w:bottom w:val="none" w:sz="0" w:space="0" w:color="auto"/>
        <w:right w:val="none" w:sz="0" w:space="0" w:color="auto"/>
      </w:divBdr>
    </w:div>
    <w:div w:id="1710952764">
      <w:marLeft w:val="0"/>
      <w:marRight w:val="0"/>
      <w:marTop w:val="180"/>
      <w:marBottom w:val="180"/>
      <w:divBdr>
        <w:top w:val="none" w:sz="0" w:space="0" w:color="auto"/>
        <w:left w:val="none" w:sz="0" w:space="0" w:color="auto"/>
        <w:bottom w:val="none" w:sz="0" w:space="0" w:color="auto"/>
        <w:right w:val="none" w:sz="0" w:space="0" w:color="auto"/>
      </w:divBdr>
    </w:div>
    <w:div w:id="1711420577">
      <w:marLeft w:val="0"/>
      <w:marRight w:val="0"/>
      <w:marTop w:val="100"/>
      <w:marBottom w:val="0"/>
      <w:divBdr>
        <w:top w:val="none" w:sz="0" w:space="0" w:color="auto"/>
        <w:left w:val="none" w:sz="0" w:space="0" w:color="auto"/>
        <w:bottom w:val="none" w:sz="0" w:space="0" w:color="auto"/>
        <w:right w:val="none" w:sz="0" w:space="0" w:color="auto"/>
      </w:divBdr>
      <w:divsChild>
        <w:div w:id="444887738">
          <w:marLeft w:val="0"/>
          <w:marRight w:val="0"/>
          <w:marTop w:val="0"/>
          <w:marBottom w:val="0"/>
          <w:divBdr>
            <w:top w:val="none" w:sz="0" w:space="0" w:color="auto"/>
            <w:left w:val="none" w:sz="0" w:space="0" w:color="auto"/>
            <w:bottom w:val="none" w:sz="0" w:space="0" w:color="auto"/>
            <w:right w:val="none" w:sz="0" w:space="0" w:color="auto"/>
          </w:divBdr>
        </w:div>
        <w:div w:id="1652178933">
          <w:marLeft w:val="0"/>
          <w:marRight w:val="0"/>
          <w:marTop w:val="0"/>
          <w:marBottom w:val="0"/>
          <w:divBdr>
            <w:top w:val="none" w:sz="0" w:space="0" w:color="auto"/>
            <w:left w:val="none" w:sz="0" w:space="0" w:color="auto"/>
            <w:bottom w:val="none" w:sz="0" w:space="0" w:color="auto"/>
            <w:right w:val="none" w:sz="0" w:space="0" w:color="auto"/>
          </w:divBdr>
        </w:div>
        <w:div w:id="1172454302">
          <w:marLeft w:val="0"/>
          <w:marRight w:val="0"/>
          <w:marTop w:val="0"/>
          <w:marBottom w:val="0"/>
          <w:divBdr>
            <w:top w:val="none" w:sz="0" w:space="0" w:color="auto"/>
            <w:left w:val="none" w:sz="0" w:space="0" w:color="auto"/>
            <w:bottom w:val="none" w:sz="0" w:space="0" w:color="auto"/>
            <w:right w:val="none" w:sz="0" w:space="0" w:color="auto"/>
          </w:divBdr>
        </w:div>
      </w:divsChild>
    </w:div>
    <w:div w:id="1712459097">
      <w:marLeft w:val="0"/>
      <w:marRight w:val="0"/>
      <w:marTop w:val="180"/>
      <w:marBottom w:val="180"/>
      <w:divBdr>
        <w:top w:val="none" w:sz="0" w:space="0" w:color="auto"/>
        <w:left w:val="none" w:sz="0" w:space="0" w:color="auto"/>
        <w:bottom w:val="none" w:sz="0" w:space="0" w:color="auto"/>
        <w:right w:val="none" w:sz="0" w:space="0" w:color="auto"/>
      </w:divBdr>
    </w:div>
    <w:div w:id="1713504568">
      <w:marLeft w:val="0"/>
      <w:marRight w:val="0"/>
      <w:marTop w:val="0"/>
      <w:marBottom w:val="0"/>
      <w:divBdr>
        <w:top w:val="none" w:sz="0" w:space="0" w:color="auto"/>
        <w:left w:val="none" w:sz="0" w:space="0" w:color="auto"/>
        <w:bottom w:val="none" w:sz="0" w:space="0" w:color="auto"/>
        <w:right w:val="none" w:sz="0" w:space="0" w:color="auto"/>
      </w:divBdr>
    </w:div>
    <w:div w:id="1713655787">
      <w:marLeft w:val="0"/>
      <w:marRight w:val="0"/>
      <w:marTop w:val="0"/>
      <w:marBottom w:val="0"/>
      <w:divBdr>
        <w:top w:val="none" w:sz="0" w:space="0" w:color="auto"/>
        <w:left w:val="none" w:sz="0" w:space="0" w:color="auto"/>
        <w:bottom w:val="none" w:sz="0" w:space="0" w:color="auto"/>
        <w:right w:val="none" w:sz="0" w:space="0" w:color="auto"/>
      </w:divBdr>
      <w:divsChild>
        <w:div w:id="297036233">
          <w:marLeft w:val="0"/>
          <w:marRight w:val="0"/>
          <w:marTop w:val="0"/>
          <w:marBottom w:val="0"/>
          <w:divBdr>
            <w:top w:val="none" w:sz="0" w:space="0" w:color="auto"/>
            <w:left w:val="none" w:sz="0" w:space="0" w:color="auto"/>
            <w:bottom w:val="none" w:sz="0" w:space="0" w:color="auto"/>
            <w:right w:val="none" w:sz="0" w:space="0" w:color="auto"/>
          </w:divBdr>
          <w:divsChild>
            <w:div w:id="99857766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13767668">
      <w:marLeft w:val="0"/>
      <w:marRight w:val="0"/>
      <w:marTop w:val="180"/>
      <w:marBottom w:val="60"/>
      <w:divBdr>
        <w:top w:val="none" w:sz="0" w:space="0" w:color="auto"/>
        <w:left w:val="none" w:sz="0" w:space="0" w:color="auto"/>
        <w:bottom w:val="none" w:sz="0" w:space="0" w:color="auto"/>
        <w:right w:val="none" w:sz="0" w:space="0" w:color="auto"/>
      </w:divBdr>
    </w:div>
    <w:div w:id="1714646143">
      <w:marLeft w:val="0"/>
      <w:marRight w:val="0"/>
      <w:marTop w:val="180"/>
      <w:marBottom w:val="180"/>
      <w:divBdr>
        <w:top w:val="none" w:sz="0" w:space="0" w:color="auto"/>
        <w:left w:val="none" w:sz="0" w:space="0" w:color="auto"/>
        <w:bottom w:val="none" w:sz="0" w:space="0" w:color="auto"/>
        <w:right w:val="none" w:sz="0" w:space="0" w:color="auto"/>
      </w:divBdr>
    </w:div>
    <w:div w:id="1714888701">
      <w:marLeft w:val="0"/>
      <w:marRight w:val="0"/>
      <w:marTop w:val="0"/>
      <w:marBottom w:val="0"/>
      <w:divBdr>
        <w:top w:val="none" w:sz="0" w:space="0" w:color="auto"/>
        <w:left w:val="none" w:sz="0" w:space="0" w:color="auto"/>
        <w:bottom w:val="none" w:sz="0" w:space="0" w:color="auto"/>
        <w:right w:val="none" w:sz="0" w:space="0" w:color="auto"/>
      </w:divBdr>
      <w:divsChild>
        <w:div w:id="1743403768">
          <w:marLeft w:val="0"/>
          <w:marRight w:val="0"/>
          <w:marTop w:val="0"/>
          <w:marBottom w:val="0"/>
          <w:divBdr>
            <w:top w:val="none" w:sz="0" w:space="0" w:color="auto"/>
            <w:left w:val="none" w:sz="0" w:space="0" w:color="auto"/>
            <w:bottom w:val="none" w:sz="0" w:space="0" w:color="auto"/>
            <w:right w:val="none" w:sz="0" w:space="0" w:color="auto"/>
          </w:divBdr>
          <w:divsChild>
            <w:div w:id="153742400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15422641">
      <w:marLeft w:val="0"/>
      <w:marRight w:val="0"/>
      <w:marTop w:val="0"/>
      <w:marBottom w:val="0"/>
      <w:divBdr>
        <w:top w:val="none" w:sz="0" w:space="0" w:color="auto"/>
        <w:left w:val="none" w:sz="0" w:space="0" w:color="auto"/>
        <w:bottom w:val="none" w:sz="0" w:space="0" w:color="auto"/>
        <w:right w:val="none" w:sz="0" w:space="0" w:color="auto"/>
      </w:divBdr>
    </w:div>
    <w:div w:id="1715539995">
      <w:marLeft w:val="0"/>
      <w:marRight w:val="0"/>
      <w:marTop w:val="180"/>
      <w:marBottom w:val="180"/>
      <w:divBdr>
        <w:top w:val="none" w:sz="0" w:space="0" w:color="auto"/>
        <w:left w:val="none" w:sz="0" w:space="0" w:color="auto"/>
        <w:bottom w:val="none" w:sz="0" w:space="0" w:color="auto"/>
        <w:right w:val="none" w:sz="0" w:space="0" w:color="auto"/>
      </w:divBdr>
    </w:div>
    <w:div w:id="1715929798">
      <w:marLeft w:val="0"/>
      <w:marRight w:val="0"/>
      <w:marTop w:val="0"/>
      <w:marBottom w:val="0"/>
      <w:divBdr>
        <w:top w:val="none" w:sz="0" w:space="0" w:color="auto"/>
        <w:left w:val="none" w:sz="0" w:space="0" w:color="auto"/>
        <w:bottom w:val="none" w:sz="0" w:space="0" w:color="auto"/>
        <w:right w:val="none" w:sz="0" w:space="0" w:color="auto"/>
      </w:divBdr>
      <w:divsChild>
        <w:div w:id="1209607914">
          <w:marLeft w:val="0"/>
          <w:marRight w:val="0"/>
          <w:marTop w:val="60"/>
          <w:marBottom w:val="180"/>
          <w:divBdr>
            <w:top w:val="none" w:sz="0" w:space="0" w:color="auto"/>
            <w:left w:val="none" w:sz="0" w:space="0" w:color="auto"/>
            <w:bottom w:val="none" w:sz="0" w:space="0" w:color="auto"/>
            <w:right w:val="none" w:sz="0" w:space="0" w:color="auto"/>
          </w:divBdr>
        </w:div>
      </w:divsChild>
    </w:div>
    <w:div w:id="1716006062">
      <w:marLeft w:val="0"/>
      <w:marRight w:val="0"/>
      <w:marTop w:val="180"/>
      <w:marBottom w:val="180"/>
      <w:divBdr>
        <w:top w:val="none" w:sz="0" w:space="0" w:color="auto"/>
        <w:left w:val="none" w:sz="0" w:space="0" w:color="auto"/>
        <w:bottom w:val="none" w:sz="0" w:space="0" w:color="auto"/>
        <w:right w:val="none" w:sz="0" w:space="0" w:color="auto"/>
      </w:divBdr>
    </w:div>
    <w:div w:id="1716156558">
      <w:marLeft w:val="0"/>
      <w:marRight w:val="0"/>
      <w:marTop w:val="180"/>
      <w:marBottom w:val="180"/>
      <w:divBdr>
        <w:top w:val="none" w:sz="0" w:space="0" w:color="auto"/>
        <w:left w:val="none" w:sz="0" w:space="0" w:color="auto"/>
        <w:bottom w:val="none" w:sz="0" w:space="0" w:color="auto"/>
        <w:right w:val="none" w:sz="0" w:space="0" w:color="auto"/>
      </w:divBdr>
    </w:div>
    <w:div w:id="1717699077">
      <w:marLeft w:val="0"/>
      <w:marRight w:val="0"/>
      <w:marTop w:val="180"/>
      <w:marBottom w:val="180"/>
      <w:divBdr>
        <w:top w:val="none" w:sz="0" w:space="0" w:color="auto"/>
        <w:left w:val="none" w:sz="0" w:space="0" w:color="auto"/>
        <w:bottom w:val="none" w:sz="0" w:space="0" w:color="auto"/>
        <w:right w:val="none" w:sz="0" w:space="0" w:color="auto"/>
      </w:divBdr>
    </w:div>
    <w:div w:id="1718238755">
      <w:marLeft w:val="0"/>
      <w:marRight w:val="0"/>
      <w:marTop w:val="180"/>
      <w:marBottom w:val="180"/>
      <w:divBdr>
        <w:top w:val="none" w:sz="0" w:space="0" w:color="auto"/>
        <w:left w:val="none" w:sz="0" w:space="0" w:color="auto"/>
        <w:bottom w:val="none" w:sz="0" w:space="0" w:color="auto"/>
        <w:right w:val="none" w:sz="0" w:space="0" w:color="auto"/>
      </w:divBdr>
    </w:div>
    <w:div w:id="1718623965">
      <w:marLeft w:val="0"/>
      <w:marRight w:val="0"/>
      <w:marTop w:val="0"/>
      <w:marBottom w:val="0"/>
      <w:divBdr>
        <w:top w:val="none" w:sz="0" w:space="0" w:color="auto"/>
        <w:left w:val="none" w:sz="0" w:space="0" w:color="auto"/>
        <w:bottom w:val="none" w:sz="0" w:space="0" w:color="auto"/>
        <w:right w:val="none" w:sz="0" w:space="0" w:color="auto"/>
      </w:divBdr>
      <w:divsChild>
        <w:div w:id="1426995907">
          <w:marLeft w:val="0"/>
          <w:marRight w:val="0"/>
          <w:marTop w:val="0"/>
          <w:marBottom w:val="0"/>
          <w:divBdr>
            <w:top w:val="none" w:sz="0" w:space="0" w:color="auto"/>
            <w:left w:val="none" w:sz="0" w:space="0" w:color="auto"/>
            <w:bottom w:val="none" w:sz="0" w:space="0" w:color="auto"/>
            <w:right w:val="none" w:sz="0" w:space="0" w:color="auto"/>
          </w:divBdr>
          <w:divsChild>
            <w:div w:id="112107277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19360658">
      <w:marLeft w:val="0"/>
      <w:marRight w:val="0"/>
      <w:marTop w:val="180"/>
      <w:marBottom w:val="180"/>
      <w:divBdr>
        <w:top w:val="none" w:sz="0" w:space="0" w:color="auto"/>
        <w:left w:val="none" w:sz="0" w:space="0" w:color="auto"/>
        <w:bottom w:val="none" w:sz="0" w:space="0" w:color="auto"/>
        <w:right w:val="none" w:sz="0" w:space="0" w:color="auto"/>
      </w:divBdr>
    </w:div>
    <w:div w:id="1719432357">
      <w:marLeft w:val="0"/>
      <w:marRight w:val="0"/>
      <w:marTop w:val="180"/>
      <w:marBottom w:val="180"/>
      <w:divBdr>
        <w:top w:val="none" w:sz="0" w:space="0" w:color="auto"/>
        <w:left w:val="none" w:sz="0" w:space="0" w:color="auto"/>
        <w:bottom w:val="none" w:sz="0" w:space="0" w:color="auto"/>
        <w:right w:val="none" w:sz="0" w:space="0" w:color="auto"/>
      </w:divBdr>
    </w:div>
    <w:div w:id="1720088353">
      <w:marLeft w:val="0"/>
      <w:marRight w:val="0"/>
      <w:marTop w:val="180"/>
      <w:marBottom w:val="180"/>
      <w:divBdr>
        <w:top w:val="none" w:sz="0" w:space="0" w:color="auto"/>
        <w:left w:val="none" w:sz="0" w:space="0" w:color="auto"/>
        <w:bottom w:val="none" w:sz="0" w:space="0" w:color="auto"/>
        <w:right w:val="none" w:sz="0" w:space="0" w:color="auto"/>
      </w:divBdr>
    </w:div>
    <w:div w:id="1720471345">
      <w:marLeft w:val="0"/>
      <w:marRight w:val="0"/>
      <w:marTop w:val="0"/>
      <w:marBottom w:val="180"/>
      <w:divBdr>
        <w:top w:val="none" w:sz="0" w:space="0" w:color="auto"/>
        <w:left w:val="none" w:sz="0" w:space="0" w:color="auto"/>
        <w:bottom w:val="none" w:sz="0" w:space="0" w:color="auto"/>
        <w:right w:val="none" w:sz="0" w:space="0" w:color="auto"/>
      </w:divBdr>
    </w:div>
    <w:div w:id="1720857632">
      <w:marLeft w:val="0"/>
      <w:marRight w:val="0"/>
      <w:marTop w:val="180"/>
      <w:marBottom w:val="180"/>
      <w:divBdr>
        <w:top w:val="none" w:sz="0" w:space="0" w:color="auto"/>
        <w:left w:val="none" w:sz="0" w:space="0" w:color="auto"/>
        <w:bottom w:val="none" w:sz="0" w:space="0" w:color="auto"/>
        <w:right w:val="none" w:sz="0" w:space="0" w:color="auto"/>
      </w:divBdr>
    </w:div>
    <w:div w:id="1723673491">
      <w:marLeft w:val="0"/>
      <w:marRight w:val="0"/>
      <w:marTop w:val="180"/>
      <w:marBottom w:val="180"/>
      <w:divBdr>
        <w:top w:val="none" w:sz="0" w:space="0" w:color="auto"/>
        <w:left w:val="none" w:sz="0" w:space="0" w:color="auto"/>
        <w:bottom w:val="none" w:sz="0" w:space="0" w:color="auto"/>
        <w:right w:val="none" w:sz="0" w:space="0" w:color="auto"/>
      </w:divBdr>
    </w:div>
    <w:div w:id="1725133652">
      <w:marLeft w:val="0"/>
      <w:marRight w:val="0"/>
      <w:marTop w:val="0"/>
      <w:marBottom w:val="0"/>
      <w:divBdr>
        <w:top w:val="none" w:sz="0" w:space="0" w:color="auto"/>
        <w:left w:val="none" w:sz="0" w:space="0" w:color="auto"/>
        <w:bottom w:val="none" w:sz="0" w:space="0" w:color="auto"/>
        <w:right w:val="none" w:sz="0" w:space="0" w:color="auto"/>
      </w:divBdr>
      <w:divsChild>
        <w:div w:id="683674534">
          <w:marLeft w:val="0"/>
          <w:marRight w:val="0"/>
          <w:marTop w:val="180"/>
          <w:marBottom w:val="180"/>
          <w:divBdr>
            <w:top w:val="none" w:sz="0" w:space="0" w:color="auto"/>
            <w:left w:val="none" w:sz="0" w:space="0" w:color="auto"/>
            <w:bottom w:val="none" w:sz="0" w:space="0" w:color="auto"/>
            <w:right w:val="none" w:sz="0" w:space="0" w:color="auto"/>
          </w:divBdr>
        </w:div>
      </w:divsChild>
    </w:div>
    <w:div w:id="1725910330">
      <w:marLeft w:val="0"/>
      <w:marRight w:val="0"/>
      <w:marTop w:val="180"/>
      <w:marBottom w:val="180"/>
      <w:divBdr>
        <w:top w:val="none" w:sz="0" w:space="0" w:color="auto"/>
        <w:left w:val="none" w:sz="0" w:space="0" w:color="auto"/>
        <w:bottom w:val="none" w:sz="0" w:space="0" w:color="auto"/>
        <w:right w:val="none" w:sz="0" w:space="0" w:color="auto"/>
      </w:divBdr>
    </w:div>
    <w:div w:id="1726677416">
      <w:marLeft w:val="0"/>
      <w:marRight w:val="0"/>
      <w:marTop w:val="180"/>
      <w:marBottom w:val="180"/>
      <w:divBdr>
        <w:top w:val="none" w:sz="0" w:space="0" w:color="auto"/>
        <w:left w:val="none" w:sz="0" w:space="0" w:color="auto"/>
        <w:bottom w:val="none" w:sz="0" w:space="0" w:color="auto"/>
        <w:right w:val="none" w:sz="0" w:space="0" w:color="auto"/>
      </w:divBdr>
    </w:div>
    <w:div w:id="1728187218">
      <w:marLeft w:val="0"/>
      <w:marRight w:val="0"/>
      <w:marTop w:val="180"/>
      <w:marBottom w:val="180"/>
      <w:divBdr>
        <w:top w:val="none" w:sz="0" w:space="0" w:color="auto"/>
        <w:left w:val="none" w:sz="0" w:space="0" w:color="auto"/>
        <w:bottom w:val="none" w:sz="0" w:space="0" w:color="auto"/>
        <w:right w:val="none" w:sz="0" w:space="0" w:color="auto"/>
      </w:divBdr>
    </w:div>
    <w:div w:id="1729836184">
      <w:marLeft w:val="0"/>
      <w:marRight w:val="0"/>
      <w:marTop w:val="60"/>
      <w:marBottom w:val="60"/>
      <w:divBdr>
        <w:top w:val="none" w:sz="0" w:space="0" w:color="auto"/>
        <w:left w:val="none" w:sz="0" w:space="0" w:color="auto"/>
        <w:bottom w:val="none" w:sz="0" w:space="0" w:color="auto"/>
        <w:right w:val="none" w:sz="0" w:space="0" w:color="auto"/>
      </w:divBdr>
    </w:div>
    <w:div w:id="1731146458">
      <w:marLeft w:val="0"/>
      <w:marRight w:val="0"/>
      <w:marTop w:val="60"/>
      <w:marBottom w:val="60"/>
      <w:divBdr>
        <w:top w:val="none" w:sz="0" w:space="0" w:color="auto"/>
        <w:left w:val="none" w:sz="0" w:space="0" w:color="auto"/>
        <w:bottom w:val="none" w:sz="0" w:space="0" w:color="auto"/>
        <w:right w:val="none" w:sz="0" w:space="0" w:color="auto"/>
      </w:divBdr>
    </w:div>
    <w:div w:id="1734158243">
      <w:marLeft w:val="0"/>
      <w:marRight w:val="0"/>
      <w:marTop w:val="0"/>
      <w:marBottom w:val="0"/>
      <w:divBdr>
        <w:top w:val="none" w:sz="0" w:space="0" w:color="auto"/>
        <w:left w:val="none" w:sz="0" w:space="0" w:color="auto"/>
        <w:bottom w:val="none" w:sz="0" w:space="0" w:color="auto"/>
        <w:right w:val="none" w:sz="0" w:space="0" w:color="auto"/>
      </w:divBdr>
    </w:div>
    <w:div w:id="1734691748">
      <w:marLeft w:val="0"/>
      <w:marRight w:val="0"/>
      <w:marTop w:val="180"/>
      <w:marBottom w:val="180"/>
      <w:divBdr>
        <w:top w:val="none" w:sz="0" w:space="0" w:color="auto"/>
        <w:left w:val="none" w:sz="0" w:space="0" w:color="auto"/>
        <w:bottom w:val="none" w:sz="0" w:space="0" w:color="auto"/>
        <w:right w:val="none" w:sz="0" w:space="0" w:color="auto"/>
      </w:divBdr>
    </w:div>
    <w:div w:id="1735003828">
      <w:marLeft w:val="0"/>
      <w:marRight w:val="0"/>
      <w:marTop w:val="180"/>
      <w:marBottom w:val="180"/>
      <w:divBdr>
        <w:top w:val="none" w:sz="0" w:space="0" w:color="auto"/>
        <w:left w:val="none" w:sz="0" w:space="0" w:color="auto"/>
        <w:bottom w:val="none" w:sz="0" w:space="0" w:color="auto"/>
        <w:right w:val="none" w:sz="0" w:space="0" w:color="auto"/>
      </w:divBdr>
    </w:div>
    <w:div w:id="1736391773">
      <w:marLeft w:val="0"/>
      <w:marRight w:val="0"/>
      <w:marTop w:val="180"/>
      <w:marBottom w:val="180"/>
      <w:divBdr>
        <w:top w:val="none" w:sz="0" w:space="0" w:color="auto"/>
        <w:left w:val="none" w:sz="0" w:space="0" w:color="auto"/>
        <w:bottom w:val="none" w:sz="0" w:space="0" w:color="auto"/>
        <w:right w:val="none" w:sz="0" w:space="0" w:color="auto"/>
      </w:divBdr>
    </w:div>
    <w:div w:id="1736663784">
      <w:marLeft w:val="0"/>
      <w:marRight w:val="0"/>
      <w:marTop w:val="0"/>
      <w:marBottom w:val="0"/>
      <w:divBdr>
        <w:top w:val="none" w:sz="0" w:space="0" w:color="auto"/>
        <w:left w:val="none" w:sz="0" w:space="0" w:color="auto"/>
        <w:bottom w:val="none" w:sz="0" w:space="0" w:color="auto"/>
        <w:right w:val="none" w:sz="0" w:space="0" w:color="auto"/>
      </w:divBdr>
      <w:divsChild>
        <w:div w:id="1884514551">
          <w:marLeft w:val="0"/>
          <w:marRight w:val="0"/>
          <w:marTop w:val="0"/>
          <w:marBottom w:val="0"/>
          <w:divBdr>
            <w:top w:val="none" w:sz="0" w:space="0" w:color="auto"/>
            <w:left w:val="none" w:sz="0" w:space="0" w:color="auto"/>
            <w:bottom w:val="none" w:sz="0" w:space="0" w:color="auto"/>
            <w:right w:val="none" w:sz="0" w:space="0" w:color="auto"/>
          </w:divBdr>
          <w:divsChild>
            <w:div w:id="163725063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38162873">
      <w:marLeft w:val="0"/>
      <w:marRight w:val="0"/>
      <w:marTop w:val="180"/>
      <w:marBottom w:val="180"/>
      <w:divBdr>
        <w:top w:val="none" w:sz="0" w:space="0" w:color="auto"/>
        <w:left w:val="none" w:sz="0" w:space="0" w:color="auto"/>
        <w:bottom w:val="none" w:sz="0" w:space="0" w:color="auto"/>
        <w:right w:val="none" w:sz="0" w:space="0" w:color="auto"/>
      </w:divBdr>
    </w:div>
    <w:div w:id="1738163598">
      <w:marLeft w:val="0"/>
      <w:marRight w:val="0"/>
      <w:marTop w:val="180"/>
      <w:marBottom w:val="180"/>
      <w:divBdr>
        <w:top w:val="none" w:sz="0" w:space="0" w:color="auto"/>
        <w:left w:val="none" w:sz="0" w:space="0" w:color="auto"/>
        <w:bottom w:val="none" w:sz="0" w:space="0" w:color="auto"/>
        <w:right w:val="none" w:sz="0" w:space="0" w:color="auto"/>
      </w:divBdr>
    </w:div>
    <w:div w:id="1738937932">
      <w:marLeft w:val="0"/>
      <w:marRight w:val="0"/>
      <w:marTop w:val="180"/>
      <w:marBottom w:val="180"/>
      <w:divBdr>
        <w:top w:val="none" w:sz="0" w:space="0" w:color="auto"/>
        <w:left w:val="none" w:sz="0" w:space="0" w:color="auto"/>
        <w:bottom w:val="none" w:sz="0" w:space="0" w:color="auto"/>
        <w:right w:val="none" w:sz="0" w:space="0" w:color="auto"/>
      </w:divBdr>
    </w:div>
    <w:div w:id="1742096076">
      <w:marLeft w:val="0"/>
      <w:marRight w:val="0"/>
      <w:marTop w:val="180"/>
      <w:marBottom w:val="180"/>
      <w:divBdr>
        <w:top w:val="none" w:sz="0" w:space="0" w:color="auto"/>
        <w:left w:val="none" w:sz="0" w:space="0" w:color="auto"/>
        <w:bottom w:val="none" w:sz="0" w:space="0" w:color="auto"/>
        <w:right w:val="none" w:sz="0" w:space="0" w:color="auto"/>
      </w:divBdr>
    </w:div>
    <w:div w:id="1743672435">
      <w:marLeft w:val="0"/>
      <w:marRight w:val="0"/>
      <w:marTop w:val="120"/>
      <w:marBottom w:val="180"/>
      <w:divBdr>
        <w:top w:val="none" w:sz="0" w:space="0" w:color="auto"/>
        <w:left w:val="none" w:sz="0" w:space="0" w:color="auto"/>
        <w:bottom w:val="none" w:sz="0" w:space="0" w:color="auto"/>
        <w:right w:val="none" w:sz="0" w:space="0" w:color="auto"/>
      </w:divBdr>
    </w:div>
    <w:div w:id="1743793847">
      <w:marLeft w:val="0"/>
      <w:marRight w:val="0"/>
      <w:marTop w:val="60"/>
      <w:marBottom w:val="60"/>
      <w:divBdr>
        <w:top w:val="none" w:sz="0" w:space="0" w:color="auto"/>
        <w:left w:val="none" w:sz="0" w:space="0" w:color="auto"/>
        <w:bottom w:val="none" w:sz="0" w:space="0" w:color="auto"/>
        <w:right w:val="none" w:sz="0" w:space="0" w:color="auto"/>
      </w:divBdr>
    </w:div>
    <w:div w:id="1744834951">
      <w:marLeft w:val="0"/>
      <w:marRight w:val="0"/>
      <w:marTop w:val="0"/>
      <w:marBottom w:val="0"/>
      <w:divBdr>
        <w:top w:val="none" w:sz="0" w:space="0" w:color="auto"/>
        <w:left w:val="none" w:sz="0" w:space="0" w:color="auto"/>
        <w:bottom w:val="none" w:sz="0" w:space="0" w:color="auto"/>
        <w:right w:val="none" w:sz="0" w:space="0" w:color="auto"/>
      </w:divBdr>
      <w:divsChild>
        <w:div w:id="347174012">
          <w:marLeft w:val="0"/>
          <w:marRight w:val="0"/>
          <w:marTop w:val="0"/>
          <w:marBottom w:val="0"/>
          <w:divBdr>
            <w:top w:val="none" w:sz="0" w:space="0" w:color="auto"/>
            <w:left w:val="none" w:sz="0" w:space="0" w:color="auto"/>
            <w:bottom w:val="none" w:sz="0" w:space="0" w:color="auto"/>
            <w:right w:val="none" w:sz="0" w:space="0" w:color="auto"/>
          </w:divBdr>
          <w:divsChild>
            <w:div w:id="117499811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45757876">
      <w:marLeft w:val="0"/>
      <w:marRight w:val="0"/>
      <w:marTop w:val="180"/>
      <w:marBottom w:val="180"/>
      <w:divBdr>
        <w:top w:val="none" w:sz="0" w:space="0" w:color="auto"/>
        <w:left w:val="none" w:sz="0" w:space="0" w:color="auto"/>
        <w:bottom w:val="none" w:sz="0" w:space="0" w:color="auto"/>
        <w:right w:val="none" w:sz="0" w:space="0" w:color="auto"/>
      </w:divBdr>
    </w:div>
    <w:div w:id="1747148564">
      <w:marLeft w:val="0"/>
      <w:marRight w:val="0"/>
      <w:marTop w:val="60"/>
      <w:marBottom w:val="60"/>
      <w:divBdr>
        <w:top w:val="none" w:sz="0" w:space="0" w:color="auto"/>
        <w:left w:val="none" w:sz="0" w:space="0" w:color="auto"/>
        <w:bottom w:val="none" w:sz="0" w:space="0" w:color="auto"/>
        <w:right w:val="none" w:sz="0" w:space="0" w:color="auto"/>
      </w:divBdr>
    </w:div>
    <w:div w:id="1747266845">
      <w:marLeft w:val="0"/>
      <w:marRight w:val="0"/>
      <w:marTop w:val="180"/>
      <w:marBottom w:val="180"/>
      <w:divBdr>
        <w:top w:val="none" w:sz="0" w:space="0" w:color="auto"/>
        <w:left w:val="none" w:sz="0" w:space="0" w:color="auto"/>
        <w:bottom w:val="none" w:sz="0" w:space="0" w:color="auto"/>
        <w:right w:val="none" w:sz="0" w:space="0" w:color="auto"/>
      </w:divBdr>
    </w:div>
    <w:div w:id="1747458193">
      <w:marLeft w:val="0"/>
      <w:marRight w:val="0"/>
      <w:marTop w:val="180"/>
      <w:marBottom w:val="180"/>
      <w:divBdr>
        <w:top w:val="none" w:sz="0" w:space="0" w:color="auto"/>
        <w:left w:val="none" w:sz="0" w:space="0" w:color="auto"/>
        <w:bottom w:val="none" w:sz="0" w:space="0" w:color="auto"/>
        <w:right w:val="none" w:sz="0" w:space="0" w:color="auto"/>
      </w:divBdr>
    </w:div>
    <w:div w:id="1748068429">
      <w:marLeft w:val="0"/>
      <w:marRight w:val="0"/>
      <w:marTop w:val="0"/>
      <w:marBottom w:val="0"/>
      <w:divBdr>
        <w:top w:val="none" w:sz="0" w:space="0" w:color="auto"/>
        <w:left w:val="none" w:sz="0" w:space="0" w:color="auto"/>
        <w:bottom w:val="none" w:sz="0" w:space="0" w:color="auto"/>
        <w:right w:val="none" w:sz="0" w:space="0" w:color="auto"/>
      </w:divBdr>
    </w:div>
    <w:div w:id="1750226005">
      <w:marLeft w:val="0"/>
      <w:marRight w:val="0"/>
      <w:marTop w:val="180"/>
      <w:marBottom w:val="60"/>
      <w:divBdr>
        <w:top w:val="none" w:sz="0" w:space="0" w:color="auto"/>
        <w:left w:val="none" w:sz="0" w:space="0" w:color="auto"/>
        <w:bottom w:val="none" w:sz="0" w:space="0" w:color="auto"/>
        <w:right w:val="none" w:sz="0" w:space="0" w:color="auto"/>
      </w:divBdr>
    </w:div>
    <w:div w:id="1750542340">
      <w:marLeft w:val="0"/>
      <w:marRight w:val="0"/>
      <w:marTop w:val="180"/>
      <w:marBottom w:val="60"/>
      <w:divBdr>
        <w:top w:val="none" w:sz="0" w:space="0" w:color="auto"/>
        <w:left w:val="none" w:sz="0" w:space="0" w:color="auto"/>
        <w:bottom w:val="none" w:sz="0" w:space="0" w:color="auto"/>
        <w:right w:val="none" w:sz="0" w:space="0" w:color="auto"/>
      </w:divBdr>
    </w:div>
    <w:div w:id="1750616287">
      <w:marLeft w:val="0"/>
      <w:marRight w:val="0"/>
      <w:marTop w:val="60"/>
      <w:marBottom w:val="60"/>
      <w:divBdr>
        <w:top w:val="none" w:sz="0" w:space="0" w:color="auto"/>
        <w:left w:val="none" w:sz="0" w:space="0" w:color="auto"/>
        <w:bottom w:val="none" w:sz="0" w:space="0" w:color="auto"/>
        <w:right w:val="none" w:sz="0" w:space="0" w:color="auto"/>
      </w:divBdr>
    </w:div>
    <w:div w:id="1751190860">
      <w:marLeft w:val="0"/>
      <w:marRight w:val="0"/>
      <w:marTop w:val="180"/>
      <w:marBottom w:val="180"/>
      <w:divBdr>
        <w:top w:val="none" w:sz="0" w:space="0" w:color="auto"/>
        <w:left w:val="none" w:sz="0" w:space="0" w:color="auto"/>
        <w:bottom w:val="none" w:sz="0" w:space="0" w:color="auto"/>
        <w:right w:val="none" w:sz="0" w:space="0" w:color="auto"/>
      </w:divBdr>
    </w:div>
    <w:div w:id="1751461428">
      <w:marLeft w:val="0"/>
      <w:marRight w:val="0"/>
      <w:marTop w:val="180"/>
      <w:marBottom w:val="180"/>
      <w:divBdr>
        <w:top w:val="none" w:sz="0" w:space="0" w:color="auto"/>
        <w:left w:val="none" w:sz="0" w:space="0" w:color="auto"/>
        <w:bottom w:val="none" w:sz="0" w:space="0" w:color="auto"/>
        <w:right w:val="none" w:sz="0" w:space="0" w:color="auto"/>
      </w:divBdr>
    </w:div>
    <w:div w:id="1751659293">
      <w:marLeft w:val="0"/>
      <w:marRight w:val="0"/>
      <w:marTop w:val="180"/>
      <w:marBottom w:val="180"/>
      <w:divBdr>
        <w:top w:val="none" w:sz="0" w:space="0" w:color="auto"/>
        <w:left w:val="none" w:sz="0" w:space="0" w:color="auto"/>
        <w:bottom w:val="none" w:sz="0" w:space="0" w:color="auto"/>
        <w:right w:val="none" w:sz="0" w:space="0" w:color="auto"/>
      </w:divBdr>
    </w:div>
    <w:div w:id="1753312606">
      <w:marLeft w:val="0"/>
      <w:marRight w:val="0"/>
      <w:marTop w:val="0"/>
      <w:marBottom w:val="0"/>
      <w:divBdr>
        <w:top w:val="none" w:sz="0" w:space="0" w:color="auto"/>
        <w:left w:val="none" w:sz="0" w:space="0" w:color="auto"/>
        <w:bottom w:val="none" w:sz="0" w:space="0" w:color="auto"/>
        <w:right w:val="none" w:sz="0" w:space="0" w:color="auto"/>
      </w:divBdr>
    </w:div>
    <w:div w:id="1754352931">
      <w:marLeft w:val="0"/>
      <w:marRight w:val="0"/>
      <w:marTop w:val="0"/>
      <w:marBottom w:val="0"/>
      <w:divBdr>
        <w:top w:val="none" w:sz="0" w:space="0" w:color="auto"/>
        <w:left w:val="none" w:sz="0" w:space="0" w:color="auto"/>
        <w:bottom w:val="none" w:sz="0" w:space="0" w:color="auto"/>
        <w:right w:val="none" w:sz="0" w:space="0" w:color="auto"/>
      </w:divBdr>
      <w:divsChild>
        <w:div w:id="1818255523">
          <w:marLeft w:val="0"/>
          <w:marRight w:val="0"/>
          <w:marTop w:val="60"/>
          <w:marBottom w:val="180"/>
          <w:divBdr>
            <w:top w:val="none" w:sz="0" w:space="0" w:color="auto"/>
            <w:left w:val="none" w:sz="0" w:space="0" w:color="auto"/>
            <w:bottom w:val="none" w:sz="0" w:space="0" w:color="auto"/>
            <w:right w:val="none" w:sz="0" w:space="0" w:color="auto"/>
          </w:divBdr>
        </w:div>
      </w:divsChild>
    </w:div>
    <w:div w:id="1754467037">
      <w:marLeft w:val="0"/>
      <w:marRight w:val="0"/>
      <w:marTop w:val="0"/>
      <w:marBottom w:val="0"/>
      <w:divBdr>
        <w:top w:val="none" w:sz="0" w:space="0" w:color="auto"/>
        <w:left w:val="none" w:sz="0" w:space="0" w:color="auto"/>
        <w:bottom w:val="none" w:sz="0" w:space="0" w:color="auto"/>
        <w:right w:val="none" w:sz="0" w:space="0" w:color="auto"/>
      </w:divBdr>
    </w:div>
    <w:div w:id="1754667562">
      <w:marLeft w:val="0"/>
      <w:marRight w:val="0"/>
      <w:marTop w:val="0"/>
      <w:marBottom w:val="60"/>
      <w:divBdr>
        <w:top w:val="none" w:sz="0" w:space="0" w:color="auto"/>
        <w:left w:val="none" w:sz="0" w:space="0" w:color="auto"/>
        <w:bottom w:val="none" w:sz="0" w:space="0" w:color="auto"/>
        <w:right w:val="none" w:sz="0" w:space="0" w:color="auto"/>
      </w:divBdr>
    </w:div>
    <w:div w:id="1754811557">
      <w:marLeft w:val="0"/>
      <w:marRight w:val="0"/>
      <w:marTop w:val="100"/>
      <w:marBottom w:val="180"/>
      <w:divBdr>
        <w:top w:val="none" w:sz="0" w:space="0" w:color="auto"/>
        <w:left w:val="none" w:sz="0" w:space="0" w:color="auto"/>
        <w:bottom w:val="none" w:sz="0" w:space="0" w:color="auto"/>
        <w:right w:val="none" w:sz="0" w:space="0" w:color="auto"/>
      </w:divBdr>
    </w:div>
    <w:div w:id="1754859352">
      <w:marLeft w:val="0"/>
      <w:marRight w:val="0"/>
      <w:marTop w:val="180"/>
      <w:marBottom w:val="180"/>
      <w:divBdr>
        <w:top w:val="none" w:sz="0" w:space="0" w:color="auto"/>
        <w:left w:val="none" w:sz="0" w:space="0" w:color="auto"/>
        <w:bottom w:val="none" w:sz="0" w:space="0" w:color="auto"/>
        <w:right w:val="none" w:sz="0" w:space="0" w:color="auto"/>
      </w:divBdr>
    </w:div>
    <w:div w:id="1755393968">
      <w:marLeft w:val="0"/>
      <w:marRight w:val="0"/>
      <w:marTop w:val="60"/>
      <w:marBottom w:val="60"/>
      <w:divBdr>
        <w:top w:val="none" w:sz="0" w:space="0" w:color="auto"/>
        <w:left w:val="none" w:sz="0" w:space="0" w:color="auto"/>
        <w:bottom w:val="none" w:sz="0" w:space="0" w:color="auto"/>
        <w:right w:val="none" w:sz="0" w:space="0" w:color="auto"/>
      </w:divBdr>
    </w:div>
    <w:div w:id="1755514685">
      <w:marLeft w:val="0"/>
      <w:marRight w:val="0"/>
      <w:marTop w:val="0"/>
      <w:marBottom w:val="0"/>
      <w:divBdr>
        <w:top w:val="none" w:sz="0" w:space="0" w:color="auto"/>
        <w:left w:val="none" w:sz="0" w:space="0" w:color="auto"/>
        <w:bottom w:val="none" w:sz="0" w:space="0" w:color="auto"/>
        <w:right w:val="none" w:sz="0" w:space="0" w:color="auto"/>
      </w:divBdr>
      <w:divsChild>
        <w:div w:id="995455207">
          <w:marLeft w:val="0"/>
          <w:marRight w:val="0"/>
          <w:marTop w:val="60"/>
          <w:marBottom w:val="60"/>
          <w:divBdr>
            <w:top w:val="none" w:sz="0" w:space="0" w:color="auto"/>
            <w:left w:val="none" w:sz="0" w:space="0" w:color="auto"/>
            <w:bottom w:val="none" w:sz="0" w:space="0" w:color="auto"/>
            <w:right w:val="none" w:sz="0" w:space="0" w:color="auto"/>
          </w:divBdr>
        </w:div>
      </w:divsChild>
    </w:div>
    <w:div w:id="1757357914">
      <w:marLeft w:val="0"/>
      <w:marRight w:val="0"/>
      <w:marTop w:val="0"/>
      <w:marBottom w:val="0"/>
      <w:divBdr>
        <w:top w:val="none" w:sz="0" w:space="0" w:color="auto"/>
        <w:left w:val="none" w:sz="0" w:space="0" w:color="auto"/>
        <w:bottom w:val="none" w:sz="0" w:space="0" w:color="auto"/>
        <w:right w:val="none" w:sz="0" w:space="0" w:color="auto"/>
      </w:divBdr>
    </w:div>
    <w:div w:id="1758675617">
      <w:marLeft w:val="0"/>
      <w:marRight w:val="0"/>
      <w:marTop w:val="180"/>
      <w:marBottom w:val="180"/>
      <w:divBdr>
        <w:top w:val="none" w:sz="0" w:space="0" w:color="auto"/>
        <w:left w:val="none" w:sz="0" w:space="0" w:color="auto"/>
        <w:bottom w:val="none" w:sz="0" w:space="0" w:color="auto"/>
        <w:right w:val="none" w:sz="0" w:space="0" w:color="auto"/>
      </w:divBdr>
    </w:div>
    <w:div w:id="1758866526">
      <w:marLeft w:val="0"/>
      <w:marRight w:val="0"/>
      <w:marTop w:val="180"/>
      <w:marBottom w:val="180"/>
      <w:divBdr>
        <w:top w:val="none" w:sz="0" w:space="0" w:color="auto"/>
        <w:left w:val="none" w:sz="0" w:space="0" w:color="auto"/>
        <w:bottom w:val="none" w:sz="0" w:space="0" w:color="auto"/>
        <w:right w:val="none" w:sz="0" w:space="0" w:color="auto"/>
      </w:divBdr>
    </w:div>
    <w:div w:id="1760104817">
      <w:marLeft w:val="0"/>
      <w:marRight w:val="0"/>
      <w:marTop w:val="180"/>
      <w:marBottom w:val="180"/>
      <w:divBdr>
        <w:top w:val="none" w:sz="0" w:space="0" w:color="auto"/>
        <w:left w:val="none" w:sz="0" w:space="0" w:color="auto"/>
        <w:bottom w:val="none" w:sz="0" w:space="0" w:color="auto"/>
        <w:right w:val="none" w:sz="0" w:space="0" w:color="auto"/>
      </w:divBdr>
    </w:div>
    <w:div w:id="1761027047">
      <w:marLeft w:val="0"/>
      <w:marRight w:val="0"/>
      <w:marTop w:val="0"/>
      <w:marBottom w:val="0"/>
      <w:divBdr>
        <w:top w:val="none" w:sz="0" w:space="0" w:color="auto"/>
        <w:left w:val="none" w:sz="0" w:space="0" w:color="auto"/>
        <w:bottom w:val="none" w:sz="0" w:space="0" w:color="auto"/>
        <w:right w:val="none" w:sz="0" w:space="0" w:color="auto"/>
      </w:divBdr>
      <w:divsChild>
        <w:div w:id="1500196540">
          <w:marLeft w:val="0"/>
          <w:marRight w:val="0"/>
          <w:marTop w:val="0"/>
          <w:marBottom w:val="0"/>
          <w:divBdr>
            <w:top w:val="none" w:sz="0" w:space="0" w:color="auto"/>
            <w:left w:val="none" w:sz="0" w:space="0" w:color="auto"/>
            <w:bottom w:val="none" w:sz="0" w:space="0" w:color="auto"/>
            <w:right w:val="none" w:sz="0" w:space="0" w:color="auto"/>
          </w:divBdr>
          <w:divsChild>
            <w:div w:id="25128176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61296549">
      <w:marLeft w:val="0"/>
      <w:marRight w:val="0"/>
      <w:marTop w:val="180"/>
      <w:marBottom w:val="180"/>
      <w:divBdr>
        <w:top w:val="none" w:sz="0" w:space="0" w:color="auto"/>
        <w:left w:val="none" w:sz="0" w:space="0" w:color="auto"/>
        <w:bottom w:val="none" w:sz="0" w:space="0" w:color="auto"/>
        <w:right w:val="none" w:sz="0" w:space="0" w:color="auto"/>
      </w:divBdr>
    </w:div>
    <w:div w:id="1763066574">
      <w:marLeft w:val="0"/>
      <w:marRight w:val="0"/>
      <w:marTop w:val="180"/>
      <w:marBottom w:val="180"/>
      <w:divBdr>
        <w:top w:val="none" w:sz="0" w:space="0" w:color="auto"/>
        <w:left w:val="none" w:sz="0" w:space="0" w:color="auto"/>
        <w:bottom w:val="none" w:sz="0" w:space="0" w:color="auto"/>
        <w:right w:val="none" w:sz="0" w:space="0" w:color="auto"/>
      </w:divBdr>
    </w:div>
    <w:div w:id="1763337316">
      <w:marLeft w:val="0"/>
      <w:marRight w:val="0"/>
      <w:marTop w:val="180"/>
      <w:marBottom w:val="180"/>
      <w:divBdr>
        <w:top w:val="none" w:sz="0" w:space="0" w:color="auto"/>
        <w:left w:val="none" w:sz="0" w:space="0" w:color="auto"/>
        <w:bottom w:val="none" w:sz="0" w:space="0" w:color="auto"/>
        <w:right w:val="none" w:sz="0" w:space="0" w:color="auto"/>
      </w:divBdr>
    </w:div>
    <w:div w:id="1765031467">
      <w:marLeft w:val="0"/>
      <w:marRight w:val="0"/>
      <w:marTop w:val="100"/>
      <w:marBottom w:val="0"/>
      <w:divBdr>
        <w:top w:val="none" w:sz="0" w:space="0" w:color="auto"/>
        <w:left w:val="none" w:sz="0" w:space="0" w:color="auto"/>
        <w:bottom w:val="none" w:sz="0" w:space="0" w:color="auto"/>
        <w:right w:val="none" w:sz="0" w:space="0" w:color="auto"/>
      </w:divBdr>
    </w:div>
    <w:div w:id="1765151135">
      <w:marLeft w:val="0"/>
      <w:marRight w:val="0"/>
      <w:marTop w:val="0"/>
      <w:marBottom w:val="0"/>
      <w:divBdr>
        <w:top w:val="none" w:sz="0" w:space="0" w:color="auto"/>
        <w:left w:val="none" w:sz="0" w:space="0" w:color="auto"/>
        <w:bottom w:val="none" w:sz="0" w:space="0" w:color="auto"/>
        <w:right w:val="none" w:sz="0" w:space="0" w:color="auto"/>
      </w:divBdr>
    </w:div>
    <w:div w:id="1765224504">
      <w:marLeft w:val="0"/>
      <w:marRight w:val="0"/>
      <w:marTop w:val="180"/>
      <w:marBottom w:val="180"/>
      <w:divBdr>
        <w:top w:val="none" w:sz="0" w:space="0" w:color="auto"/>
        <w:left w:val="none" w:sz="0" w:space="0" w:color="auto"/>
        <w:bottom w:val="none" w:sz="0" w:space="0" w:color="auto"/>
        <w:right w:val="none" w:sz="0" w:space="0" w:color="auto"/>
      </w:divBdr>
    </w:div>
    <w:div w:id="1765999668">
      <w:marLeft w:val="0"/>
      <w:marRight w:val="0"/>
      <w:marTop w:val="0"/>
      <w:marBottom w:val="0"/>
      <w:divBdr>
        <w:top w:val="none" w:sz="0" w:space="0" w:color="auto"/>
        <w:left w:val="none" w:sz="0" w:space="0" w:color="auto"/>
        <w:bottom w:val="none" w:sz="0" w:space="0" w:color="auto"/>
        <w:right w:val="none" w:sz="0" w:space="0" w:color="auto"/>
      </w:divBdr>
    </w:div>
    <w:div w:id="1768580608">
      <w:marLeft w:val="0"/>
      <w:marRight w:val="0"/>
      <w:marTop w:val="180"/>
      <w:marBottom w:val="180"/>
      <w:divBdr>
        <w:top w:val="none" w:sz="0" w:space="0" w:color="auto"/>
        <w:left w:val="none" w:sz="0" w:space="0" w:color="auto"/>
        <w:bottom w:val="none" w:sz="0" w:space="0" w:color="auto"/>
        <w:right w:val="none" w:sz="0" w:space="0" w:color="auto"/>
      </w:divBdr>
    </w:div>
    <w:div w:id="1769425474">
      <w:marLeft w:val="0"/>
      <w:marRight w:val="0"/>
      <w:marTop w:val="180"/>
      <w:marBottom w:val="180"/>
      <w:divBdr>
        <w:top w:val="none" w:sz="0" w:space="0" w:color="auto"/>
        <w:left w:val="none" w:sz="0" w:space="0" w:color="auto"/>
        <w:bottom w:val="none" w:sz="0" w:space="0" w:color="auto"/>
        <w:right w:val="none" w:sz="0" w:space="0" w:color="auto"/>
      </w:divBdr>
    </w:div>
    <w:div w:id="1769541037">
      <w:marLeft w:val="0"/>
      <w:marRight w:val="0"/>
      <w:marTop w:val="60"/>
      <w:marBottom w:val="60"/>
      <w:divBdr>
        <w:top w:val="none" w:sz="0" w:space="0" w:color="auto"/>
        <w:left w:val="none" w:sz="0" w:space="0" w:color="auto"/>
        <w:bottom w:val="none" w:sz="0" w:space="0" w:color="auto"/>
        <w:right w:val="none" w:sz="0" w:space="0" w:color="auto"/>
      </w:divBdr>
    </w:div>
    <w:div w:id="1771847812">
      <w:marLeft w:val="0"/>
      <w:marRight w:val="0"/>
      <w:marTop w:val="0"/>
      <w:marBottom w:val="0"/>
      <w:divBdr>
        <w:top w:val="none" w:sz="0" w:space="0" w:color="auto"/>
        <w:left w:val="none" w:sz="0" w:space="0" w:color="auto"/>
        <w:bottom w:val="none" w:sz="0" w:space="0" w:color="auto"/>
        <w:right w:val="none" w:sz="0" w:space="0" w:color="auto"/>
      </w:divBdr>
      <w:divsChild>
        <w:div w:id="2071148317">
          <w:marLeft w:val="0"/>
          <w:marRight w:val="0"/>
          <w:marTop w:val="0"/>
          <w:marBottom w:val="0"/>
          <w:divBdr>
            <w:top w:val="none" w:sz="0" w:space="0" w:color="auto"/>
            <w:left w:val="none" w:sz="0" w:space="0" w:color="auto"/>
            <w:bottom w:val="none" w:sz="0" w:space="0" w:color="auto"/>
            <w:right w:val="none" w:sz="0" w:space="0" w:color="auto"/>
          </w:divBdr>
          <w:divsChild>
            <w:div w:id="10847050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73815943">
      <w:marLeft w:val="0"/>
      <w:marRight w:val="0"/>
      <w:marTop w:val="180"/>
      <w:marBottom w:val="180"/>
      <w:divBdr>
        <w:top w:val="none" w:sz="0" w:space="0" w:color="auto"/>
        <w:left w:val="none" w:sz="0" w:space="0" w:color="auto"/>
        <w:bottom w:val="none" w:sz="0" w:space="0" w:color="auto"/>
        <w:right w:val="none" w:sz="0" w:space="0" w:color="auto"/>
      </w:divBdr>
    </w:div>
    <w:div w:id="1774084828">
      <w:marLeft w:val="0"/>
      <w:marRight w:val="0"/>
      <w:marTop w:val="180"/>
      <w:marBottom w:val="180"/>
      <w:divBdr>
        <w:top w:val="none" w:sz="0" w:space="0" w:color="auto"/>
        <w:left w:val="none" w:sz="0" w:space="0" w:color="auto"/>
        <w:bottom w:val="none" w:sz="0" w:space="0" w:color="auto"/>
        <w:right w:val="none" w:sz="0" w:space="0" w:color="auto"/>
      </w:divBdr>
    </w:div>
    <w:div w:id="1776288009">
      <w:marLeft w:val="0"/>
      <w:marRight w:val="0"/>
      <w:marTop w:val="100"/>
      <w:marBottom w:val="0"/>
      <w:divBdr>
        <w:top w:val="none" w:sz="0" w:space="0" w:color="auto"/>
        <w:left w:val="none" w:sz="0" w:space="0" w:color="auto"/>
        <w:bottom w:val="none" w:sz="0" w:space="0" w:color="auto"/>
        <w:right w:val="none" w:sz="0" w:space="0" w:color="auto"/>
      </w:divBdr>
    </w:div>
    <w:div w:id="1776897409">
      <w:marLeft w:val="0"/>
      <w:marRight w:val="0"/>
      <w:marTop w:val="180"/>
      <w:marBottom w:val="60"/>
      <w:divBdr>
        <w:top w:val="none" w:sz="0" w:space="0" w:color="auto"/>
        <w:left w:val="none" w:sz="0" w:space="0" w:color="auto"/>
        <w:bottom w:val="none" w:sz="0" w:space="0" w:color="auto"/>
        <w:right w:val="none" w:sz="0" w:space="0" w:color="auto"/>
      </w:divBdr>
    </w:div>
    <w:div w:id="1777825656">
      <w:marLeft w:val="0"/>
      <w:marRight w:val="0"/>
      <w:marTop w:val="180"/>
      <w:marBottom w:val="180"/>
      <w:divBdr>
        <w:top w:val="none" w:sz="0" w:space="0" w:color="auto"/>
        <w:left w:val="none" w:sz="0" w:space="0" w:color="auto"/>
        <w:bottom w:val="none" w:sz="0" w:space="0" w:color="auto"/>
        <w:right w:val="none" w:sz="0" w:space="0" w:color="auto"/>
      </w:divBdr>
    </w:div>
    <w:div w:id="1779368105">
      <w:marLeft w:val="0"/>
      <w:marRight w:val="0"/>
      <w:marTop w:val="0"/>
      <w:marBottom w:val="0"/>
      <w:divBdr>
        <w:top w:val="none" w:sz="0" w:space="0" w:color="auto"/>
        <w:left w:val="none" w:sz="0" w:space="0" w:color="auto"/>
        <w:bottom w:val="none" w:sz="0" w:space="0" w:color="auto"/>
        <w:right w:val="none" w:sz="0" w:space="0" w:color="auto"/>
      </w:divBdr>
    </w:div>
    <w:div w:id="1781073482">
      <w:marLeft w:val="0"/>
      <w:marRight w:val="0"/>
      <w:marTop w:val="0"/>
      <w:marBottom w:val="0"/>
      <w:divBdr>
        <w:top w:val="none" w:sz="0" w:space="0" w:color="auto"/>
        <w:left w:val="none" w:sz="0" w:space="0" w:color="auto"/>
        <w:bottom w:val="none" w:sz="0" w:space="0" w:color="auto"/>
        <w:right w:val="none" w:sz="0" w:space="0" w:color="auto"/>
      </w:divBdr>
      <w:divsChild>
        <w:div w:id="940380581">
          <w:marLeft w:val="0"/>
          <w:marRight w:val="0"/>
          <w:marTop w:val="0"/>
          <w:marBottom w:val="0"/>
          <w:divBdr>
            <w:top w:val="none" w:sz="0" w:space="0" w:color="auto"/>
            <w:left w:val="none" w:sz="0" w:space="0" w:color="auto"/>
            <w:bottom w:val="none" w:sz="0" w:space="0" w:color="auto"/>
            <w:right w:val="none" w:sz="0" w:space="0" w:color="auto"/>
          </w:divBdr>
          <w:divsChild>
            <w:div w:id="150512332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81607329">
      <w:marLeft w:val="0"/>
      <w:marRight w:val="0"/>
      <w:marTop w:val="180"/>
      <w:marBottom w:val="180"/>
      <w:divBdr>
        <w:top w:val="none" w:sz="0" w:space="0" w:color="auto"/>
        <w:left w:val="none" w:sz="0" w:space="0" w:color="auto"/>
        <w:bottom w:val="none" w:sz="0" w:space="0" w:color="auto"/>
        <w:right w:val="none" w:sz="0" w:space="0" w:color="auto"/>
      </w:divBdr>
    </w:div>
    <w:div w:id="1782995216">
      <w:marLeft w:val="0"/>
      <w:marRight w:val="0"/>
      <w:marTop w:val="180"/>
      <w:marBottom w:val="180"/>
      <w:divBdr>
        <w:top w:val="none" w:sz="0" w:space="0" w:color="auto"/>
        <w:left w:val="none" w:sz="0" w:space="0" w:color="auto"/>
        <w:bottom w:val="none" w:sz="0" w:space="0" w:color="auto"/>
        <w:right w:val="none" w:sz="0" w:space="0" w:color="auto"/>
      </w:divBdr>
    </w:div>
    <w:div w:id="1783111832">
      <w:marLeft w:val="0"/>
      <w:marRight w:val="0"/>
      <w:marTop w:val="100"/>
      <w:marBottom w:val="0"/>
      <w:divBdr>
        <w:top w:val="none" w:sz="0" w:space="0" w:color="auto"/>
        <w:left w:val="none" w:sz="0" w:space="0" w:color="auto"/>
        <w:bottom w:val="none" w:sz="0" w:space="0" w:color="auto"/>
        <w:right w:val="none" w:sz="0" w:space="0" w:color="auto"/>
      </w:divBdr>
    </w:div>
    <w:div w:id="1783374012">
      <w:marLeft w:val="0"/>
      <w:marRight w:val="0"/>
      <w:marTop w:val="180"/>
      <w:marBottom w:val="180"/>
      <w:divBdr>
        <w:top w:val="none" w:sz="0" w:space="0" w:color="auto"/>
        <w:left w:val="none" w:sz="0" w:space="0" w:color="auto"/>
        <w:bottom w:val="none" w:sz="0" w:space="0" w:color="auto"/>
        <w:right w:val="none" w:sz="0" w:space="0" w:color="auto"/>
      </w:divBdr>
    </w:div>
    <w:div w:id="1785073502">
      <w:marLeft w:val="0"/>
      <w:marRight w:val="0"/>
      <w:marTop w:val="180"/>
      <w:marBottom w:val="180"/>
      <w:divBdr>
        <w:top w:val="none" w:sz="0" w:space="0" w:color="auto"/>
        <w:left w:val="none" w:sz="0" w:space="0" w:color="auto"/>
        <w:bottom w:val="none" w:sz="0" w:space="0" w:color="auto"/>
        <w:right w:val="none" w:sz="0" w:space="0" w:color="auto"/>
      </w:divBdr>
    </w:div>
    <w:div w:id="1786196169">
      <w:marLeft w:val="0"/>
      <w:marRight w:val="0"/>
      <w:marTop w:val="180"/>
      <w:marBottom w:val="180"/>
      <w:divBdr>
        <w:top w:val="none" w:sz="0" w:space="0" w:color="auto"/>
        <w:left w:val="none" w:sz="0" w:space="0" w:color="auto"/>
        <w:bottom w:val="none" w:sz="0" w:space="0" w:color="auto"/>
        <w:right w:val="none" w:sz="0" w:space="0" w:color="auto"/>
      </w:divBdr>
    </w:div>
    <w:div w:id="1787701730">
      <w:marLeft w:val="0"/>
      <w:marRight w:val="0"/>
      <w:marTop w:val="0"/>
      <w:marBottom w:val="15"/>
      <w:divBdr>
        <w:top w:val="none" w:sz="0" w:space="0" w:color="auto"/>
        <w:left w:val="none" w:sz="0" w:space="0" w:color="auto"/>
        <w:bottom w:val="none" w:sz="0" w:space="0" w:color="auto"/>
        <w:right w:val="none" w:sz="0" w:space="0" w:color="auto"/>
      </w:divBdr>
    </w:div>
    <w:div w:id="1788113147">
      <w:marLeft w:val="0"/>
      <w:marRight w:val="0"/>
      <w:marTop w:val="180"/>
      <w:marBottom w:val="180"/>
      <w:divBdr>
        <w:top w:val="none" w:sz="0" w:space="0" w:color="auto"/>
        <w:left w:val="none" w:sz="0" w:space="0" w:color="auto"/>
        <w:bottom w:val="none" w:sz="0" w:space="0" w:color="auto"/>
        <w:right w:val="none" w:sz="0" w:space="0" w:color="auto"/>
      </w:divBdr>
    </w:div>
    <w:div w:id="1788625763">
      <w:marLeft w:val="0"/>
      <w:marRight w:val="0"/>
      <w:marTop w:val="180"/>
      <w:marBottom w:val="180"/>
      <w:divBdr>
        <w:top w:val="none" w:sz="0" w:space="0" w:color="auto"/>
        <w:left w:val="none" w:sz="0" w:space="0" w:color="auto"/>
        <w:bottom w:val="none" w:sz="0" w:space="0" w:color="auto"/>
        <w:right w:val="none" w:sz="0" w:space="0" w:color="auto"/>
      </w:divBdr>
    </w:div>
    <w:div w:id="1788967416">
      <w:marLeft w:val="0"/>
      <w:marRight w:val="0"/>
      <w:marTop w:val="180"/>
      <w:marBottom w:val="180"/>
      <w:divBdr>
        <w:top w:val="none" w:sz="0" w:space="0" w:color="auto"/>
        <w:left w:val="none" w:sz="0" w:space="0" w:color="auto"/>
        <w:bottom w:val="none" w:sz="0" w:space="0" w:color="auto"/>
        <w:right w:val="none" w:sz="0" w:space="0" w:color="auto"/>
      </w:divBdr>
    </w:div>
    <w:div w:id="1789621905">
      <w:marLeft w:val="0"/>
      <w:marRight w:val="0"/>
      <w:marTop w:val="0"/>
      <w:marBottom w:val="0"/>
      <w:divBdr>
        <w:top w:val="none" w:sz="0" w:space="0" w:color="auto"/>
        <w:left w:val="none" w:sz="0" w:space="0" w:color="auto"/>
        <w:bottom w:val="none" w:sz="0" w:space="0" w:color="auto"/>
        <w:right w:val="none" w:sz="0" w:space="0" w:color="auto"/>
      </w:divBdr>
      <w:divsChild>
        <w:div w:id="389813032">
          <w:marLeft w:val="0"/>
          <w:marRight w:val="0"/>
          <w:marTop w:val="0"/>
          <w:marBottom w:val="0"/>
          <w:divBdr>
            <w:top w:val="none" w:sz="0" w:space="0" w:color="auto"/>
            <w:left w:val="none" w:sz="0" w:space="0" w:color="auto"/>
            <w:bottom w:val="none" w:sz="0" w:space="0" w:color="auto"/>
            <w:right w:val="none" w:sz="0" w:space="0" w:color="auto"/>
          </w:divBdr>
          <w:divsChild>
            <w:div w:id="175539129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91128766">
      <w:marLeft w:val="0"/>
      <w:marRight w:val="0"/>
      <w:marTop w:val="0"/>
      <w:marBottom w:val="0"/>
      <w:divBdr>
        <w:top w:val="none" w:sz="0" w:space="0" w:color="auto"/>
        <w:left w:val="none" w:sz="0" w:space="0" w:color="auto"/>
        <w:bottom w:val="none" w:sz="0" w:space="0" w:color="auto"/>
        <w:right w:val="none" w:sz="0" w:space="0" w:color="auto"/>
      </w:divBdr>
      <w:divsChild>
        <w:div w:id="1279487360">
          <w:marLeft w:val="0"/>
          <w:marRight w:val="0"/>
          <w:marTop w:val="60"/>
          <w:marBottom w:val="180"/>
          <w:divBdr>
            <w:top w:val="none" w:sz="0" w:space="0" w:color="auto"/>
            <w:left w:val="none" w:sz="0" w:space="0" w:color="auto"/>
            <w:bottom w:val="none" w:sz="0" w:space="0" w:color="auto"/>
            <w:right w:val="none" w:sz="0" w:space="0" w:color="auto"/>
          </w:divBdr>
        </w:div>
      </w:divsChild>
    </w:div>
    <w:div w:id="1791703106">
      <w:marLeft w:val="0"/>
      <w:marRight w:val="0"/>
      <w:marTop w:val="180"/>
      <w:marBottom w:val="180"/>
      <w:divBdr>
        <w:top w:val="none" w:sz="0" w:space="0" w:color="auto"/>
        <w:left w:val="none" w:sz="0" w:space="0" w:color="auto"/>
        <w:bottom w:val="none" w:sz="0" w:space="0" w:color="auto"/>
        <w:right w:val="none" w:sz="0" w:space="0" w:color="auto"/>
      </w:divBdr>
    </w:div>
    <w:div w:id="1792048288">
      <w:marLeft w:val="0"/>
      <w:marRight w:val="0"/>
      <w:marTop w:val="180"/>
      <w:marBottom w:val="180"/>
      <w:divBdr>
        <w:top w:val="none" w:sz="0" w:space="0" w:color="auto"/>
        <w:left w:val="none" w:sz="0" w:space="0" w:color="auto"/>
        <w:bottom w:val="none" w:sz="0" w:space="0" w:color="auto"/>
        <w:right w:val="none" w:sz="0" w:space="0" w:color="auto"/>
      </w:divBdr>
    </w:div>
    <w:div w:id="1792439370">
      <w:marLeft w:val="0"/>
      <w:marRight w:val="0"/>
      <w:marTop w:val="180"/>
      <w:marBottom w:val="180"/>
      <w:divBdr>
        <w:top w:val="none" w:sz="0" w:space="0" w:color="auto"/>
        <w:left w:val="none" w:sz="0" w:space="0" w:color="auto"/>
        <w:bottom w:val="none" w:sz="0" w:space="0" w:color="auto"/>
        <w:right w:val="none" w:sz="0" w:space="0" w:color="auto"/>
      </w:divBdr>
    </w:div>
    <w:div w:id="1793281737">
      <w:marLeft w:val="0"/>
      <w:marRight w:val="0"/>
      <w:marTop w:val="0"/>
      <w:marBottom w:val="0"/>
      <w:divBdr>
        <w:top w:val="none" w:sz="0" w:space="0" w:color="auto"/>
        <w:left w:val="none" w:sz="0" w:space="0" w:color="auto"/>
        <w:bottom w:val="none" w:sz="0" w:space="0" w:color="auto"/>
        <w:right w:val="none" w:sz="0" w:space="0" w:color="auto"/>
      </w:divBdr>
      <w:divsChild>
        <w:div w:id="1592424809">
          <w:marLeft w:val="0"/>
          <w:marRight w:val="0"/>
          <w:marTop w:val="0"/>
          <w:marBottom w:val="0"/>
          <w:divBdr>
            <w:top w:val="none" w:sz="0" w:space="0" w:color="auto"/>
            <w:left w:val="none" w:sz="0" w:space="0" w:color="auto"/>
            <w:bottom w:val="none" w:sz="0" w:space="0" w:color="auto"/>
            <w:right w:val="none" w:sz="0" w:space="0" w:color="auto"/>
          </w:divBdr>
          <w:divsChild>
            <w:div w:id="150859715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93551148">
      <w:marLeft w:val="0"/>
      <w:marRight w:val="0"/>
      <w:marTop w:val="60"/>
      <w:marBottom w:val="60"/>
      <w:divBdr>
        <w:top w:val="none" w:sz="0" w:space="0" w:color="auto"/>
        <w:left w:val="none" w:sz="0" w:space="0" w:color="auto"/>
        <w:bottom w:val="none" w:sz="0" w:space="0" w:color="auto"/>
        <w:right w:val="none" w:sz="0" w:space="0" w:color="auto"/>
      </w:divBdr>
    </w:div>
    <w:div w:id="1793593619">
      <w:marLeft w:val="0"/>
      <w:marRight w:val="0"/>
      <w:marTop w:val="180"/>
      <w:marBottom w:val="180"/>
      <w:divBdr>
        <w:top w:val="none" w:sz="0" w:space="0" w:color="auto"/>
        <w:left w:val="none" w:sz="0" w:space="0" w:color="auto"/>
        <w:bottom w:val="none" w:sz="0" w:space="0" w:color="auto"/>
        <w:right w:val="none" w:sz="0" w:space="0" w:color="auto"/>
      </w:divBdr>
    </w:div>
    <w:div w:id="1795977403">
      <w:marLeft w:val="0"/>
      <w:marRight w:val="0"/>
      <w:marTop w:val="0"/>
      <w:marBottom w:val="0"/>
      <w:divBdr>
        <w:top w:val="none" w:sz="0" w:space="0" w:color="auto"/>
        <w:left w:val="none" w:sz="0" w:space="0" w:color="auto"/>
        <w:bottom w:val="none" w:sz="0" w:space="0" w:color="auto"/>
        <w:right w:val="none" w:sz="0" w:space="0" w:color="auto"/>
      </w:divBdr>
    </w:div>
    <w:div w:id="1798379445">
      <w:marLeft w:val="0"/>
      <w:marRight w:val="0"/>
      <w:marTop w:val="180"/>
      <w:marBottom w:val="180"/>
      <w:divBdr>
        <w:top w:val="none" w:sz="0" w:space="0" w:color="auto"/>
        <w:left w:val="none" w:sz="0" w:space="0" w:color="auto"/>
        <w:bottom w:val="none" w:sz="0" w:space="0" w:color="auto"/>
        <w:right w:val="none" w:sz="0" w:space="0" w:color="auto"/>
      </w:divBdr>
    </w:div>
    <w:div w:id="1798795452">
      <w:marLeft w:val="0"/>
      <w:marRight w:val="0"/>
      <w:marTop w:val="180"/>
      <w:marBottom w:val="180"/>
      <w:divBdr>
        <w:top w:val="none" w:sz="0" w:space="0" w:color="auto"/>
        <w:left w:val="none" w:sz="0" w:space="0" w:color="auto"/>
        <w:bottom w:val="none" w:sz="0" w:space="0" w:color="auto"/>
        <w:right w:val="none" w:sz="0" w:space="0" w:color="auto"/>
      </w:divBdr>
    </w:div>
    <w:div w:id="1798914470">
      <w:marLeft w:val="0"/>
      <w:marRight w:val="0"/>
      <w:marTop w:val="180"/>
      <w:marBottom w:val="180"/>
      <w:divBdr>
        <w:top w:val="none" w:sz="0" w:space="0" w:color="auto"/>
        <w:left w:val="none" w:sz="0" w:space="0" w:color="auto"/>
        <w:bottom w:val="none" w:sz="0" w:space="0" w:color="auto"/>
        <w:right w:val="none" w:sz="0" w:space="0" w:color="auto"/>
      </w:divBdr>
    </w:div>
    <w:div w:id="1799647444">
      <w:marLeft w:val="0"/>
      <w:marRight w:val="0"/>
      <w:marTop w:val="180"/>
      <w:marBottom w:val="180"/>
      <w:divBdr>
        <w:top w:val="none" w:sz="0" w:space="0" w:color="auto"/>
        <w:left w:val="none" w:sz="0" w:space="0" w:color="auto"/>
        <w:bottom w:val="none" w:sz="0" w:space="0" w:color="auto"/>
        <w:right w:val="none" w:sz="0" w:space="0" w:color="auto"/>
      </w:divBdr>
    </w:div>
    <w:div w:id="1800877337">
      <w:marLeft w:val="0"/>
      <w:marRight w:val="0"/>
      <w:marTop w:val="0"/>
      <w:marBottom w:val="0"/>
      <w:divBdr>
        <w:top w:val="none" w:sz="0" w:space="0" w:color="auto"/>
        <w:left w:val="none" w:sz="0" w:space="0" w:color="auto"/>
        <w:bottom w:val="none" w:sz="0" w:space="0" w:color="auto"/>
        <w:right w:val="none" w:sz="0" w:space="0" w:color="auto"/>
      </w:divBdr>
    </w:div>
    <w:div w:id="1802066425">
      <w:marLeft w:val="0"/>
      <w:marRight w:val="0"/>
      <w:marTop w:val="180"/>
      <w:marBottom w:val="180"/>
      <w:divBdr>
        <w:top w:val="none" w:sz="0" w:space="0" w:color="auto"/>
        <w:left w:val="none" w:sz="0" w:space="0" w:color="auto"/>
        <w:bottom w:val="none" w:sz="0" w:space="0" w:color="auto"/>
        <w:right w:val="none" w:sz="0" w:space="0" w:color="auto"/>
      </w:divBdr>
    </w:div>
    <w:div w:id="1802380094">
      <w:marLeft w:val="0"/>
      <w:marRight w:val="0"/>
      <w:marTop w:val="180"/>
      <w:marBottom w:val="180"/>
      <w:divBdr>
        <w:top w:val="none" w:sz="0" w:space="0" w:color="auto"/>
        <w:left w:val="none" w:sz="0" w:space="0" w:color="auto"/>
        <w:bottom w:val="none" w:sz="0" w:space="0" w:color="auto"/>
        <w:right w:val="none" w:sz="0" w:space="0" w:color="auto"/>
      </w:divBdr>
    </w:div>
    <w:div w:id="1802772150">
      <w:marLeft w:val="0"/>
      <w:marRight w:val="0"/>
      <w:marTop w:val="0"/>
      <w:marBottom w:val="0"/>
      <w:divBdr>
        <w:top w:val="none" w:sz="0" w:space="0" w:color="auto"/>
        <w:left w:val="none" w:sz="0" w:space="0" w:color="auto"/>
        <w:bottom w:val="none" w:sz="0" w:space="0" w:color="auto"/>
        <w:right w:val="none" w:sz="0" w:space="0" w:color="auto"/>
      </w:divBdr>
    </w:div>
    <w:div w:id="1802842815">
      <w:marLeft w:val="0"/>
      <w:marRight w:val="0"/>
      <w:marTop w:val="180"/>
      <w:marBottom w:val="180"/>
      <w:divBdr>
        <w:top w:val="none" w:sz="0" w:space="0" w:color="auto"/>
        <w:left w:val="none" w:sz="0" w:space="0" w:color="auto"/>
        <w:bottom w:val="none" w:sz="0" w:space="0" w:color="auto"/>
        <w:right w:val="none" w:sz="0" w:space="0" w:color="auto"/>
      </w:divBdr>
    </w:div>
    <w:div w:id="1803225728">
      <w:marLeft w:val="0"/>
      <w:marRight w:val="0"/>
      <w:marTop w:val="180"/>
      <w:marBottom w:val="180"/>
      <w:divBdr>
        <w:top w:val="none" w:sz="0" w:space="0" w:color="auto"/>
        <w:left w:val="none" w:sz="0" w:space="0" w:color="auto"/>
        <w:bottom w:val="none" w:sz="0" w:space="0" w:color="auto"/>
        <w:right w:val="none" w:sz="0" w:space="0" w:color="auto"/>
      </w:divBdr>
    </w:div>
    <w:div w:id="1805807312">
      <w:marLeft w:val="0"/>
      <w:marRight w:val="0"/>
      <w:marTop w:val="0"/>
      <w:marBottom w:val="0"/>
      <w:divBdr>
        <w:top w:val="none" w:sz="0" w:space="0" w:color="auto"/>
        <w:left w:val="none" w:sz="0" w:space="0" w:color="auto"/>
        <w:bottom w:val="none" w:sz="0" w:space="0" w:color="auto"/>
        <w:right w:val="none" w:sz="0" w:space="0" w:color="auto"/>
      </w:divBdr>
    </w:div>
    <w:div w:id="1805929384">
      <w:marLeft w:val="0"/>
      <w:marRight w:val="0"/>
      <w:marTop w:val="180"/>
      <w:marBottom w:val="180"/>
      <w:divBdr>
        <w:top w:val="none" w:sz="0" w:space="0" w:color="auto"/>
        <w:left w:val="none" w:sz="0" w:space="0" w:color="auto"/>
        <w:bottom w:val="none" w:sz="0" w:space="0" w:color="auto"/>
        <w:right w:val="none" w:sz="0" w:space="0" w:color="auto"/>
      </w:divBdr>
    </w:div>
    <w:div w:id="1806459221">
      <w:marLeft w:val="0"/>
      <w:marRight w:val="0"/>
      <w:marTop w:val="180"/>
      <w:marBottom w:val="180"/>
      <w:divBdr>
        <w:top w:val="none" w:sz="0" w:space="0" w:color="auto"/>
        <w:left w:val="none" w:sz="0" w:space="0" w:color="auto"/>
        <w:bottom w:val="none" w:sz="0" w:space="0" w:color="auto"/>
        <w:right w:val="none" w:sz="0" w:space="0" w:color="auto"/>
      </w:divBdr>
    </w:div>
    <w:div w:id="1807313366">
      <w:marLeft w:val="0"/>
      <w:marRight w:val="0"/>
      <w:marTop w:val="180"/>
      <w:marBottom w:val="0"/>
      <w:divBdr>
        <w:top w:val="none" w:sz="0" w:space="0" w:color="auto"/>
        <w:left w:val="none" w:sz="0" w:space="0" w:color="auto"/>
        <w:bottom w:val="none" w:sz="0" w:space="0" w:color="auto"/>
        <w:right w:val="none" w:sz="0" w:space="0" w:color="auto"/>
      </w:divBdr>
    </w:div>
    <w:div w:id="1807353872">
      <w:marLeft w:val="0"/>
      <w:marRight w:val="0"/>
      <w:marTop w:val="180"/>
      <w:marBottom w:val="180"/>
      <w:divBdr>
        <w:top w:val="none" w:sz="0" w:space="0" w:color="auto"/>
        <w:left w:val="none" w:sz="0" w:space="0" w:color="auto"/>
        <w:bottom w:val="none" w:sz="0" w:space="0" w:color="auto"/>
        <w:right w:val="none" w:sz="0" w:space="0" w:color="auto"/>
      </w:divBdr>
    </w:div>
    <w:div w:id="1810437336">
      <w:marLeft w:val="0"/>
      <w:marRight w:val="0"/>
      <w:marTop w:val="180"/>
      <w:marBottom w:val="180"/>
      <w:divBdr>
        <w:top w:val="none" w:sz="0" w:space="0" w:color="auto"/>
        <w:left w:val="none" w:sz="0" w:space="0" w:color="auto"/>
        <w:bottom w:val="none" w:sz="0" w:space="0" w:color="auto"/>
        <w:right w:val="none" w:sz="0" w:space="0" w:color="auto"/>
      </w:divBdr>
    </w:div>
    <w:div w:id="1811092170">
      <w:marLeft w:val="0"/>
      <w:marRight w:val="0"/>
      <w:marTop w:val="180"/>
      <w:marBottom w:val="180"/>
      <w:divBdr>
        <w:top w:val="none" w:sz="0" w:space="0" w:color="auto"/>
        <w:left w:val="none" w:sz="0" w:space="0" w:color="auto"/>
        <w:bottom w:val="none" w:sz="0" w:space="0" w:color="auto"/>
        <w:right w:val="none" w:sz="0" w:space="0" w:color="auto"/>
      </w:divBdr>
    </w:div>
    <w:div w:id="1812289737">
      <w:marLeft w:val="0"/>
      <w:marRight w:val="0"/>
      <w:marTop w:val="180"/>
      <w:marBottom w:val="180"/>
      <w:divBdr>
        <w:top w:val="none" w:sz="0" w:space="0" w:color="auto"/>
        <w:left w:val="none" w:sz="0" w:space="0" w:color="auto"/>
        <w:bottom w:val="none" w:sz="0" w:space="0" w:color="auto"/>
        <w:right w:val="none" w:sz="0" w:space="0" w:color="auto"/>
      </w:divBdr>
    </w:div>
    <w:div w:id="1812598567">
      <w:marLeft w:val="0"/>
      <w:marRight w:val="0"/>
      <w:marTop w:val="180"/>
      <w:marBottom w:val="180"/>
      <w:divBdr>
        <w:top w:val="none" w:sz="0" w:space="0" w:color="auto"/>
        <w:left w:val="none" w:sz="0" w:space="0" w:color="auto"/>
        <w:bottom w:val="none" w:sz="0" w:space="0" w:color="auto"/>
        <w:right w:val="none" w:sz="0" w:space="0" w:color="auto"/>
      </w:divBdr>
    </w:div>
    <w:div w:id="1812750361">
      <w:marLeft w:val="0"/>
      <w:marRight w:val="0"/>
      <w:marTop w:val="180"/>
      <w:marBottom w:val="180"/>
      <w:divBdr>
        <w:top w:val="none" w:sz="0" w:space="0" w:color="auto"/>
        <w:left w:val="none" w:sz="0" w:space="0" w:color="auto"/>
        <w:bottom w:val="none" w:sz="0" w:space="0" w:color="auto"/>
        <w:right w:val="none" w:sz="0" w:space="0" w:color="auto"/>
      </w:divBdr>
    </w:div>
    <w:div w:id="1812870198">
      <w:marLeft w:val="0"/>
      <w:marRight w:val="0"/>
      <w:marTop w:val="180"/>
      <w:marBottom w:val="60"/>
      <w:divBdr>
        <w:top w:val="none" w:sz="0" w:space="0" w:color="auto"/>
        <w:left w:val="none" w:sz="0" w:space="0" w:color="auto"/>
        <w:bottom w:val="none" w:sz="0" w:space="0" w:color="auto"/>
        <w:right w:val="none" w:sz="0" w:space="0" w:color="auto"/>
      </w:divBdr>
    </w:div>
    <w:div w:id="1813402173">
      <w:marLeft w:val="0"/>
      <w:marRight w:val="0"/>
      <w:marTop w:val="60"/>
      <w:marBottom w:val="60"/>
      <w:divBdr>
        <w:top w:val="none" w:sz="0" w:space="0" w:color="auto"/>
        <w:left w:val="none" w:sz="0" w:space="0" w:color="auto"/>
        <w:bottom w:val="none" w:sz="0" w:space="0" w:color="auto"/>
        <w:right w:val="none" w:sz="0" w:space="0" w:color="auto"/>
      </w:divBdr>
    </w:div>
    <w:div w:id="1813407567">
      <w:marLeft w:val="0"/>
      <w:marRight w:val="0"/>
      <w:marTop w:val="100"/>
      <w:marBottom w:val="0"/>
      <w:divBdr>
        <w:top w:val="none" w:sz="0" w:space="0" w:color="auto"/>
        <w:left w:val="none" w:sz="0" w:space="0" w:color="auto"/>
        <w:bottom w:val="none" w:sz="0" w:space="0" w:color="auto"/>
        <w:right w:val="none" w:sz="0" w:space="0" w:color="auto"/>
      </w:divBdr>
    </w:div>
    <w:div w:id="1813476902">
      <w:marLeft w:val="0"/>
      <w:marRight w:val="0"/>
      <w:marTop w:val="180"/>
      <w:marBottom w:val="180"/>
      <w:divBdr>
        <w:top w:val="none" w:sz="0" w:space="0" w:color="auto"/>
        <w:left w:val="none" w:sz="0" w:space="0" w:color="auto"/>
        <w:bottom w:val="none" w:sz="0" w:space="0" w:color="auto"/>
        <w:right w:val="none" w:sz="0" w:space="0" w:color="auto"/>
      </w:divBdr>
    </w:div>
    <w:div w:id="1817138906">
      <w:marLeft w:val="0"/>
      <w:marRight w:val="0"/>
      <w:marTop w:val="180"/>
      <w:marBottom w:val="180"/>
      <w:divBdr>
        <w:top w:val="none" w:sz="0" w:space="0" w:color="auto"/>
        <w:left w:val="none" w:sz="0" w:space="0" w:color="auto"/>
        <w:bottom w:val="none" w:sz="0" w:space="0" w:color="auto"/>
        <w:right w:val="none" w:sz="0" w:space="0" w:color="auto"/>
      </w:divBdr>
    </w:div>
    <w:div w:id="1818450506">
      <w:marLeft w:val="0"/>
      <w:marRight w:val="0"/>
      <w:marTop w:val="180"/>
      <w:marBottom w:val="180"/>
      <w:divBdr>
        <w:top w:val="none" w:sz="0" w:space="0" w:color="auto"/>
        <w:left w:val="none" w:sz="0" w:space="0" w:color="auto"/>
        <w:bottom w:val="none" w:sz="0" w:space="0" w:color="auto"/>
        <w:right w:val="none" w:sz="0" w:space="0" w:color="auto"/>
      </w:divBdr>
    </w:div>
    <w:div w:id="1818494359">
      <w:marLeft w:val="0"/>
      <w:marRight w:val="0"/>
      <w:marTop w:val="180"/>
      <w:marBottom w:val="180"/>
      <w:divBdr>
        <w:top w:val="none" w:sz="0" w:space="0" w:color="auto"/>
        <w:left w:val="none" w:sz="0" w:space="0" w:color="auto"/>
        <w:bottom w:val="none" w:sz="0" w:space="0" w:color="auto"/>
        <w:right w:val="none" w:sz="0" w:space="0" w:color="auto"/>
      </w:divBdr>
    </w:div>
    <w:div w:id="1818525532">
      <w:marLeft w:val="0"/>
      <w:marRight w:val="0"/>
      <w:marTop w:val="60"/>
      <w:marBottom w:val="60"/>
      <w:divBdr>
        <w:top w:val="none" w:sz="0" w:space="0" w:color="auto"/>
        <w:left w:val="none" w:sz="0" w:space="0" w:color="auto"/>
        <w:bottom w:val="none" w:sz="0" w:space="0" w:color="auto"/>
        <w:right w:val="none" w:sz="0" w:space="0" w:color="auto"/>
      </w:divBdr>
    </w:div>
    <w:div w:id="1818952959">
      <w:marLeft w:val="0"/>
      <w:marRight w:val="0"/>
      <w:marTop w:val="180"/>
      <w:marBottom w:val="180"/>
      <w:divBdr>
        <w:top w:val="none" w:sz="0" w:space="0" w:color="auto"/>
        <w:left w:val="none" w:sz="0" w:space="0" w:color="auto"/>
        <w:bottom w:val="none" w:sz="0" w:space="0" w:color="auto"/>
        <w:right w:val="none" w:sz="0" w:space="0" w:color="auto"/>
      </w:divBdr>
    </w:div>
    <w:div w:id="1819612807">
      <w:marLeft w:val="0"/>
      <w:marRight w:val="0"/>
      <w:marTop w:val="140"/>
      <w:marBottom w:val="180"/>
      <w:divBdr>
        <w:top w:val="none" w:sz="0" w:space="0" w:color="auto"/>
        <w:left w:val="none" w:sz="0" w:space="0" w:color="auto"/>
        <w:bottom w:val="none" w:sz="0" w:space="0" w:color="auto"/>
        <w:right w:val="none" w:sz="0" w:space="0" w:color="auto"/>
      </w:divBdr>
    </w:div>
    <w:div w:id="1823347538">
      <w:marLeft w:val="0"/>
      <w:marRight w:val="0"/>
      <w:marTop w:val="0"/>
      <w:marBottom w:val="0"/>
      <w:divBdr>
        <w:top w:val="none" w:sz="0" w:space="0" w:color="auto"/>
        <w:left w:val="none" w:sz="0" w:space="0" w:color="auto"/>
        <w:bottom w:val="none" w:sz="0" w:space="0" w:color="auto"/>
        <w:right w:val="none" w:sz="0" w:space="0" w:color="auto"/>
      </w:divBdr>
    </w:div>
    <w:div w:id="1823618734">
      <w:marLeft w:val="0"/>
      <w:marRight w:val="0"/>
      <w:marTop w:val="60"/>
      <w:marBottom w:val="180"/>
      <w:divBdr>
        <w:top w:val="none" w:sz="0" w:space="0" w:color="auto"/>
        <w:left w:val="none" w:sz="0" w:space="0" w:color="auto"/>
        <w:bottom w:val="none" w:sz="0" w:space="0" w:color="auto"/>
        <w:right w:val="none" w:sz="0" w:space="0" w:color="auto"/>
      </w:divBdr>
    </w:div>
    <w:div w:id="1824354386">
      <w:marLeft w:val="0"/>
      <w:marRight w:val="0"/>
      <w:marTop w:val="100"/>
      <w:marBottom w:val="180"/>
      <w:divBdr>
        <w:top w:val="none" w:sz="0" w:space="0" w:color="auto"/>
        <w:left w:val="none" w:sz="0" w:space="0" w:color="auto"/>
        <w:bottom w:val="none" w:sz="0" w:space="0" w:color="auto"/>
        <w:right w:val="none" w:sz="0" w:space="0" w:color="auto"/>
      </w:divBdr>
    </w:div>
    <w:div w:id="1825969769">
      <w:marLeft w:val="0"/>
      <w:marRight w:val="0"/>
      <w:marTop w:val="0"/>
      <w:marBottom w:val="0"/>
      <w:divBdr>
        <w:top w:val="none" w:sz="0" w:space="0" w:color="auto"/>
        <w:left w:val="none" w:sz="0" w:space="0" w:color="auto"/>
        <w:bottom w:val="none" w:sz="0" w:space="0" w:color="auto"/>
        <w:right w:val="none" w:sz="0" w:space="0" w:color="auto"/>
      </w:divBdr>
      <w:divsChild>
        <w:div w:id="8486146">
          <w:marLeft w:val="0"/>
          <w:marRight w:val="0"/>
          <w:marTop w:val="180"/>
          <w:marBottom w:val="180"/>
          <w:divBdr>
            <w:top w:val="none" w:sz="0" w:space="0" w:color="auto"/>
            <w:left w:val="none" w:sz="0" w:space="0" w:color="auto"/>
            <w:bottom w:val="none" w:sz="0" w:space="0" w:color="auto"/>
            <w:right w:val="none" w:sz="0" w:space="0" w:color="auto"/>
          </w:divBdr>
        </w:div>
      </w:divsChild>
    </w:div>
    <w:div w:id="1826046228">
      <w:marLeft w:val="0"/>
      <w:marRight w:val="0"/>
      <w:marTop w:val="180"/>
      <w:marBottom w:val="180"/>
      <w:divBdr>
        <w:top w:val="none" w:sz="0" w:space="0" w:color="auto"/>
        <w:left w:val="none" w:sz="0" w:space="0" w:color="auto"/>
        <w:bottom w:val="none" w:sz="0" w:space="0" w:color="auto"/>
        <w:right w:val="none" w:sz="0" w:space="0" w:color="auto"/>
      </w:divBdr>
    </w:div>
    <w:div w:id="1826432316">
      <w:marLeft w:val="0"/>
      <w:marRight w:val="0"/>
      <w:marTop w:val="60"/>
      <w:marBottom w:val="60"/>
      <w:divBdr>
        <w:top w:val="none" w:sz="0" w:space="0" w:color="auto"/>
        <w:left w:val="none" w:sz="0" w:space="0" w:color="auto"/>
        <w:bottom w:val="none" w:sz="0" w:space="0" w:color="auto"/>
        <w:right w:val="none" w:sz="0" w:space="0" w:color="auto"/>
      </w:divBdr>
    </w:div>
    <w:div w:id="1831678311">
      <w:marLeft w:val="0"/>
      <w:marRight w:val="0"/>
      <w:marTop w:val="0"/>
      <w:marBottom w:val="0"/>
      <w:divBdr>
        <w:top w:val="none" w:sz="0" w:space="0" w:color="auto"/>
        <w:left w:val="none" w:sz="0" w:space="0" w:color="auto"/>
        <w:bottom w:val="none" w:sz="0" w:space="0" w:color="auto"/>
        <w:right w:val="none" w:sz="0" w:space="0" w:color="auto"/>
      </w:divBdr>
      <w:divsChild>
        <w:div w:id="1325015756">
          <w:marLeft w:val="0"/>
          <w:marRight w:val="0"/>
          <w:marTop w:val="180"/>
          <w:marBottom w:val="180"/>
          <w:divBdr>
            <w:top w:val="none" w:sz="0" w:space="0" w:color="auto"/>
            <w:left w:val="none" w:sz="0" w:space="0" w:color="auto"/>
            <w:bottom w:val="none" w:sz="0" w:space="0" w:color="auto"/>
            <w:right w:val="none" w:sz="0" w:space="0" w:color="auto"/>
          </w:divBdr>
        </w:div>
      </w:divsChild>
    </w:div>
    <w:div w:id="1834561374">
      <w:marLeft w:val="0"/>
      <w:marRight w:val="0"/>
      <w:marTop w:val="180"/>
      <w:marBottom w:val="180"/>
      <w:divBdr>
        <w:top w:val="none" w:sz="0" w:space="0" w:color="auto"/>
        <w:left w:val="none" w:sz="0" w:space="0" w:color="auto"/>
        <w:bottom w:val="none" w:sz="0" w:space="0" w:color="auto"/>
        <w:right w:val="none" w:sz="0" w:space="0" w:color="auto"/>
      </w:divBdr>
    </w:div>
    <w:div w:id="1835140609">
      <w:marLeft w:val="0"/>
      <w:marRight w:val="0"/>
      <w:marTop w:val="60"/>
      <w:marBottom w:val="60"/>
      <w:divBdr>
        <w:top w:val="none" w:sz="0" w:space="0" w:color="auto"/>
        <w:left w:val="none" w:sz="0" w:space="0" w:color="auto"/>
        <w:bottom w:val="none" w:sz="0" w:space="0" w:color="auto"/>
        <w:right w:val="none" w:sz="0" w:space="0" w:color="auto"/>
      </w:divBdr>
    </w:div>
    <w:div w:id="1835299825">
      <w:marLeft w:val="0"/>
      <w:marRight w:val="0"/>
      <w:marTop w:val="60"/>
      <w:marBottom w:val="60"/>
      <w:divBdr>
        <w:top w:val="none" w:sz="0" w:space="0" w:color="auto"/>
        <w:left w:val="none" w:sz="0" w:space="0" w:color="auto"/>
        <w:bottom w:val="none" w:sz="0" w:space="0" w:color="auto"/>
        <w:right w:val="none" w:sz="0" w:space="0" w:color="auto"/>
      </w:divBdr>
    </w:div>
    <w:div w:id="1836068151">
      <w:marLeft w:val="0"/>
      <w:marRight w:val="0"/>
      <w:marTop w:val="180"/>
      <w:marBottom w:val="180"/>
      <w:divBdr>
        <w:top w:val="none" w:sz="0" w:space="0" w:color="auto"/>
        <w:left w:val="none" w:sz="0" w:space="0" w:color="auto"/>
        <w:bottom w:val="none" w:sz="0" w:space="0" w:color="auto"/>
        <w:right w:val="none" w:sz="0" w:space="0" w:color="auto"/>
      </w:divBdr>
    </w:div>
    <w:div w:id="1837064125">
      <w:marLeft w:val="0"/>
      <w:marRight w:val="0"/>
      <w:marTop w:val="180"/>
      <w:marBottom w:val="180"/>
      <w:divBdr>
        <w:top w:val="none" w:sz="0" w:space="0" w:color="auto"/>
        <w:left w:val="none" w:sz="0" w:space="0" w:color="auto"/>
        <w:bottom w:val="none" w:sz="0" w:space="0" w:color="auto"/>
        <w:right w:val="none" w:sz="0" w:space="0" w:color="auto"/>
      </w:divBdr>
    </w:div>
    <w:div w:id="1837530854">
      <w:marLeft w:val="0"/>
      <w:marRight w:val="0"/>
      <w:marTop w:val="180"/>
      <w:marBottom w:val="180"/>
      <w:divBdr>
        <w:top w:val="none" w:sz="0" w:space="0" w:color="auto"/>
        <w:left w:val="none" w:sz="0" w:space="0" w:color="auto"/>
        <w:bottom w:val="none" w:sz="0" w:space="0" w:color="auto"/>
        <w:right w:val="none" w:sz="0" w:space="0" w:color="auto"/>
      </w:divBdr>
    </w:div>
    <w:div w:id="1837577321">
      <w:marLeft w:val="0"/>
      <w:marRight w:val="0"/>
      <w:marTop w:val="180"/>
      <w:marBottom w:val="180"/>
      <w:divBdr>
        <w:top w:val="none" w:sz="0" w:space="0" w:color="auto"/>
        <w:left w:val="none" w:sz="0" w:space="0" w:color="auto"/>
        <w:bottom w:val="none" w:sz="0" w:space="0" w:color="auto"/>
        <w:right w:val="none" w:sz="0" w:space="0" w:color="auto"/>
      </w:divBdr>
    </w:div>
    <w:div w:id="1838571302">
      <w:marLeft w:val="0"/>
      <w:marRight w:val="0"/>
      <w:marTop w:val="60"/>
      <w:marBottom w:val="60"/>
      <w:divBdr>
        <w:top w:val="none" w:sz="0" w:space="0" w:color="auto"/>
        <w:left w:val="none" w:sz="0" w:space="0" w:color="auto"/>
        <w:bottom w:val="none" w:sz="0" w:space="0" w:color="auto"/>
        <w:right w:val="none" w:sz="0" w:space="0" w:color="auto"/>
      </w:divBdr>
    </w:div>
    <w:div w:id="1839885204">
      <w:marLeft w:val="0"/>
      <w:marRight w:val="0"/>
      <w:marTop w:val="180"/>
      <w:marBottom w:val="180"/>
      <w:divBdr>
        <w:top w:val="none" w:sz="0" w:space="0" w:color="auto"/>
        <w:left w:val="none" w:sz="0" w:space="0" w:color="auto"/>
        <w:bottom w:val="none" w:sz="0" w:space="0" w:color="auto"/>
        <w:right w:val="none" w:sz="0" w:space="0" w:color="auto"/>
      </w:divBdr>
    </w:div>
    <w:div w:id="1840189294">
      <w:marLeft w:val="0"/>
      <w:marRight w:val="0"/>
      <w:marTop w:val="180"/>
      <w:marBottom w:val="180"/>
      <w:divBdr>
        <w:top w:val="none" w:sz="0" w:space="0" w:color="auto"/>
        <w:left w:val="none" w:sz="0" w:space="0" w:color="auto"/>
        <w:bottom w:val="none" w:sz="0" w:space="0" w:color="auto"/>
        <w:right w:val="none" w:sz="0" w:space="0" w:color="auto"/>
      </w:divBdr>
    </w:div>
    <w:div w:id="1841119695">
      <w:marLeft w:val="0"/>
      <w:marRight w:val="0"/>
      <w:marTop w:val="180"/>
      <w:marBottom w:val="180"/>
      <w:divBdr>
        <w:top w:val="none" w:sz="0" w:space="0" w:color="auto"/>
        <w:left w:val="none" w:sz="0" w:space="0" w:color="auto"/>
        <w:bottom w:val="none" w:sz="0" w:space="0" w:color="auto"/>
        <w:right w:val="none" w:sz="0" w:space="0" w:color="auto"/>
      </w:divBdr>
    </w:div>
    <w:div w:id="1843086822">
      <w:marLeft w:val="0"/>
      <w:marRight w:val="0"/>
      <w:marTop w:val="180"/>
      <w:marBottom w:val="180"/>
      <w:divBdr>
        <w:top w:val="none" w:sz="0" w:space="0" w:color="auto"/>
        <w:left w:val="none" w:sz="0" w:space="0" w:color="auto"/>
        <w:bottom w:val="none" w:sz="0" w:space="0" w:color="auto"/>
        <w:right w:val="none" w:sz="0" w:space="0" w:color="auto"/>
      </w:divBdr>
    </w:div>
    <w:div w:id="1844390171">
      <w:marLeft w:val="0"/>
      <w:marRight w:val="0"/>
      <w:marTop w:val="0"/>
      <w:marBottom w:val="0"/>
      <w:divBdr>
        <w:top w:val="none" w:sz="0" w:space="0" w:color="auto"/>
        <w:left w:val="none" w:sz="0" w:space="0" w:color="auto"/>
        <w:bottom w:val="none" w:sz="0" w:space="0" w:color="auto"/>
        <w:right w:val="none" w:sz="0" w:space="0" w:color="auto"/>
      </w:divBdr>
    </w:div>
    <w:div w:id="1844975918">
      <w:marLeft w:val="0"/>
      <w:marRight w:val="0"/>
      <w:marTop w:val="180"/>
      <w:marBottom w:val="0"/>
      <w:divBdr>
        <w:top w:val="none" w:sz="0" w:space="0" w:color="auto"/>
        <w:left w:val="none" w:sz="0" w:space="0" w:color="auto"/>
        <w:bottom w:val="none" w:sz="0" w:space="0" w:color="auto"/>
        <w:right w:val="none" w:sz="0" w:space="0" w:color="auto"/>
      </w:divBdr>
    </w:div>
    <w:div w:id="1845895732">
      <w:marLeft w:val="0"/>
      <w:marRight w:val="0"/>
      <w:marTop w:val="180"/>
      <w:marBottom w:val="180"/>
      <w:divBdr>
        <w:top w:val="none" w:sz="0" w:space="0" w:color="auto"/>
        <w:left w:val="none" w:sz="0" w:space="0" w:color="auto"/>
        <w:bottom w:val="none" w:sz="0" w:space="0" w:color="auto"/>
        <w:right w:val="none" w:sz="0" w:space="0" w:color="auto"/>
      </w:divBdr>
    </w:div>
    <w:div w:id="1846508191">
      <w:marLeft w:val="0"/>
      <w:marRight w:val="0"/>
      <w:marTop w:val="0"/>
      <w:marBottom w:val="0"/>
      <w:divBdr>
        <w:top w:val="none" w:sz="0" w:space="0" w:color="auto"/>
        <w:left w:val="none" w:sz="0" w:space="0" w:color="auto"/>
        <w:bottom w:val="none" w:sz="0" w:space="0" w:color="auto"/>
        <w:right w:val="none" w:sz="0" w:space="0" w:color="auto"/>
      </w:divBdr>
      <w:divsChild>
        <w:div w:id="2126541515">
          <w:marLeft w:val="0"/>
          <w:marRight w:val="0"/>
          <w:marTop w:val="0"/>
          <w:marBottom w:val="0"/>
          <w:divBdr>
            <w:top w:val="none" w:sz="0" w:space="0" w:color="auto"/>
            <w:left w:val="none" w:sz="0" w:space="0" w:color="auto"/>
            <w:bottom w:val="none" w:sz="0" w:space="0" w:color="auto"/>
            <w:right w:val="none" w:sz="0" w:space="0" w:color="auto"/>
          </w:divBdr>
          <w:divsChild>
            <w:div w:id="4577202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47011057">
      <w:marLeft w:val="0"/>
      <w:marRight w:val="0"/>
      <w:marTop w:val="180"/>
      <w:marBottom w:val="180"/>
      <w:divBdr>
        <w:top w:val="none" w:sz="0" w:space="0" w:color="auto"/>
        <w:left w:val="none" w:sz="0" w:space="0" w:color="auto"/>
        <w:bottom w:val="none" w:sz="0" w:space="0" w:color="auto"/>
        <w:right w:val="none" w:sz="0" w:space="0" w:color="auto"/>
      </w:divBdr>
    </w:div>
    <w:div w:id="1847015359">
      <w:marLeft w:val="0"/>
      <w:marRight w:val="0"/>
      <w:marTop w:val="0"/>
      <w:marBottom w:val="0"/>
      <w:divBdr>
        <w:top w:val="none" w:sz="0" w:space="0" w:color="auto"/>
        <w:left w:val="none" w:sz="0" w:space="0" w:color="auto"/>
        <w:bottom w:val="none" w:sz="0" w:space="0" w:color="auto"/>
        <w:right w:val="none" w:sz="0" w:space="0" w:color="auto"/>
      </w:divBdr>
    </w:div>
    <w:div w:id="1847669257">
      <w:marLeft w:val="0"/>
      <w:marRight w:val="0"/>
      <w:marTop w:val="180"/>
      <w:marBottom w:val="180"/>
      <w:divBdr>
        <w:top w:val="none" w:sz="0" w:space="0" w:color="auto"/>
        <w:left w:val="none" w:sz="0" w:space="0" w:color="auto"/>
        <w:bottom w:val="none" w:sz="0" w:space="0" w:color="auto"/>
        <w:right w:val="none" w:sz="0" w:space="0" w:color="auto"/>
      </w:divBdr>
    </w:div>
    <w:div w:id="1850290194">
      <w:marLeft w:val="0"/>
      <w:marRight w:val="0"/>
      <w:marTop w:val="180"/>
      <w:marBottom w:val="180"/>
      <w:divBdr>
        <w:top w:val="none" w:sz="0" w:space="0" w:color="auto"/>
        <w:left w:val="none" w:sz="0" w:space="0" w:color="auto"/>
        <w:bottom w:val="none" w:sz="0" w:space="0" w:color="auto"/>
        <w:right w:val="none" w:sz="0" w:space="0" w:color="auto"/>
      </w:divBdr>
    </w:div>
    <w:div w:id="1850362365">
      <w:marLeft w:val="0"/>
      <w:marRight w:val="0"/>
      <w:marTop w:val="180"/>
      <w:marBottom w:val="180"/>
      <w:divBdr>
        <w:top w:val="none" w:sz="0" w:space="0" w:color="auto"/>
        <w:left w:val="none" w:sz="0" w:space="0" w:color="auto"/>
        <w:bottom w:val="none" w:sz="0" w:space="0" w:color="auto"/>
        <w:right w:val="none" w:sz="0" w:space="0" w:color="auto"/>
      </w:divBdr>
    </w:div>
    <w:div w:id="1850900108">
      <w:marLeft w:val="0"/>
      <w:marRight w:val="0"/>
      <w:marTop w:val="180"/>
      <w:marBottom w:val="180"/>
      <w:divBdr>
        <w:top w:val="none" w:sz="0" w:space="0" w:color="auto"/>
        <w:left w:val="none" w:sz="0" w:space="0" w:color="auto"/>
        <w:bottom w:val="none" w:sz="0" w:space="0" w:color="auto"/>
        <w:right w:val="none" w:sz="0" w:space="0" w:color="auto"/>
      </w:divBdr>
    </w:div>
    <w:div w:id="1852262219">
      <w:marLeft w:val="0"/>
      <w:marRight w:val="0"/>
      <w:marTop w:val="180"/>
      <w:marBottom w:val="180"/>
      <w:divBdr>
        <w:top w:val="none" w:sz="0" w:space="0" w:color="auto"/>
        <w:left w:val="none" w:sz="0" w:space="0" w:color="auto"/>
        <w:bottom w:val="none" w:sz="0" w:space="0" w:color="auto"/>
        <w:right w:val="none" w:sz="0" w:space="0" w:color="auto"/>
      </w:divBdr>
    </w:div>
    <w:div w:id="1853839613">
      <w:marLeft w:val="0"/>
      <w:marRight w:val="0"/>
      <w:marTop w:val="0"/>
      <w:marBottom w:val="0"/>
      <w:divBdr>
        <w:top w:val="none" w:sz="0" w:space="0" w:color="auto"/>
        <w:left w:val="none" w:sz="0" w:space="0" w:color="auto"/>
        <w:bottom w:val="none" w:sz="0" w:space="0" w:color="auto"/>
        <w:right w:val="none" w:sz="0" w:space="0" w:color="auto"/>
      </w:divBdr>
      <w:divsChild>
        <w:div w:id="1630621971">
          <w:marLeft w:val="0"/>
          <w:marRight w:val="0"/>
          <w:marTop w:val="0"/>
          <w:marBottom w:val="0"/>
          <w:divBdr>
            <w:top w:val="none" w:sz="0" w:space="0" w:color="auto"/>
            <w:left w:val="none" w:sz="0" w:space="0" w:color="auto"/>
            <w:bottom w:val="none" w:sz="0" w:space="0" w:color="auto"/>
            <w:right w:val="none" w:sz="0" w:space="0" w:color="auto"/>
          </w:divBdr>
          <w:divsChild>
            <w:div w:id="104340603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55143803">
      <w:marLeft w:val="0"/>
      <w:marRight w:val="0"/>
      <w:marTop w:val="180"/>
      <w:marBottom w:val="180"/>
      <w:divBdr>
        <w:top w:val="none" w:sz="0" w:space="0" w:color="auto"/>
        <w:left w:val="none" w:sz="0" w:space="0" w:color="auto"/>
        <w:bottom w:val="none" w:sz="0" w:space="0" w:color="auto"/>
        <w:right w:val="none" w:sz="0" w:space="0" w:color="auto"/>
      </w:divBdr>
    </w:div>
    <w:div w:id="1856457923">
      <w:marLeft w:val="0"/>
      <w:marRight w:val="0"/>
      <w:marTop w:val="60"/>
      <w:marBottom w:val="60"/>
      <w:divBdr>
        <w:top w:val="none" w:sz="0" w:space="0" w:color="auto"/>
        <w:left w:val="none" w:sz="0" w:space="0" w:color="auto"/>
        <w:bottom w:val="none" w:sz="0" w:space="0" w:color="auto"/>
        <w:right w:val="none" w:sz="0" w:space="0" w:color="auto"/>
      </w:divBdr>
    </w:div>
    <w:div w:id="1856723013">
      <w:marLeft w:val="0"/>
      <w:marRight w:val="0"/>
      <w:marTop w:val="180"/>
      <w:marBottom w:val="180"/>
      <w:divBdr>
        <w:top w:val="none" w:sz="0" w:space="0" w:color="auto"/>
        <w:left w:val="none" w:sz="0" w:space="0" w:color="auto"/>
        <w:bottom w:val="none" w:sz="0" w:space="0" w:color="auto"/>
        <w:right w:val="none" w:sz="0" w:space="0" w:color="auto"/>
      </w:divBdr>
    </w:div>
    <w:div w:id="1857650163">
      <w:marLeft w:val="0"/>
      <w:marRight w:val="0"/>
      <w:marTop w:val="180"/>
      <w:marBottom w:val="180"/>
      <w:divBdr>
        <w:top w:val="none" w:sz="0" w:space="0" w:color="auto"/>
        <w:left w:val="none" w:sz="0" w:space="0" w:color="auto"/>
        <w:bottom w:val="none" w:sz="0" w:space="0" w:color="auto"/>
        <w:right w:val="none" w:sz="0" w:space="0" w:color="auto"/>
      </w:divBdr>
    </w:div>
    <w:div w:id="1859389449">
      <w:marLeft w:val="0"/>
      <w:marRight w:val="0"/>
      <w:marTop w:val="180"/>
      <w:marBottom w:val="180"/>
      <w:divBdr>
        <w:top w:val="none" w:sz="0" w:space="0" w:color="auto"/>
        <w:left w:val="none" w:sz="0" w:space="0" w:color="auto"/>
        <w:bottom w:val="none" w:sz="0" w:space="0" w:color="auto"/>
        <w:right w:val="none" w:sz="0" w:space="0" w:color="auto"/>
      </w:divBdr>
    </w:div>
    <w:div w:id="1862013277">
      <w:marLeft w:val="0"/>
      <w:marRight w:val="0"/>
      <w:marTop w:val="180"/>
      <w:marBottom w:val="180"/>
      <w:divBdr>
        <w:top w:val="none" w:sz="0" w:space="0" w:color="auto"/>
        <w:left w:val="none" w:sz="0" w:space="0" w:color="auto"/>
        <w:bottom w:val="none" w:sz="0" w:space="0" w:color="auto"/>
        <w:right w:val="none" w:sz="0" w:space="0" w:color="auto"/>
      </w:divBdr>
    </w:div>
    <w:div w:id="1862624438">
      <w:marLeft w:val="0"/>
      <w:marRight w:val="0"/>
      <w:marTop w:val="0"/>
      <w:marBottom w:val="0"/>
      <w:divBdr>
        <w:top w:val="none" w:sz="0" w:space="0" w:color="auto"/>
        <w:left w:val="none" w:sz="0" w:space="0" w:color="auto"/>
        <w:bottom w:val="none" w:sz="0" w:space="0" w:color="auto"/>
        <w:right w:val="none" w:sz="0" w:space="0" w:color="auto"/>
      </w:divBdr>
      <w:divsChild>
        <w:div w:id="1788156152">
          <w:marLeft w:val="0"/>
          <w:marRight w:val="0"/>
          <w:marTop w:val="60"/>
          <w:marBottom w:val="180"/>
          <w:divBdr>
            <w:top w:val="none" w:sz="0" w:space="0" w:color="auto"/>
            <w:left w:val="none" w:sz="0" w:space="0" w:color="auto"/>
            <w:bottom w:val="none" w:sz="0" w:space="0" w:color="auto"/>
            <w:right w:val="none" w:sz="0" w:space="0" w:color="auto"/>
          </w:divBdr>
        </w:div>
      </w:divsChild>
    </w:div>
    <w:div w:id="1862666592">
      <w:marLeft w:val="0"/>
      <w:marRight w:val="0"/>
      <w:marTop w:val="180"/>
      <w:marBottom w:val="180"/>
      <w:divBdr>
        <w:top w:val="none" w:sz="0" w:space="0" w:color="auto"/>
        <w:left w:val="none" w:sz="0" w:space="0" w:color="auto"/>
        <w:bottom w:val="none" w:sz="0" w:space="0" w:color="auto"/>
        <w:right w:val="none" w:sz="0" w:space="0" w:color="auto"/>
      </w:divBdr>
    </w:div>
    <w:div w:id="1863544571">
      <w:marLeft w:val="0"/>
      <w:marRight w:val="0"/>
      <w:marTop w:val="60"/>
      <w:marBottom w:val="60"/>
      <w:divBdr>
        <w:top w:val="none" w:sz="0" w:space="0" w:color="auto"/>
        <w:left w:val="none" w:sz="0" w:space="0" w:color="auto"/>
        <w:bottom w:val="none" w:sz="0" w:space="0" w:color="auto"/>
        <w:right w:val="none" w:sz="0" w:space="0" w:color="auto"/>
      </w:divBdr>
    </w:div>
    <w:div w:id="1864395143">
      <w:marLeft w:val="0"/>
      <w:marRight w:val="0"/>
      <w:marTop w:val="60"/>
      <w:marBottom w:val="60"/>
      <w:divBdr>
        <w:top w:val="none" w:sz="0" w:space="0" w:color="auto"/>
        <w:left w:val="none" w:sz="0" w:space="0" w:color="auto"/>
        <w:bottom w:val="none" w:sz="0" w:space="0" w:color="auto"/>
        <w:right w:val="none" w:sz="0" w:space="0" w:color="auto"/>
      </w:divBdr>
    </w:div>
    <w:div w:id="1865093943">
      <w:marLeft w:val="0"/>
      <w:marRight w:val="0"/>
      <w:marTop w:val="60"/>
      <w:marBottom w:val="60"/>
      <w:divBdr>
        <w:top w:val="none" w:sz="0" w:space="0" w:color="auto"/>
        <w:left w:val="none" w:sz="0" w:space="0" w:color="auto"/>
        <w:bottom w:val="none" w:sz="0" w:space="0" w:color="auto"/>
        <w:right w:val="none" w:sz="0" w:space="0" w:color="auto"/>
      </w:divBdr>
    </w:div>
    <w:div w:id="1865745088">
      <w:marLeft w:val="0"/>
      <w:marRight w:val="0"/>
      <w:marTop w:val="180"/>
      <w:marBottom w:val="180"/>
      <w:divBdr>
        <w:top w:val="none" w:sz="0" w:space="0" w:color="auto"/>
        <w:left w:val="none" w:sz="0" w:space="0" w:color="auto"/>
        <w:bottom w:val="none" w:sz="0" w:space="0" w:color="auto"/>
        <w:right w:val="none" w:sz="0" w:space="0" w:color="auto"/>
      </w:divBdr>
    </w:div>
    <w:div w:id="1866168926">
      <w:marLeft w:val="0"/>
      <w:marRight w:val="0"/>
      <w:marTop w:val="240"/>
      <w:marBottom w:val="180"/>
      <w:divBdr>
        <w:top w:val="none" w:sz="0" w:space="0" w:color="auto"/>
        <w:left w:val="none" w:sz="0" w:space="0" w:color="auto"/>
        <w:bottom w:val="none" w:sz="0" w:space="0" w:color="auto"/>
        <w:right w:val="none" w:sz="0" w:space="0" w:color="auto"/>
      </w:divBdr>
    </w:div>
    <w:div w:id="1866673268">
      <w:marLeft w:val="0"/>
      <w:marRight w:val="0"/>
      <w:marTop w:val="180"/>
      <w:marBottom w:val="180"/>
      <w:divBdr>
        <w:top w:val="none" w:sz="0" w:space="0" w:color="auto"/>
        <w:left w:val="none" w:sz="0" w:space="0" w:color="auto"/>
        <w:bottom w:val="none" w:sz="0" w:space="0" w:color="auto"/>
        <w:right w:val="none" w:sz="0" w:space="0" w:color="auto"/>
      </w:divBdr>
    </w:div>
    <w:div w:id="1867522761">
      <w:marLeft w:val="0"/>
      <w:marRight w:val="0"/>
      <w:marTop w:val="180"/>
      <w:marBottom w:val="180"/>
      <w:divBdr>
        <w:top w:val="none" w:sz="0" w:space="0" w:color="auto"/>
        <w:left w:val="none" w:sz="0" w:space="0" w:color="auto"/>
        <w:bottom w:val="none" w:sz="0" w:space="0" w:color="auto"/>
        <w:right w:val="none" w:sz="0" w:space="0" w:color="auto"/>
      </w:divBdr>
    </w:div>
    <w:div w:id="1867672195">
      <w:marLeft w:val="0"/>
      <w:marRight w:val="0"/>
      <w:marTop w:val="60"/>
      <w:marBottom w:val="60"/>
      <w:divBdr>
        <w:top w:val="none" w:sz="0" w:space="0" w:color="auto"/>
        <w:left w:val="none" w:sz="0" w:space="0" w:color="auto"/>
        <w:bottom w:val="none" w:sz="0" w:space="0" w:color="auto"/>
        <w:right w:val="none" w:sz="0" w:space="0" w:color="auto"/>
      </w:divBdr>
    </w:div>
    <w:div w:id="1867719686">
      <w:marLeft w:val="0"/>
      <w:marRight w:val="0"/>
      <w:marTop w:val="0"/>
      <w:marBottom w:val="0"/>
      <w:divBdr>
        <w:top w:val="none" w:sz="0" w:space="0" w:color="auto"/>
        <w:left w:val="none" w:sz="0" w:space="0" w:color="auto"/>
        <w:bottom w:val="none" w:sz="0" w:space="0" w:color="auto"/>
        <w:right w:val="none" w:sz="0" w:space="0" w:color="auto"/>
      </w:divBdr>
      <w:divsChild>
        <w:div w:id="278992697">
          <w:marLeft w:val="0"/>
          <w:marRight w:val="0"/>
          <w:marTop w:val="180"/>
          <w:marBottom w:val="180"/>
          <w:divBdr>
            <w:top w:val="none" w:sz="0" w:space="0" w:color="auto"/>
            <w:left w:val="none" w:sz="0" w:space="0" w:color="auto"/>
            <w:bottom w:val="none" w:sz="0" w:space="0" w:color="auto"/>
            <w:right w:val="none" w:sz="0" w:space="0" w:color="auto"/>
          </w:divBdr>
        </w:div>
      </w:divsChild>
    </w:div>
    <w:div w:id="1871340070">
      <w:marLeft w:val="0"/>
      <w:marRight w:val="0"/>
      <w:marTop w:val="180"/>
      <w:marBottom w:val="180"/>
      <w:divBdr>
        <w:top w:val="none" w:sz="0" w:space="0" w:color="auto"/>
        <w:left w:val="none" w:sz="0" w:space="0" w:color="auto"/>
        <w:bottom w:val="none" w:sz="0" w:space="0" w:color="auto"/>
        <w:right w:val="none" w:sz="0" w:space="0" w:color="auto"/>
      </w:divBdr>
    </w:div>
    <w:div w:id="1872064044">
      <w:marLeft w:val="0"/>
      <w:marRight w:val="0"/>
      <w:marTop w:val="180"/>
      <w:marBottom w:val="180"/>
      <w:divBdr>
        <w:top w:val="none" w:sz="0" w:space="0" w:color="auto"/>
        <w:left w:val="none" w:sz="0" w:space="0" w:color="auto"/>
        <w:bottom w:val="none" w:sz="0" w:space="0" w:color="auto"/>
        <w:right w:val="none" w:sz="0" w:space="0" w:color="auto"/>
      </w:divBdr>
    </w:div>
    <w:div w:id="1872378048">
      <w:marLeft w:val="0"/>
      <w:marRight w:val="0"/>
      <w:marTop w:val="180"/>
      <w:marBottom w:val="180"/>
      <w:divBdr>
        <w:top w:val="none" w:sz="0" w:space="0" w:color="auto"/>
        <w:left w:val="none" w:sz="0" w:space="0" w:color="auto"/>
        <w:bottom w:val="none" w:sz="0" w:space="0" w:color="auto"/>
        <w:right w:val="none" w:sz="0" w:space="0" w:color="auto"/>
      </w:divBdr>
    </w:div>
    <w:div w:id="1873225639">
      <w:marLeft w:val="0"/>
      <w:marRight w:val="0"/>
      <w:marTop w:val="180"/>
      <w:marBottom w:val="180"/>
      <w:divBdr>
        <w:top w:val="none" w:sz="0" w:space="0" w:color="auto"/>
        <w:left w:val="none" w:sz="0" w:space="0" w:color="auto"/>
        <w:bottom w:val="none" w:sz="0" w:space="0" w:color="auto"/>
        <w:right w:val="none" w:sz="0" w:space="0" w:color="auto"/>
      </w:divBdr>
    </w:div>
    <w:div w:id="1873886057">
      <w:marLeft w:val="0"/>
      <w:marRight w:val="0"/>
      <w:marTop w:val="180"/>
      <w:marBottom w:val="180"/>
      <w:divBdr>
        <w:top w:val="none" w:sz="0" w:space="0" w:color="auto"/>
        <w:left w:val="none" w:sz="0" w:space="0" w:color="auto"/>
        <w:bottom w:val="none" w:sz="0" w:space="0" w:color="auto"/>
        <w:right w:val="none" w:sz="0" w:space="0" w:color="auto"/>
      </w:divBdr>
    </w:div>
    <w:div w:id="1873959187">
      <w:marLeft w:val="0"/>
      <w:marRight w:val="0"/>
      <w:marTop w:val="60"/>
      <w:marBottom w:val="60"/>
      <w:divBdr>
        <w:top w:val="none" w:sz="0" w:space="0" w:color="auto"/>
        <w:left w:val="none" w:sz="0" w:space="0" w:color="auto"/>
        <w:bottom w:val="none" w:sz="0" w:space="0" w:color="auto"/>
        <w:right w:val="none" w:sz="0" w:space="0" w:color="auto"/>
      </w:divBdr>
    </w:div>
    <w:div w:id="1876650144">
      <w:marLeft w:val="0"/>
      <w:marRight w:val="0"/>
      <w:marTop w:val="180"/>
      <w:marBottom w:val="180"/>
      <w:divBdr>
        <w:top w:val="none" w:sz="0" w:space="0" w:color="auto"/>
        <w:left w:val="none" w:sz="0" w:space="0" w:color="auto"/>
        <w:bottom w:val="none" w:sz="0" w:space="0" w:color="auto"/>
        <w:right w:val="none" w:sz="0" w:space="0" w:color="auto"/>
      </w:divBdr>
    </w:div>
    <w:div w:id="1877962963">
      <w:marLeft w:val="0"/>
      <w:marRight w:val="0"/>
      <w:marTop w:val="60"/>
      <w:marBottom w:val="60"/>
      <w:divBdr>
        <w:top w:val="none" w:sz="0" w:space="0" w:color="auto"/>
        <w:left w:val="none" w:sz="0" w:space="0" w:color="auto"/>
        <w:bottom w:val="none" w:sz="0" w:space="0" w:color="auto"/>
        <w:right w:val="none" w:sz="0" w:space="0" w:color="auto"/>
      </w:divBdr>
    </w:div>
    <w:div w:id="1879121504">
      <w:marLeft w:val="0"/>
      <w:marRight w:val="0"/>
      <w:marTop w:val="180"/>
      <w:marBottom w:val="180"/>
      <w:divBdr>
        <w:top w:val="none" w:sz="0" w:space="0" w:color="auto"/>
        <w:left w:val="none" w:sz="0" w:space="0" w:color="auto"/>
        <w:bottom w:val="none" w:sz="0" w:space="0" w:color="auto"/>
        <w:right w:val="none" w:sz="0" w:space="0" w:color="auto"/>
      </w:divBdr>
    </w:div>
    <w:div w:id="1879705937">
      <w:marLeft w:val="0"/>
      <w:marRight w:val="0"/>
      <w:marTop w:val="0"/>
      <w:marBottom w:val="0"/>
      <w:divBdr>
        <w:top w:val="none" w:sz="0" w:space="0" w:color="auto"/>
        <w:left w:val="none" w:sz="0" w:space="0" w:color="auto"/>
        <w:bottom w:val="none" w:sz="0" w:space="0" w:color="auto"/>
        <w:right w:val="none" w:sz="0" w:space="0" w:color="auto"/>
      </w:divBdr>
    </w:div>
    <w:div w:id="1880389606">
      <w:marLeft w:val="0"/>
      <w:marRight w:val="0"/>
      <w:marTop w:val="180"/>
      <w:marBottom w:val="180"/>
      <w:divBdr>
        <w:top w:val="none" w:sz="0" w:space="0" w:color="auto"/>
        <w:left w:val="none" w:sz="0" w:space="0" w:color="auto"/>
        <w:bottom w:val="none" w:sz="0" w:space="0" w:color="auto"/>
        <w:right w:val="none" w:sz="0" w:space="0" w:color="auto"/>
      </w:divBdr>
    </w:div>
    <w:div w:id="1882088807">
      <w:marLeft w:val="0"/>
      <w:marRight w:val="0"/>
      <w:marTop w:val="100"/>
      <w:marBottom w:val="0"/>
      <w:divBdr>
        <w:top w:val="none" w:sz="0" w:space="0" w:color="auto"/>
        <w:left w:val="none" w:sz="0" w:space="0" w:color="auto"/>
        <w:bottom w:val="none" w:sz="0" w:space="0" w:color="auto"/>
        <w:right w:val="none" w:sz="0" w:space="0" w:color="auto"/>
      </w:divBdr>
      <w:divsChild>
        <w:div w:id="1458989804">
          <w:marLeft w:val="0"/>
          <w:marRight w:val="0"/>
          <w:marTop w:val="0"/>
          <w:marBottom w:val="0"/>
          <w:divBdr>
            <w:top w:val="none" w:sz="0" w:space="0" w:color="auto"/>
            <w:left w:val="none" w:sz="0" w:space="0" w:color="auto"/>
            <w:bottom w:val="none" w:sz="0" w:space="0" w:color="auto"/>
            <w:right w:val="none" w:sz="0" w:space="0" w:color="auto"/>
          </w:divBdr>
        </w:div>
      </w:divsChild>
    </w:div>
    <w:div w:id="1882399611">
      <w:marLeft w:val="0"/>
      <w:marRight w:val="0"/>
      <w:marTop w:val="60"/>
      <w:marBottom w:val="60"/>
      <w:divBdr>
        <w:top w:val="none" w:sz="0" w:space="0" w:color="auto"/>
        <w:left w:val="none" w:sz="0" w:space="0" w:color="auto"/>
        <w:bottom w:val="none" w:sz="0" w:space="0" w:color="auto"/>
        <w:right w:val="none" w:sz="0" w:space="0" w:color="auto"/>
      </w:divBdr>
    </w:div>
    <w:div w:id="1884751071">
      <w:marLeft w:val="0"/>
      <w:marRight w:val="0"/>
      <w:marTop w:val="180"/>
      <w:marBottom w:val="180"/>
      <w:divBdr>
        <w:top w:val="none" w:sz="0" w:space="0" w:color="auto"/>
        <w:left w:val="none" w:sz="0" w:space="0" w:color="auto"/>
        <w:bottom w:val="none" w:sz="0" w:space="0" w:color="auto"/>
        <w:right w:val="none" w:sz="0" w:space="0" w:color="auto"/>
      </w:divBdr>
    </w:div>
    <w:div w:id="1885094015">
      <w:marLeft w:val="0"/>
      <w:marRight w:val="0"/>
      <w:marTop w:val="180"/>
      <w:marBottom w:val="180"/>
      <w:divBdr>
        <w:top w:val="none" w:sz="0" w:space="0" w:color="auto"/>
        <w:left w:val="none" w:sz="0" w:space="0" w:color="auto"/>
        <w:bottom w:val="none" w:sz="0" w:space="0" w:color="auto"/>
        <w:right w:val="none" w:sz="0" w:space="0" w:color="auto"/>
      </w:divBdr>
    </w:div>
    <w:div w:id="1885218483">
      <w:marLeft w:val="0"/>
      <w:marRight w:val="0"/>
      <w:marTop w:val="180"/>
      <w:marBottom w:val="180"/>
      <w:divBdr>
        <w:top w:val="none" w:sz="0" w:space="0" w:color="auto"/>
        <w:left w:val="none" w:sz="0" w:space="0" w:color="auto"/>
        <w:bottom w:val="none" w:sz="0" w:space="0" w:color="auto"/>
        <w:right w:val="none" w:sz="0" w:space="0" w:color="auto"/>
      </w:divBdr>
    </w:div>
    <w:div w:id="1885362402">
      <w:marLeft w:val="0"/>
      <w:marRight w:val="0"/>
      <w:marTop w:val="180"/>
      <w:marBottom w:val="180"/>
      <w:divBdr>
        <w:top w:val="none" w:sz="0" w:space="0" w:color="auto"/>
        <w:left w:val="none" w:sz="0" w:space="0" w:color="auto"/>
        <w:bottom w:val="none" w:sz="0" w:space="0" w:color="auto"/>
        <w:right w:val="none" w:sz="0" w:space="0" w:color="auto"/>
      </w:divBdr>
    </w:div>
    <w:div w:id="1886520963">
      <w:marLeft w:val="0"/>
      <w:marRight w:val="0"/>
      <w:marTop w:val="180"/>
      <w:marBottom w:val="180"/>
      <w:divBdr>
        <w:top w:val="none" w:sz="0" w:space="0" w:color="auto"/>
        <w:left w:val="none" w:sz="0" w:space="0" w:color="auto"/>
        <w:bottom w:val="none" w:sz="0" w:space="0" w:color="auto"/>
        <w:right w:val="none" w:sz="0" w:space="0" w:color="auto"/>
      </w:divBdr>
    </w:div>
    <w:div w:id="1886984943">
      <w:marLeft w:val="0"/>
      <w:marRight w:val="0"/>
      <w:marTop w:val="180"/>
      <w:marBottom w:val="180"/>
      <w:divBdr>
        <w:top w:val="none" w:sz="0" w:space="0" w:color="auto"/>
        <w:left w:val="none" w:sz="0" w:space="0" w:color="auto"/>
        <w:bottom w:val="none" w:sz="0" w:space="0" w:color="auto"/>
        <w:right w:val="none" w:sz="0" w:space="0" w:color="auto"/>
      </w:divBdr>
    </w:div>
    <w:div w:id="1887637998">
      <w:marLeft w:val="0"/>
      <w:marRight w:val="0"/>
      <w:marTop w:val="180"/>
      <w:marBottom w:val="180"/>
      <w:divBdr>
        <w:top w:val="none" w:sz="0" w:space="0" w:color="auto"/>
        <w:left w:val="none" w:sz="0" w:space="0" w:color="auto"/>
        <w:bottom w:val="none" w:sz="0" w:space="0" w:color="auto"/>
        <w:right w:val="none" w:sz="0" w:space="0" w:color="auto"/>
      </w:divBdr>
    </w:div>
    <w:div w:id="1888491531">
      <w:marLeft w:val="0"/>
      <w:marRight w:val="0"/>
      <w:marTop w:val="140"/>
      <w:marBottom w:val="180"/>
      <w:divBdr>
        <w:top w:val="none" w:sz="0" w:space="0" w:color="auto"/>
        <w:left w:val="none" w:sz="0" w:space="0" w:color="auto"/>
        <w:bottom w:val="none" w:sz="0" w:space="0" w:color="auto"/>
        <w:right w:val="none" w:sz="0" w:space="0" w:color="auto"/>
      </w:divBdr>
    </w:div>
    <w:div w:id="1889562415">
      <w:marLeft w:val="0"/>
      <w:marRight w:val="0"/>
      <w:marTop w:val="60"/>
      <w:marBottom w:val="60"/>
      <w:divBdr>
        <w:top w:val="none" w:sz="0" w:space="0" w:color="auto"/>
        <w:left w:val="none" w:sz="0" w:space="0" w:color="auto"/>
        <w:bottom w:val="none" w:sz="0" w:space="0" w:color="auto"/>
        <w:right w:val="none" w:sz="0" w:space="0" w:color="auto"/>
      </w:divBdr>
      <w:divsChild>
        <w:div w:id="2067490735">
          <w:marLeft w:val="0"/>
          <w:marRight w:val="0"/>
          <w:marTop w:val="0"/>
          <w:marBottom w:val="0"/>
          <w:divBdr>
            <w:top w:val="none" w:sz="0" w:space="0" w:color="auto"/>
            <w:left w:val="none" w:sz="0" w:space="0" w:color="auto"/>
            <w:bottom w:val="none" w:sz="0" w:space="0" w:color="auto"/>
            <w:right w:val="none" w:sz="0" w:space="0" w:color="auto"/>
          </w:divBdr>
        </w:div>
        <w:div w:id="1059858956">
          <w:marLeft w:val="0"/>
          <w:marRight w:val="0"/>
          <w:marTop w:val="0"/>
          <w:marBottom w:val="0"/>
          <w:divBdr>
            <w:top w:val="none" w:sz="0" w:space="0" w:color="auto"/>
            <w:left w:val="none" w:sz="0" w:space="0" w:color="auto"/>
            <w:bottom w:val="none" w:sz="0" w:space="0" w:color="auto"/>
            <w:right w:val="none" w:sz="0" w:space="0" w:color="auto"/>
          </w:divBdr>
        </w:div>
        <w:div w:id="809249698">
          <w:marLeft w:val="0"/>
          <w:marRight w:val="0"/>
          <w:marTop w:val="0"/>
          <w:marBottom w:val="0"/>
          <w:divBdr>
            <w:top w:val="none" w:sz="0" w:space="0" w:color="auto"/>
            <w:left w:val="none" w:sz="0" w:space="0" w:color="auto"/>
            <w:bottom w:val="none" w:sz="0" w:space="0" w:color="auto"/>
            <w:right w:val="none" w:sz="0" w:space="0" w:color="auto"/>
          </w:divBdr>
        </w:div>
        <w:div w:id="1991403330">
          <w:marLeft w:val="0"/>
          <w:marRight w:val="0"/>
          <w:marTop w:val="0"/>
          <w:marBottom w:val="0"/>
          <w:divBdr>
            <w:top w:val="none" w:sz="0" w:space="0" w:color="auto"/>
            <w:left w:val="none" w:sz="0" w:space="0" w:color="auto"/>
            <w:bottom w:val="none" w:sz="0" w:space="0" w:color="auto"/>
            <w:right w:val="none" w:sz="0" w:space="0" w:color="auto"/>
          </w:divBdr>
        </w:div>
        <w:div w:id="2061785894">
          <w:marLeft w:val="0"/>
          <w:marRight w:val="0"/>
          <w:marTop w:val="0"/>
          <w:marBottom w:val="0"/>
          <w:divBdr>
            <w:top w:val="none" w:sz="0" w:space="0" w:color="auto"/>
            <w:left w:val="none" w:sz="0" w:space="0" w:color="auto"/>
            <w:bottom w:val="none" w:sz="0" w:space="0" w:color="auto"/>
            <w:right w:val="none" w:sz="0" w:space="0" w:color="auto"/>
          </w:divBdr>
        </w:div>
        <w:div w:id="1518233048">
          <w:marLeft w:val="0"/>
          <w:marRight w:val="0"/>
          <w:marTop w:val="0"/>
          <w:marBottom w:val="0"/>
          <w:divBdr>
            <w:top w:val="none" w:sz="0" w:space="0" w:color="auto"/>
            <w:left w:val="none" w:sz="0" w:space="0" w:color="auto"/>
            <w:bottom w:val="none" w:sz="0" w:space="0" w:color="auto"/>
            <w:right w:val="none" w:sz="0" w:space="0" w:color="auto"/>
          </w:divBdr>
        </w:div>
      </w:divsChild>
    </w:div>
    <w:div w:id="1893619097">
      <w:marLeft w:val="0"/>
      <w:marRight w:val="0"/>
      <w:marTop w:val="180"/>
      <w:marBottom w:val="180"/>
      <w:divBdr>
        <w:top w:val="none" w:sz="0" w:space="0" w:color="auto"/>
        <w:left w:val="none" w:sz="0" w:space="0" w:color="auto"/>
        <w:bottom w:val="none" w:sz="0" w:space="0" w:color="auto"/>
        <w:right w:val="none" w:sz="0" w:space="0" w:color="auto"/>
      </w:divBdr>
    </w:div>
    <w:div w:id="1894391998">
      <w:marLeft w:val="0"/>
      <w:marRight w:val="0"/>
      <w:marTop w:val="180"/>
      <w:marBottom w:val="180"/>
      <w:divBdr>
        <w:top w:val="none" w:sz="0" w:space="0" w:color="auto"/>
        <w:left w:val="none" w:sz="0" w:space="0" w:color="auto"/>
        <w:bottom w:val="none" w:sz="0" w:space="0" w:color="auto"/>
        <w:right w:val="none" w:sz="0" w:space="0" w:color="auto"/>
      </w:divBdr>
    </w:div>
    <w:div w:id="1895190220">
      <w:marLeft w:val="0"/>
      <w:marRight w:val="0"/>
      <w:marTop w:val="180"/>
      <w:marBottom w:val="180"/>
      <w:divBdr>
        <w:top w:val="none" w:sz="0" w:space="0" w:color="auto"/>
        <w:left w:val="none" w:sz="0" w:space="0" w:color="auto"/>
        <w:bottom w:val="none" w:sz="0" w:space="0" w:color="auto"/>
        <w:right w:val="none" w:sz="0" w:space="0" w:color="auto"/>
      </w:divBdr>
    </w:div>
    <w:div w:id="1895584759">
      <w:marLeft w:val="0"/>
      <w:marRight w:val="0"/>
      <w:marTop w:val="60"/>
      <w:marBottom w:val="60"/>
      <w:divBdr>
        <w:top w:val="none" w:sz="0" w:space="0" w:color="auto"/>
        <w:left w:val="none" w:sz="0" w:space="0" w:color="auto"/>
        <w:bottom w:val="none" w:sz="0" w:space="0" w:color="auto"/>
        <w:right w:val="none" w:sz="0" w:space="0" w:color="auto"/>
      </w:divBdr>
    </w:div>
    <w:div w:id="1895772837">
      <w:marLeft w:val="0"/>
      <w:marRight w:val="0"/>
      <w:marTop w:val="180"/>
      <w:marBottom w:val="180"/>
      <w:divBdr>
        <w:top w:val="none" w:sz="0" w:space="0" w:color="auto"/>
        <w:left w:val="none" w:sz="0" w:space="0" w:color="auto"/>
        <w:bottom w:val="none" w:sz="0" w:space="0" w:color="auto"/>
        <w:right w:val="none" w:sz="0" w:space="0" w:color="auto"/>
      </w:divBdr>
    </w:div>
    <w:div w:id="1895845751">
      <w:marLeft w:val="0"/>
      <w:marRight w:val="0"/>
      <w:marTop w:val="180"/>
      <w:marBottom w:val="180"/>
      <w:divBdr>
        <w:top w:val="none" w:sz="0" w:space="0" w:color="auto"/>
        <w:left w:val="none" w:sz="0" w:space="0" w:color="auto"/>
        <w:bottom w:val="none" w:sz="0" w:space="0" w:color="auto"/>
        <w:right w:val="none" w:sz="0" w:space="0" w:color="auto"/>
      </w:divBdr>
    </w:div>
    <w:div w:id="1898010848">
      <w:marLeft w:val="0"/>
      <w:marRight w:val="0"/>
      <w:marTop w:val="60"/>
      <w:marBottom w:val="60"/>
      <w:divBdr>
        <w:top w:val="none" w:sz="0" w:space="0" w:color="auto"/>
        <w:left w:val="none" w:sz="0" w:space="0" w:color="auto"/>
        <w:bottom w:val="none" w:sz="0" w:space="0" w:color="auto"/>
        <w:right w:val="none" w:sz="0" w:space="0" w:color="auto"/>
      </w:divBdr>
    </w:div>
    <w:div w:id="1898977087">
      <w:marLeft w:val="0"/>
      <w:marRight w:val="0"/>
      <w:marTop w:val="60"/>
      <w:marBottom w:val="60"/>
      <w:divBdr>
        <w:top w:val="none" w:sz="0" w:space="0" w:color="auto"/>
        <w:left w:val="none" w:sz="0" w:space="0" w:color="auto"/>
        <w:bottom w:val="none" w:sz="0" w:space="0" w:color="auto"/>
        <w:right w:val="none" w:sz="0" w:space="0" w:color="auto"/>
      </w:divBdr>
    </w:div>
    <w:div w:id="1899701967">
      <w:marLeft w:val="0"/>
      <w:marRight w:val="0"/>
      <w:marTop w:val="0"/>
      <w:marBottom w:val="0"/>
      <w:divBdr>
        <w:top w:val="none" w:sz="0" w:space="0" w:color="auto"/>
        <w:left w:val="none" w:sz="0" w:space="0" w:color="auto"/>
        <w:bottom w:val="none" w:sz="0" w:space="0" w:color="auto"/>
        <w:right w:val="none" w:sz="0" w:space="0" w:color="auto"/>
      </w:divBdr>
      <w:divsChild>
        <w:div w:id="496458084">
          <w:marLeft w:val="0"/>
          <w:marRight w:val="0"/>
          <w:marTop w:val="0"/>
          <w:marBottom w:val="0"/>
          <w:divBdr>
            <w:top w:val="none" w:sz="0" w:space="0" w:color="auto"/>
            <w:left w:val="none" w:sz="0" w:space="0" w:color="auto"/>
            <w:bottom w:val="none" w:sz="0" w:space="0" w:color="auto"/>
            <w:right w:val="none" w:sz="0" w:space="0" w:color="auto"/>
          </w:divBdr>
          <w:divsChild>
            <w:div w:id="87073052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99973957">
      <w:marLeft w:val="0"/>
      <w:marRight w:val="0"/>
      <w:marTop w:val="100"/>
      <w:marBottom w:val="0"/>
      <w:divBdr>
        <w:top w:val="none" w:sz="0" w:space="0" w:color="auto"/>
        <w:left w:val="none" w:sz="0" w:space="0" w:color="auto"/>
        <w:bottom w:val="none" w:sz="0" w:space="0" w:color="auto"/>
        <w:right w:val="none" w:sz="0" w:space="0" w:color="auto"/>
      </w:divBdr>
      <w:divsChild>
        <w:div w:id="1155606837">
          <w:marLeft w:val="0"/>
          <w:marRight w:val="0"/>
          <w:marTop w:val="0"/>
          <w:marBottom w:val="0"/>
          <w:divBdr>
            <w:top w:val="none" w:sz="0" w:space="0" w:color="auto"/>
            <w:left w:val="none" w:sz="0" w:space="0" w:color="auto"/>
            <w:bottom w:val="none" w:sz="0" w:space="0" w:color="auto"/>
            <w:right w:val="none" w:sz="0" w:space="0" w:color="auto"/>
          </w:divBdr>
        </w:div>
        <w:div w:id="1574074600">
          <w:marLeft w:val="0"/>
          <w:marRight w:val="0"/>
          <w:marTop w:val="0"/>
          <w:marBottom w:val="0"/>
          <w:divBdr>
            <w:top w:val="none" w:sz="0" w:space="0" w:color="auto"/>
            <w:left w:val="none" w:sz="0" w:space="0" w:color="auto"/>
            <w:bottom w:val="none" w:sz="0" w:space="0" w:color="auto"/>
            <w:right w:val="none" w:sz="0" w:space="0" w:color="auto"/>
          </w:divBdr>
        </w:div>
      </w:divsChild>
    </w:div>
    <w:div w:id="1901136762">
      <w:marLeft w:val="0"/>
      <w:marRight w:val="0"/>
      <w:marTop w:val="180"/>
      <w:marBottom w:val="180"/>
      <w:divBdr>
        <w:top w:val="none" w:sz="0" w:space="0" w:color="auto"/>
        <w:left w:val="none" w:sz="0" w:space="0" w:color="auto"/>
        <w:bottom w:val="none" w:sz="0" w:space="0" w:color="auto"/>
        <w:right w:val="none" w:sz="0" w:space="0" w:color="auto"/>
      </w:divBdr>
    </w:div>
    <w:div w:id="1901165470">
      <w:marLeft w:val="0"/>
      <w:marRight w:val="0"/>
      <w:marTop w:val="180"/>
      <w:marBottom w:val="180"/>
      <w:divBdr>
        <w:top w:val="none" w:sz="0" w:space="0" w:color="auto"/>
        <w:left w:val="none" w:sz="0" w:space="0" w:color="auto"/>
        <w:bottom w:val="none" w:sz="0" w:space="0" w:color="auto"/>
        <w:right w:val="none" w:sz="0" w:space="0" w:color="auto"/>
      </w:divBdr>
    </w:div>
    <w:div w:id="1901747952">
      <w:marLeft w:val="0"/>
      <w:marRight w:val="0"/>
      <w:marTop w:val="0"/>
      <w:marBottom w:val="0"/>
      <w:divBdr>
        <w:top w:val="none" w:sz="0" w:space="0" w:color="auto"/>
        <w:left w:val="none" w:sz="0" w:space="0" w:color="auto"/>
        <w:bottom w:val="none" w:sz="0" w:space="0" w:color="auto"/>
        <w:right w:val="none" w:sz="0" w:space="0" w:color="auto"/>
      </w:divBdr>
      <w:divsChild>
        <w:div w:id="66997413">
          <w:marLeft w:val="0"/>
          <w:marRight w:val="0"/>
          <w:marTop w:val="0"/>
          <w:marBottom w:val="0"/>
          <w:divBdr>
            <w:top w:val="none" w:sz="0" w:space="0" w:color="auto"/>
            <w:left w:val="none" w:sz="0" w:space="0" w:color="auto"/>
            <w:bottom w:val="none" w:sz="0" w:space="0" w:color="auto"/>
            <w:right w:val="none" w:sz="0" w:space="0" w:color="auto"/>
          </w:divBdr>
          <w:divsChild>
            <w:div w:id="23320502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03636268">
      <w:marLeft w:val="0"/>
      <w:marRight w:val="0"/>
      <w:marTop w:val="180"/>
      <w:marBottom w:val="180"/>
      <w:divBdr>
        <w:top w:val="none" w:sz="0" w:space="0" w:color="auto"/>
        <w:left w:val="none" w:sz="0" w:space="0" w:color="auto"/>
        <w:bottom w:val="none" w:sz="0" w:space="0" w:color="auto"/>
        <w:right w:val="none" w:sz="0" w:space="0" w:color="auto"/>
      </w:divBdr>
    </w:div>
    <w:div w:id="1903639502">
      <w:marLeft w:val="0"/>
      <w:marRight w:val="0"/>
      <w:marTop w:val="180"/>
      <w:marBottom w:val="180"/>
      <w:divBdr>
        <w:top w:val="none" w:sz="0" w:space="0" w:color="auto"/>
        <w:left w:val="none" w:sz="0" w:space="0" w:color="auto"/>
        <w:bottom w:val="none" w:sz="0" w:space="0" w:color="auto"/>
        <w:right w:val="none" w:sz="0" w:space="0" w:color="auto"/>
      </w:divBdr>
    </w:div>
    <w:div w:id="1904482388">
      <w:marLeft w:val="0"/>
      <w:marRight w:val="0"/>
      <w:marTop w:val="180"/>
      <w:marBottom w:val="60"/>
      <w:divBdr>
        <w:top w:val="none" w:sz="0" w:space="0" w:color="auto"/>
        <w:left w:val="none" w:sz="0" w:space="0" w:color="auto"/>
        <w:bottom w:val="none" w:sz="0" w:space="0" w:color="auto"/>
        <w:right w:val="none" w:sz="0" w:space="0" w:color="auto"/>
      </w:divBdr>
    </w:div>
    <w:div w:id="1905408079">
      <w:marLeft w:val="0"/>
      <w:marRight w:val="0"/>
      <w:marTop w:val="180"/>
      <w:marBottom w:val="180"/>
      <w:divBdr>
        <w:top w:val="none" w:sz="0" w:space="0" w:color="auto"/>
        <w:left w:val="none" w:sz="0" w:space="0" w:color="auto"/>
        <w:bottom w:val="none" w:sz="0" w:space="0" w:color="auto"/>
        <w:right w:val="none" w:sz="0" w:space="0" w:color="auto"/>
      </w:divBdr>
    </w:div>
    <w:div w:id="1905723080">
      <w:marLeft w:val="0"/>
      <w:marRight w:val="0"/>
      <w:marTop w:val="0"/>
      <w:marBottom w:val="0"/>
      <w:divBdr>
        <w:top w:val="none" w:sz="0" w:space="0" w:color="auto"/>
        <w:left w:val="none" w:sz="0" w:space="0" w:color="auto"/>
        <w:bottom w:val="none" w:sz="0" w:space="0" w:color="auto"/>
        <w:right w:val="none" w:sz="0" w:space="0" w:color="auto"/>
      </w:divBdr>
      <w:divsChild>
        <w:div w:id="314535877">
          <w:marLeft w:val="0"/>
          <w:marRight w:val="0"/>
          <w:marTop w:val="60"/>
          <w:marBottom w:val="180"/>
          <w:divBdr>
            <w:top w:val="none" w:sz="0" w:space="0" w:color="auto"/>
            <w:left w:val="none" w:sz="0" w:space="0" w:color="auto"/>
            <w:bottom w:val="none" w:sz="0" w:space="0" w:color="auto"/>
            <w:right w:val="none" w:sz="0" w:space="0" w:color="auto"/>
          </w:divBdr>
        </w:div>
      </w:divsChild>
    </w:div>
    <w:div w:id="1908494496">
      <w:marLeft w:val="0"/>
      <w:marRight w:val="0"/>
      <w:marTop w:val="180"/>
      <w:marBottom w:val="180"/>
      <w:divBdr>
        <w:top w:val="none" w:sz="0" w:space="0" w:color="auto"/>
        <w:left w:val="none" w:sz="0" w:space="0" w:color="auto"/>
        <w:bottom w:val="none" w:sz="0" w:space="0" w:color="auto"/>
        <w:right w:val="none" w:sz="0" w:space="0" w:color="auto"/>
      </w:divBdr>
    </w:div>
    <w:div w:id="1908756479">
      <w:marLeft w:val="0"/>
      <w:marRight w:val="0"/>
      <w:marTop w:val="60"/>
      <w:marBottom w:val="60"/>
      <w:divBdr>
        <w:top w:val="none" w:sz="0" w:space="0" w:color="auto"/>
        <w:left w:val="none" w:sz="0" w:space="0" w:color="auto"/>
        <w:bottom w:val="none" w:sz="0" w:space="0" w:color="auto"/>
        <w:right w:val="none" w:sz="0" w:space="0" w:color="auto"/>
      </w:divBdr>
    </w:div>
    <w:div w:id="1909806730">
      <w:marLeft w:val="0"/>
      <w:marRight w:val="0"/>
      <w:marTop w:val="180"/>
      <w:marBottom w:val="180"/>
      <w:divBdr>
        <w:top w:val="none" w:sz="0" w:space="0" w:color="auto"/>
        <w:left w:val="none" w:sz="0" w:space="0" w:color="auto"/>
        <w:bottom w:val="none" w:sz="0" w:space="0" w:color="auto"/>
        <w:right w:val="none" w:sz="0" w:space="0" w:color="auto"/>
      </w:divBdr>
    </w:div>
    <w:div w:id="1910845882">
      <w:marLeft w:val="0"/>
      <w:marRight w:val="0"/>
      <w:marTop w:val="180"/>
      <w:marBottom w:val="180"/>
      <w:divBdr>
        <w:top w:val="none" w:sz="0" w:space="0" w:color="auto"/>
        <w:left w:val="none" w:sz="0" w:space="0" w:color="auto"/>
        <w:bottom w:val="none" w:sz="0" w:space="0" w:color="auto"/>
        <w:right w:val="none" w:sz="0" w:space="0" w:color="auto"/>
      </w:divBdr>
    </w:div>
    <w:div w:id="1912765231">
      <w:marLeft w:val="0"/>
      <w:marRight w:val="0"/>
      <w:marTop w:val="180"/>
      <w:marBottom w:val="180"/>
      <w:divBdr>
        <w:top w:val="none" w:sz="0" w:space="0" w:color="auto"/>
        <w:left w:val="none" w:sz="0" w:space="0" w:color="auto"/>
        <w:bottom w:val="none" w:sz="0" w:space="0" w:color="auto"/>
        <w:right w:val="none" w:sz="0" w:space="0" w:color="auto"/>
      </w:divBdr>
    </w:div>
    <w:div w:id="1914504388">
      <w:marLeft w:val="0"/>
      <w:marRight w:val="0"/>
      <w:marTop w:val="180"/>
      <w:marBottom w:val="180"/>
      <w:divBdr>
        <w:top w:val="none" w:sz="0" w:space="0" w:color="auto"/>
        <w:left w:val="none" w:sz="0" w:space="0" w:color="auto"/>
        <w:bottom w:val="none" w:sz="0" w:space="0" w:color="auto"/>
        <w:right w:val="none" w:sz="0" w:space="0" w:color="auto"/>
      </w:divBdr>
    </w:div>
    <w:div w:id="1914898906">
      <w:marLeft w:val="0"/>
      <w:marRight w:val="0"/>
      <w:marTop w:val="180"/>
      <w:marBottom w:val="180"/>
      <w:divBdr>
        <w:top w:val="none" w:sz="0" w:space="0" w:color="auto"/>
        <w:left w:val="none" w:sz="0" w:space="0" w:color="auto"/>
        <w:bottom w:val="none" w:sz="0" w:space="0" w:color="auto"/>
        <w:right w:val="none" w:sz="0" w:space="0" w:color="auto"/>
      </w:divBdr>
    </w:div>
    <w:div w:id="1915434752">
      <w:marLeft w:val="0"/>
      <w:marRight w:val="0"/>
      <w:marTop w:val="180"/>
      <w:marBottom w:val="180"/>
      <w:divBdr>
        <w:top w:val="none" w:sz="0" w:space="0" w:color="auto"/>
        <w:left w:val="none" w:sz="0" w:space="0" w:color="auto"/>
        <w:bottom w:val="none" w:sz="0" w:space="0" w:color="auto"/>
        <w:right w:val="none" w:sz="0" w:space="0" w:color="auto"/>
      </w:divBdr>
    </w:div>
    <w:div w:id="1916163596">
      <w:marLeft w:val="0"/>
      <w:marRight w:val="0"/>
      <w:marTop w:val="180"/>
      <w:marBottom w:val="180"/>
      <w:divBdr>
        <w:top w:val="none" w:sz="0" w:space="0" w:color="auto"/>
        <w:left w:val="none" w:sz="0" w:space="0" w:color="auto"/>
        <w:bottom w:val="none" w:sz="0" w:space="0" w:color="auto"/>
        <w:right w:val="none" w:sz="0" w:space="0" w:color="auto"/>
      </w:divBdr>
    </w:div>
    <w:div w:id="1919095348">
      <w:marLeft w:val="0"/>
      <w:marRight w:val="0"/>
      <w:marTop w:val="180"/>
      <w:marBottom w:val="180"/>
      <w:divBdr>
        <w:top w:val="none" w:sz="0" w:space="0" w:color="auto"/>
        <w:left w:val="none" w:sz="0" w:space="0" w:color="auto"/>
        <w:bottom w:val="none" w:sz="0" w:space="0" w:color="auto"/>
        <w:right w:val="none" w:sz="0" w:space="0" w:color="auto"/>
      </w:divBdr>
    </w:div>
    <w:div w:id="1919441256">
      <w:marLeft w:val="0"/>
      <w:marRight w:val="0"/>
      <w:marTop w:val="0"/>
      <w:marBottom w:val="0"/>
      <w:divBdr>
        <w:top w:val="none" w:sz="0" w:space="0" w:color="auto"/>
        <w:left w:val="none" w:sz="0" w:space="0" w:color="auto"/>
        <w:bottom w:val="none" w:sz="0" w:space="0" w:color="auto"/>
        <w:right w:val="none" w:sz="0" w:space="0" w:color="auto"/>
      </w:divBdr>
      <w:divsChild>
        <w:div w:id="43795363">
          <w:marLeft w:val="0"/>
          <w:marRight w:val="0"/>
          <w:marTop w:val="0"/>
          <w:marBottom w:val="0"/>
          <w:divBdr>
            <w:top w:val="none" w:sz="0" w:space="0" w:color="auto"/>
            <w:left w:val="none" w:sz="0" w:space="0" w:color="auto"/>
            <w:bottom w:val="none" w:sz="0" w:space="0" w:color="auto"/>
            <w:right w:val="none" w:sz="0" w:space="0" w:color="auto"/>
          </w:divBdr>
          <w:divsChild>
            <w:div w:id="34637492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19707813">
      <w:marLeft w:val="0"/>
      <w:marRight w:val="0"/>
      <w:marTop w:val="180"/>
      <w:marBottom w:val="180"/>
      <w:divBdr>
        <w:top w:val="none" w:sz="0" w:space="0" w:color="auto"/>
        <w:left w:val="none" w:sz="0" w:space="0" w:color="auto"/>
        <w:bottom w:val="none" w:sz="0" w:space="0" w:color="auto"/>
        <w:right w:val="none" w:sz="0" w:space="0" w:color="auto"/>
      </w:divBdr>
    </w:div>
    <w:div w:id="1920287827">
      <w:marLeft w:val="0"/>
      <w:marRight w:val="0"/>
      <w:marTop w:val="180"/>
      <w:marBottom w:val="180"/>
      <w:divBdr>
        <w:top w:val="none" w:sz="0" w:space="0" w:color="auto"/>
        <w:left w:val="none" w:sz="0" w:space="0" w:color="auto"/>
        <w:bottom w:val="none" w:sz="0" w:space="0" w:color="auto"/>
        <w:right w:val="none" w:sz="0" w:space="0" w:color="auto"/>
      </w:divBdr>
    </w:div>
    <w:div w:id="1922327870">
      <w:marLeft w:val="0"/>
      <w:marRight w:val="0"/>
      <w:marTop w:val="180"/>
      <w:marBottom w:val="180"/>
      <w:divBdr>
        <w:top w:val="none" w:sz="0" w:space="0" w:color="auto"/>
        <w:left w:val="none" w:sz="0" w:space="0" w:color="auto"/>
        <w:bottom w:val="none" w:sz="0" w:space="0" w:color="auto"/>
        <w:right w:val="none" w:sz="0" w:space="0" w:color="auto"/>
      </w:divBdr>
    </w:div>
    <w:div w:id="1923685667">
      <w:marLeft w:val="0"/>
      <w:marRight w:val="0"/>
      <w:marTop w:val="180"/>
      <w:marBottom w:val="60"/>
      <w:divBdr>
        <w:top w:val="none" w:sz="0" w:space="0" w:color="auto"/>
        <w:left w:val="none" w:sz="0" w:space="0" w:color="auto"/>
        <w:bottom w:val="none" w:sz="0" w:space="0" w:color="auto"/>
        <w:right w:val="none" w:sz="0" w:space="0" w:color="auto"/>
      </w:divBdr>
    </w:div>
    <w:div w:id="1923829538">
      <w:marLeft w:val="0"/>
      <w:marRight w:val="0"/>
      <w:marTop w:val="180"/>
      <w:marBottom w:val="180"/>
      <w:divBdr>
        <w:top w:val="none" w:sz="0" w:space="0" w:color="auto"/>
        <w:left w:val="none" w:sz="0" w:space="0" w:color="auto"/>
        <w:bottom w:val="none" w:sz="0" w:space="0" w:color="auto"/>
        <w:right w:val="none" w:sz="0" w:space="0" w:color="auto"/>
      </w:divBdr>
    </w:div>
    <w:div w:id="1923834387">
      <w:marLeft w:val="0"/>
      <w:marRight w:val="0"/>
      <w:marTop w:val="60"/>
      <w:marBottom w:val="60"/>
      <w:divBdr>
        <w:top w:val="none" w:sz="0" w:space="0" w:color="auto"/>
        <w:left w:val="none" w:sz="0" w:space="0" w:color="auto"/>
        <w:bottom w:val="none" w:sz="0" w:space="0" w:color="auto"/>
        <w:right w:val="none" w:sz="0" w:space="0" w:color="auto"/>
      </w:divBdr>
      <w:divsChild>
        <w:div w:id="698437776">
          <w:marLeft w:val="0"/>
          <w:marRight w:val="0"/>
          <w:marTop w:val="0"/>
          <w:marBottom w:val="0"/>
          <w:divBdr>
            <w:top w:val="none" w:sz="0" w:space="0" w:color="auto"/>
            <w:left w:val="none" w:sz="0" w:space="0" w:color="auto"/>
            <w:bottom w:val="none" w:sz="0" w:space="0" w:color="auto"/>
            <w:right w:val="none" w:sz="0" w:space="0" w:color="auto"/>
          </w:divBdr>
        </w:div>
      </w:divsChild>
    </w:div>
    <w:div w:id="1924292766">
      <w:marLeft w:val="0"/>
      <w:marRight w:val="0"/>
      <w:marTop w:val="0"/>
      <w:marBottom w:val="180"/>
      <w:divBdr>
        <w:top w:val="none" w:sz="0" w:space="0" w:color="auto"/>
        <w:left w:val="none" w:sz="0" w:space="0" w:color="auto"/>
        <w:bottom w:val="none" w:sz="0" w:space="0" w:color="auto"/>
        <w:right w:val="none" w:sz="0" w:space="0" w:color="auto"/>
      </w:divBdr>
    </w:div>
    <w:div w:id="1924486879">
      <w:marLeft w:val="0"/>
      <w:marRight w:val="0"/>
      <w:marTop w:val="180"/>
      <w:marBottom w:val="180"/>
      <w:divBdr>
        <w:top w:val="none" w:sz="0" w:space="0" w:color="auto"/>
        <w:left w:val="none" w:sz="0" w:space="0" w:color="auto"/>
        <w:bottom w:val="none" w:sz="0" w:space="0" w:color="auto"/>
        <w:right w:val="none" w:sz="0" w:space="0" w:color="auto"/>
      </w:divBdr>
    </w:div>
    <w:div w:id="1924753784">
      <w:marLeft w:val="0"/>
      <w:marRight w:val="0"/>
      <w:marTop w:val="0"/>
      <w:marBottom w:val="180"/>
      <w:divBdr>
        <w:top w:val="none" w:sz="0" w:space="0" w:color="auto"/>
        <w:left w:val="none" w:sz="0" w:space="0" w:color="auto"/>
        <w:bottom w:val="none" w:sz="0" w:space="0" w:color="auto"/>
        <w:right w:val="none" w:sz="0" w:space="0" w:color="auto"/>
      </w:divBdr>
    </w:div>
    <w:div w:id="1926106075">
      <w:marLeft w:val="0"/>
      <w:marRight w:val="0"/>
      <w:marTop w:val="0"/>
      <w:marBottom w:val="0"/>
      <w:divBdr>
        <w:top w:val="none" w:sz="0" w:space="0" w:color="auto"/>
        <w:left w:val="none" w:sz="0" w:space="0" w:color="auto"/>
        <w:bottom w:val="none" w:sz="0" w:space="0" w:color="auto"/>
        <w:right w:val="none" w:sz="0" w:space="0" w:color="auto"/>
      </w:divBdr>
      <w:divsChild>
        <w:div w:id="127675728">
          <w:marLeft w:val="0"/>
          <w:marRight w:val="0"/>
          <w:marTop w:val="0"/>
          <w:marBottom w:val="0"/>
          <w:divBdr>
            <w:top w:val="none" w:sz="0" w:space="0" w:color="auto"/>
            <w:left w:val="none" w:sz="0" w:space="0" w:color="auto"/>
            <w:bottom w:val="none" w:sz="0" w:space="0" w:color="auto"/>
            <w:right w:val="none" w:sz="0" w:space="0" w:color="auto"/>
          </w:divBdr>
          <w:divsChild>
            <w:div w:id="225530409">
              <w:marLeft w:val="0"/>
              <w:marRight w:val="0"/>
              <w:marTop w:val="60"/>
              <w:marBottom w:val="180"/>
              <w:divBdr>
                <w:top w:val="none" w:sz="0" w:space="0" w:color="auto"/>
                <w:left w:val="none" w:sz="0" w:space="0" w:color="auto"/>
                <w:bottom w:val="none" w:sz="0" w:space="0" w:color="auto"/>
                <w:right w:val="none" w:sz="0" w:space="0" w:color="auto"/>
              </w:divBdr>
            </w:div>
          </w:divsChild>
        </w:div>
        <w:div w:id="1670475236">
          <w:marLeft w:val="0"/>
          <w:marRight w:val="0"/>
          <w:marTop w:val="180"/>
          <w:marBottom w:val="60"/>
          <w:divBdr>
            <w:top w:val="none" w:sz="0" w:space="0" w:color="auto"/>
            <w:left w:val="none" w:sz="0" w:space="0" w:color="auto"/>
            <w:bottom w:val="none" w:sz="0" w:space="0" w:color="auto"/>
            <w:right w:val="none" w:sz="0" w:space="0" w:color="auto"/>
          </w:divBdr>
        </w:div>
        <w:div w:id="1751074142">
          <w:marLeft w:val="0"/>
          <w:marRight w:val="0"/>
          <w:marTop w:val="180"/>
          <w:marBottom w:val="180"/>
          <w:divBdr>
            <w:top w:val="none" w:sz="0" w:space="0" w:color="auto"/>
            <w:left w:val="none" w:sz="0" w:space="0" w:color="auto"/>
            <w:bottom w:val="none" w:sz="0" w:space="0" w:color="auto"/>
            <w:right w:val="none" w:sz="0" w:space="0" w:color="auto"/>
          </w:divBdr>
        </w:div>
        <w:div w:id="1026323766">
          <w:marLeft w:val="0"/>
          <w:marRight w:val="0"/>
          <w:marTop w:val="0"/>
          <w:marBottom w:val="0"/>
          <w:divBdr>
            <w:top w:val="none" w:sz="0" w:space="0" w:color="auto"/>
            <w:left w:val="none" w:sz="0" w:space="0" w:color="auto"/>
            <w:bottom w:val="none" w:sz="0" w:space="0" w:color="auto"/>
            <w:right w:val="none" w:sz="0" w:space="0" w:color="auto"/>
          </w:divBdr>
        </w:div>
        <w:div w:id="1163551573">
          <w:marLeft w:val="0"/>
          <w:marRight w:val="0"/>
          <w:marTop w:val="180"/>
          <w:marBottom w:val="180"/>
          <w:divBdr>
            <w:top w:val="none" w:sz="0" w:space="0" w:color="auto"/>
            <w:left w:val="none" w:sz="0" w:space="0" w:color="auto"/>
            <w:bottom w:val="none" w:sz="0" w:space="0" w:color="auto"/>
            <w:right w:val="none" w:sz="0" w:space="0" w:color="auto"/>
          </w:divBdr>
        </w:div>
        <w:div w:id="1820460112">
          <w:marLeft w:val="0"/>
          <w:marRight w:val="0"/>
          <w:marTop w:val="180"/>
          <w:marBottom w:val="180"/>
          <w:divBdr>
            <w:top w:val="none" w:sz="0" w:space="0" w:color="auto"/>
            <w:left w:val="none" w:sz="0" w:space="0" w:color="auto"/>
            <w:bottom w:val="none" w:sz="0" w:space="0" w:color="auto"/>
            <w:right w:val="none" w:sz="0" w:space="0" w:color="auto"/>
          </w:divBdr>
        </w:div>
        <w:div w:id="1868172448">
          <w:marLeft w:val="0"/>
          <w:marRight w:val="0"/>
          <w:marTop w:val="180"/>
          <w:marBottom w:val="180"/>
          <w:divBdr>
            <w:top w:val="none" w:sz="0" w:space="0" w:color="auto"/>
            <w:left w:val="none" w:sz="0" w:space="0" w:color="auto"/>
            <w:bottom w:val="none" w:sz="0" w:space="0" w:color="auto"/>
            <w:right w:val="none" w:sz="0" w:space="0" w:color="auto"/>
          </w:divBdr>
        </w:div>
        <w:div w:id="1475373390">
          <w:marLeft w:val="0"/>
          <w:marRight w:val="0"/>
          <w:marTop w:val="180"/>
          <w:marBottom w:val="60"/>
          <w:divBdr>
            <w:top w:val="none" w:sz="0" w:space="0" w:color="auto"/>
            <w:left w:val="none" w:sz="0" w:space="0" w:color="auto"/>
            <w:bottom w:val="none" w:sz="0" w:space="0" w:color="auto"/>
            <w:right w:val="none" w:sz="0" w:space="0" w:color="auto"/>
          </w:divBdr>
        </w:div>
        <w:div w:id="1435781614">
          <w:marLeft w:val="0"/>
          <w:marRight w:val="0"/>
          <w:marTop w:val="60"/>
          <w:marBottom w:val="60"/>
          <w:divBdr>
            <w:top w:val="none" w:sz="0" w:space="0" w:color="auto"/>
            <w:left w:val="none" w:sz="0" w:space="0" w:color="auto"/>
            <w:bottom w:val="none" w:sz="0" w:space="0" w:color="auto"/>
            <w:right w:val="none" w:sz="0" w:space="0" w:color="auto"/>
          </w:divBdr>
          <w:divsChild>
            <w:div w:id="1928071400">
              <w:marLeft w:val="0"/>
              <w:marRight w:val="0"/>
              <w:marTop w:val="0"/>
              <w:marBottom w:val="0"/>
              <w:divBdr>
                <w:top w:val="none" w:sz="0" w:space="0" w:color="auto"/>
                <w:left w:val="none" w:sz="0" w:space="0" w:color="auto"/>
                <w:bottom w:val="none" w:sz="0" w:space="0" w:color="auto"/>
                <w:right w:val="none" w:sz="0" w:space="0" w:color="auto"/>
              </w:divBdr>
            </w:div>
            <w:div w:id="1181748430">
              <w:marLeft w:val="0"/>
              <w:marRight w:val="0"/>
              <w:marTop w:val="0"/>
              <w:marBottom w:val="0"/>
              <w:divBdr>
                <w:top w:val="none" w:sz="0" w:space="0" w:color="auto"/>
                <w:left w:val="none" w:sz="0" w:space="0" w:color="auto"/>
                <w:bottom w:val="none" w:sz="0" w:space="0" w:color="auto"/>
                <w:right w:val="none" w:sz="0" w:space="0" w:color="auto"/>
              </w:divBdr>
            </w:div>
            <w:div w:id="931472426">
              <w:marLeft w:val="0"/>
              <w:marRight w:val="0"/>
              <w:marTop w:val="0"/>
              <w:marBottom w:val="0"/>
              <w:divBdr>
                <w:top w:val="none" w:sz="0" w:space="0" w:color="auto"/>
                <w:left w:val="none" w:sz="0" w:space="0" w:color="auto"/>
                <w:bottom w:val="none" w:sz="0" w:space="0" w:color="auto"/>
                <w:right w:val="none" w:sz="0" w:space="0" w:color="auto"/>
              </w:divBdr>
            </w:div>
          </w:divsChild>
        </w:div>
        <w:div w:id="1122571441">
          <w:marLeft w:val="0"/>
          <w:marRight w:val="0"/>
          <w:marTop w:val="60"/>
          <w:marBottom w:val="60"/>
          <w:divBdr>
            <w:top w:val="none" w:sz="0" w:space="0" w:color="auto"/>
            <w:left w:val="none" w:sz="0" w:space="0" w:color="auto"/>
            <w:bottom w:val="none" w:sz="0" w:space="0" w:color="auto"/>
            <w:right w:val="none" w:sz="0" w:space="0" w:color="auto"/>
          </w:divBdr>
        </w:div>
        <w:div w:id="1476725847">
          <w:marLeft w:val="0"/>
          <w:marRight w:val="0"/>
          <w:marTop w:val="0"/>
          <w:marBottom w:val="0"/>
          <w:divBdr>
            <w:top w:val="none" w:sz="0" w:space="0" w:color="auto"/>
            <w:left w:val="none" w:sz="0" w:space="0" w:color="auto"/>
            <w:bottom w:val="none" w:sz="0" w:space="0" w:color="auto"/>
            <w:right w:val="none" w:sz="0" w:space="0" w:color="auto"/>
          </w:divBdr>
          <w:divsChild>
            <w:div w:id="1173566023">
              <w:marLeft w:val="0"/>
              <w:marRight w:val="0"/>
              <w:marTop w:val="0"/>
              <w:marBottom w:val="0"/>
              <w:divBdr>
                <w:top w:val="none" w:sz="0" w:space="0" w:color="auto"/>
                <w:left w:val="none" w:sz="0" w:space="0" w:color="auto"/>
                <w:bottom w:val="none" w:sz="0" w:space="0" w:color="auto"/>
                <w:right w:val="none" w:sz="0" w:space="0" w:color="auto"/>
              </w:divBdr>
              <w:divsChild>
                <w:div w:id="190121400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1926649651">
      <w:marLeft w:val="0"/>
      <w:marRight w:val="0"/>
      <w:marTop w:val="180"/>
      <w:marBottom w:val="180"/>
      <w:divBdr>
        <w:top w:val="none" w:sz="0" w:space="0" w:color="auto"/>
        <w:left w:val="none" w:sz="0" w:space="0" w:color="auto"/>
        <w:bottom w:val="none" w:sz="0" w:space="0" w:color="auto"/>
        <w:right w:val="none" w:sz="0" w:space="0" w:color="auto"/>
      </w:divBdr>
    </w:div>
    <w:div w:id="1926767822">
      <w:marLeft w:val="0"/>
      <w:marRight w:val="0"/>
      <w:marTop w:val="180"/>
      <w:marBottom w:val="180"/>
      <w:divBdr>
        <w:top w:val="none" w:sz="0" w:space="0" w:color="auto"/>
        <w:left w:val="none" w:sz="0" w:space="0" w:color="auto"/>
        <w:bottom w:val="none" w:sz="0" w:space="0" w:color="auto"/>
        <w:right w:val="none" w:sz="0" w:space="0" w:color="auto"/>
      </w:divBdr>
    </w:div>
    <w:div w:id="1929192795">
      <w:marLeft w:val="0"/>
      <w:marRight w:val="0"/>
      <w:marTop w:val="60"/>
      <w:marBottom w:val="60"/>
      <w:divBdr>
        <w:top w:val="none" w:sz="0" w:space="0" w:color="auto"/>
        <w:left w:val="none" w:sz="0" w:space="0" w:color="auto"/>
        <w:bottom w:val="none" w:sz="0" w:space="0" w:color="auto"/>
        <w:right w:val="none" w:sz="0" w:space="0" w:color="auto"/>
      </w:divBdr>
    </w:div>
    <w:div w:id="1929921201">
      <w:marLeft w:val="0"/>
      <w:marRight w:val="0"/>
      <w:marTop w:val="60"/>
      <w:marBottom w:val="60"/>
      <w:divBdr>
        <w:top w:val="none" w:sz="0" w:space="0" w:color="auto"/>
        <w:left w:val="none" w:sz="0" w:space="0" w:color="auto"/>
        <w:bottom w:val="none" w:sz="0" w:space="0" w:color="auto"/>
        <w:right w:val="none" w:sz="0" w:space="0" w:color="auto"/>
      </w:divBdr>
    </w:div>
    <w:div w:id="1932421857">
      <w:marLeft w:val="0"/>
      <w:marRight w:val="0"/>
      <w:marTop w:val="0"/>
      <w:marBottom w:val="0"/>
      <w:divBdr>
        <w:top w:val="none" w:sz="0" w:space="0" w:color="auto"/>
        <w:left w:val="none" w:sz="0" w:space="0" w:color="auto"/>
        <w:bottom w:val="none" w:sz="0" w:space="0" w:color="auto"/>
        <w:right w:val="none" w:sz="0" w:space="0" w:color="auto"/>
      </w:divBdr>
    </w:div>
    <w:div w:id="1932859681">
      <w:marLeft w:val="0"/>
      <w:marRight w:val="0"/>
      <w:marTop w:val="180"/>
      <w:marBottom w:val="180"/>
      <w:divBdr>
        <w:top w:val="none" w:sz="0" w:space="0" w:color="auto"/>
        <w:left w:val="none" w:sz="0" w:space="0" w:color="auto"/>
        <w:bottom w:val="none" w:sz="0" w:space="0" w:color="auto"/>
        <w:right w:val="none" w:sz="0" w:space="0" w:color="auto"/>
      </w:divBdr>
    </w:div>
    <w:div w:id="1934314611">
      <w:marLeft w:val="0"/>
      <w:marRight w:val="0"/>
      <w:marTop w:val="60"/>
      <w:marBottom w:val="60"/>
      <w:divBdr>
        <w:top w:val="none" w:sz="0" w:space="0" w:color="auto"/>
        <w:left w:val="none" w:sz="0" w:space="0" w:color="auto"/>
        <w:bottom w:val="none" w:sz="0" w:space="0" w:color="auto"/>
        <w:right w:val="none" w:sz="0" w:space="0" w:color="auto"/>
      </w:divBdr>
    </w:div>
    <w:div w:id="1934433121">
      <w:marLeft w:val="0"/>
      <w:marRight w:val="0"/>
      <w:marTop w:val="0"/>
      <w:marBottom w:val="0"/>
      <w:divBdr>
        <w:top w:val="none" w:sz="0" w:space="0" w:color="auto"/>
        <w:left w:val="none" w:sz="0" w:space="0" w:color="auto"/>
        <w:bottom w:val="none" w:sz="0" w:space="0" w:color="auto"/>
        <w:right w:val="none" w:sz="0" w:space="0" w:color="auto"/>
      </w:divBdr>
      <w:divsChild>
        <w:div w:id="730687858">
          <w:marLeft w:val="0"/>
          <w:marRight w:val="0"/>
          <w:marTop w:val="0"/>
          <w:marBottom w:val="0"/>
          <w:divBdr>
            <w:top w:val="none" w:sz="0" w:space="0" w:color="auto"/>
            <w:left w:val="none" w:sz="0" w:space="0" w:color="auto"/>
            <w:bottom w:val="none" w:sz="0" w:space="0" w:color="auto"/>
            <w:right w:val="none" w:sz="0" w:space="0" w:color="auto"/>
          </w:divBdr>
          <w:divsChild>
            <w:div w:id="194406662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36857871">
      <w:marLeft w:val="0"/>
      <w:marRight w:val="0"/>
      <w:marTop w:val="180"/>
      <w:marBottom w:val="0"/>
      <w:divBdr>
        <w:top w:val="none" w:sz="0" w:space="0" w:color="auto"/>
        <w:left w:val="none" w:sz="0" w:space="0" w:color="auto"/>
        <w:bottom w:val="none" w:sz="0" w:space="0" w:color="auto"/>
        <w:right w:val="none" w:sz="0" w:space="0" w:color="auto"/>
      </w:divBdr>
    </w:div>
    <w:div w:id="1940064033">
      <w:marLeft w:val="0"/>
      <w:marRight w:val="0"/>
      <w:marTop w:val="180"/>
      <w:marBottom w:val="180"/>
      <w:divBdr>
        <w:top w:val="none" w:sz="0" w:space="0" w:color="auto"/>
        <w:left w:val="none" w:sz="0" w:space="0" w:color="auto"/>
        <w:bottom w:val="none" w:sz="0" w:space="0" w:color="auto"/>
        <w:right w:val="none" w:sz="0" w:space="0" w:color="auto"/>
      </w:divBdr>
    </w:div>
    <w:div w:id="1940603617">
      <w:marLeft w:val="0"/>
      <w:marRight w:val="0"/>
      <w:marTop w:val="180"/>
      <w:marBottom w:val="180"/>
      <w:divBdr>
        <w:top w:val="none" w:sz="0" w:space="0" w:color="auto"/>
        <w:left w:val="none" w:sz="0" w:space="0" w:color="auto"/>
        <w:bottom w:val="none" w:sz="0" w:space="0" w:color="auto"/>
        <w:right w:val="none" w:sz="0" w:space="0" w:color="auto"/>
      </w:divBdr>
    </w:div>
    <w:div w:id="1943804517">
      <w:marLeft w:val="0"/>
      <w:marRight w:val="0"/>
      <w:marTop w:val="0"/>
      <w:marBottom w:val="0"/>
      <w:divBdr>
        <w:top w:val="none" w:sz="0" w:space="0" w:color="auto"/>
        <w:left w:val="none" w:sz="0" w:space="0" w:color="auto"/>
        <w:bottom w:val="none" w:sz="0" w:space="0" w:color="auto"/>
        <w:right w:val="none" w:sz="0" w:space="0" w:color="auto"/>
      </w:divBdr>
    </w:div>
    <w:div w:id="1945070181">
      <w:marLeft w:val="0"/>
      <w:marRight w:val="0"/>
      <w:marTop w:val="60"/>
      <w:marBottom w:val="0"/>
      <w:divBdr>
        <w:top w:val="none" w:sz="0" w:space="0" w:color="auto"/>
        <w:left w:val="none" w:sz="0" w:space="0" w:color="auto"/>
        <w:bottom w:val="none" w:sz="0" w:space="0" w:color="auto"/>
        <w:right w:val="none" w:sz="0" w:space="0" w:color="auto"/>
      </w:divBdr>
    </w:div>
    <w:div w:id="1945964671">
      <w:marLeft w:val="0"/>
      <w:marRight w:val="0"/>
      <w:marTop w:val="180"/>
      <w:marBottom w:val="180"/>
      <w:divBdr>
        <w:top w:val="none" w:sz="0" w:space="0" w:color="auto"/>
        <w:left w:val="none" w:sz="0" w:space="0" w:color="auto"/>
        <w:bottom w:val="none" w:sz="0" w:space="0" w:color="auto"/>
        <w:right w:val="none" w:sz="0" w:space="0" w:color="auto"/>
      </w:divBdr>
    </w:div>
    <w:div w:id="1946113092">
      <w:marLeft w:val="0"/>
      <w:marRight w:val="0"/>
      <w:marTop w:val="180"/>
      <w:marBottom w:val="180"/>
      <w:divBdr>
        <w:top w:val="none" w:sz="0" w:space="0" w:color="auto"/>
        <w:left w:val="none" w:sz="0" w:space="0" w:color="auto"/>
        <w:bottom w:val="none" w:sz="0" w:space="0" w:color="auto"/>
        <w:right w:val="none" w:sz="0" w:space="0" w:color="auto"/>
      </w:divBdr>
    </w:div>
    <w:div w:id="1947274728">
      <w:marLeft w:val="0"/>
      <w:marRight w:val="0"/>
      <w:marTop w:val="180"/>
      <w:marBottom w:val="60"/>
      <w:divBdr>
        <w:top w:val="none" w:sz="0" w:space="0" w:color="auto"/>
        <w:left w:val="none" w:sz="0" w:space="0" w:color="auto"/>
        <w:bottom w:val="none" w:sz="0" w:space="0" w:color="auto"/>
        <w:right w:val="none" w:sz="0" w:space="0" w:color="auto"/>
      </w:divBdr>
    </w:div>
    <w:div w:id="1947735575">
      <w:marLeft w:val="0"/>
      <w:marRight w:val="0"/>
      <w:marTop w:val="180"/>
      <w:marBottom w:val="180"/>
      <w:divBdr>
        <w:top w:val="none" w:sz="0" w:space="0" w:color="auto"/>
        <w:left w:val="none" w:sz="0" w:space="0" w:color="auto"/>
        <w:bottom w:val="none" w:sz="0" w:space="0" w:color="auto"/>
        <w:right w:val="none" w:sz="0" w:space="0" w:color="auto"/>
      </w:divBdr>
    </w:div>
    <w:div w:id="1949239745">
      <w:marLeft w:val="0"/>
      <w:marRight w:val="0"/>
      <w:marTop w:val="180"/>
      <w:marBottom w:val="180"/>
      <w:divBdr>
        <w:top w:val="none" w:sz="0" w:space="0" w:color="auto"/>
        <w:left w:val="none" w:sz="0" w:space="0" w:color="auto"/>
        <w:bottom w:val="none" w:sz="0" w:space="0" w:color="auto"/>
        <w:right w:val="none" w:sz="0" w:space="0" w:color="auto"/>
      </w:divBdr>
    </w:div>
    <w:div w:id="1952667063">
      <w:marLeft w:val="0"/>
      <w:marRight w:val="0"/>
      <w:marTop w:val="180"/>
      <w:marBottom w:val="180"/>
      <w:divBdr>
        <w:top w:val="none" w:sz="0" w:space="0" w:color="auto"/>
        <w:left w:val="none" w:sz="0" w:space="0" w:color="auto"/>
        <w:bottom w:val="none" w:sz="0" w:space="0" w:color="auto"/>
        <w:right w:val="none" w:sz="0" w:space="0" w:color="auto"/>
      </w:divBdr>
    </w:div>
    <w:div w:id="1953709361">
      <w:marLeft w:val="0"/>
      <w:marRight w:val="0"/>
      <w:marTop w:val="0"/>
      <w:marBottom w:val="0"/>
      <w:divBdr>
        <w:top w:val="none" w:sz="0" w:space="0" w:color="auto"/>
        <w:left w:val="none" w:sz="0" w:space="0" w:color="auto"/>
        <w:bottom w:val="none" w:sz="0" w:space="0" w:color="auto"/>
        <w:right w:val="none" w:sz="0" w:space="0" w:color="auto"/>
      </w:divBdr>
      <w:divsChild>
        <w:div w:id="1433207524">
          <w:marLeft w:val="0"/>
          <w:marRight w:val="0"/>
          <w:marTop w:val="0"/>
          <w:marBottom w:val="0"/>
          <w:divBdr>
            <w:top w:val="none" w:sz="0" w:space="0" w:color="auto"/>
            <w:left w:val="none" w:sz="0" w:space="0" w:color="auto"/>
            <w:bottom w:val="none" w:sz="0" w:space="0" w:color="auto"/>
            <w:right w:val="none" w:sz="0" w:space="0" w:color="auto"/>
          </w:divBdr>
          <w:divsChild>
            <w:div w:id="146357371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53782285">
      <w:marLeft w:val="0"/>
      <w:marRight w:val="0"/>
      <w:marTop w:val="0"/>
      <w:marBottom w:val="0"/>
      <w:divBdr>
        <w:top w:val="none" w:sz="0" w:space="0" w:color="auto"/>
        <w:left w:val="none" w:sz="0" w:space="0" w:color="auto"/>
        <w:bottom w:val="none" w:sz="0" w:space="0" w:color="auto"/>
        <w:right w:val="none" w:sz="0" w:space="0" w:color="auto"/>
      </w:divBdr>
      <w:divsChild>
        <w:div w:id="915171215">
          <w:marLeft w:val="0"/>
          <w:marRight w:val="0"/>
          <w:marTop w:val="0"/>
          <w:marBottom w:val="0"/>
          <w:divBdr>
            <w:top w:val="none" w:sz="0" w:space="0" w:color="auto"/>
            <w:left w:val="none" w:sz="0" w:space="0" w:color="auto"/>
            <w:bottom w:val="none" w:sz="0" w:space="0" w:color="auto"/>
            <w:right w:val="none" w:sz="0" w:space="0" w:color="auto"/>
          </w:divBdr>
          <w:divsChild>
            <w:div w:id="146912926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53852587">
      <w:marLeft w:val="0"/>
      <w:marRight w:val="0"/>
      <w:marTop w:val="180"/>
      <w:marBottom w:val="180"/>
      <w:divBdr>
        <w:top w:val="none" w:sz="0" w:space="0" w:color="auto"/>
        <w:left w:val="none" w:sz="0" w:space="0" w:color="auto"/>
        <w:bottom w:val="none" w:sz="0" w:space="0" w:color="auto"/>
        <w:right w:val="none" w:sz="0" w:space="0" w:color="auto"/>
      </w:divBdr>
    </w:div>
    <w:div w:id="1954045460">
      <w:marLeft w:val="0"/>
      <w:marRight w:val="0"/>
      <w:marTop w:val="180"/>
      <w:marBottom w:val="180"/>
      <w:divBdr>
        <w:top w:val="none" w:sz="0" w:space="0" w:color="auto"/>
        <w:left w:val="none" w:sz="0" w:space="0" w:color="auto"/>
        <w:bottom w:val="none" w:sz="0" w:space="0" w:color="auto"/>
        <w:right w:val="none" w:sz="0" w:space="0" w:color="auto"/>
      </w:divBdr>
    </w:div>
    <w:div w:id="1955746106">
      <w:marLeft w:val="0"/>
      <w:marRight w:val="0"/>
      <w:marTop w:val="180"/>
      <w:marBottom w:val="180"/>
      <w:divBdr>
        <w:top w:val="none" w:sz="0" w:space="0" w:color="auto"/>
        <w:left w:val="none" w:sz="0" w:space="0" w:color="auto"/>
        <w:bottom w:val="none" w:sz="0" w:space="0" w:color="auto"/>
        <w:right w:val="none" w:sz="0" w:space="0" w:color="auto"/>
      </w:divBdr>
    </w:div>
    <w:div w:id="1956937162">
      <w:marLeft w:val="0"/>
      <w:marRight w:val="0"/>
      <w:marTop w:val="0"/>
      <w:marBottom w:val="0"/>
      <w:divBdr>
        <w:top w:val="none" w:sz="0" w:space="0" w:color="auto"/>
        <w:left w:val="none" w:sz="0" w:space="0" w:color="auto"/>
        <w:bottom w:val="none" w:sz="0" w:space="0" w:color="auto"/>
        <w:right w:val="none" w:sz="0" w:space="0" w:color="auto"/>
      </w:divBdr>
      <w:divsChild>
        <w:div w:id="767774648">
          <w:marLeft w:val="0"/>
          <w:marRight w:val="0"/>
          <w:marTop w:val="0"/>
          <w:marBottom w:val="0"/>
          <w:divBdr>
            <w:top w:val="none" w:sz="0" w:space="0" w:color="auto"/>
            <w:left w:val="none" w:sz="0" w:space="0" w:color="auto"/>
            <w:bottom w:val="none" w:sz="0" w:space="0" w:color="auto"/>
            <w:right w:val="none" w:sz="0" w:space="0" w:color="auto"/>
          </w:divBdr>
          <w:divsChild>
            <w:div w:id="47461363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57371866">
      <w:marLeft w:val="0"/>
      <w:marRight w:val="0"/>
      <w:marTop w:val="180"/>
      <w:marBottom w:val="180"/>
      <w:divBdr>
        <w:top w:val="none" w:sz="0" w:space="0" w:color="auto"/>
        <w:left w:val="none" w:sz="0" w:space="0" w:color="auto"/>
        <w:bottom w:val="none" w:sz="0" w:space="0" w:color="auto"/>
        <w:right w:val="none" w:sz="0" w:space="0" w:color="auto"/>
      </w:divBdr>
    </w:div>
    <w:div w:id="1958947356">
      <w:marLeft w:val="0"/>
      <w:marRight w:val="0"/>
      <w:marTop w:val="0"/>
      <w:marBottom w:val="0"/>
      <w:divBdr>
        <w:top w:val="none" w:sz="0" w:space="0" w:color="auto"/>
        <w:left w:val="none" w:sz="0" w:space="0" w:color="auto"/>
        <w:bottom w:val="none" w:sz="0" w:space="0" w:color="auto"/>
        <w:right w:val="none" w:sz="0" w:space="0" w:color="auto"/>
      </w:divBdr>
    </w:div>
    <w:div w:id="1959723668">
      <w:marLeft w:val="0"/>
      <w:marRight w:val="0"/>
      <w:marTop w:val="0"/>
      <w:marBottom w:val="0"/>
      <w:divBdr>
        <w:top w:val="none" w:sz="0" w:space="0" w:color="auto"/>
        <w:left w:val="none" w:sz="0" w:space="0" w:color="auto"/>
        <w:bottom w:val="none" w:sz="0" w:space="0" w:color="auto"/>
        <w:right w:val="none" w:sz="0" w:space="0" w:color="auto"/>
      </w:divBdr>
    </w:div>
    <w:div w:id="1959991871">
      <w:marLeft w:val="0"/>
      <w:marRight w:val="0"/>
      <w:marTop w:val="60"/>
      <w:marBottom w:val="60"/>
      <w:divBdr>
        <w:top w:val="none" w:sz="0" w:space="0" w:color="auto"/>
        <w:left w:val="none" w:sz="0" w:space="0" w:color="auto"/>
        <w:bottom w:val="none" w:sz="0" w:space="0" w:color="auto"/>
        <w:right w:val="none" w:sz="0" w:space="0" w:color="auto"/>
      </w:divBdr>
    </w:div>
    <w:div w:id="1960716502">
      <w:marLeft w:val="0"/>
      <w:marRight w:val="0"/>
      <w:marTop w:val="0"/>
      <w:marBottom w:val="0"/>
      <w:divBdr>
        <w:top w:val="none" w:sz="0" w:space="0" w:color="auto"/>
        <w:left w:val="none" w:sz="0" w:space="0" w:color="auto"/>
        <w:bottom w:val="none" w:sz="0" w:space="0" w:color="auto"/>
        <w:right w:val="none" w:sz="0" w:space="0" w:color="auto"/>
      </w:divBdr>
    </w:div>
    <w:div w:id="1961834784">
      <w:marLeft w:val="0"/>
      <w:marRight w:val="0"/>
      <w:marTop w:val="0"/>
      <w:marBottom w:val="0"/>
      <w:divBdr>
        <w:top w:val="none" w:sz="0" w:space="0" w:color="auto"/>
        <w:left w:val="none" w:sz="0" w:space="0" w:color="auto"/>
        <w:bottom w:val="none" w:sz="0" w:space="0" w:color="auto"/>
        <w:right w:val="none" w:sz="0" w:space="0" w:color="auto"/>
      </w:divBdr>
      <w:divsChild>
        <w:div w:id="162012028">
          <w:marLeft w:val="0"/>
          <w:marRight w:val="0"/>
          <w:marTop w:val="0"/>
          <w:marBottom w:val="0"/>
          <w:divBdr>
            <w:top w:val="none" w:sz="0" w:space="0" w:color="auto"/>
            <w:left w:val="none" w:sz="0" w:space="0" w:color="auto"/>
            <w:bottom w:val="none" w:sz="0" w:space="0" w:color="auto"/>
            <w:right w:val="none" w:sz="0" w:space="0" w:color="auto"/>
          </w:divBdr>
          <w:divsChild>
            <w:div w:id="151187193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61836989">
      <w:marLeft w:val="0"/>
      <w:marRight w:val="0"/>
      <w:marTop w:val="180"/>
      <w:marBottom w:val="180"/>
      <w:divBdr>
        <w:top w:val="none" w:sz="0" w:space="0" w:color="auto"/>
        <w:left w:val="none" w:sz="0" w:space="0" w:color="auto"/>
        <w:bottom w:val="none" w:sz="0" w:space="0" w:color="auto"/>
        <w:right w:val="none" w:sz="0" w:space="0" w:color="auto"/>
      </w:divBdr>
    </w:div>
    <w:div w:id="1962416861">
      <w:marLeft w:val="0"/>
      <w:marRight w:val="0"/>
      <w:marTop w:val="180"/>
      <w:marBottom w:val="180"/>
      <w:divBdr>
        <w:top w:val="none" w:sz="0" w:space="0" w:color="auto"/>
        <w:left w:val="none" w:sz="0" w:space="0" w:color="auto"/>
        <w:bottom w:val="none" w:sz="0" w:space="0" w:color="auto"/>
        <w:right w:val="none" w:sz="0" w:space="0" w:color="auto"/>
      </w:divBdr>
    </w:div>
    <w:div w:id="1964968564">
      <w:marLeft w:val="0"/>
      <w:marRight w:val="0"/>
      <w:marTop w:val="0"/>
      <w:marBottom w:val="0"/>
      <w:divBdr>
        <w:top w:val="none" w:sz="0" w:space="0" w:color="auto"/>
        <w:left w:val="none" w:sz="0" w:space="0" w:color="auto"/>
        <w:bottom w:val="none" w:sz="0" w:space="0" w:color="auto"/>
        <w:right w:val="none" w:sz="0" w:space="0" w:color="auto"/>
      </w:divBdr>
      <w:divsChild>
        <w:div w:id="1850753912">
          <w:marLeft w:val="0"/>
          <w:marRight w:val="0"/>
          <w:marTop w:val="180"/>
          <w:marBottom w:val="180"/>
          <w:divBdr>
            <w:top w:val="none" w:sz="0" w:space="0" w:color="auto"/>
            <w:left w:val="none" w:sz="0" w:space="0" w:color="auto"/>
            <w:bottom w:val="none" w:sz="0" w:space="0" w:color="auto"/>
            <w:right w:val="none" w:sz="0" w:space="0" w:color="auto"/>
          </w:divBdr>
        </w:div>
      </w:divsChild>
    </w:div>
    <w:div w:id="1967083115">
      <w:marLeft w:val="0"/>
      <w:marRight w:val="0"/>
      <w:marTop w:val="60"/>
      <w:marBottom w:val="60"/>
      <w:divBdr>
        <w:top w:val="none" w:sz="0" w:space="0" w:color="auto"/>
        <w:left w:val="none" w:sz="0" w:space="0" w:color="auto"/>
        <w:bottom w:val="none" w:sz="0" w:space="0" w:color="auto"/>
        <w:right w:val="none" w:sz="0" w:space="0" w:color="auto"/>
      </w:divBdr>
    </w:div>
    <w:div w:id="1967349806">
      <w:marLeft w:val="0"/>
      <w:marRight w:val="0"/>
      <w:marTop w:val="0"/>
      <w:marBottom w:val="0"/>
      <w:divBdr>
        <w:top w:val="none" w:sz="0" w:space="0" w:color="auto"/>
        <w:left w:val="none" w:sz="0" w:space="0" w:color="auto"/>
        <w:bottom w:val="none" w:sz="0" w:space="0" w:color="auto"/>
        <w:right w:val="none" w:sz="0" w:space="0" w:color="auto"/>
      </w:divBdr>
      <w:divsChild>
        <w:div w:id="1493714325">
          <w:marLeft w:val="0"/>
          <w:marRight w:val="0"/>
          <w:marTop w:val="0"/>
          <w:marBottom w:val="0"/>
          <w:divBdr>
            <w:top w:val="none" w:sz="0" w:space="0" w:color="auto"/>
            <w:left w:val="none" w:sz="0" w:space="0" w:color="auto"/>
            <w:bottom w:val="none" w:sz="0" w:space="0" w:color="auto"/>
            <w:right w:val="none" w:sz="0" w:space="0" w:color="auto"/>
          </w:divBdr>
          <w:divsChild>
            <w:div w:id="185298563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68198149">
      <w:marLeft w:val="0"/>
      <w:marRight w:val="0"/>
      <w:marTop w:val="180"/>
      <w:marBottom w:val="180"/>
      <w:divBdr>
        <w:top w:val="none" w:sz="0" w:space="0" w:color="auto"/>
        <w:left w:val="none" w:sz="0" w:space="0" w:color="auto"/>
        <w:bottom w:val="none" w:sz="0" w:space="0" w:color="auto"/>
        <w:right w:val="none" w:sz="0" w:space="0" w:color="auto"/>
      </w:divBdr>
    </w:div>
    <w:div w:id="1969119797">
      <w:marLeft w:val="0"/>
      <w:marRight w:val="0"/>
      <w:marTop w:val="0"/>
      <w:marBottom w:val="0"/>
      <w:divBdr>
        <w:top w:val="none" w:sz="0" w:space="0" w:color="auto"/>
        <w:left w:val="none" w:sz="0" w:space="0" w:color="auto"/>
        <w:bottom w:val="none" w:sz="0" w:space="0" w:color="auto"/>
        <w:right w:val="none" w:sz="0" w:space="0" w:color="auto"/>
      </w:divBdr>
    </w:div>
    <w:div w:id="1969898412">
      <w:marLeft w:val="0"/>
      <w:marRight w:val="0"/>
      <w:marTop w:val="60"/>
      <w:marBottom w:val="60"/>
      <w:divBdr>
        <w:top w:val="none" w:sz="0" w:space="0" w:color="auto"/>
        <w:left w:val="none" w:sz="0" w:space="0" w:color="auto"/>
        <w:bottom w:val="none" w:sz="0" w:space="0" w:color="auto"/>
        <w:right w:val="none" w:sz="0" w:space="0" w:color="auto"/>
      </w:divBdr>
    </w:div>
    <w:div w:id="1971587107">
      <w:marLeft w:val="0"/>
      <w:marRight w:val="0"/>
      <w:marTop w:val="180"/>
      <w:marBottom w:val="180"/>
      <w:divBdr>
        <w:top w:val="none" w:sz="0" w:space="0" w:color="auto"/>
        <w:left w:val="none" w:sz="0" w:space="0" w:color="auto"/>
        <w:bottom w:val="none" w:sz="0" w:space="0" w:color="auto"/>
        <w:right w:val="none" w:sz="0" w:space="0" w:color="auto"/>
      </w:divBdr>
    </w:div>
    <w:div w:id="1972125444">
      <w:marLeft w:val="0"/>
      <w:marRight w:val="0"/>
      <w:marTop w:val="60"/>
      <w:marBottom w:val="60"/>
      <w:divBdr>
        <w:top w:val="none" w:sz="0" w:space="0" w:color="auto"/>
        <w:left w:val="none" w:sz="0" w:space="0" w:color="auto"/>
        <w:bottom w:val="none" w:sz="0" w:space="0" w:color="auto"/>
        <w:right w:val="none" w:sz="0" w:space="0" w:color="auto"/>
      </w:divBdr>
    </w:div>
    <w:div w:id="1972244324">
      <w:marLeft w:val="0"/>
      <w:marRight w:val="0"/>
      <w:marTop w:val="60"/>
      <w:marBottom w:val="60"/>
      <w:divBdr>
        <w:top w:val="none" w:sz="0" w:space="0" w:color="auto"/>
        <w:left w:val="none" w:sz="0" w:space="0" w:color="auto"/>
        <w:bottom w:val="none" w:sz="0" w:space="0" w:color="auto"/>
        <w:right w:val="none" w:sz="0" w:space="0" w:color="auto"/>
      </w:divBdr>
    </w:div>
    <w:div w:id="1972663213">
      <w:marLeft w:val="0"/>
      <w:marRight w:val="0"/>
      <w:marTop w:val="180"/>
      <w:marBottom w:val="0"/>
      <w:divBdr>
        <w:top w:val="none" w:sz="0" w:space="0" w:color="auto"/>
        <w:left w:val="none" w:sz="0" w:space="0" w:color="auto"/>
        <w:bottom w:val="none" w:sz="0" w:space="0" w:color="auto"/>
        <w:right w:val="none" w:sz="0" w:space="0" w:color="auto"/>
      </w:divBdr>
    </w:div>
    <w:div w:id="1973631937">
      <w:marLeft w:val="0"/>
      <w:marRight w:val="0"/>
      <w:marTop w:val="180"/>
      <w:marBottom w:val="180"/>
      <w:divBdr>
        <w:top w:val="none" w:sz="0" w:space="0" w:color="auto"/>
        <w:left w:val="none" w:sz="0" w:space="0" w:color="auto"/>
        <w:bottom w:val="none" w:sz="0" w:space="0" w:color="auto"/>
        <w:right w:val="none" w:sz="0" w:space="0" w:color="auto"/>
      </w:divBdr>
    </w:div>
    <w:div w:id="1975402521">
      <w:marLeft w:val="0"/>
      <w:marRight w:val="0"/>
      <w:marTop w:val="180"/>
      <w:marBottom w:val="180"/>
      <w:divBdr>
        <w:top w:val="none" w:sz="0" w:space="0" w:color="auto"/>
        <w:left w:val="none" w:sz="0" w:space="0" w:color="auto"/>
        <w:bottom w:val="none" w:sz="0" w:space="0" w:color="auto"/>
        <w:right w:val="none" w:sz="0" w:space="0" w:color="auto"/>
      </w:divBdr>
    </w:div>
    <w:div w:id="1976794371">
      <w:marLeft w:val="0"/>
      <w:marRight w:val="0"/>
      <w:marTop w:val="180"/>
      <w:marBottom w:val="180"/>
      <w:divBdr>
        <w:top w:val="none" w:sz="0" w:space="0" w:color="auto"/>
        <w:left w:val="none" w:sz="0" w:space="0" w:color="auto"/>
        <w:bottom w:val="none" w:sz="0" w:space="0" w:color="auto"/>
        <w:right w:val="none" w:sz="0" w:space="0" w:color="auto"/>
      </w:divBdr>
    </w:div>
    <w:div w:id="1977493415">
      <w:marLeft w:val="0"/>
      <w:marRight w:val="0"/>
      <w:marTop w:val="0"/>
      <w:marBottom w:val="0"/>
      <w:divBdr>
        <w:top w:val="none" w:sz="0" w:space="0" w:color="auto"/>
        <w:left w:val="none" w:sz="0" w:space="0" w:color="auto"/>
        <w:bottom w:val="none" w:sz="0" w:space="0" w:color="auto"/>
        <w:right w:val="none" w:sz="0" w:space="0" w:color="auto"/>
      </w:divBdr>
      <w:divsChild>
        <w:div w:id="311906703">
          <w:marLeft w:val="0"/>
          <w:marRight w:val="0"/>
          <w:marTop w:val="0"/>
          <w:marBottom w:val="0"/>
          <w:divBdr>
            <w:top w:val="none" w:sz="0" w:space="0" w:color="auto"/>
            <w:left w:val="none" w:sz="0" w:space="0" w:color="auto"/>
            <w:bottom w:val="none" w:sz="0" w:space="0" w:color="auto"/>
            <w:right w:val="none" w:sz="0" w:space="0" w:color="auto"/>
          </w:divBdr>
          <w:divsChild>
            <w:div w:id="69214937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78608568">
      <w:marLeft w:val="0"/>
      <w:marRight w:val="0"/>
      <w:marTop w:val="180"/>
      <w:marBottom w:val="180"/>
      <w:divBdr>
        <w:top w:val="none" w:sz="0" w:space="0" w:color="auto"/>
        <w:left w:val="none" w:sz="0" w:space="0" w:color="auto"/>
        <w:bottom w:val="none" w:sz="0" w:space="0" w:color="auto"/>
        <w:right w:val="none" w:sz="0" w:space="0" w:color="auto"/>
      </w:divBdr>
    </w:div>
    <w:div w:id="1980306828">
      <w:marLeft w:val="0"/>
      <w:marRight w:val="0"/>
      <w:marTop w:val="180"/>
      <w:marBottom w:val="180"/>
      <w:divBdr>
        <w:top w:val="none" w:sz="0" w:space="0" w:color="auto"/>
        <w:left w:val="none" w:sz="0" w:space="0" w:color="auto"/>
        <w:bottom w:val="none" w:sz="0" w:space="0" w:color="auto"/>
        <w:right w:val="none" w:sz="0" w:space="0" w:color="auto"/>
      </w:divBdr>
    </w:div>
    <w:div w:id="1980843092">
      <w:marLeft w:val="0"/>
      <w:marRight w:val="0"/>
      <w:marTop w:val="180"/>
      <w:marBottom w:val="180"/>
      <w:divBdr>
        <w:top w:val="none" w:sz="0" w:space="0" w:color="auto"/>
        <w:left w:val="none" w:sz="0" w:space="0" w:color="auto"/>
        <w:bottom w:val="none" w:sz="0" w:space="0" w:color="auto"/>
        <w:right w:val="none" w:sz="0" w:space="0" w:color="auto"/>
      </w:divBdr>
    </w:div>
    <w:div w:id="1982494719">
      <w:marLeft w:val="0"/>
      <w:marRight w:val="0"/>
      <w:marTop w:val="180"/>
      <w:marBottom w:val="180"/>
      <w:divBdr>
        <w:top w:val="none" w:sz="0" w:space="0" w:color="auto"/>
        <w:left w:val="none" w:sz="0" w:space="0" w:color="auto"/>
        <w:bottom w:val="none" w:sz="0" w:space="0" w:color="auto"/>
        <w:right w:val="none" w:sz="0" w:space="0" w:color="auto"/>
      </w:divBdr>
    </w:div>
    <w:div w:id="1982809566">
      <w:marLeft w:val="0"/>
      <w:marRight w:val="0"/>
      <w:marTop w:val="180"/>
      <w:marBottom w:val="180"/>
      <w:divBdr>
        <w:top w:val="none" w:sz="0" w:space="0" w:color="auto"/>
        <w:left w:val="none" w:sz="0" w:space="0" w:color="auto"/>
        <w:bottom w:val="none" w:sz="0" w:space="0" w:color="auto"/>
        <w:right w:val="none" w:sz="0" w:space="0" w:color="auto"/>
      </w:divBdr>
    </w:div>
    <w:div w:id="1983148952">
      <w:marLeft w:val="0"/>
      <w:marRight w:val="0"/>
      <w:marTop w:val="180"/>
      <w:marBottom w:val="180"/>
      <w:divBdr>
        <w:top w:val="none" w:sz="0" w:space="0" w:color="auto"/>
        <w:left w:val="none" w:sz="0" w:space="0" w:color="auto"/>
        <w:bottom w:val="none" w:sz="0" w:space="0" w:color="auto"/>
        <w:right w:val="none" w:sz="0" w:space="0" w:color="auto"/>
      </w:divBdr>
    </w:div>
    <w:div w:id="1983191286">
      <w:marLeft w:val="0"/>
      <w:marRight w:val="0"/>
      <w:marTop w:val="180"/>
      <w:marBottom w:val="180"/>
      <w:divBdr>
        <w:top w:val="none" w:sz="0" w:space="0" w:color="auto"/>
        <w:left w:val="none" w:sz="0" w:space="0" w:color="auto"/>
        <w:bottom w:val="none" w:sz="0" w:space="0" w:color="auto"/>
        <w:right w:val="none" w:sz="0" w:space="0" w:color="auto"/>
      </w:divBdr>
    </w:div>
    <w:div w:id="1983534981">
      <w:marLeft w:val="0"/>
      <w:marRight w:val="0"/>
      <w:marTop w:val="60"/>
      <w:marBottom w:val="60"/>
      <w:divBdr>
        <w:top w:val="none" w:sz="0" w:space="0" w:color="auto"/>
        <w:left w:val="none" w:sz="0" w:space="0" w:color="auto"/>
        <w:bottom w:val="none" w:sz="0" w:space="0" w:color="auto"/>
        <w:right w:val="none" w:sz="0" w:space="0" w:color="auto"/>
      </w:divBdr>
    </w:div>
    <w:div w:id="1984118031">
      <w:marLeft w:val="0"/>
      <w:marRight w:val="0"/>
      <w:marTop w:val="0"/>
      <w:marBottom w:val="0"/>
      <w:divBdr>
        <w:top w:val="none" w:sz="0" w:space="0" w:color="auto"/>
        <w:left w:val="none" w:sz="0" w:space="0" w:color="auto"/>
        <w:bottom w:val="none" w:sz="0" w:space="0" w:color="auto"/>
        <w:right w:val="none" w:sz="0" w:space="0" w:color="auto"/>
      </w:divBdr>
      <w:divsChild>
        <w:div w:id="1324964169">
          <w:marLeft w:val="0"/>
          <w:marRight w:val="0"/>
          <w:marTop w:val="0"/>
          <w:marBottom w:val="0"/>
          <w:divBdr>
            <w:top w:val="none" w:sz="0" w:space="0" w:color="auto"/>
            <w:left w:val="none" w:sz="0" w:space="0" w:color="auto"/>
            <w:bottom w:val="none" w:sz="0" w:space="0" w:color="auto"/>
            <w:right w:val="none" w:sz="0" w:space="0" w:color="auto"/>
          </w:divBdr>
          <w:divsChild>
            <w:div w:id="61351253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84582859">
      <w:marLeft w:val="0"/>
      <w:marRight w:val="0"/>
      <w:marTop w:val="180"/>
      <w:marBottom w:val="180"/>
      <w:divBdr>
        <w:top w:val="none" w:sz="0" w:space="0" w:color="auto"/>
        <w:left w:val="none" w:sz="0" w:space="0" w:color="auto"/>
        <w:bottom w:val="none" w:sz="0" w:space="0" w:color="auto"/>
        <w:right w:val="none" w:sz="0" w:space="0" w:color="auto"/>
      </w:divBdr>
    </w:div>
    <w:div w:id="1985962756">
      <w:marLeft w:val="0"/>
      <w:marRight w:val="0"/>
      <w:marTop w:val="0"/>
      <w:marBottom w:val="0"/>
      <w:divBdr>
        <w:top w:val="none" w:sz="0" w:space="0" w:color="auto"/>
        <w:left w:val="none" w:sz="0" w:space="0" w:color="auto"/>
        <w:bottom w:val="none" w:sz="0" w:space="0" w:color="auto"/>
        <w:right w:val="none" w:sz="0" w:space="0" w:color="auto"/>
      </w:divBdr>
      <w:divsChild>
        <w:div w:id="1584291092">
          <w:marLeft w:val="0"/>
          <w:marRight w:val="0"/>
          <w:marTop w:val="0"/>
          <w:marBottom w:val="0"/>
          <w:divBdr>
            <w:top w:val="none" w:sz="0" w:space="0" w:color="auto"/>
            <w:left w:val="none" w:sz="0" w:space="0" w:color="auto"/>
            <w:bottom w:val="none" w:sz="0" w:space="0" w:color="auto"/>
            <w:right w:val="none" w:sz="0" w:space="0" w:color="auto"/>
          </w:divBdr>
          <w:divsChild>
            <w:div w:id="9930507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88119625">
      <w:marLeft w:val="0"/>
      <w:marRight w:val="0"/>
      <w:marTop w:val="60"/>
      <w:marBottom w:val="60"/>
      <w:divBdr>
        <w:top w:val="none" w:sz="0" w:space="0" w:color="auto"/>
        <w:left w:val="none" w:sz="0" w:space="0" w:color="auto"/>
        <w:bottom w:val="none" w:sz="0" w:space="0" w:color="auto"/>
        <w:right w:val="none" w:sz="0" w:space="0" w:color="auto"/>
      </w:divBdr>
    </w:div>
    <w:div w:id="1988706671">
      <w:marLeft w:val="0"/>
      <w:marRight w:val="0"/>
      <w:marTop w:val="180"/>
      <w:marBottom w:val="180"/>
      <w:divBdr>
        <w:top w:val="none" w:sz="0" w:space="0" w:color="auto"/>
        <w:left w:val="none" w:sz="0" w:space="0" w:color="auto"/>
        <w:bottom w:val="none" w:sz="0" w:space="0" w:color="auto"/>
        <w:right w:val="none" w:sz="0" w:space="0" w:color="auto"/>
      </w:divBdr>
    </w:div>
    <w:div w:id="1990865134">
      <w:marLeft w:val="0"/>
      <w:marRight w:val="0"/>
      <w:marTop w:val="180"/>
      <w:marBottom w:val="180"/>
      <w:divBdr>
        <w:top w:val="none" w:sz="0" w:space="0" w:color="auto"/>
        <w:left w:val="none" w:sz="0" w:space="0" w:color="auto"/>
        <w:bottom w:val="none" w:sz="0" w:space="0" w:color="auto"/>
        <w:right w:val="none" w:sz="0" w:space="0" w:color="auto"/>
      </w:divBdr>
    </w:div>
    <w:div w:id="1991134719">
      <w:marLeft w:val="0"/>
      <w:marRight w:val="0"/>
      <w:marTop w:val="180"/>
      <w:marBottom w:val="180"/>
      <w:divBdr>
        <w:top w:val="none" w:sz="0" w:space="0" w:color="auto"/>
        <w:left w:val="none" w:sz="0" w:space="0" w:color="auto"/>
        <w:bottom w:val="none" w:sz="0" w:space="0" w:color="auto"/>
        <w:right w:val="none" w:sz="0" w:space="0" w:color="auto"/>
      </w:divBdr>
    </w:div>
    <w:div w:id="1991639655">
      <w:marLeft w:val="0"/>
      <w:marRight w:val="0"/>
      <w:marTop w:val="0"/>
      <w:marBottom w:val="0"/>
      <w:divBdr>
        <w:top w:val="none" w:sz="0" w:space="0" w:color="auto"/>
        <w:left w:val="none" w:sz="0" w:space="0" w:color="auto"/>
        <w:bottom w:val="none" w:sz="0" w:space="0" w:color="auto"/>
        <w:right w:val="none" w:sz="0" w:space="0" w:color="auto"/>
      </w:divBdr>
    </w:div>
    <w:div w:id="1992099524">
      <w:marLeft w:val="0"/>
      <w:marRight w:val="0"/>
      <w:marTop w:val="180"/>
      <w:marBottom w:val="180"/>
      <w:divBdr>
        <w:top w:val="none" w:sz="0" w:space="0" w:color="auto"/>
        <w:left w:val="none" w:sz="0" w:space="0" w:color="auto"/>
        <w:bottom w:val="none" w:sz="0" w:space="0" w:color="auto"/>
        <w:right w:val="none" w:sz="0" w:space="0" w:color="auto"/>
      </w:divBdr>
    </w:div>
    <w:div w:id="1992634587">
      <w:marLeft w:val="0"/>
      <w:marRight w:val="0"/>
      <w:marTop w:val="60"/>
      <w:marBottom w:val="60"/>
      <w:divBdr>
        <w:top w:val="none" w:sz="0" w:space="0" w:color="auto"/>
        <w:left w:val="none" w:sz="0" w:space="0" w:color="auto"/>
        <w:bottom w:val="none" w:sz="0" w:space="0" w:color="auto"/>
        <w:right w:val="none" w:sz="0" w:space="0" w:color="auto"/>
      </w:divBdr>
      <w:divsChild>
        <w:div w:id="697586635">
          <w:marLeft w:val="0"/>
          <w:marRight w:val="0"/>
          <w:marTop w:val="0"/>
          <w:marBottom w:val="0"/>
          <w:divBdr>
            <w:top w:val="none" w:sz="0" w:space="0" w:color="auto"/>
            <w:left w:val="none" w:sz="0" w:space="0" w:color="auto"/>
            <w:bottom w:val="none" w:sz="0" w:space="0" w:color="auto"/>
            <w:right w:val="none" w:sz="0" w:space="0" w:color="auto"/>
          </w:divBdr>
        </w:div>
      </w:divsChild>
    </w:div>
    <w:div w:id="1993100198">
      <w:marLeft w:val="0"/>
      <w:marRight w:val="0"/>
      <w:marTop w:val="180"/>
      <w:marBottom w:val="180"/>
      <w:divBdr>
        <w:top w:val="none" w:sz="0" w:space="0" w:color="auto"/>
        <w:left w:val="none" w:sz="0" w:space="0" w:color="auto"/>
        <w:bottom w:val="none" w:sz="0" w:space="0" w:color="auto"/>
        <w:right w:val="none" w:sz="0" w:space="0" w:color="auto"/>
      </w:divBdr>
    </w:div>
    <w:div w:id="1993672811">
      <w:marLeft w:val="0"/>
      <w:marRight w:val="0"/>
      <w:marTop w:val="180"/>
      <w:marBottom w:val="180"/>
      <w:divBdr>
        <w:top w:val="none" w:sz="0" w:space="0" w:color="auto"/>
        <w:left w:val="none" w:sz="0" w:space="0" w:color="auto"/>
        <w:bottom w:val="none" w:sz="0" w:space="0" w:color="auto"/>
        <w:right w:val="none" w:sz="0" w:space="0" w:color="auto"/>
      </w:divBdr>
    </w:div>
    <w:div w:id="1994602783">
      <w:marLeft w:val="0"/>
      <w:marRight w:val="0"/>
      <w:marTop w:val="0"/>
      <w:marBottom w:val="0"/>
      <w:divBdr>
        <w:top w:val="none" w:sz="0" w:space="0" w:color="auto"/>
        <w:left w:val="none" w:sz="0" w:space="0" w:color="auto"/>
        <w:bottom w:val="none" w:sz="0" w:space="0" w:color="auto"/>
        <w:right w:val="none" w:sz="0" w:space="0" w:color="auto"/>
      </w:divBdr>
      <w:divsChild>
        <w:div w:id="272980931">
          <w:marLeft w:val="0"/>
          <w:marRight w:val="0"/>
          <w:marTop w:val="0"/>
          <w:marBottom w:val="0"/>
          <w:divBdr>
            <w:top w:val="none" w:sz="0" w:space="0" w:color="auto"/>
            <w:left w:val="none" w:sz="0" w:space="0" w:color="auto"/>
            <w:bottom w:val="none" w:sz="0" w:space="0" w:color="auto"/>
            <w:right w:val="none" w:sz="0" w:space="0" w:color="auto"/>
          </w:divBdr>
          <w:divsChild>
            <w:div w:id="174267778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96714753">
      <w:marLeft w:val="0"/>
      <w:marRight w:val="0"/>
      <w:marTop w:val="0"/>
      <w:marBottom w:val="0"/>
      <w:divBdr>
        <w:top w:val="none" w:sz="0" w:space="0" w:color="auto"/>
        <w:left w:val="none" w:sz="0" w:space="0" w:color="auto"/>
        <w:bottom w:val="none" w:sz="0" w:space="0" w:color="auto"/>
        <w:right w:val="none" w:sz="0" w:space="0" w:color="auto"/>
      </w:divBdr>
      <w:divsChild>
        <w:div w:id="794644292">
          <w:marLeft w:val="0"/>
          <w:marRight w:val="0"/>
          <w:marTop w:val="0"/>
          <w:marBottom w:val="0"/>
          <w:divBdr>
            <w:top w:val="none" w:sz="0" w:space="0" w:color="auto"/>
            <w:left w:val="none" w:sz="0" w:space="0" w:color="auto"/>
            <w:bottom w:val="none" w:sz="0" w:space="0" w:color="auto"/>
            <w:right w:val="none" w:sz="0" w:space="0" w:color="auto"/>
          </w:divBdr>
          <w:divsChild>
            <w:div w:id="80419847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97224262">
      <w:marLeft w:val="0"/>
      <w:marRight w:val="0"/>
      <w:marTop w:val="180"/>
      <w:marBottom w:val="180"/>
      <w:divBdr>
        <w:top w:val="none" w:sz="0" w:space="0" w:color="auto"/>
        <w:left w:val="none" w:sz="0" w:space="0" w:color="auto"/>
        <w:bottom w:val="none" w:sz="0" w:space="0" w:color="auto"/>
        <w:right w:val="none" w:sz="0" w:space="0" w:color="auto"/>
      </w:divBdr>
      <w:divsChild>
        <w:div w:id="208875">
          <w:marLeft w:val="0"/>
          <w:marRight w:val="0"/>
          <w:marTop w:val="0"/>
          <w:marBottom w:val="0"/>
          <w:divBdr>
            <w:top w:val="none" w:sz="0" w:space="0" w:color="auto"/>
            <w:left w:val="none" w:sz="0" w:space="0" w:color="auto"/>
            <w:bottom w:val="none" w:sz="0" w:space="0" w:color="auto"/>
            <w:right w:val="none" w:sz="0" w:space="0" w:color="auto"/>
          </w:divBdr>
        </w:div>
        <w:div w:id="1572960136">
          <w:marLeft w:val="0"/>
          <w:marRight w:val="0"/>
          <w:marTop w:val="0"/>
          <w:marBottom w:val="0"/>
          <w:divBdr>
            <w:top w:val="none" w:sz="0" w:space="0" w:color="auto"/>
            <w:left w:val="none" w:sz="0" w:space="0" w:color="auto"/>
            <w:bottom w:val="none" w:sz="0" w:space="0" w:color="auto"/>
            <w:right w:val="none" w:sz="0" w:space="0" w:color="auto"/>
          </w:divBdr>
        </w:div>
        <w:div w:id="1187449971">
          <w:marLeft w:val="0"/>
          <w:marRight w:val="0"/>
          <w:marTop w:val="0"/>
          <w:marBottom w:val="0"/>
          <w:divBdr>
            <w:top w:val="none" w:sz="0" w:space="0" w:color="auto"/>
            <w:left w:val="none" w:sz="0" w:space="0" w:color="auto"/>
            <w:bottom w:val="none" w:sz="0" w:space="0" w:color="auto"/>
            <w:right w:val="none" w:sz="0" w:space="0" w:color="auto"/>
          </w:divBdr>
        </w:div>
        <w:div w:id="482698324">
          <w:marLeft w:val="0"/>
          <w:marRight w:val="0"/>
          <w:marTop w:val="0"/>
          <w:marBottom w:val="0"/>
          <w:divBdr>
            <w:top w:val="none" w:sz="0" w:space="0" w:color="auto"/>
            <w:left w:val="none" w:sz="0" w:space="0" w:color="auto"/>
            <w:bottom w:val="none" w:sz="0" w:space="0" w:color="auto"/>
            <w:right w:val="none" w:sz="0" w:space="0" w:color="auto"/>
          </w:divBdr>
        </w:div>
        <w:div w:id="329331549">
          <w:marLeft w:val="0"/>
          <w:marRight w:val="0"/>
          <w:marTop w:val="0"/>
          <w:marBottom w:val="0"/>
          <w:divBdr>
            <w:top w:val="none" w:sz="0" w:space="0" w:color="auto"/>
            <w:left w:val="none" w:sz="0" w:space="0" w:color="auto"/>
            <w:bottom w:val="none" w:sz="0" w:space="0" w:color="auto"/>
            <w:right w:val="none" w:sz="0" w:space="0" w:color="auto"/>
          </w:divBdr>
        </w:div>
        <w:div w:id="394354161">
          <w:marLeft w:val="0"/>
          <w:marRight w:val="0"/>
          <w:marTop w:val="0"/>
          <w:marBottom w:val="0"/>
          <w:divBdr>
            <w:top w:val="none" w:sz="0" w:space="0" w:color="auto"/>
            <w:left w:val="none" w:sz="0" w:space="0" w:color="auto"/>
            <w:bottom w:val="none" w:sz="0" w:space="0" w:color="auto"/>
            <w:right w:val="none" w:sz="0" w:space="0" w:color="auto"/>
          </w:divBdr>
        </w:div>
      </w:divsChild>
    </w:div>
    <w:div w:id="1998068457">
      <w:marLeft w:val="0"/>
      <w:marRight w:val="0"/>
      <w:marTop w:val="180"/>
      <w:marBottom w:val="180"/>
      <w:divBdr>
        <w:top w:val="none" w:sz="0" w:space="0" w:color="auto"/>
        <w:left w:val="none" w:sz="0" w:space="0" w:color="auto"/>
        <w:bottom w:val="none" w:sz="0" w:space="0" w:color="auto"/>
        <w:right w:val="none" w:sz="0" w:space="0" w:color="auto"/>
      </w:divBdr>
    </w:div>
    <w:div w:id="1999844273">
      <w:marLeft w:val="0"/>
      <w:marRight w:val="0"/>
      <w:marTop w:val="0"/>
      <w:marBottom w:val="0"/>
      <w:divBdr>
        <w:top w:val="none" w:sz="0" w:space="0" w:color="auto"/>
        <w:left w:val="none" w:sz="0" w:space="0" w:color="auto"/>
        <w:bottom w:val="none" w:sz="0" w:space="0" w:color="auto"/>
        <w:right w:val="none" w:sz="0" w:space="0" w:color="auto"/>
      </w:divBdr>
      <w:divsChild>
        <w:div w:id="66341206">
          <w:marLeft w:val="0"/>
          <w:marRight w:val="0"/>
          <w:marTop w:val="60"/>
          <w:marBottom w:val="180"/>
          <w:divBdr>
            <w:top w:val="none" w:sz="0" w:space="0" w:color="auto"/>
            <w:left w:val="none" w:sz="0" w:space="0" w:color="auto"/>
            <w:bottom w:val="none" w:sz="0" w:space="0" w:color="auto"/>
            <w:right w:val="none" w:sz="0" w:space="0" w:color="auto"/>
          </w:divBdr>
        </w:div>
      </w:divsChild>
    </w:div>
    <w:div w:id="2001108058">
      <w:marLeft w:val="0"/>
      <w:marRight w:val="0"/>
      <w:marTop w:val="0"/>
      <w:marBottom w:val="0"/>
      <w:divBdr>
        <w:top w:val="none" w:sz="0" w:space="0" w:color="auto"/>
        <w:left w:val="none" w:sz="0" w:space="0" w:color="auto"/>
        <w:bottom w:val="none" w:sz="0" w:space="0" w:color="auto"/>
        <w:right w:val="none" w:sz="0" w:space="0" w:color="auto"/>
      </w:divBdr>
      <w:divsChild>
        <w:div w:id="295335207">
          <w:marLeft w:val="0"/>
          <w:marRight w:val="0"/>
          <w:marTop w:val="0"/>
          <w:marBottom w:val="0"/>
          <w:divBdr>
            <w:top w:val="none" w:sz="0" w:space="0" w:color="auto"/>
            <w:left w:val="none" w:sz="0" w:space="0" w:color="auto"/>
            <w:bottom w:val="none" w:sz="0" w:space="0" w:color="auto"/>
            <w:right w:val="none" w:sz="0" w:space="0" w:color="auto"/>
          </w:divBdr>
          <w:divsChild>
            <w:div w:id="44401009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01810979">
      <w:marLeft w:val="0"/>
      <w:marRight w:val="0"/>
      <w:marTop w:val="180"/>
      <w:marBottom w:val="180"/>
      <w:divBdr>
        <w:top w:val="none" w:sz="0" w:space="0" w:color="auto"/>
        <w:left w:val="none" w:sz="0" w:space="0" w:color="auto"/>
        <w:bottom w:val="none" w:sz="0" w:space="0" w:color="auto"/>
        <w:right w:val="none" w:sz="0" w:space="0" w:color="auto"/>
      </w:divBdr>
    </w:div>
    <w:div w:id="2002541152">
      <w:marLeft w:val="0"/>
      <w:marRight w:val="0"/>
      <w:marTop w:val="60"/>
      <w:marBottom w:val="60"/>
      <w:divBdr>
        <w:top w:val="none" w:sz="0" w:space="0" w:color="auto"/>
        <w:left w:val="none" w:sz="0" w:space="0" w:color="auto"/>
        <w:bottom w:val="none" w:sz="0" w:space="0" w:color="auto"/>
        <w:right w:val="none" w:sz="0" w:space="0" w:color="auto"/>
      </w:divBdr>
    </w:div>
    <w:div w:id="2003391916">
      <w:marLeft w:val="0"/>
      <w:marRight w:val="0"/>
      <w:marTop w:val="180"/>
      <w:marBottom w:val="180"/>
      <w:divBdr>
        <w:top w:val="none" w:sz="0" w:space="0" w:color="auto"/>
        <w:left w:val="none" w:sz="0" w:space="0" w:color="auto"/>
        <w:bottom w:val="none" w:sz="0" w:space="0" w:color="auto"/>
        <w:right w:val="none" w:sz="0" w:space="0" w:color="auto"/>
      </w:divBdr>
    </w:div>
    <w:div w:id="2003850364">
      <w:marLeft w:val="0"/>
      <w:marRight w:val="0"/>
      <w:marTop w:val="0"/>
      <w:marBottom w:val="0"/>
      <w:divBdr>
        <w:top w:val="none" w:sz="0" w:space="0" w:color="auto"/>
        <w:left w:val="none" w:sz="0" w:space="0" w:color="auto"/>
        <w:bottom w:val="none" w:sz="0" w:space="0" w:color="auto"/>
        <w:right w:val="none" w:sz="0" w:space="0" w:color="auto"/>
      </w:divBdr>
      <w:divsChild>
        <w:div w:id="157617563">
          <w:marLeft w:val="0"/>
          <w:marRight w:val="0"/>
          <w:marTop w:val="60"/>
          <w:marBottom w:val="180"/>
          <w:divBdr>
            <w:top w:val="none" w:sz="0" w:space="0" w:color="auto"/>
            <w:left w:val="none" w:sz="0" w:space="0" w:color="auto"/>
            <w:bottom w:val="none" w:sz="0" w:space="0" w:color="auto"/>
            <w:right w:val="none" w:sz="0" w:space="0" w:color="auto"/>
          </w:divBdr>
        </w:div>
      </w:divsChild>
    </w:div>
    <w:div w:id="2004240154">
      <w:marLeft w:val="0"/>
      <w:marRight w:val="0"/>
      <w:marTop w:val="180"/>
      <w:marBottom w:val="180"/>
      <w:divBdr>
        <w:top w:val="none" w:sz="0" w:space="0" w:color="auto"/>
        <w:left w:val="none" w:sz="0" w:space="0" w:color="auto"/>
        <w:bottom w:val="none" w:sz="0" w:space="0" w:color="auto"/>
        <w:right w:val="none" w:sz="0" w:space="0" w:color="auto"/>
      </w:divBdr>
    </w:div>
    <w:div w:id="2004383556">
      <w:marLeft w:val="0"/>
      <w:marRight w:val="0"/>
      <w:marTop w:val="180"/>
      <w:marBottom w:val="180"/>
      <w:divBdr>
        <w:top w:val="none" w:sz="0" w:space="0" w:color="auto"/>
        <w:left w:val="none" w:sz="0" w:space="0" w:color="auto"/>
        <w:bottom w:val="none" w:sz="0" w:space="0" w:color="auto"/>
        <w:right w:val="none" w:sz="0" w:space="0" w:color="auto"/>
      </w:divBdr>
    </w:div>
    <w:div w:id="2004579823">
      <w:marLeft w:val="0"/>
      <w:marRight w:val="0"/>
      <w:marTop w:val="180"/>
      <w:marBottom w:val="180"/>
      <w:divBdr>
        <w:top w:val="none" w:sz="0" w:space="0" w:color="auto"/>
        <w:left w:val="none" w:sz="0" w:space="0" w:color="auto"/>
        <w:bottom w:val="none" w:sz="0" w:space="0" w:color="auto"/>
        <w:right w:val="none" w:sz="0" w:space="0" w:color="auto"/>
      </w:divBdr>
    </w:div>
    <w:div w:id="2005431144">
      <w:marLeft w:val="0"/>
      <w:marRight w:val="0"/>
      <w:marTop w:val="0"/>
      <w:marBottom w:val="0"/>
      <w:divBdr>
        <w:top w:val="none" w:sz="0" w:space="0" w:color="auto"/>
        <w:left w:val="none" w:sz="0" w:space="0" w:color="auto"/>
        <w:bottom w:val="none" w:sz="0" w:space="0" w:color="auto"/>
        <w:right w:val="none" w:sz="0" w:space="0" w:color="auto"/>
      </w:divBdr>
      <w:divsChild>
        <w:div w:id="1126581112">
          <w:marLeft w:val="0"/>
          <w:marRight w:val="0"/>
          <w:marTop w:val="0"/>
          <w:marBottom w:val="0"/>
          <w:divBdr>
            <w:top w:val="none" w:sz="0" w:space="0" w:color="auto"/>
            <w:left w:val="none" w:sz="0" w:space="0" w:color="auto"/>
            <w:bottom w:val="none" w:sz="0" w:space="0" w:color="auto"/>
            <w:right w:val="none" w:sz="0" w:space="0" w:color="auto"/>
          </w:divBdr>
          <w:divsChild>
            <w:div w:id="176803628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07517003">
      <w:marLeft w:val="0"/>
      <w:marRight w:val="0"/>
      <w:marTop w:val="180"/>
      <w:marBottom w:val="180"/>
      <w:divBdr>
        <w:top w:val="none" w:sz="0" w:space="0" w:color="auto"/>
        <w:left w:val="none" w:sz="0" w:space="0" w:color="auto"/>
        <w:bottom w:val="none" w:sz="0" w:space="0" w:color="auto"/>
        <w:right w:val="none" w:sz="0" w:space="0" w:color="auto"/>
      </w:divBdr>
    </w:div>
    <w:div w:id="2008289688">
      <w:marLeft w:val="0"/>
      <w:marRight w:val="0"/>
      <w:marTop w:val="180"/>
      <w:marBottom w:val="180"/>
      <w:divBdr>
        <w:top w:val="none" w:sz="0" w:space="0" w:color="auto"/>
        <w:left w:val="none" w:sz="0" w:space="0" w:color="auto"/>
        <w:bottom w:val="none" w:sz="0" w:space="0" w:color="auto"/>
        <w:right w:val="none" w:sz="0" w:space="0" w:color="auto"/>
      </w:divBdr>
    </w:div>
    <w:div w:id="2008438604">
      <w:marLeft w:val="0"/>
      <w:marRight w:val="0"/>
      <w:marTop w:val="180"/>
      <w:marBottom w:val="60"/>
      <w:divBdr>
        <w:top w:val="none" w:sz="0" w:space="0" w:color="auto"/>
        <w:left w:val="none" w:sz="0" w:space="0" w:color="auto"/>
        <w:bottom w:val="none" w:sz="0" w:space="0" w:color="auto"/>
        <w:right w:val="none" w:sz="0" w:space="0" w:color="auto"/>
      </w:divBdr>
    </w:div>
    <w:div w:id="2008559517">
      <w:marLeft w:val="0"/>
      <w:marRight w:val="0"/>
      <w:marTop w:val="100"/>
      <w:marBottom w:val="0"/>
      <w:divBdr>
        <w:top w:val="none" w:sz="0" w:space="0" w:color="auto"/>
        <w:left w:val="none" w:sz="0" w:space="0" w:color="auto"/>
        <w:bottom w:val="none" w:sz="0" w:space="0" w:color="auto"/>
        <w:right w:val="none" w:sz="0" w:space="0" w:color="auto"/>
      </w:divBdr>
    </w:div>
    <w:div w:id="2009209024">
      <w:marLeft w:val="0"/>
      <w:marRight w:val="0"/>
      <w:marTop w:val="180"/>
      <w:marBottom w:val="180"/>
      <w:divBdr>
        <w:top w:val="none" w:sz="0" w:space="0" w:color="auto"/>
        <w:left w:val="none" w:sz="0" w:space="0" w:color="auto"/>
        <w:bottom w:val="none" w:sz="0" w:space="0" w:color="auto"/>
        <w:right w:val="none" w:sz="0" w:space="0" w:color="auto"/>
      </w:divBdr>
    </w:div>
    <w:div w:id="2010401069">
      <w:marLeft w:val="0"/>
      <w:marRight w:val="0"/>
      <w:marTop w:val="0"/>
      <w:marBottom w:val="0"/>
      <w:divBdr>
        <w:top w:val="none" w:sz="0" w:space="0" w:color="auto"/>
        <w:left w:val="none" w:sz="0" w:space="0" w:color="auto"/>
        <w:bottom w:val="none" w:sz="0" w:space="0" w:color="auto"/>
        <w:right w:val="none" w:sz="0" w:space="0" w:color="auto"/>
      </w:divBdr>
      <w:divsChild>
        <w:div w:id="679158836">
          <w:marLeft w:val="0"/>
          <w:marRight w:val="0"/>
          <w:marTop w:val="60"/>
          <w:marBottom w:val="180"/>
          <w:divBdr>
            <w:top w:val="none" w:sz="0" w:space="0" w:color="auto"/>
            <w:left w:val="none" w:sz="0" w:space="0" w:color="auto"/>
            <w:bottom w:val="none" w:sz="0" w:space="0" w:color="auto"/>
            <w:right w:val="none" w:sz="0" w:space="0" w:color="auto"/>
          </w:divBdr>
        </w:div>
      </w:divsChild>
    </w:div>
    <w:div w:id="2012247704">
      <w:marLeft w:val="0"/>
      <w:marRight w:val="0"/>
      <w:marTop w:val="0"/>
      <w:marBottom w:val="0"/>
      <w:divBdr>
        <w:top w:val="none" w:sz="0" w:space="0" w:color="auto"/>
        <w:left w:val="none" w:sz="0" w:space="0" w:color="auto"/>
        <w:bottom w:val="none" w:sz="0" w:space="0" w:color="auto"/>
        <w:right w:val="none" w:sz="0" w:space="0" w:color="auto"/>
      </w:divBdr>
      <w:divsChild>
        <w:div w:id="1108738228">
          <w:marLeft w:val="0"/>
          <w:marRight w:val="0"/>
          <w:marTop w:val="0"/>
          <w:marBottom w:val="0"/>
          <w:divBdr>
            <w:top w:val="none" w:sz="0" w:space="0" w:color="auto"/>
            <w:left w:val="none" w:sz="0" w:space="0" w:color="auto"/>
            <w:bottom w:val="none" w:sz="0" w:space="0" w:color="auto"/>
            <w:right w:val="none" w:sz="0" w:space="0" w:color="auto"/>
          </w:divBdr>
          <w:divsChild>
            <w:div w:id="159096531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13683764">
      <w:marLeft w:val="0"/>
      <w:marRight w:val="0"/>
      <w:marTop w:val="180"/>
      <w:marBottom w:val="180"/>
      <w:divBdr>
        <w:top w:val="none" w:sz="0" w:space="0" w:color="auto"/>
        <w:left w:val="none" w:sz="0" w:space="0" w:color="auto"/>
        <w:bottom w:val="none" w:sz="0" w:space="0" w:color="auto"/>
        <w:right w:val="none" w:sz="0" w:space="0" w:color="auto"/>
      </w:divBdr>
      <w:divsChild>
        <w:div w:id="1973056692">
          <w:marLeft w:val="0"/>
          <w:marRight w:val="0"/>
          <w:marTop w:val="120"/>
          <w:marBottom w:val="0"/>
          <w:divBdr>
            <w:top w:val="none" w:sz="0" w:space="0" w:color="auto"/>
            <w:left w:val="none" w:sz="0" w:space="0" w:color="auto"/>
            <w:bottom w:val="none" w:sz="0" w:space="0" w:color="auto"/>
            <w:right w:val="none" w:sz="0" w:space="0" w:color="auto"/>
          </w:divBdr>
        </w:div>
        <w:div w:id="892499487">
          <w:marLeft w:val="0"/>
          <w:marRight w:val="0"/>
          <w:marTop w:val="120"/>
          <w:marBottom w:val="0"/>
          <w:divBdr>
            <w:top w:val="none" w:sz="0" w:space="0" w:color="auto"/>
            <w:left w:val="none" w:sz="0" w:space="0" w:color="auto"/>
            <w:bottom w:val="none" w:sz="0" w:space="0" w:color="auto"/>
            <w:right w:val="none" w:sz="0" w:space="0" w:color="auto"/>
          </w:divBdr>
        </w:div>
      </w:divsChild>
    </w:div>
    <w:div w:id="2014650625">
      <w:marLeft w:val="0"/>
      <w:marRight w:val="0"/>
      <w:marTop w:val="120"/>
      <w:marBottom w:val="120"/>
      <w:divBdr>
        <w:top w:val="none" w:sz="0" w:space="0" w:color="auto"/>
        <w:left w:val="none" w:sz="0" w:space="0" w:color="auto"/>
        <w:bottom w:val="none" w:sz="0" w:space="0" w:color="auto"/>
        <w:right w:val="none" w:sz="0" w:space="0" w:color="auto"/>
      </w:divBdr>
    </w:div>
    <w:div w:id="2015062827">
      <w:marLeft w:val="0"/>
      <w:marRight w:val="0"/>
      <w:marTop w:val="180"/>
      <w:marBottom w:val="180"/>
      <w:divBdr>
        <w:top w:val="none" w:sz="0" w:space="0" w:color="auto"/>
        <w:left w:val="none" w:sz="0" w:space="0" w:color="auto"/>
        <w:bottom w:val="none" w:sz="0" w:space="0" w:color="auto"/>
        <w:right w:val="none" w:sz="0" w:space="0" w:color="auto"/>
      </w:divBdr>
    </w:div>
    <w:div w:id="2015721735">
      <w:marLeft w:val="0"/>
      <w:marRight w:val="0"/>
      <w:marTop w:val="180"/>
      <w:marBottom w:val="60"/>
      <w:divBdr>
        <w:top w:val="none" w:sz="0" w:space="0" w:color="auto"/>
        <w:left w:val="none" w:sz="0" w:space="0" w:color="auto"/>
        <w:bottom w:val="none" w:sz="0" w:space="0" w:color="auto"/>
        <w:right w:val="none" w:sz="0" w:space="0" w:color="auto"/>
      </w:divBdr>
    </w:div>
    <w:div w:id="2015762555">
      <w:marLeft w:val="0"/>
      <w:marRight w:val="0"/>
      <w:marTop w:val="180"/>
      <w:marBottom w:val="180"/>
      <w:divBdr>
        <w:top w:val="none" w:sz="0" w:space="0" w:color="auto"/>
        <w:left w:val="none" w:sz="0" w:space="0" w:color="auto"/>
        <w:bottom w:val="none" w:sz="0" w:space="0" w:color="auto"/>
        <w:right w:val="none" w:sz="0" w:space="0" w:color="auto"/>
      </w:divBdr>
    </w:div>
    <w:div w:id="2018313690">
      <w:marLeft w:val="0"/>
      <w:marRight w:val="0"/>
      <w:marTop w:val="0"/>
      <w:marBottom w:val="0"/>
      <w:divBdr>
        <w:top w:val="none" w:sz="0" w:space="0" w:color="auto"/>
        <w:left w:val="none" w:sz="0" w:space="0" w:color="auto"/>
        <w:bottom w:val="none" w:sz="0" w:space="0" w:color="auto"/>
        <w:right w:val="none" w:sz="0" w:space="0" w:color="auto"/>
      </w:divBdr>
      <w:divsChild>
        <w:div w:id="296420729">
          <w:marLeft w:val="0"/>
          <w:marRight w:val="0"/>
          <w:marTop w:val="0"/>
          <w:marBottom w:val="0"/>
          <w:divBdr>
            <w:top w:val="none" w:sz="0" w:space="0" w:color="auto"/>
            <w:left w:val="none" w:sz="0" w:space="0" w:color="auto"/>
            <w:bottom w:val="none" w:sz="0" w:space="0" w:color="auto"/>
            <w:right w:val="none" w:sz="0" w:space="0" w:color="auto"/>
          </w:divBdr>
          <w:divsChild>
            <w:div w:id="124564729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18382036">
      <w:marLeft w:val="0"/>
      <w:marRight w:val="0"/>
      <w:marTop w:val="0"/>
      <w:marBottom w:val="0"/>
      <w:divBdr>
        <w:top w:val="none" w:sz="0" w:space="0" w:color="auto"/>
        <w:left w:val="none" w:sz="0" w:space="0" w:color="auto"/>
        <w:bottom w:val="none" w:sz="0" w:space="0" w:color="auto"/>
        <w:right w:val="none" w:sz="0" w:space="0" w:color="auto"/>
      </w:divBdr>
      <w:divsChild>
        <w:div w:id="1121724629">
          <w:marLeft w:val="0"/>
          <w:marRight w:val="0"/>
          <w:marTop w:val="60"/>
          <w:marBottom w:val="180"/>
          <w:divBdr>
            <w:top w:val="none" w:sz="0" w:space="0" w:color="auto"/>
            <w:left w:val="none" w:sz="0" w:space="0" w:color="auto"/>
            <w:bottom w:val="none" w:sz="0" w:space="0" w:color="auto"/>
            <w:right w:val="none" w:sz="0" w:space="0" w:color="auto"/>
          </w:divBdr>
        </w:div>
      </w:divsChild>
    </w:div>
    <w:div w:id="2018457915">
      <w:marLeft w:val="0"/>
      <w:marRight w:val="0"/>
      <w:marTop w:val="0"/>
      <w:marBottom w:val="0"/>
      <w:divBdr>
        <w:top w:val="none" w:sz="0" w:space="0" w:color="auto"/>
        <w:left w:val="none" w:sz="0" w:space="0" w:color="auto"/>
        <w:bottom w:val="none" w:sz="0" w:space="0" w:color="auto"/>
        <w:right w:val="none" w:sz="0" w:space="0" w:color="auto"/>
      </w:divBdr>
      <w:divsChild>
        <w:div w:id="654652860">
          <w:marLeft w:val="0"/>
          <w:marRight w:val="0"/>
          <w:marTop w:val="0"/>
          <w:marBottom w:val="0"/>
          <w:divBdr>
            <w:top w:val="none" w:sz="0" w:space="0" w:color="auto"/>
            <w:left w:val="none" w:sz="0" w:space="0" w:color="auto"/>
            <w:bottom w:val="none" w:sz="0" w:space="0" w:color="auto"/>
            <w:right w:val="none" w:sz="0" w:space="0" w:color="auto"/>
          </w:divBdr>
          <w:divsChild>
            <w:div w:id="93455713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18652182">
      <w:marLeft w:val="0"/>
      <w:marRight w:val="0"/>
      <w:marTop w:val="60"/>
      <w:marBottom w:val="60"/>
      <w:divBdr>
        <w:top w:val="none" w:sz="0" w:space="0" w:color="auto"/>
        <w:left w:val="none" w:sz="0" w:space="0" w:color="auto"/>
        <w:bottom w:val="none" w:sz="0" w:space="0" w:color="auto"/>
        <w:right w:val="none" w:sz="0" w:space="0" w:color="auto"/>
      </w:divBdr>
    </w:div>
    <w:div w:id="2019502012">
      <w:marLeft w:val="0"/>
      <w:marRight w:val="0"/>
      <w:marTop w:val="0"/>
      <w:marBottom w:val="60"/>
      <w:divBdr>
        <w:top w:val="none" w:sz="0" w:space="0" w:color="auto"/>
        <w:left w:val="none" w:sz="0" w:space="0" w:color="auto"/>
        <w:bottom w:val="none" w:sz="0" w:space="0" w:color="auto"/>
        <w:right w:val="none" w:sz="0" w:space="0" w:color="auto"/>
      </w:divBdr>
    </w:div>
    <w:div w:id="2020500776">
      <w:marLeft w:val="0"/>
      <w:marRight w:val="0"/>
      <w:marTop w:val="180"/>
      <w:marBottom w:val="180"/>
      <w:divBdr>
        <w:top w:val="none" w:sz="0" w:space="0" w:color="auto"/>
        <w:left w:val="none" w:sz="0" w:space="0" w:color="auto"/>
        <w:bottom w:val="none" w:sz="0" w:space="0" w:color="auto"/>
        <w:right w:val="none" w:sz="0" w:space="0" w:color="auto"/>
      </w:divBdr>
    </w:div>
    <w:div w:id="2020696125">
      <w:marLeft w:val="0"/>
      <w:marRight w:val="0"/>
      <w:marTop w:val="180"/>
      <w:marBottom w:val="180"/>
      <w:divBdr>
        <w:top w:val="none" w:sz="0" w:space="0" w:color="auto"/>
        <w:left w:val="none" w:sz="0" w:space="0" w:color="auto"/>
        <w:bottom w:val="none" w:sz="0" w:space="0" w:color="auto"/>
        <w:right w:val="none" w:sz="0" w:space="0" w:color="auto"/>
      </w:divBdr>
    </w:div>
    <w:div w:id="2021077251">
      <w:marLeft w:val="0"/>
      <w:marRight w:val="0"/>
      <w:marTop w:val="180"/>
      <w:marBottom w:val="180"/>
      <w:divBdr>
        <w:top w:val="none" w:sz="0" w:space="0" w:color="auto"/>
        <w:left w:val="none" w:sz="0" w:space="0" w:color="auto"/>
        <w:bottom w:val="none" w:sz="0" w:space="0" w:color="auto"/>
        <w:right w:val="none" w:sz="0" w:space="0" w:color="auto"/>
      </w:divBdr>
    </w:div>
    <w:div w:id="2021466650">
      <w:marLeft w:val="0"/>
      <w:marRight w:val="0"/>
      <w:marTop w:val="0"/>
      <w:marBottom w:val="0"/>
      <w:divBdr>
        <w:top w:val="none" w:sz="0" w:space="0" w:color="auto"/>
        <w:left w:val="none" w:sz="0" w:space="0" w:color="auto"/>
        <w:bottom w:val="none" w:sz="0" w:space="0" w:color="auto"/>
        <w:right w:val="none" w:sz="0" w:space="0" w:color="auto"/>
      </w:divBdr>
      <w:divsChild>
        <w:div w:id="1839541084">
          <w:marLeft w:val="0"/>
          <w:marRight w:val="0"/>
          <w:marTop w:val="180"/>
          <w:marBottom w:val="180"/>
          <w:divBdr>
            <w:top w:val="none" w:sz="0" w:space="0" w:color="auto"/>
            <w:left w:val="none" w:sz="0" w:space="0" w:color="auto"/>
            <w:bottom w:val="none" w:sz="0" w:space="0" w:color="auto"/>
            <w:right w:val="none" w:sz="0" w:space="0" w:color="auto"/>
          </w:divBdr>
        </w:div>
      </w:divsChild>
    </w:div>
    <w:div w:id="2021546291">
      <w:marLeft w:val="0"/>
      <w:marRight w:val="0"/>
      <w:marTop w:val="180"/>
      <w:marBottom w:val="60"/>
      <w:divBdr>
        <w:top w:val="none" w:sz="0" w:space="0" w:color="auto"/>
        <w:left w:val="none" w:sz="0" w:space="0" w:color="auto"/>
        <w:bottom w:val="none" w:sz="0" w:space="0" w:color="auto"/>
        <w:right w:val="none" w:sz="0" w:space="0" w:color="auto"/>
      </w:divBdr>
    </w:div>
    <w:div w:id="2021664444">
      <w:marLeft w:val="0"/>
      <w:marRight w:val="0"/>
      <w:marTop w:val="180"/>
      <w:marBottom w:val="180"/>
      <w:divBdr>
        <w:top w:val="none" w:sz="0" w:space="0" w:color="auto"/>
        <w:left w:val="none" w:sz="0" w:space="0" w:color="auto"/>
        <w:bottom w:val="none" w:sz="0" w:space="0" w:color="auto"/>
        <w:right w:val="none" w:sz="0" w:space="0" w:color="auto"/>
      </w:divBdr>
    </w:div>
    <w:div w:id="2023045188">
      <w:marLeft w:val="0"/>
      <w:marRight w:val="0"/>
      <w:marTop w:val="180"/>
      <w:marBottom w:val="180"/>
      <w:divBdr>
        <w:top w:val="none" w:sz="0" w:space="0" w:color="auto"/>
        <w:left w:val="none" w:sz="0" w:space="0" w:color="auto"/>
        <w:bottom w:val="none" w:sz="0" w:space="0" w:color="auto"/>
        <w:right w:val="none" w:sz="0" w:space="0" w:color="auto"/>
      </w:divBdr>
    </w:div>
    <w:div w:id="2023165768">
      <w:marLeft w:val="0"/>
      <w:marRight w:val="0"/>
      <w:marTop w:val="180"/>
      <w:marBottom w:val="180"/>
      <w:divBdr>
        <w:top w:val="none" w:sz="0" w:space="0" w:color="auto"/>
        <w:left w:val="none" w:sz="0" w:space="0" w:color="auto"/>
        <w:bottom w:val="none" w:sz="0" w:space="0" w:color="auto"/>
        <w:right w:val="none" w:sz="0" w:space="0" w:color="auto"/>
      </w:divBdr>
    </w:div>
    <w:div w:id="2025744259">
      <w:marLeft w:val="0"/>
      <w:marRight w:val="0"/>
      <w:marTop w:val="180"/>
      <w:marBottom w:val="180"/>
      <w:divBdr>
        <w:top w:val="none" w:sz="0" w:space="0" w:color="auto"/>
        <w:left w:val="none" w:sz="0" w:space="0" w:color="auto"/>
        <w:bottom w:val="none" w:sz="0" w:space="0" w:color="auto"/>
        <w:right w:val="none" w:sz="0" w:space="0" w:color="auto"/>
      </w:divBdr>
    </w:div>
    <w:div w:id="2025790151">
      <w:marLeft w:val="0"/>
      <w:marRight w:val="0"/>
      <w:marTop w:val="180"/>
      <w:marBottom w:val="180"/>
      <w:divBdr>
        <w:top w:val="none" w:sz="0" w:space="0" w:color="auto"/>
        <w:left w:val="none" w:sz="0" w:space="0" w:color="auto"/>
        <w:bottom w:val="none" w:sz="0" w:space="0" w:color="auto"/>
        <w:right w:val="none" w:sz="0" w:space="0" w:color="auto"/>
      </w:divBdr>
    </w:div>
    <w:div w:id="2027556830">
      <w:marLeft w:val="0"/>
      <w:marRight w:val="0"/>
      <w:marTop w:val="180"/>
      <w:marBottom w:val="180"/>
      <w:divBdr>
        <w:top w:val="none" w:sz="0" w:space="0" w:color="auto"/>
        <w:left w:val="none" w:sz="0" w:space="0" w:color="auto"/>
        <w:bottom w:val="none" w:sz="0" w:space="0" w:color="auto"/>
        <w:right w:val="none" w:sz="0" w:space="0" w:color="auto"/>
      </w:divBdr>
    </w:div>
    <w:div w:id="2030133362">
      <w:marLeft w:val="0"/>
      <w:marRight w:val="0"/>
      <w:marTop w:val="180"/>
      <w:marBottom w:val="60"/>
      <w:divBdr>
        <w:top w:val="none" w:sz="0" w:space="0" w:color="auto"/>
        <w:left w:val="none" w:sz="0" w:space="0" w:color="auto"/>
        <w:bottom w:val="none" w:sz="0" w:space="0" w:color="auto"/>
        <w:right w:val="none" w:sz="0" w:space="0" w:color="auto"/>
      </w:divBdr>
    </w:div>
    <w:div w:id="2030371998">
      <w:marLeft w:val="0"/>
      <w:marRight w:val="0"/>
      <w:marTop w:val="180"/>
      <w:marBottom w:val="180"/>
      <w:divBdr>
        <w:top w:val="none" w:sz="0" w:space="0" w:color="auto"/>
        <w:left w:val="none" w:sz="0" w:space="0" w:color="auto"/>
        <w:bottom w:val="none" w:sz="0" w:space="0" w:color="auto"/>
        <w:right w:val="none" w:sz="0" w:space="0" w:color="auto"/>
      </w:divBdr>
    </w:div>
    <w:div w:id="2030831175">
      <w:marLeft w:val="0"/>
      <w:marRight w:val="0"/>
      <w:marTop w:val="180"/>
      <w:marBottom w:val="180"/>
      <w:divBdr>
        <w:top w:val="none" w:sz="0" w:space="0" w:color="auto"/>
        <w:left w:val="none" w:sz="0" w:space="0" w:color="auto"/>
        <w:bottom w:val="none" w:sz="0" w:space="0" w:color="auto"/>
        <w:right w:val="none" w:sz="0" w:space="0" w:color="auto"/>
      </w:divBdr>
    </w:div>
    <w:div w:id="2031031261">
      <w:marLeft w:val="0"/>
      <w:marRight w:val="0"/>
      <w:marTop w:val="180"/>
      <w:marBottom w:val="180"/>
      <w:divBdr>
        <w:top w:val="none" w:sz="0" w:space="0" w:color="auto"/>
        <w:left w:val="none" w:sz="0" w:space="0" w:color="auto"/>
        <w:bottom w:val="none" w:sz="0" w:space="0" w:color="auto"/>
        <w:right w:val="none" w:sz="0" w:space="0" w:color="auto"/>
      </w:divBdr>
    </w:div>
    <w:div w:id="2031181361">
      <w:marLeft w:val="0"/>
      <w:marRight w:val="0"/>
      <w:marTop w:val="60"/>
      <w:marBottom w:val="60"/>
      <w:divBdr>
        <w:top w:val="none" w:sz="0" w:space="0" w:color="auto"/>
        <w:left w:val="none" w:sz="0" w:space="0" w:color="auto"/>
        <w:bottom w:val="none" w:sz="0" w:space="0" w:color="auto"/>
        <w:right w:val="none" w:sz="0" w:space="0" w:color="auto"/>
      </w:divBdr>
    </w:div>
    <w:div w:id="2034530861">
      <w:marLeft w:val="0"/>
      <w:marRight w:val="0"/>
      <w:marTop w:val="180"/>
      <w:marBottom w:val="180"/>
      <w:divBdr>
        <w:top w:val="none" w:sz="0" w:space="0" w:color="auto"/>
        <w:left w:val="none" w:sz="0" w:space="0" w:color="auto"/>
        <w:bottom w:val="none" w:sz="0" w:space="0" w:color="auto"/>
        <w:right w:val="none" w:sz="0" w:space="0" w:color="auto"/>
      </w:divBdr>
    </w:div>
    <w:div w:id="2034915522">
      <w:marLeft w:val="0"/>
      <w:marRight w:val="0"/>
      <w:marTop w:val="60"/>
      <w:marBottom w:val="60"/>
      <w:divBdr>
        <w:top w:val="none" w:sz="0" w:space="0" w:color="auto"/>
        <w:left w:val="none" w:sz="0" w:space="0" w:color="auto"/>
        <w:bottom w:val="none" w:sz="0" w:space="0" w:color="auto"/>
        <w:right w:val="none" w:sz="0" w:space="0" w:color="auto"/>
      </w:divBdr>
    </w:div>
    <w:div w:id="2035568906">
      <w:marLeft w:val="0"/>
      <w:marRight w:val="0"/>
      <w:marTop w:val="180"/>
      <w:marBottom w:val="180"/>
      <w:divBdr>
        <w:top w:val="none" w:sz="0" w:space="0" w:color="auto"/>
        <w:left w:val="none" w:sz="0" w:space="0" w:color="auto"/>
        <w:bottom w:val="none" w:sz="0" w:space="0" w:color="auto"/>
        <w:right w:val="none" w:sz="0" w:space="0" w:color="auto"/>
      </w:divBdr>
    </w:div>
    <w:div w:id="2035954318">
      <w:marLeft w:val="0"/>
      <w:marRight w:val="0"/>
      <w:marTop w:val="60"/>
      <w:marBottom w:val="60"/>
      <w:divBdr>
        <w:top w:val="none" w:sz="0" w:space="0" w:color="auto"/>
        <w:left w:val="none" w:sz="0" w:space="0" w:color="auto"/>
        <w:bottom w:val="none" w:sz="0" w:space="0" w:color="auto"/>
        <w:right w:val="none" w:sz="0" w:space="0" w:color="auto"/>
      </w:divBdr>
    </w:div>
    <w:div w:id="2036150973">
      <w:marLeft w:val="0"/>
      <w:marRight w:val="0"/>
      <w:marTop w:val="180"/>
      <w:marBottom w:val="180"/>
      <w:divBdr>
        <w:top w:val="none" w:sz="0" w:space="0" w:color="auto"/>
        <w:left w:val="none" w:sz="0" w:space="0" w:color="auto"/>
        <w:bottom w:val="none" w:sz="0" w:space="0" w:color="auto"/>
        <w:right w:val="none" w:sz="0" w:space="0" w:color="auto"/>
      </w:divBdr>
    </w:div>
    <w:div w:id="2036420616">
      <w:marLeft w:val="0"/>
      <w:marRight w:val="0"/>
      <w:marTop w:val="180"/>
      <w:marBottom w:val="0"/>
      <w:divBdr>
        <w:top w:val="none" w:sz="0" w:space="0" w:color="auto"/>
        <w:left w:val="none" w:sz="0" w:space="0" w:color="auto"/>
        <w:bottom w:val="none" w:sz="0" w:space="0" w:color="auto"/>
        <w:right w:val="none" w:sz="0" w:space="0" w:color="auto"/>
      </w:divBdr>
    </w:div>
    <w:div w:id="2036736595">
      <w:marLeft w:val="0"/>
      <w:marRight w:val="0"/>
      <w:marTop w:val="180"/>
      <w:marBottom w:val="180"/>
      <w:divBdr>
        <w:top w:val="none" w:sz="0" w:space="0" w:color="auto"/>
        <w:left w:val="none" w:sz="0" w:space="0" w:color="auto"/>
        <w:bottom w:val="none" w:sz="0" w:space="0" w:color="auto"/>
        <w:right w:val="none" w:sz="0" w:space="0" w:color="auto"/>
      </w:divBdr>
    </w:div>
    <w:div w:id="2037652343">
      <w:marLeft w:val="0"/>
      <w:marRight w:val="0"/>
      <w:marTop w:val="60"/>
      <w:marBottom w:val="60"/>
      <w:divBdr>
        <w:top w:val="none" w:sz="0" w:space="0" w:color="auto"/>
        <w:left w:val="none" w:sz="0" w:space="0" w:color="auto"/>
        <w:bottom w:val="none" w:sz="0" w:space="0" w:color="auto"/>
        <w:right w:val="none" w:sz="0" w:space="0" w:color="auto"/>
      </w:divBdr>
    </w:div>
    <w:div w:id="2037653287">
      <w:marLeft w:val="0"/>
      <w:marRight w:val="0"/>
      <w:marTop w:val="180"/>
      <w:marBottom w:val="180"/>
      <w:divBdr>
        <w:top w:val="none" w:sz="0" w:space="0" w:color="auto"/>
        <w:left w:val="none" w:sz="0" w:space="0" w:color="auto"/>
        <w:bottom w:val="none" w:sz="0" w:space="0" w:color="auto"/>
        <w:right w:val="none" w:sz="0" w:space="0" w:color="auto"/>
      </w:divBdr>
    </w:div>
    <w:div w:id="2037805009">
      <w:marLeft w:val="0"/>
      <w:marRight w:val="0"/>
      <w:marTop w:val="240"/>
      <w:marBottom w:val="180"/>
      <w:divBdr>
        <w:top w:val="none" w:sz="0" w:space="0" w:color="auto"/>
        <w:left w:val="none" w:sz="0" w:space="0" w:color="auto"/>
        <w:bottom w:val="none" w:sz="0" w:space="0" w:color="auto"/>
        <w:right w:val="none" w:sz="0" w:space="0" w:color="auto"/>
      </w:divBdr>
    </w:div>
    <w:div w:id="2038582238">
      <w:marLeft w:val="0"/>
      <w:marRight w:val="0"/>
      <w:marTop w:val="180"/>
      <w:marBottom w:val="180"/>
      <w:divBdr>
        <w:top w:val="none" w:sz="0" w:space="0" w:color="auto"/>
        <w:left w:val="none" w:sz="0" w:space="0" w:color="auto"/>
        <w:bottom w:val="none" w:sz="0" w:space="0" w:color="auto"/>
        <w:right w:val="none" w:sz="0" w:space="0" w:color="auto"/>
      </w:divBdr>
    </w:div>
    <w:div w:id="2039507083">
      <w:marLeft w:val="0"/>
      <w:marRight w:val="0"/>
      <w:marTop w:val="160"/>
      <w:marBottom w:val="0"/>
      <w:divBdr>
        <w:top w:val="none" w:sz="0" w:space="0" w:color="auto"/>
        <w:left w:val="none" w:sz="0" w:space="0" w:color="auto"/>
        <w:bottom w:val="none" w:sz="0" w:space="0" w:color="auto"/>
        <w:right w:val="none" w:sz="0" w:space="0" w:color="auto"/>
      </w:divBdr>
    </w:div>
    <w:div w:id="2041776939">
      <w:marLeft w:val="0"/>
      <w:marRight w:val="0"/>
      <w:marTop w:val="180"/>
      <w:marBottom w:val="60"/>
      <w:divBdr>
        <w:top w:val="none" w:sz="0" w:space="0" w:color="auto"/>
        <w:left w:val="none" w:sz="0" w:space="0" w:color="auto"/>
        <w:bottom w:val="none" w:sz="0" w:space="0" w:color="auto"/>
        <w:right w:val="none" w:sz="0" w:space="0" w:color="auto"/>
      </w:divBdr>
    </w:div>
    <w:div w:id="2043478152">
      <w:marLeft w:val="0"/>
      <w:marRight w:val="0"/>
      <w:marTop w:val="100"/>
      <w:marBottom w:val="0"/>
      <w:divBdr>
        <w:top w:val="none" w:sz="0" w:space="0" w:color="auto"/>
        <w:left w:val="none" w:sz="0" w:space="0" w:color="auto"/>
        <w:bottom w:val="none" w:sz="0" w:space="0" w:color="auto"/>
        <w:right w:val="none" w:sz="0" w:space="0" w:color="auto"/>
      </w:divBdr>
      <w:divsChild>
        <w:div w:id="2122458795">
          <w:marLeft w:val="0"/>
          <w:marRight w:val="0"/>
          <w:marTop w:val="0"/>
          <w:marBottom w:val="0"/>
          <w:divBdr>
            <w:top w:val="none" w:sz="0" w:space="0" w:color="auto"/>
            <w:left w:val="none" w:sz="0" w:space="0" w:color="auto"/>
            <w:bottom w:val="none" w:sz="0" w:space="0" w:color="auto"/>
            <w:right w:val="none" w:sz="0" w:space="0" w:color="auto"/>
          </w:divBdr>
        </w:div>
        <w:div w:id="18548868">
          <w:marLeft w:val="0"/>
          <w:marRight w:val="0"/>
          <w:marTop w:val="0"/>
          <w:marBottom w:val="0"/>
          <w:divBdr>
            <w:top w:val="none" w:sz="0" w:space="0" w:color="auto"/>
            <w:left w:val="none" w:sz="0" w:space="0" w:color="auto"/>
            <w:bottom w:val="none" w:sz="0" w:space="0" w:color="auto"/>
            <w:right w:val="none" w:sz="0" w:space="0" w:color="auto"/>
          </w:divBdr>
        </w:div>
      </w:divsChild>
    </w:div>
    <w:div w:id="2043554236">
      <w:marLeft w:val="0"/>
      <w:marRight w:val="0"/>
      <w:marTop w:val="0"/>
      <w:marBottom w:val="0"/>
      <w:divBdr>
        <w:top w:val="none" w:sz="0" w:space="0" w:color="auto"/>
        <w:left w:val="none" w:sz="0" w:space="0" w:color="auto"/>
        <w:bottom w:val="none" w:sz="0" w:space="0" w:color="auto"/>
        <w:right w:val="none" w:sz="0" w:space="0" w:color="auto"/>
      </w:divBdr>
      <w:divsChild>
        <w:div w:id="234439608">
          <w:marLeft w:val="0"/>
          <w:marRight w:val="0"/>
          <w:marTop w:val="0"/>
          <w:marBottom w:val="0"/>
          <w:divBdr>
            <w:top w:val="none" w:sz="0" w:space="0" w:color="auto"/>
            <w:left w:val="none" w:sz="0" w:space="0" w:color="auto"/>
            <w:bottom w:val="none" w:sz="0" w:space="0" w:color="auto"/>
            <w:right w:val="none" w:sz="0" w:space="0" w:color="auto"/>
          </w:divBdr>
          <w:divsChild>
            <w:div w:id="85376110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48144700">
      <w:marLeft w:val="0"/>
      <w:marRight w:val="0"/>
      <w:marTop w:val="100"/>
      <w:marBottom w:val="0"/>
      <w:divBdr>
        <w:top w:val="none" w:sz="0" w:space="0" w:color="auto"/>
        <w:left w:val="none" w:sz="0" w:space="0" w:color="auto"/>
        <w:bottom w:val="none" w:sz="0" w:space="0" w:color="auto"/>
        <w:right w:val="none" w:sz="0" w:space="0" w:color="auto"/>
      </w:divBdr>
      <w:divsChild>
        <w:div w:id="1503935857">
          <w:marLeft w:val="0"/>
          <w:marRight w:val="0"/>
          <w:marTop w:val="0"/>
          <w:marBottom w:val="0"/>
          <w:divBdr>
            <w:top w:val="none" w:sz="0" w:space="0" w:color="auto"/>
            <w:left w:val="none" w:sz="0" w:space="0" w:color="auto"/>
            <w:bottom w:val="none" w:sz="0" w:space="0" w:color="auto"/>
            <w:right w:val="none" w:sz="0" w:space="0" w:color="auto"/>
          </w:divBdr>
        </w:div>
        <w:div w:id="746265351">
          <w:marLeft w:val="0"/>
          <w:marRight w:val="0"/>
          <w:marTop w:val="0"/>
          <w:marBottom w:val="0"/>
          <w:divBdr>
            <w:top w:val="none" w:sz="0" w:space="0" w:color="auto"/>
            <w:left w:val="none" w:sz="0" w:space="0" w:color="auto"/>
            <w:bottom w:val="none" w:sz="0" w:space="0" w:color="auto"/>
            <w:right w:val="none" w:sz="0" w:space="0" w:color="auto"/>
          </w:divBdr>
        </w:div>
      </w:divsChild>
    </w:div>
    <w:div w:id="2048488068">
      <w:marLeft w:val="0"/>
      <w:marRight w:val="0"/>
      <w:marTop w:val="180"/>
      <w:marBottom w:val="180"/>
      <w:divBdr>
        <w:top w:val="none" w:sz="0" w:space="0" w:color="auto"/>
        <w:left w:val="none" w:sz="0" w:space="0" w:color="auto"/>
        <w:bottom w:val="none" w:sz="0" w:space="0" w:color="auto"/>
        <w:right w:val="none" w:sz="0" w:space="0" w:color="auto"/>
      </w:divBdr>
    </w:div>
    <w:div w:id="2048987566">
      <w:marLeft w:val="0"/>
      <w:marRight w:val="0"/>
      <w:marTop w:val="0"/>
      <w:marBottom w:val="0"/>
      <w:divBdr>
        <w:top w:val="none" w:sz="0" w:space="0" w:color="auto"/>
        <w:left w:val="none" w:sz="0" w:space="0" w:color="auto"/>
        <w:bottom w:val="none" w:sz="0" w:space="0" w:color="auto"/>
        <w:right w:val="none" w:sz="0" w:space="0" w:color="auto"/>
      </w:divBdr>
      <w:divsChild>
        <w:div w:id="1021854794">
          <w:marLeft w:val="0"/>
          <w:marRight w:val="0"/>
          <w:marTop w:val="60"/>
          <w:marBottom w:val="180"/>
          <w:divBdr>
            <w:top w:val="none" w:sz="0" w:space="0" w:color="auto"/>
            <w:left w:val="none" w:sz="0" w:space="0" w:color="auto"/>
            <w:bottom w:val="none" w:sz="0" w:space="0" w:color="auto"/>
            <w:right w:val="none" w:sz="0" w:space="0" w:color="auto"/>
          </w:divBdr>
        </w:div>
      </w:divsChild>
    </w:div>
    <w:div w:id="2049068986">
      <w:marLeft w:val="0"/>
      <w:marRight w:val="0"/>
      <w:marTop w:val="0"/>
      <w:marBottom w:val="0"/>
      <w:divBdr>
        <w:top w:val="none" w:sz="0" w:space="0" w:color="auto"/>
        <w:left w:val="none" w:sz="0" w:space="0" w:color="auto"/>
        <w:bottom w:val="none" w:sz="0" w:space="0" w:color="auto"/>
        <w:right w:val="none" w:sz="0" w:space="0" w:color="auto"/>
      </w:divBdr>
      <w:divsChild>
        <w:div w:id="281613777">
          <w:marLeft w:val="0"/>
          <w:marRight w:val="0"/>
          <w:marTop w:val="0"/>
          <w:marBottom w:val="0"/>
          <w:divBdr>
            <w:top w:val="none" w:sz="0" w:space="0" w:color="auto"/>
            <w:left w:val="none" w:sz="0" w:space="0" w:color="auto"/>
            <w:bottom w:val="none" w:sz="0" w:space="0" w:color="auto"/>
            <w:right w:val="none" w:sz="0" w:space="0" w:color="auto"/>
          </w:divBdr>
          <w:divsChild>
            <w:div w:id="32829434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51227454">
      <w:marLeft w:val="0"/>
      <w:marRight w:val="0"/>
      <w:marTop w:val="60"/>
      <w:marBottom w:val="60"/>
      <w:divBdr>
        <w:top w:val="none" w:sz="0" w:space="0" w:color="auto"/>
        <w:left w:val="none" w:sz="0" w:space="0" w:color="auto"/>
        <w:bottom w:val="none" w:sz="0" w:space="0" w:color="auto"/>
        <w:right w:val="none" w:sz="0" w:space="0" w:color="auto"/>
      </w:divBdr>
    </w:div>
    <w:div w:id="2051565903">
      <w:marLeft w:val="0"/>
      <w:marRight w:val="0"/>
      <w:marTop w:val="180"/>
      <w:marBottom w:val="0"/>
      <w:divBdr>
        <w:top w:val="none" w:sz="0" w:space="0" w:color="auto"/>
        <w:left w:val="none" w:sz="0" w:space="0" w:color="auto"/>
        <w:bottom w:val="none" w:sz="0" w:space="0" w:color="auto"/>
        <w:right w:val="none" w:sz="0" w:space="0" w:color="auto"/>
      </w:divBdr>
    </w:div>
    <w:div w:id="2051610730">
      <w:marLeft w:val="0"/>
      <w:marRight w:val="0"/>
      <w:marTop w:val="0"/>
      <w:marBottom w:val="0"/>
      <w:divBdr>
        <w:top w:val="none" w:sz="0" w:space="0" w:color="auto"/>
        <w:left w:val="none" w:sz="0" w:space="0" w:color="auto"/>
        <w:bottom w:val="none" w:sz="0" w:space="0" w:color="auto"/>
        <w:right w:val="none" w:sz="0" w:space="0" w:color="auto"/>
      </w:divBdr>
    </w:div>
    <w:div w:id="2051881101">
      <w:marLeft w:val="0"/>
      <w:marRight w:val="0"/>
      <w:marTop w:val="180"/>
      <w:marBottom w:val="180"/>
      <w:divBdr>
        <w:top w:val="none" w:sz="0" w:space="0" w:color="auto"/>
        <w:left w:val="none" w:sz="0" w:space="0" w:color="auto"/>
        <w:bottom w:val="none" w:sz="0" w:space="0" w:color="auto"/>
        <w:right w:val="none" w:sz="0" w:space="0" w:color="auto"/>
      </w:divBdr>
    </w:div>
    <w:div w:id="2052413488">
      <w:marLeft w:val="0"/>
      <w:marRight w:val="0"/>
      <w:marTop w:val="180"/>
      <w:marBottom w:val="180"/>
      <w:divBdr>
        <w:top w:val="none" w:sz="0" w:space="0" w:color="auto"/>
        <w:left w:val="none" w:sz="0" w:space="0" w:color="auto"/>
        <w:bottom w:val="none" w:sz="0" w:space="0" w:color="auto"/>
        <w:right w:val="none" w:sz="0" w:space="0" w:color="auto"/>
      </w:divBdr>
    </w:div>
    <w:div w:id="2052420428">
      <w:marLeft w:val="0"/>
      <w:marRight w:val="0"/>
      <w:marTop w:val="180"/>
      <w:marBottom w:val="180"/>
      <w:divBdr>
        <w:top w:val="none" w:sz="0" w:space="0" w:color="auto"/>
        <w:left w:val="none" w:sz="0" w:space="0" w:color="auto"/>
        <w:bottom w:val="none" w:sz="0" w:space="0" w:color="auto"/>
        <w:right w:val="none" w:sz="0" w:space="0" w:color="auto"/>
      </w:divBdr>
    </w:div>
    <w:div w:id="2053312000">
      <w:marLeft w:val="0"/>
      <w:marRight w:val="0"/>
      <w:marTop w:val="180"/>
      <w:marBottom w:val="180"/>
      <w:divBdr>
        <w:top w:val="none" w:sz="0" w:space="0" w:color="auto"/>
        <w:left w:val="none" w:sz="0" w:space="0" w:color="auto"/>
        <w:bottom w:val="none" w:sz="0" w:space="0" w:color="auto"/>
        <w:right w:val="none" w:sz="0" w:space="0" w:color="auto"/>
      </w:divBdr>
    </w:div>
    <w:div w:id="2053386043">
      <w:marLeft w:val="0"/>
      <w:marRight w:val="0"/>
      <w:marTop w:val="180"/>
      <w:marBottom w:val="60"/>
      <w:divBdr>
        <w:top w:val="none" w:sz="0" w:space="0" w:color="auto"/>
        <w:left w:val="none" w:sz="0" w:space="0" w:color="auto"/>
        <w:bottom w:val="none" w:sz="0" w:space="0" w:color="auto"/>
        <w:right w:val="none" w:sz="0" w:space="0" w:color="auto"/>
      </w:divBdr>
    </w:div>
    <w:div w:id="2053917825">
      <w:marLeft w:val="0"/>
      <w:marRight w:val="0"/>
      <w:marTop w:val="0"/>
      <w:marBottom w:val="0"/>
      <w:divBdr>
        <w:top w:val="none" w:sz="0" w:space="0" w:color="auto"/>
        <w:left w:val="none" w:sz="0" w:space="0" w:color="auto"/>
        <w:bottom w:val="none" w:sz="0" w:space="0" w:color="auto"/>
        <w:right w:val="none" w:sz="0" w:space="0" w:color="auto"/>
      </w:divBdr>
      <w:divsChild>
        <w:div w:id="1724983148">
          <w:marLeft w:val="0"/>
          <w:marRight w:val="0"/>
          <w:marTop w:val="180"/>
          <w:marBottom w:val="180"/>
          <w:divBdr>
            <w:top w:val="none" w:sz="0" w:space="0" w:color="auto"/>
            <w:left w:val="none" w:sz="0" w:space="0" w:color="auto"/>
            <w:bottom w:val="none" w:sz="0" w:space="0" w:color="auto"/>
            <w:right w:val="none" w:sz="0" w:space="0" w:color="auto"/>
          </w:divBdr>
        </w:div>
      </w:divsChild>
    </w:div>
    <w:div w:id="2053990738">
      <w:marLeft w:val="0"/>
      <w:marRight w:val="0"/>
      <w:marTop w:val="0"/>
      <w:marBottom w:val="0"/>
      <w:divBdr>
        <w:top w:val="none" w:sz="0" w:space="0" w:color="auto"/>
        <w:left w:val="none" w:sz="0" w:space="0" w:color="auto"/>
        <w:bottom w:val="none" w:sz="0" w:space="0" w:color="auto"/>
        <w:right w:val="none" w:sz="0" w:space="0" w:color="auto"/>
      </w:divBdr>
    </w:div>
    <w:div w:id="2055041927">
      <w:marLeft w:val="0"/>
      <w:marRight w:val="0"/>
      <w:marTop w:val="0"/>
      <w:marBottom w:val="0"/>
      <w:divBdr>
        <w:top w:val="none" w:sz="0" w:space="0" w:color="auto"/>
        <w:left w:val="none" w:sz="0" w:space="0" w:color="auto"/>
        <w:bottom w:val="none" w:sz="0" w:space="0" w:color="auto"/>
        <w:right w:val="none" w:sz="0" w:space="0" w:color="auto"/>
      </w:divBdr>
      <w:divsChild>
        <w:div w:id="1184515220">
          <w:marLeft w:val="0"/>
          <w:marRight w:val="0"/>
          <w:marTop w:val="60"/>
          <w:marBottom w:val="180"/>
          <w:divBdr>
            <w:top w:val="none" w:sz="0" w:space="0" w:color="auto"/>
            <w:left w:val="none" w:sz="0" w:space="0" w:color="auto"/>
            <w:bottom w:val="none" w:sz="0" w:space="0" w:color="auto"/>
            <w:right w:val="none" w:sz="0" w:space="0" w:color="auto"/>
          </w:divBdr>
        </w:div>
      </w:divsChild>
    </w:div>
    <w:div w:id="2055764797">
      <w:marLeft w:val="0"/>
      <w:marRight w:val="0"/>
      <w:marTop w:val="0"/>
      <w:marBottom w:val="0"/>
      <w:divBdr>
        <w:top w:val="none" w:sz="0" w:space="0" w:color="auto"/>
        <w:left w:val="none" w:sz="0" w:space="0" w:color="auto"/>
        <w:bottom w:val="none" w:sz="0" w:space="0" w:color="auto"/>
        <w:right w:val="none" w:sz="0" w:space="0" w:color="auto"/>
      </w:divBdr>
      <w:divsChild>
        <w:div w:id="336352582">
          <w:marLeft w:val="0"/>
          <w:marRight w:val="0"/>
          <w:marTop w:val="0"/>
          <w:marBottom w:val="0"/>
          <w:divBdr>
            <w:top w:val="none" w:sz="0" w:space="0" w:color="auto"/>
            <w:left w:val="none" w:sz="0" w:space="0" w:color="auto"/>
            <w:bottom w:val="none" w:sz="0" w:space="0" w:color="auto"/>
            <w:right w:val="none" w:sz="0" w:space="0" w:color="auto"/>
          </w:divBdr>
          <w:divsChild>
            <w:div w:id="7123943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56809453">
      <w:marLeft w:val="0"/>
      <w:marRight w:val="0"/>
      <w:marTop w:val="180"/>
      <w:marBottom w:val="180"/>
      <w:divBdr>
        <w:top w:val="none" w:sz="0" w:space="0" w:color="auto"/>
        <w:left w:val="none" w:sz="0" w:space="0" w:color="auto"/>
        <w:bottom w:val="none" w:sz="0" w:space="0" w:color="auto"/>
        <w:right w:val="none" w:sz="0" w:space="0" w:color="auto"/>
      </w:divBdr>
    </w:div>
    <w:div w:id="2057311101">
      <w:marLeft w:val="0"/>
      <w:marRight w:val="0"/>
      <w:marTop w:val="0"/>
      <w:marBottom w:val="0"/>
      <w:divBdr>
        <w:top w:val="none" w:sz="0" w:space="0" w:color="auto"/>
        <w:left w:val="none" w:sz="0" w:space="0" w:color="auto"/>
        <w:bottom w:val="none" w:sz="0" w:space="0" w:color="auto"/>
        <w:right w:val="none" w:sz="0" w:space="0" w:color="auto"/>
      </w:divBdr>
    </w:div>
    <w:div w:id="2058316882">
      <w:marLeft w:val="0"/>
      <w:marRight w:val="0"/>
      <w:marTop w:val="180"/>
      <w:marBottom w:val="0"/>
      <w:divBdr>
        <w:top w:val="none" w:sz="0" w:space="0" w:color="auto"/>
        <w:left w:val="none" w:sz="0" w:space="0" w:color="auto"/>
        <w:bottom w:val="none" w:sz="0" w:space="0" w:color="auto"/>
        <w:right w:val="none" w:sz="0" w:space="0" w:color="auto"/>
      </w:divBdr>
    </w:div>
    <w:div w:id="2058969203">
      <w:marLeft w:val="0"/>
      <w:marRight w:val="0"/>
      <w:marTop w:val="0"/>
      <w:marBottom w:val="0"/>
      <w:divBdr>
        <w:top w:val="none" w:sz="0" w:space="0" w:color="auto"/>
        <w:left w:val="none" w:sz="0" w:space="0" w:color="auto"/>
        <w:bottom w:val="none" w:sz="0" w:space="0" w:color="auto"/>
        <w:right w:val="none" w:sz="0" w:space="0" w:color="auto"/>
      </w:divBdr>
    </w:div>
    <w:div w:id="2060006477">
      <w:marLeft w:val="0"/>
      <w:marRight w:val="0"/>
      <w:marTop w:val="180"/>
      <w:marBottom w:val="180"/>
      <w:divBdr>
        <w:top w:val="none" w:sz="0" w:space="0" w:color="auto"/>
        <w:left w:val="none" w:sz="0" w:space="0" w:color="auto"/>
        <w:bottom w:val="none" w:sz="0" w:space="0" w:color="auto"/>
        <w:right w:val="none" w:sz="0" w:space="0" w:color="auto"/>
      </w:divBdr>
    </w:div>
    <w:div w:id="2060352501">
      <w:marLeft w:val="0"/>
      <w:marRight w:val="0"/>
      <w:marTop w:val="0"/>
      <w:marBottom w:val="0"/>
      <w:divBdr>
        <w:top w:val="none" w:sz="0" w:space="0" w:color="auto"/>
        <w:left w:val="none" w:sz="0" w:space="0" w:color="auto"/>
        <w:bottom w:val="none" w:sz="0" w:space="0" w:color="auto"/>
        <w:right w:val="none" w:sz="0" w:space="0" w:color="auto"/>
      </w:divBdr>
      <w:divsChild>
        <w:div w:id="78985507">
          <w:marLeft w:val="0"/>
          <w:marRight w:val="0"/>
          <w:marTop w:val="0"/>
          <w:marBottom w:val="180"/>
          <w:divBdr>
            <w:top w:val="none" w:sz="0" w:space="0" w:color="auto"/>
            <w:left w:val="none" w:sz="0" w:space="0" w:color="auto"/>
            <w:bottom w:val="none" w:sz="0" w:space="0" w:color="auto"/>
            <w:right w:val="none" w:sz="0" w:space="0" w:color="auto"/>
          </w:divBdr>
        </w:div>
      </w:divsChild>
    </w:div>
    <w:div w:id="2060585956">
      <w:marLeft w:val="0"/>
      <w:marRight w:val="0"/>
      <w:marTop w:val="180"/>
      <w:marBottom w:val="180"/>
      <w:divBdr>
        <w:top w:val="none" w:sz="0" w:space="0" w:color="auto"/>
        <w:left w:val="none" w:sz="0" w:space="0" w:color="auto"/>
        <w:bottom w:val="none" w:sz="0" w:space="0" w:color="auto"/>
        <w:right w:val="none" w:sz="0" w:space="0" w:color="auto"/>
      </w:divBdr>
    </w:div>
    <w:div w:id="2061049905">
      <w:marLeft w:val="0"/>
      <w:marRight w:val="0"/>
      <w:marTop w:val="0"/>
      <w:marBottom w:val="0"/>
      <w:divBdr>
        <w:top w:val="none" w:sz="0" w:space="0" w:color="auto"/>
        <w:left w:val="none" w:sz="0" w:space="0" w:color="auto"/>
        <w:bottom w:val="none" w:sz="0" w:space="0" w:color="auto"/>
        <w:right w:val="none" w:sz="0" w:space="0" w:color="auto"/>
      </w:divBdr>
    </w:div>
    <w:div w:id="2062359600">
      <w:marLeft w:val="0"/>
      <w:marRight w:val="0"/>
      <w:marTop w:val="0"/>
      <w:marBottom w:val="0"/>
      <w:divBdr>
        <w:top w:val="none" w:sz="0" w:space="0" w:color="auto"/>
        <w:left w:val="none" w:sz="0" w:space="0" w:color="auto"/>
        <w:bottom w:val="none" w:sz="0" w:space="0" w:color="auto"/>
        <w:right w:val="none" w:sz="0" w:space="0" w:color="auto"/>
      </w:divBdr>
    </w:div>
    <w:div w:id="2062820072">
      <w:marLeft w:val="0"/>
      <w:marRight w:val="0"/>
      <w:marTop w:val="180"/>
      <w:marBottom w:val="180"/>
      <w:divBdr>
        <w:top w:val="none" w:sz="0" w:space="0" w:color="auto"/>
        <w:left w:val="none" w:sz="0" w:space="0" w:color="auto"/>
        <w:bottom w:val="none" w:sz="0" w:space="0" w:color="auto"/>
        <w:right w:val="none" w:sz="0" w:space="0" w:color="auto"/>
      </w:divBdr>
    </w:div>
    <w:div w:id="2065371016">
      <w:marLeft w:val="0"/>
      <w:marRight w:val="0"/>
      <w:marTop w:val="0"/>
      <w:marBottom w:val="0"/>
      <w:divBdr>
        <w:top w:val="none" w:sz="0" w:space="0" w:color="auto"/>
        <w:left w:val="none" w:sz="0" w:space="0" w:color="auto"/>
        <w:bottom w:val="none" w:sz="0" w:space="0" w:color="auto"/>
        <w:right w:val="none" w:sz="0" w:space="0" w:color="auto"/>
      </w:divBdr>
      <w:divsChild>
        <w:div w:id="485317708">
          <w:marLeft w:val="0"/>
          <w:marRight w:val="0"/>
          <w:marTop w:val="0"/>
          <w:marBottom w:val="0"/>
          <w:divBdr>
            <w:top w:val="none" w:sz="0" w:space="0" w:color="auto"/>
            <w:left w:val="none" w:sz="0" w:space="0" w:color="auto"/>
            <w:bottom w:val="none" w:sz="0" w:space="0" w:color="auto"/>
            <w:right w:val="none" w:sz="0" w:space="0" w:color="auto"/>
          </w:divBdr>
          <w:divsChild>
            <w:div w:id="100756189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65906002">
      <w:marLeft w:val="0"/>
      <w:marRight w:val="0"/>
      <w:marTop w:val="60"/>
      <w:marBottom w:val="60"/>
      <w:divBdr>
        <w:top w:val="none" w:sz="0" w:space="0" w:color="auto"/>
        <w:left w:val="none" w:sz="0" w:space="0" w:color="auto"/>
        <w:bottom w:val="none" w:sz="0" w:space="0" w:color="auto"/>
        <w:right w:val="none" w:sz="0" w:space="0" w:color="auto"/>
      </w:divBdr>
    </w:div>
    <w:div w:id="2066100489">
      <w:marLeft w:val="0"/>
      <w:marRight w:val="0"/>
      <w:marTop w:val="0"/>
      <w:marBottom w:val="0"/>
      <w:divBdr>
        <w:top w:val="none" w:sz="0" w:space="0" w:color="auto"/>
        <w:left w:val="none" w:sz="0" w:space="0" w:color="auto"/>
        <w:bottom w:val="none" w:sz="0" w:space="0" w:color="auto"/>
        <w:right w:val="none" w:sz="0" w:space="0" w:color="auto"/>
      </w:divBdr>
      <w:divsChild>
        <w:div w:id="1637444278">
          <w:marLeft w:val="0"/>
          <w:marRight w:val="0"/>
          <w:marTop w:val="180"/>
          <w:marBottom w:val="180"/>
          <w:divBdr>
            <w:top w:val="none" w:sz="0" w:space="0" w:color="auto"/>
            <w:left w:val="none" w:sz="0" w:space="0" w:color="auto"/>
            <w:bottom w:val="none" w:sz="0" w:space="0" w:color="auto"/>
            <w:right w:val="none" w:sz="0" w:space="0" w:color="auto"/>
          </w:divBdr>
        </w:div>
      </w:divsChild>
    </w:div>
    <w:div w:id="2068607549">
      <w:marLeft w:val="0"/>
      <w:marRight w:val="0"/>
      <w:marTop w:val="180"/>
      <w:marBottom w:val="0"/>
      <w:divBdr>
        <w:top w:val="none" w:sz="0" w:space="0" w:color="auto"/>
        <w:left w:val="none" w:sz="0" w:space="0" w:color="auto"/>
        <w:bottom w:val="none" w:sz="0" w:space="0" w:color="auto"/>
        <w:right w:val="none" w:sz="0" w:space="0" w:color="auto"/>
      </w:divBdr>
    </w:div>
    <w:div w:id="2069188820">
      <w:marLeft w:val="0"/>
      <w:marRight w:val="0"/>
      <w:marTop w:val="60"/>
      <w:marBottom w:val="60"/>
      <w:divBdr>
        <w:top w:val="none" w:sz="0" w:space="0" w:color="auto"/>
        <w:left w:val="none" w:sz="0" w:space="0" w:color="auto"/>
        <w:bottom w:val="none" w:sz="0" w:space="0" w:color="auto"/>
        <w:right w:val="none" w:sz="0" w:space="0" w:color="auto"/>
      </w:divBdr>
    </w:div>
    <w:div w:id="2069306180">
      <w:marLeft w:val="0"/>
      <w:marRight w:val="0"/>
      <w:marTop w:val="100"/>
      <w:marBottom w:val="0"/>
      <w:divBdr>
        <w:top w:val="none" w:sz="0" w:space="0" w:color="auto"/>
        <w:left w:val="none" w:sz="0" w:space="0" w:color="auto"/>
        <w:bottom w:val="none" w:sz="0" w:space="0" w:color="auto"/>
        <w:right w:val="none" w:sz="0" w:space="0" w:color="auto"/>
      </w:divBdr>
    </w:div>
    <w:div w:id="2074350880">
      <w:marLeft w:val="0"/>
      <w:marRight w:val="0"/>
      <w:marTop w:val="180"/>
      <w:marBottom w:val="180"/>
      <w:divBdr>
        <w:top w:val="none" w:sz="0" w:space="0" w:color="auto"/>
        <w:left w:val="none" w:sz="0" w:space="0" w:color="auto"/>
        <w:bottom w:val="none" w:sz="0" w:space="0" w:color="auto"/>
        <w:right w:val="none" w:sz="0" w:space="0" w:color="auto"/>
      </w:divBdr>
    </w:div>
    <w:div w:id="2075928550">
      <w:marLeft w:val="0"/>
      <w:marRight w:val="0"/>
      <w:marTop w:val="180"/>
      <w:marBottom w:val="180"/>
      <w:divBdr>
        <w:top w:val="none" w:sz="0" w:space="0" w:color="auto"/>
        <w:left w:val="none" w:sz="0" w:space="0" w:color="auto"/>
        <w:bottom w:val="none" w:sz="0" w:space="0" w:color="auto"/>
        <w:right w:val="none" w:sz="0" w:space="0" w:color="auto"/>
      </w:divBdr>
    </w:div>
    <w:div w:id="2076736060">
      <w:marLeft w:val="0"/>
      <w:marRight w:val="0"/>
      <w:marTop w:val="180"/>
      <w:marBottom w:val="180"/>
      <w:divBdr>
        <w:top w:val="none" w:sz="0" w:space="0" w:color="auto"/>
        <w:left w:val="none" w:sz="0" w:space="0" w:color="auto"/>
        <w:bottom w:val="none" w:sz="0" w:space="0" w:color="auto"/>
        <w:right w:val="none" w:sz="0" w:space="0" w:color="auto"/>
      </w:divBdr>
    </w:div>
    <w:div w:id="2077586370">
      <w:marLeft w:val="0"/>
      <w:marRight w:val="0"/>
      <w:marTop w:val="180"/>
      <w:marBottom w:val="180"/>
      <w:divBdr>
        <w:top w:val="none" w:sz="0" w:space="0" w:color="auto"/>
        <w:left w:val="none" w:sz="0" w:space="0" w:color="auto"/>
        <w:bottom w:val="none" w:sz="0" w:space="0" w:color="auto"/>
        <w:right w:val="none" w:sz="0" w:space="0" w:color="auto"/>
      </w:divBdr>
    </w:div>
    <w:div w:id="2078239824">
      <w:marLeft w:val="0"/>
      <w:marRight w:val="0"/>
      <w:marTop w:val="60"/>
      <w:marBottom w:val="60"/>
      <w:divBdr>
        <w:top w:val="none" w:sz="0" w:space="0" w:color="auto"/>
        <w:left w:val="none" w:sz="0" w:space="0" w:color="auto"/>
        <w:bottom w:val="none" w:sz="0" w:space="0" w:color="auto"/>
        <w:right w:val="none" w:sz="0" w:space="0" w:color="auto"/>
      </w:divBdr>
      <w:divsChild>
        <w:div w:id="189997624">
          <w:marLeft w:val="0"/>
          <w:marRight w:val="0"/>
          <w:marTop w:val="0"/>
          <w:marBottom w:val="0"/>
          <w:divBdr>
            <w:top w:val="none" w:sz="0" w:space="0" w:color="auto"/>
            <w:left w:val="none" w:sz="0" w:space="0" w:color="auto"/>
            <w:bottom w:val="none" w:sz="0" w:space="0" w:color="auto"/>
            <w:right w:val="none" w:sz="0" w:space="0" w:color="auto"/>
          </w:divBdr>
        </w:div>
        <w:div w:id="1495754762">
          <w:marLeft w:val="0"/>
          <w:marRight w:val="0"/>
          <w:marTop w:val="0"/>
          <w:marBottom w:val="0"/>
          <w:divBdr>
            <w:top w:val="none" w:sz="0" w:space="0" w:color="auto"/>
            <w:left w:val="none" w:sz="0" w:space="0" w:color="auto"/>
            <w:bottom w:val="none" w:sz="0" w:space="0" w:color="auto"/>
            <w:right w:val="none" w:sz="0" w:space="0" w:color="auto"/>
          </w:divBdr>
        </w:div>
      </w:divsChild>
    </w:div>
    <w:div w:id="2079939951">
      <w:marLeft w:val="0"/>
      <w:marRight w:val="0"/>
      <w:marTop w:val="120"/>
      <w:marBottom w:val="60"/>
      <w:divBdr>
        <w:top w:val="none" w:sz="0" w:space="0" w:color="auto"/>
        <w:left w:val="none" w:sz="0" w:space="0" w:color="auto"/>
        <w:bottom w:val="none" w:sz="0" w:space="0" w:color="auto"/>
        <w:right w:val="none" w:sz="0" w:space="0" w:color="auto"/>
      </w:divBdr>
    </w:div>
    <w:div w:id="2080589052">
      <w:marLeft w:val="0"/>
      <w:marRight w:val="0"/>
      <w:marTop w:val="180"/>
      <w:marBottom w:val="180"/>
      <w:divBdr>
        <w:top w:val="none" w:sz="0" w:space="0" w:color="auto"/>
        <w:left w:val="none" w:sz="0" w:space="0" w:color="auto"/>
        <w:bottom w:val="none" w:sz="0" w:space="0" w:color="auto"/>
        <w:right w:val="none" w:sz="0" w:space="0" w:color="auto"/>
      </w:divBdr>
    </w:div>
    <w:div w:id="2081100426">
      <w:marLeft w:val="0"/>
      <w:marRight w:val="0"/>
      <w:marTop w:val="180"/>
      <w:marBottom w:val="60"/>
      <w:divBdr>
        <w:top w:val="none" w:sz="0" w:space="0" w:color="auto"/>
        <w:left w:val="none" w:sz="0" w:space="0" w:color="auto"/>
        <w:bottom w:val="none" w:sz="0" w:space="0" w:color="auto"/>
        <w:right w:val="none" w:sz="0" w:space="0" w:color="auto"/>
      </w:divBdr>
    </w:div>
    <w:div w:id="2083024272">
      <w:marLeft w:val="0"/>
      <w:marRight w:val="0"/>
      <w:marTop w:val="180"/>
      <w:marBottom w:val="180"/>
      <w:divBdr>
        <w:top w:val="none" w:sz="0" w:space="0" w:color="auto"/>
        <w:left w:val="none" w:sz="0" w:space="0" w:color="auto"/>
        <w:bottom w:val="none" w:sz="0" w:space="0" w:color="auto"/>
        <w:right w:val="none" w:sz="0" w:space="0" w:color="auto"/>
      </w:divBdr>
    </w:div>
    <w:div w:id="2084835834">
      <w:marLeft w:val="0"/>
      <w:marRight w:val="0"/>
      <w:marTop w:val="60"/>
      <w:marBottom w:val="60"/>
      <w:divBdr>
        <w:top w:val="none" w:sz="0" w:space="0" w:color="auto"/>
        <w:left w:val="none" w:sz="0" w:space="0" w:color="auto"/>
        <w:bottom w:val="none" w:sz="0" w:space="0" w:color="auto"/>
        <w:right w:val="none" w:sz="0" w:space="0" w:color="auto"/>
      </w:divBdr>
    </w:div>
    <w:div w:id="2087416271">
      <w:marLeft w:val="0"/>
      <w:marRight w:val="0"/>
      <w:marTop w:val="0"/>
      <w:marBottom w:val="0"/>
      <w:divBdr>
        <w:top w:val="none" w:sz="0" w:space="0" w:color="auto"/>
        <w:left w:val="none" w:sz="0" w:space="0" w:color="auto"/>
        <w:bottom w:val="none" w:sz="0" w:space="0" w:color="auto"/>
        <w:right w:val="none" w:sz="0" w:space="0" w:color="auto"/>
      </w:divBdr>
      <w:divsChild>
        <w:div w:id="1279414751">
          <w:marLeft w:val="0"/>
          <w:marRight w:val="0"/>
          <w:marTop w:val="0"/>
          <w:marBottom w:val="0"/>
          <w:divBdr>
            <w:top w:val="none" w:sz="0" w:space="0" w:color="auto"/>
            <w:left w:val="none" w:sz="0" w:space="0" w:color="auto"/>
            <w:bottom w:val="none" w:sz="0" w:space="0" w:color="auto"/>
            <w:right w:val="none" w:sz="0" w:space="0" w:color="auto"/>
          </w:divBdr>
          <w:divsChild>
            <w:div w:id="80985775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89107569">
      <w:marLeft w:val="0"/>
      <w:marRight w:val="0"/>
      <w:marTop w:val="180"/>
      <w:marBottom w:val="180"/>
      <w:divBdr>
        <w:top w:val="none" w:sz="0" w:space="0" w:color="auto"/>
        <w:left w:val="none" w:sz="0" w:space="0" w:color="auto"/>
        <w:bottom w:val="none" w:sz="0" w:space="0" w:color="auto"/>
        <w:right w:val="none" w:sz="0" w:space="0" w:color="auto"/>
      </w:divBdr>
    </w:div>
    <w:div w:id="2089813075">
      <w:marLeft w:val="0"/>
      <w:marRight w:val="0"/>
      <w:marTop w:val="0"/>
      <w:marBottom w:val="0"/>
      <w:divBdr>
        <w:top w:val="none" w:sz="0" w:space="0" w:color="auto"/>
        <w:left w:val="none" w:sz="0" w:space="0" w:color="auto"/>
        <w:bottom w:val="none" w:sz="0" w:space="0" w:color="auto"/>
        <w:right w:val="none" w:sz="0" w:space="0" w:color="auto"/>
      </w:divBdr>
    </w:div>
    <w:div w:id="2091536092">
      <w:marLeft w:val="0"/>
      <w:marRight w:val="0"/>
      <w:marTop w:val="60"/>
      <w:marBottom w:val="60"/>
      <w:divBdr>
        <w:top w:val="none" w:sz="0" w:space="0" w:color="auto"/>
        <w:left w:val="none" w:sz="0" w:space="0" w:color="auto"/>
        <w:bottom w:val="none" w:sz="0" w:space="0" w:color="auto"/>
        <w:right w:val="none" w:sz="0" w:space="0" w:color="auto"/>
      </w:divBdr>
    </w:div>
    <w:div w:id="2091731284">
      <w:marLeft w:val="0"/>
      <w:marRight w:val="0"/>
      <w:marTop w:val="180"/>
      <w:marBottom w:val="180"/>
      <w:divBdr>
        <w:top w:val="none" w:sz="0" w:space="0" w:color="auto"/>
        <w:left w:val="none" w:sz="0" w:space="0" w:color="auto"/>
        <w:bottom w:val="none" w:sz="0" w:space="0" w:color="auto"/>
        <w:right w:val="none" w:sz="0" w:space="0" w:color="auto"/>
      </w:divBdr>
    </w:div>
    <w:div w:id="2094007862">
      <w:marLeft w:val="0"/>
      <w:marRight w:val="0"/>
      <w:marTop w:val="180"/>
      <w:marBottom w:val="60"/>
      <w:divBdr>
        <w:top w:val="none" w:sz="0" w:space="0" w:color="auto"/>
        <w:left w:val="none" w:sz="0" w:space="0" w:color="auto"/>
        <w:bottom w:val="none" w:sz="0" w:space="0" w:color="auto"/>
        <w:right w:val="none" w:sz="0" w:space="0" w:color="auto"/>
      </w:divBdr>
    </w:div>
    <w:div w:id="2094161931">
      <w:marLeft w:val="0"/>
      <w:marRight w:val="0"/>
      <w:marTop w:val="60"/>
      <w:marBottom w:val="60"/>
      <w:divBdr>
        <w:top w:val="none" w:sz="0" w:space="0" w:color="auto"/>
        <w:left w:val="none" w:sz="0" w:space="0" w:color="auto"/>
        <w:bottom w:val="none" w:sz="0" w:space="0" w:color="auto"/>
        <w:right w:val="none" w:sz="0" w:space="0" w:color="auto"/>
      </w:divBdr>
    </w:div>
    <w:div w:id="2098553631">
      <w:marLeft w:val="0"/>
      <w:marRight w:val="0"/>
      <w:marTop w:val="180"/>
      <w:marBottom w:val="180"/>
      <w:divBdr>
        <w:top w:val="none" w:sz="0" w:space="0" w:color="auto"/>
        <w:left w:val="none" w:sz="0" w:space="0" w:color="auto"/>
        <w:bottom w:val="none" w:sz="0" w:space="0" w:color="auto"/>
        <w:right w:val="none" w:sz="0" w:space="0" w:color="auto"/>
      </w:divBdr>
    </w:div>
    <w:div w:id="2099591175">
      <w:marLeft w:val="0"/>
      <w:marRight w:val="0"/>
      <w:marTop w:val="180"/>
      <w:marBottom w:val="180"/>
      <w:divBdr>
        <w:top w:val="none" w:sz="0" w:space="0" w:color="auto"/>
        <w:left w:val="none" w:sz="0" w:space="0" w:color="auto"/>
        <w:bottom w:val="none" w:sz="0" w:space="0" w:color="auto"/>
        <w:right w:val="none" w:sz="0" w:space="0" w:color="auto"/>
      </w:divBdr>
    </w:div>
    <w:div w:id="2100054909">
      <w:marLeft w:val="0"/>
      <w:marRight w:val="0"/>
      <w:marTop w:val="180"/>
      <w:marBottom w:val="180"/>
      <w:divBdr>
        <w:top w:val="none" w:sz="0" w:space="0" w:color="auto"/>
        <w:left w:val="none" w:sz="0" w:space="0" w:color="auto"/>
        <w:bottom w:val="none" w:sz="0" w:space="0" w:color="auto"/>
        <w:right w:val="none" w:sz="0" w:space="0" w:color="auto"/>
      </w:divBdr>
    </w:div>
    <w:div w:id="2100370404">
      <w:marLeft w:val="0"/>
      <w:marRight w:val="0"/>
      <w:marTop w:val="180"/>
      <w:marBottom w:val="180"/>
      <w:divBdr>
        <w:top w:val="none" w:sz="0" w:space="0" w:color="auto"/>
        <w:left w:val="none" w:sz="0" w:space="0" w:color="auto"/>
        <w:bottom w:val="none" w:sz="0" w:space="0" w:color="auto"/>
        <w:right w:val="none" w:sz="0" w:space="0" w:color="auto"/>
      </w:divBdr>
    </w:div>
    <w:div w:id="2100521970">
      <w:marLeft w:val="0"/>
      <w:marRight w:val="0"/>
      <w:marTop w:val="180"/>
      <w:marBottom w:val="180"/>
      <w:divBdr>
        <w:top w:val="none" w:sz="0" w:space="0" w:color="auto"/>
        <w:left w:val="none" w:sz="0" w:space="0" w:color="auto"/>
        <w:bottom w:val="none" w:sz="0" w:space="0" w:color="auto"/>
        <w:right w:val="none" w:sz="0" w:space="0" w:color="auto"/>
      </w:divBdr>
    </w:div>
    <w:div w:id="2100636735">
      <w:marLeft w:val="0"/>
      <w:marRight w:val="0"/>
      <w:marTop w:val="0"/>
      <w:marBottom w:val="0"/>
      <w:divBdr>
        <w:top w:val="none" w:sz="0" w:space="0" w:color="auto"/>
        <w:left w:val="none" w:sz="0" w:space="0" w:color="auto"/>
        <w:bottom w:val="none" w:sz="0" w:space="0" w:color="auto"/>
        <w:right w:val="none" w:sz="0" w:space="0" w:color="auto"/>
      </w:divBdr>
      <w:divsChild>
        <w:div w:id="652367614">
          <w:marLeft w:val="0"/>
          <w:marRight w:val="0"/>
          <w:marTop w:val="0"/>
          <w:marBottom w:val="0"/>
          <w:divBdr>
            <w:top w:val="none" w:sz="0" w:space="0" w:color="auto"/>
            <w:left w:val="none" w:sz="0" w:space="0" w:color="auto"/>
            <w:bottom w:val="none" w:sz="0" w:space="0" w:color="auto"/>
            <w:right w:val="none" w:sz="0" w:space="0" w:color="auto"/>
          </w:divBdr>
          <w:divsChild>
            <w:div w:id="187480828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102992240">
      <w:marLeft w:val="0"/>
      <w:marRight w:val="0"/>
      <w:marTop w:val="180"/>
      <w:marBottom w:val="180"/>
      <w:divBdr>
        <w:top w:val="none" w:sz="0" w:space="0" w:color="auto"/>
        <w:left w:val="none" w:sz="0" w:space="0" w:color="auto"/>
        <w:bottom w:val="none" w:sz="0" w:space="0" w:color="auto"/>
        <w:right w:val="none" w:sz="0" w:space="0" w:color="auto"/>
      </w:divBdr>
    </w:div>
    <w:div w:id="2103406594">
      <w:marLeft w:val="0"/>
      <w:marRight w:val="0"/>
      <w:marTop w:val="180"/>
      <w:marBottom w:val="180"/>
      <w:divBdr>
        <w:top w:val="none" w:sz="0" w:space="0" w:color="auto"/>
        <w:left w:val="none" w:sz="0" w:space="0" w:color="auto"/>
        <w:bottom w:val="none" w:sz="0" w:space="0" w:color="auto"/>
        <w:right w:val="none" w:sz="0" w:space="0" w:color="auto"/>
      </w:divBdr>
    </w:div>
    <w:div w:id="2104297956">
      <w:marLeft w:val="0"/>
      <w:marRight w:val="0"/>
      <w:marTop w:val="60"/>
      <w:marBottom w:val="60"/>
      <w:divBdr>
        <w:top w:val="none" w:sz="0" w:space="0" w:color="auto"/>
        <w:left w:val="none" w:sz="0" w:space="0" w:color="auto"/>
        <w:bottom w:val="none" w:sz="0" w:space="0" w:color="auto"/>
        <w:right w:val="none" w:sz="0" w:space="0" w:color="auto"/>
      </w:divBdr>
    </w:div>
    <w:div w:id="2104303762">
      <w:marLeft w:val="0"/>
      <w:marRight w:val="0"/>
      <w:marTop w:val="60"/>
      <w:marBottom w:val="60"/>
      <w:divBdr>
        <w:top w:val="none" w:sz="0" w:space="0" w:color="auto"/>
        <w:left w:val="none" w:sz="0" w:space="0" w:color="auto"/>
        <w:bottom w:val="none" w:sz="0" w:space="0" w:color="auto"/>
        <w:right w:val="none" w:sz="0" w:space="0" w:color="auto"/>
      </w:divBdr>
    </w:div>
    <w:div w:id="2105150128">
      <w:marLeft w:val="0"/>
      <w:marRight w:val="0"/>
      <w:marTop w:val="0"/>
      <w:marBottom w:val="0"/>
      <w:divBdr>
        <w:top w:val="none" w:sz="0" w:space="0" w:color="auto"/>
        <w:left w:val="none" w:sz="0" w:space="0" w:color="auto"/>
        <w:bottom w:val="none" w:sz="0" w:space="0" w:color="auto"/>
        <w:right w:val="none" w:sz="0" w:space="0" w:color="auto"/>
      </w:divBdr>
      <w:divsChild>
        <w:div w:id="181818460">
          <w:marLeft w:val="0"/>
          <w:marRight w:val="0"/>
          <w:marTop w:val="0"/>
          <w:marBottom w:val="0"/>
          <w:divBdr>
            <w:top w:val="none" w:sz="0" w:space="0" w:color="auto"/>
            <w:left w:val="none" w:sz="0" w:space="0" w:color="auto"/>
            <w:bottom w:val="none" w:sz="0" w:space="0" w:color="auto"/>
            <w:right w:val="none" w:sz="0" w:space="0" w:color="auto"/>
          </w:divBdr>
          <w:divsChild>
            <w:div w:id="88252156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106533878">
      <w:marLeft w:val="0"/>
      <w:marRight w:val="0"/>
      <w:marTop w:val="180"/>
      <w:marBottom w:val="180"/>
      <w:divBdr>
        <w:top w:val="none" w:sz="0" w:space="0" w:color="auto"/>
        <w:left w:val="none" w:sz="0" w:space="0" w:color="auto"/>
        <w:bottom w:val="none" w:sz="0" w:space="0" w:color="auto"/>
        <w:right w:val="none" w:sz="0" w:space="0" w:color="auto"/>
      </w:divBdr>
    </w:div>
    <w:div w:id="2107650670">
      <w:marLeft w:val="0"/>
      <w:marRight w:val="0"/>
      <w:marTop w:val="180"/>
      <w:marBottom w:val="180"/>
      <w:divBdr>
        <w:top w:val="none" w:sz="0" w:space="0" w:color="auto"/>
        <w:left w:val="none" w:sz="0" w:space="0" w:color="auto"/>
        <w:bottom w:val="none" w:sz="0" w:space="0" w:color="auto"/>
        <w:right w:val="none" w:sz="0" w:space="0" w:color="auto"/>
      </w:divBdr>
    </w:div>
    <w:div w:id="2108428778">
      <w:marLeft w:val="0"/>
      <w:marRight w:val="0"/>
      <w:marTop w:val="180"/>
      <w:marBottom w:val="180"/>
      <w:divBdr>
        <w:top w:val="none" w:sz="0" w:space="0" w:color="auto"/>
        <w:left w:val="none" w:sz="0" w:space="0" w:color="auto"/>
        <w:bottom w:val="none" w:sz="0" w:space="0" w:color="auto"/>
        <w:right w:val="none" w:sz="0" w:space="0" w:color="auto"/>
      </w:divBdr>
      <w:divsChild>
        <w:div w:id="1427069979">
          <w:marLeft w:val="0"/>
          <w:marRight w:val="0"/>
          <w:marTop w:val="0"/>
          <w:marBottom w:val="0"/>
          <w:divBdr>
            <w:top w:val="none" w:sz="0" w:space="0" w:color="auto"/>
            <w:left w:val="none" w:sz="0" w:space="0" w:color="auto"/>
            <w:bottom w:val="none" w:sz="0" w:space="0" w:color="auto"/>
            <w:right w:val="none" w:sz="0" w:space="0" w:color="auto"/>
          </w:divBdr>
        </w:div>
        <w:div w:id="595288477">
          <w:marLeft w:val="0"/>
          <w:marRight w:val="0"/>
          <w:marTop w:val="0"/>
          <w:marBottom w:val="0"/>
          <w:divBdr>
            <w:top w:val="none" w:sz="0" w:space="0" w:color="auto"/>
            <w:left w:val="none" w:sz="0" w:space="0" w:color="auto"/>
            <w:bottom w:val="none" w:sz="0" w:space="0" w:color="auto"/>
            <w:right w:val="none" w:sz="0" w:space="0" w:color="auto"/>
          </w:divBdr>
        </w:div>
      </w:divsChild>
    </w:div>
    <w:div w:id="2109351535">
      <w:marLeft w:val="0"/>
      <w:marRight w:val="0"/>
      <w:marTop w:val="180"/>
      <w:marBottom w:val="60"/>
      <w:divBdr>
        <w:top w:val="none" w:sz="0" w:space="0" w:color="auto"/>
        <w:left w:val="none" w:sz="0" w:space="0" w:color="auto"/>
        <w:bottom w:val="none" w:sz="0" w:space="0" w:color="auto"/>
        <w:right w:val="none" w:sz="0" w:space="0" w:color="auto"/>
      </w:divBdr>
    </w:div>
    <w:div w:id="2110661177">
      <w:marLeft w:val="0"/>
      <w:marRight w:val="0"/>
      <w:marTop w:val="180"/>
      <w:marBottom w:val="180"/>
      <w:divBdr>
        <w:top w:val="none" w:sz="0" w:space="0" w:color="auto"/>
        <w:left w:val="none" w:sz="0" w:space="0" w:color="auto"/>
        <w:bottom w:val="none" w:sz="0" w:space="0" w:color="auto"/>
        <w:right w:val="none" w:sz="0" w:space="0" w:color="auto"/>
      </w:divBdr>
    </w:div>
    <w:div w:id="2111974965">
      <w:marLeft w:val="0"/>
      <w:marRight w:val="0"/>
      <w:marTop w:val="180"/>
      <w:marBottom w:val="180"/>
      <w:divBdr>
        <w:top w:val="none" w:sz="0" w:space="0" w:color="auto"/>
        <w:left w:val="none" w:sz="0" w:space="0" w:color="auto"/>
        <w:bottom w:val="none" w:sz="0" w:space="0" w:color="auto"/>
        <w:right w:val="none" w:sz="0" w:space="0" w:color="auto"/>
      </w:divBdr>
    </w:div>
    <w:div w:id="2112164094">
      <w:marLeft w:val="0"/>
      <w:marRight w:val="0"/>
      <w:marTop w:val="180"/>
      <w:marBottom w:val="180"/>
      <w:divBdr>
        <w:top w:val="none" w:sz="0" w:space="0" w:color="auto"/>
        <w:left w:val="none" w:sz="0" w:space="0" w:color="auto"/>
        <w:bottom w:val="none" w:sz="0" w:space="0" w:color="auto"/>
        <w:right w:val="none" w:sz="0" w:space="0" w:color="auto"/>
      </w:divBdr>
    </w:div>
    <w:div w:id="2113738964">
      <w:marLeft w:val="0"/>
      <w:marRight w:val="0"/>
      <w:marTop w:val="180"/>
      <w:marBottom w:val="180"/>
      <w:divBdr>
        <w:top w:val="none" w:sz="0" w:space="0" w:color="auto"/>
        <w:left w:val="none" w:sz="0" w:space="0" w:color="auto"/>
        <w:bottom w:val="none" w:sz="0" w:space="0" w:color="auto"/>
        <w:right w:val="none" w:sz="0" w:space="0" w:color="auto"/>
      </w:divBdr>
    </w:div>
    <w:div w:id="2114280392">
      <w:marLeft w:val="0"/>
      <w:marRight w:val="0"/>
      <w:marTop w:val="180"/>
      <w:marBottom w:val="60"/>
      <w:divBdr>
        <w:top w:val="none" w:sz="0" w:space="0" w:color="auto"/>
        <w:left w:val="none" w:sz="0" w:space="0" w:color="auto"/>
        <w:bottom w:val="none" w:sz="0" w:space="0" w:color="auto"/>
        <w:right w:val="none" w:sz="0" w:space="0" w:color="auto"/>
      </w:divBdr>
    </w:div>
    <w:div w:id="2115396521">
      <w:marLeft w:val="0"/>
      <w:marRight w:val="0"/>
      <w:marTop w:val="0"/>
      <w:marBottom w:val="0"/>
      <w:divBdr>
        <w:top w:val="none" w:sz="0" w:space="0" w:color="auto"/>
        <w:left w:val="none" w:sz="0" w:space="0" w:color="auto"/>
        <w:bottom w:val="none" w:sz="0" w:space="0" w:color="auto"/>
        <w:right w:val="none" w:sz="0" w:space="0" w:color="auto"/>
      </w:divBdr>
      <w:divsChild>
        <w:div w:id="1566724165">
          <w:marLeft w:val="0"/>
          <w:marRight w:val="0"/>
          <w:marTop w:val="0"/>
          <w:marBottom w:val="0"/>
          <w:divBdr>
            <w:top w:val="none" w:sz="0" w:space="0" w:color="auto"/>
            <w:left w:val="none" w:sz="0" w:space="0" w:color="auto"/>
            <w:bottom w:val="none" w:sz="0" w:space="0" w:color="auto"/>
            <w:right w:val="none" w:sz="0" w:space="0" w:color="auto"/>
          </w:divBdr>
          <w:divsChild>
            <w:div w:id="162523693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115518425">
      <w:marLeft w:val="0"/>
      <w:marRight w:val="0"/>
      <w:marTop w:val="180"/>
      <w:marBottom w:val="180"/>
      <w:divBdr>
        <w:top w:val="none" w:sz="0" w:space="0" w:color="auto"/>
        <w:left w:val="none" w:sz="0" w:space="0" w:color="auto"/>
        <w:bottom w:val="none" w:sz="0" w:space="0" w:color="auto"/>
        <w:right w:val="none" w:sz="0" w:space="0" w:color="auto"/>
      </w:divBdr>
    </w:div>
    <w:div w:id="2116633845">
      <w:marLeft w:val="0"/>
      <w:marRight w:val="0"/>
      <w:marTop w:val="0"/>
      <w:marBottom w:val="0"/>
      <w:divBdr>
        <w:top w:val="none" w:sz="0" w:space="0" w:color="auto"/>
        <w:left w:val="none" w:sz="0" w:space="0" w:color="auto"/>
        <w:bottom w:val="none" w:sz="0" w:space="0" w:color="auto"/>
        <w:right w:val="none" w:sz="0" w:space="0" w:color="auto"/>
      </w:divBdr>
    </w:div>
    <w:div w:id="2117362015">
      <w:marLeft w:val="0"/>
      <w:marRight w:val="0"/>
      <w:marTop w:val="180"/>
      <w:marBottom w:val="180"/>
      <w:divBdr>
        <w:top w:val="none" w:sz="0" w:space="0" w:color="auto"/>
        <w:left w:val="none" w:sz="0" w:space="0" w:color="auto"/>
        <w:bottom w:val="none" w:sz="0" w:space="0" w:color="auto"/>
        <w:right w:val="none" w:sz="0" w:space="0" w:color="auto"/>
      </w:divBdr>
    </w:div>
    <w:div w:id="2117552862">
      <w:marLeft w:val="0"/>
      <w:marRight w:val="0"/>
      <w:marTop w:val="180"/>
      <w:marBottom w:val="180"/>
      <w:divBdr>
        <w:top w:val="none" w:sz="0" w:space="0" w:color="auto"/>
        <w:left w:val="none" w:sz="0" w:space="0" w:color="auto"/>
        <w:bottom w:val="none" w:sz="0" w:space="0" w:color="auto"/>
        <w:right w:val="none" w:sz="0" w:space="0" w:color="auto"/>
      </w:divBdr>
    </w:div>
    <w:div w:id="2118983067">
      <w:marLeft w:val="0"/>
      <w:marRight w:val="0"/>
      <w:marTop w:val="180"/>
      <w:marBottom w:val="60"/>
      <w:divBdr>
        <w:top w:val="none" w:sz="0" w:space="0" w:color="auto"/>
        <w:left w:val="none" w:sz="0" w:space="0" w:color="auto"/>
        <w:bottom w:val="none" w:sz="0" w:space="0" w:color="auto"/>
        <w:right w:val="none" w:sz="0" w:space="0" w:color="auto"/>
      </w:divBdr>
    </w:div>
    <w:div w:id="2119718967">
      <w:marLeft w:val="0"/>
      <w:marRight w:val="0"/>
      <w:marTop w:val="180"/>
      <w:marBottom w:val="180"/>
      <w:divBdr>
        <w:top w:val="none" w:sz="0" w:space="0" w:color="auto"/>
        <w:left w:val="none" w:sz="0" w:space="0" w:color="auto"/>
        <w:bottom w:val="none" w:sz="0" w:space="0" w:color="auto"/>
        <w:right w:val="none" w:sz="0" w:space="0" w:color="auto"/>
      </w:divBdr>
    </w:div>
    <w:div w:id="2121564071">
      <w:marLeft w:val="0"/>
      <w:marRight w:val="0"/>
      <w:marTop w:val="180"/>
      <w:marBottom w:val="180"/>
      <w:divBdr>
        <w:top w:val="none" w:sz="0" w:space="0" w:color="auto"/>
        <w:left w:val="none" w:sz="0" w:space="0" w:color="auto"/>
        <w:bottom w:val="none" w:sz="0" w:space="0" w:color="auto"/>
        <w:right w:val="none" w:sz="0" w:space="0" w:color="auto"/>
      </w:divBdr>
    </w:div>
    <w:div w:id="2121676698">
      <w:marLeft w:val="0"/>
      <w:marRight w:val="0"/>
      <w:marTop w:val="180"/>
      <w:marBottom w:val="180"/>
      <w:divBdr>
        <w:top w:val="none" w:sz="0" w:space="0" w:color="auto"/>
        <w:left w:val="none" w:sz="0" w:space="0" w:color="auto"/>
        <w:bottom w:val="none" w:sz="0" w:space="0" w:color="auto"/>
        <w:right w:val="none" w:sz="0" w:space="0" w:color="auto"/>
      </w:divBdr>
    </w:div>
    <w:div w:id="2122648720">
      <w:marLeft w:val="0"/>
      <w:marRight w:val="0"/>
      <w:marTop w:val="180"/>
      <w:marBottom w:val="180"/>
      <w:divBdr>
        <w:top w:val="none" w:sz="0" w:space="0" w:color="auto"/>
        <w:left w:val="none" w:sz="0" w:space="0" w:color="auto"/>
        <w:bottom w:val="none" w:sz="0" w:space="0" w:color="auto"/>
        <w:right w:val="none" w:sz="0" w:space="0" w:color="auto"/>
      </w:divBdr>
    </w:div>
    <w:div w:id="2122650001">
      <w:marLeft w:val="0"/>
      <w:marRight w:val="0"/>
      <w:marTop w:val="180"/>
      <w:marBottom w:val="180"/>
      <w:divBdr>
        <w:top w:val="none" w:sz="0" w:space="0" w:color="auto"/>
        <w:left w:val="none" w:sz="0" w:space="0" w:color="auto"/>
        <w:bottom w:val="none" w:sz="0" w:space="0" w:color="auto"/>
        <w:right w:val="none" w:sz="0" w:space="0" w:color="auto"/>
      </w:divBdr>
    </w:div>
    <w:div w:id="2124374537">
      <w:marLeft w:val="0"/>
      <w:marRight w:val="0"/>
      <w:marTop w:val="180"/>
      <w:marBottom w:val="180"/>
      <w:divBdr>
        <w:top w:val="none" w:sz="0" w:space="0" w:color="auto"/>
        <w:left w:val="none" w:sz="0" w:space="0" w:color="auto"/>
        <w:bottom w:val="none" w:sz="0" w:space="0" w:color="auto"/>
        <w:right w:val="none" w:sz="0" w:space="0" w:color="auto"/>
      </w:divBdr>
    </w:div>
    <w:div w:id="2124879155">
      <w:marLeft w:val="0"/>
      <w:marRight w:val="0"/>
      <w:marTop w:val="60"/>
      <w:marBottom w:val="0"/>
      <w:divBdr>
        <w:top w:val="none" w:sz="0" w:space="0" w:color="auto"/>
        <w:left w:val="none" w:sz="0" w:space="0" w:color="auto"/>
        <w:bottom w:val="none" w:sz="0" w:space="0" w:color="auto"/>
        <w:right w:val="none" w:sz="0" w:space="0" w:color="auto"/>
      </w:divBdr>
    </w:div>
    <w:div w:id="2124883835">
      <w:marLeft w:val="0"/>
      <w:marRight w:val="0"/>
      <w:marTop w:val="100"/>
      <w:marBottom w:val="0"/>
      <w:divBdr>
        <w:top w:val="none" w:sz="0" w:space="0" w:color="auto"/>
        <w:left w:val="none" w:sz="0" w:space="0" w:color="auto"/>
        <w:bottom w:val="none" w:sz="0" w:space="0" w:color="auto"/>
        <w:right w:val="none" w:sz="0" w:space="0" w:color="auto"/>
      </w:divBdr>
    </w:div>
    <w:div w:id="2125418019">
      <w:marLeft w:val="0"/>
      <w:marRight w:val="0"/>
      <w:marTop w:val="180"/>
      <w:marBottom w:val="180"/>
      <w:divBdr>
        <w:top w:val="none" w:sz="0" w:space="0" w:color="auto"/>
        <w:left w:val="none" w:sz="0" w:space="0" w:color="auto"/>
        <w:bottom w:val="none" w:sz="0" w:space="0" w:color="auto"/>
        <w:right w:val="none" w:sz="0" w:space="0" w:color="auto"/>
      </w:divBdr>
    </w:div>
    <w:div w:id="2125924776">
      <w:marLeft w:val="0"/>
      <w:marRight w:val="0"/>
      <w:marTop w:val="180"/>
      <w:marBottom w:val="180"/>
      <w:divBdr>
        <w:top w:val="none" w:sz="0" w:space="0" w:color="auto"/>
        <w:left w:val="none" w:sz="0" w:space="0" w:color="auto"/>
        <w:bottom w:val="none" w:sz="0" w:space="0" w:color="auto"/>
        <w:right w:val="none" w:sz="0" w:space="0" w:color="auto"/>
      </w:divBdr>
    </w:div>
    <w:div w:id="2126386459">
      <w:marLeft w:val="0"/>
      <w:marRight w:val="0"/>
      <w:marTop w:val="180"/>
      <w:marBottom w:val="180"/>
      <w:divBdr>
        <w:top w:val="none" w:sz="0" w:space="0" w:color="auto"/>
        <w:left w:val="none" w:sz="0" w:space="0" w:color="auto"/>
        <w:bottom w:val="none" w:sz="0" w:space="0" w:color="auto"/>
        <w:right w:val="none" w:sz="0" w:space="0" w:color="auto"/>
      </w:divBdr>
    </w:div>
    <w:div w:id="2128504790">
      <w:marLeft w:val="0"/>
      <w:marRight w:val="0"/>
      <w:marTop w:val="0"/>
      <w:marBottom w:val="0"/>
      <w:divBdr>
        <w:top w:val="none" w:sz="0" w:space="0" w:color="auto"/>
        <w:left w:val="none" w:sz="0" w:space="0" w:color="auto"/>
        <w:bottom w:val="none" w:sz="0" w:space="0" w:color="auto"/>
        <w:right w:val="none" w:sz="0" w:space="0" w:color="auto"/>
      </w:divBdr>
      <w:divsChild>
        <w:div w:id="322004078">
          <w:marLeft w:val="0"/>
          <w:marRight w:val="0"/>
          <w:marTop w:val="180"/>
          <w:marBottom w:val="180"/>
          <w:divBdr>
            <w:top w:val="none" w:sz="0" w:space="0" w:color="auto"/>
            <w:left w:val="none" w:sz="0" w:space="0" w:color="auto"/>
            <w:bottom w:val="none" w:sz="0" w:space="0" w:color="auto"/>
            <w:right w:val="none" w:sz="0" w:space="0" w:color="auto"/>
          </w:divBdr>
        </w:div>
      </w:divsChild>
    </w:div>
    <w:div w:id="2129229705">
      <w:marLeft w:val="0"/>
      <w:marRight w:val="0"/>
      <w:marTop w:val="180"/>
      <w:marBottom w:val="180"/>
      <w:divBdr>
        <w:top w:val="none" w:sz="0" w:space="0" w:color="auto"/>
        <w:left w:val="none" w:sz="0" w:space="0" w:color="auto"/>
        <w:bottom w:val="none" w:sz="0" w:space="0" w:color="auto"/>
        <w:right w:val="none" w:sz="0" w:space="0" w:color="auto"/>
      </w:divBdr>
    </w:div>
    <w:div w:id="2130124939">
      <w:marLeft w:val="0"/>
      <w:marRight w:val="0"/>
      <w:marTop w:val="0"/>
      <w:marBottom w:val="0"/>
      <w:divBdr>
        <w:top w:val="none" w:sz="0" w:space="0" w:color="auto"/>
        <w:left w:val="none" w:sz="0" w:space="0" w:color="auto"/>
        <w:bottom w:val="none" w:sz="0" w:space="0" w:color="auto"/>
        <w:right w:val="none" w:sz="0" w:space="0" w:color="auto"/>
      </w:divBdr>
      <w:divsChild>
        <w:div w:id="1613122168">
          <w:marLeft w:val="0"/>
          <w:marRight w:val="0"/>
          <w:marTop w:val="0"/>
          <w:marBottom w:val="0"/>
          <w:divBdr>
            <w:top w:val="none" w:sz="0" w:space="0" w:color="auto"/>
            <w:left w:val="none" w:sz="0" w:space="0" w:color="auto"/>
            <w:bottom w:val="none" w:sz="0" w:space="0" w:color="auto"/>
            <w:right w:val="none" w:sz="0" w:space="0" w:color="auto"/>
          </w:divBdr>
          <w:divsChild>
            <w:div w:id="32370972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31624212">
      <w:marLeft w:val="0"/>
      <w:marRight w:val="0"/>
      <w:marTop w:val="180"/>
      <w:marBottom w:val="180"/>
      <w:divBdr>
        <w:top w:val="none" w:sz="0" w:space="0" w:color="auto"/>
        <w:left w:val="none" w:sz="0" w:space="0" w:color="auto"/>
        <w:bottom w:val="none" w:sz="0" w:space="0" w:color="auto"/>
        <w:right w:val="none" w:sz="0" w:space="0" w:color="auto"/>
      </w:divBdr>
    </w:div>
    <w:div w:id="2131629989">
      <w:marLeft w:val="0"/>
      <w:marRight w:val="0"/>
      <w:marTop w:val="60"/>
      <w:marBottom w:val="60"/>
      <w:divBdr>
        <w:top w:val="none" w:sz="0" w:space="0" w:color="auto"/>
        <w:left w:val="none" w:sz="0" w:space="0" w:color="auto"/>
        <w:bottom w:val="none" w:sz="0" w:space="0" w:color="auto"/>
        <w:right w:val="none" w:sz="0" w:space="0" w:color="auto"/>
      </w:divBdr>
    </w:div>
    <w:div w:id="2133282792">
      <w:marLeft w:val="0"/>
      <w:marRight w:val="0"/>
      <w:marTop w:val="180"/>
      <w:marBottom w:val="180"/>
      <w:divBdr>
        <w:top w:val="none" w:sz="0" w:space="0" w:color="auto"/>
        <w:left w:val="none" w:sz="0" w:space="0" w:color="auto"/>
        <w:bottom w:val="none" w:sz="0" w:space="0" w:color="auto"/>
        <w:right w:val="none" w:sz="0" w:space="0" w:color="auto"/>
      </w:divBdr>
    </w:div>
    <w:div w:id="2135556587">
      <w:marLeft w:val="0"/>
      <w:marRight w:val="0"/>
      <w:marTop w:val="180"/>
      <w:marBottom w:val="180"/>
      <w:divBdr>
        <w:top w:val="none" w:sz="0" w:space="0" w:color="auto"/>
        <w:left w:val="none" w:sz="0" w:space="0" w:color="auto"/>
        <w:bottom w:val="none" w:sz="0" w:space="0" w:color="auto"/>
        <w:right w:val="none" w:sz="0" w:space="0" w:color="auto"/>
      </w:divBdr>
    </w:div>
    <w:div w:id="2136408139">
      <w:marLeft w:val="0"/>
      <w:marRight w:val="0"/>
      <w:marTop w:val="0"/>
      <w:marBottom w:val="0"/>
      <w:divBdr>
        <w:top w:val="none" w:sz="0" w:space="0" w:color="auto"/>
        <w:left w:val="none" w:sz="0" w:space="0" w:color="auto"/>
        <w:bottom w:val="none" w:sz="0" w:space="0" w:color="auto"/>
        <w:right w:val="none" w:sz="0" w:space="0" w:color="auto"/>
      </w:divBdr>
      <w:divsChild>
        <w:div w:id="296572163">
          <w:marLeft w:val="0"/>
          <w:marRight w:val="0"/>
          <w:marTop w:val="60"/>
          <w:marBottom w:val="180"/>
          <w:divBdr>
            <w:top w:val="none" w:sz="0" w:space="0" w:color="auto"/>
            <w:left w:val="none" w:sz="0" w:space="0" w:color="auto"/>
            <w:bottom w:val="none" w:sz="0" w:space="0" w:color="auto"/>
            <w:right w:val="none" w:sz="0" w:space="0" w:color="auto"/>
          </w:divBdr>
        </w:div>
      </w:divsChild>
    </w:div>
    <w:div w:id="2136827328">
      <w:marLeft w:val="0"/>
      <w:marRight w:val="0"/>
      <w:marTop w:val="0"/>
      <w:marBottom w:val="0"/>
      <w:divBdr>
        <w:top w:val="none" w:sz="0" w:space="0" w:color="auto"/>
        <w:left w:val="none" w:sz="0" w:space="0" w:color="auto"/>
        <w:bottom w:val="none" w:sz="0" w:space="0" w:color="auto"/>
        <w:right w:val="none" w:sz="0" w:space="0" w:color="auto"/>
      </w:divBdr>
      <w:divsChild>
        <w:div w:id="1470902392">
          <w:marLeft w:val="0"/>
          <w:marRight w:val="0"/>
          <w:marTop w:val="0"/>
          <w:marBottom w:val="0"/>
          <w:divBdr>
            <w:top w:val="none" w:sz="0" w:space="0" w:color="auto"/>
            <w:left w:val="none" w:sz="0" w:space="0" w:color="auto"/>
            <w:bottom w:val="none" w:sz="0" w:space="0" w:color="auto"/>
            <w:right w:val="none" w:sz="0" w:space="0" w:color="auto"/>
          </w:divBdr>
          <w:divsChild>
            <w:div w:id="200076383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137288064">
      <w:marLeft w:val="0"/>
      <w:marRight w:val="0"/>
      <w:marTop w:val="180"/>
      <w:marBottom w:val="180"/>
      <w:divBdr>
        <w:top w:val="none" w:sz="0" w:space="0" w:color="auto"/>
        <w:left w:val="none" w:sz="0" w:space="0" w:color="auto"/>
        <w:bottom w:val="none" w:sz="0" w:space="0" w:color="auto"/>
        <w:right w:val="none" w:sz="0" w:space="0" w:color="auto"/>
      </w:divBdr>
    </w:div>
    <w:div w:id="2137946919">
      <w:marLeft w:val="0"/>
      <w:marRight w:val="0"/>
      <w:marTop w:val="0"/>
      <w:marBottom w:val="0"/>
      <w:divBdr>
        <w:top w:val="none" w:sz="0" w:space="0" w:color="auto"/>
        <w:left w:val="none" w:sz="0" w:space="0" w:color="auto"/>
        <w:bottom w:val="none" w:sz="0" w:space="0" w:color="auto"/>
        <w:right w:val="none" w:sz="0" w:space="0" w:color="auto"/>
      </w:divBdr>
      <w:divsChild>
        <w:div w:id="481040282">
          <w:marLeft w:val="0"/>
          <w:marRight w:val="0"/>
          <w:marTop w:val="60"/>
          <w:marBottom w:val="180"/>
          <w:divBdr>
            <w:top w:val="none" w:sz="0" w:space="0" w:color="auto"/>
            <w:left w:val="none" w:sz="0" w:space="0" w:color="auto"/>
            <w:bottom w:val="none" w:sz="0" w:space="0" w:color="auto"/>
            <w:right w:val="none" w:sz="0" w:space="0" w:color="auto"/>
          </w:divBdr>
        </w:div>
      </w:divsChild>
    </w:div>
    <w:div w:id="2138179357">
      <w:marLeft w:val="0"/>
      <w:marRight w:val="0"/>
      <w:marTop w:val="180"/>
      <w:marBottom w:val="180"/>
      <w:divBdr>
        <w:top w:val="none" w:sz="0" w:space="0" w:color="auto"/>
        <w:left w:val="none" w:sz="0" w:space="0" w:color="auto"/>
        <w:bottom w:val="none" w:sz="0" w:space="0" w:color="auto"/>
        <w:right w:val="none" w:sz="0" w:space="0" w:color="auto"/>
      </w:divBdr>
    </w:div>
    <w:div w:id="2138377288">
      <w:marLeft w:val="0"/>
      <w:marRight w:val="0"/>
      <w:marTop w:val="60"/>
      <w:marBottom w:val="60"/>
      <w:divBdr>
        <w:top w:val="none" w:sz="0" w:space="0" w:color="auto"/>
        <w:left w:val="none" w:sz="0" w:space="0" w:color="auto"/>
        <w:bottom w:val="none" w:sz="0" w:space="0" w:color="auto"/>
        <w:right w:val="none" w:sz="0" w:space="0" w:color="auto"/>
      </w:divBdr>
    </w:div>
    <w:div w:id="2140613261">
      <w:marLeft w:val="0"/>
      <w:marRight w:val="0"/>
      <w:marTop w:val="180"/>
      <w:marBottom w:val="180"/>
      <w:divBdr>
        <w:top w:val="none" w:sz="0" w:space="0" w:color="auto"/>
        <w:left w:val="none" w:sz="0" w:space="0" w:color="auto"/>
        <w:bottom w:val="none" w:sz="0" w:space="0" w:color="auto"/>
        <w:right w:val="none" w:sz="0" w:space="0" w:color="auto"/>
      </w:divBdr>
    </w:div>
    <w:div w:id="2142454433">
      <w:marLeft w:val="0"/>
      <w:marRight w:val="0"/>
      <w:marTop w:val="180"/>
      <w:marBottom w:val="180"/>
      <w:divBdr>
        <w:top w:val="none" w:sz="0" w:space="0" w:color="auto"/>
        <w:left w:val="none" w:sz="0" w:space="0" w:color="auto"/>
        <w:bottom w:val="none" w:sz="0" w:space="0" w:color="auto"/>
        <w:right w:val="none" w:sz="0" w:space="0" w:color="auto"/>
      </w:divBdr>
    </w:div>
    <w:div w:id="2142458481">
      <w:marLeft w:val="0"/>
      <w:marRight w:val="0"/>
      <w:marTop w:val="0"/>
      <w:marBottom w:val="0"/>
      <w:divBdr>
        <w:top w:val="none" w:sz="0" w:space="0" w:color="auto"/>
        <w:left w:val="none" w:sz="0" w:space="0" w:color="auto"/>
        <w:bottom w:val="none" w:sz="0" w:space="0" w:color="auto"/>
        <w:right w:val="none" w:sz="0" w:space="0" w:color="auto"/>
      </w:divBdr>
      <w:divsChild>
        <w:div w:id="1665619750">
          <w:marLeft w:val="0"/>
          <w:marRight w:val="0"/>
          <w:marTop w:val="0"/>
          <w:marBottom w:val="0"/>
          <w:divBdr>
            <w:top w:val="none" w:sz="0" w:space="0" w:color="auto"/>
            <w:left w:val="none" w:sz="0" w:space="0" w:color="auto"/>
            <w:bottom w:val="none" w:sz="0" w:space="0" w:color="auto"/>
            <w:right w:val="none" w:sz="0" w:space="0" w:color="auto"/>
          </w:divBdr>
          <w:divsChild>
            <w:div w:id="142183038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143424506">
      <w:marLeft w:val="0"/>
      <w:marRight w:val="0"/>
      <w:marTop w:val="180"/>
      <w:marBottom w:val="60"/>
      <w:divBdr>
        <w:top w:val="none" w:sz="0" w:space="0" w:color="auto"/>
        <w:left w:val="none" w:sz="0" w:space="0" w:color="auto"/>
        <w:bottom w:val="none" w:sz="0" w:space="0" w:color="auto"/>
        <w:right w:val="none" w:sz="0" w:space="0" w:color="auto"/>
      </w:divBdr>
    </w:div>
    <w:div w:id="2143577791">
      <w:marLeft w:val="0"/>
      <w:marRight w:val="0"/>
      <w:marTop w:val="0"/>
      <w:marBottom w:val="0"/>
      <w:divBdr>
        <w:top w:val="none" w:sz="0" w:space="0" w:color="auto"/>
        <w:left w:val="none" w:sz="0" w:space="0" w:color="auto"/>
        <w:bottom w:val="none" w:sz="0" w:space="0" w:color="auto"/>
        <w:right w:val="none" w:sz="0" w:space="0" w:color="auto"/>
      </w:divBdr>
    </w:div>
    <w:div w:id="2144423530">
      <w:marLeft w:val="0"/>
      <w:marRight w:val="0"/>
      <w:marTop w:val="180"/>
      <w:marBottom w:val="180"/>
      <w:divBdr>
        <w:top w:val="none" w:sz="0" w:space="0" w:color="auto"/>
        <w:left w:val="none" w:sz="0" w:space="0" w:color="auto"/>
        <w:bottom w:val="none" w:sz="0" w:space="0" w:color="auto"/>
        <w:right w:val="none" w:sz="0" w:space="0" w:color="auto"/>
      </w:divBdr>
    </w:div>
    <w:div w:id="2146046366">
      <w:marLeft w:val="0"/>
      <w:marRight w:val="0"/>
      <w:marTop w:val="180"/>
      <w:marBottom w:val="180"/>
      <w:divBdr>
        <w:top w:val="none" w:sz="0" w:space="0" w:color="auto"/>
        <w:left w:val="none" w:sz="0" w:space="0" w:color="auto"/>
        <w:bottom w:val="none" w:sz="0" w:space="0" w:color="auto"/>
        <w:right w:val="none" w:sz="0" w:space="0" w:color="auto"/>
      </w:divBdr>
    </w:div>
    <w:div w:id="2147241440">
      <w:marLeft w:val="0"/>
      <w:marRight w:val="0"/>
      <w:marTop w:val="0"/>
      <w:marBottom w:val="15"/>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ec.gov/Archives/edgar/data/927628/000119312519243010/d766839dex41.htm" TargetMode="External"/><Relationship Id="rId117" Type="http://schemas.openxmlformats.org/officeDocument/2006/relationships/hyperlink" Target="cof-12312022x10kxex23.htm" TargetMode="External"/><Relationship Id="rId21" Type="http://schemas.openxmlformats.org/officeDocument/2006/relationships/hyperlink" Target="https://www.sec.gov/Archives/edgar/data/927628/000119312519243010/d766839dex41.htm" TargetMode="External"/><Relationship Id="rId42" Type="http://schemas.openxmlformats.org/officeDocument/2006/relationships/hyperlink" Target="https://www.sec.gov/Archives/edgar/data/927628/000092762815000026/cof-12312014x10xkxex10214.htm" TargetMode="External"/><Relationship Id="rId47" Type="http://schemas.openxmlformats.org/officeDocument/2006/relationships/hyperlink" Target="https://www.sec.gov/Archives/edgar/data/927628/000092762816000140/cof-12312015x10xkxex10217.htm" TargetMode="External"/><Relationship Id="rId63" Type="http://schemas.openxmlformats.org/officeDocument/2006/relationships/hyperlink" Target="https://www.sec.gov/Archives/edgar/data/0000927628/000092762821000094/cof-12312020x10kxex10225.htm" TargetMode="External"/><Relationship Id="rId68" Type="http://schemas.openxmlformats.org/officeDocument/2006/relationships/hyperlink" Target="https://www.sec.gov/Archives/edgar/data/0000927628/000092762821000094/cof-12312020x10kxex10226.htm" TargetMode="External"/><Relationship Id="rId84" Type="http://schemas.openxmlformats.org/officeDocument/2006/relationships/hyperlink" Target="cof12312022-10kxex10223.htm" TargetMode="External"/><Relationship Id="rId89" Type="http://schemas.openxmlformats.org/officeDocument/2006/relationships/hyperlink" Target="cof-12312022x10kxex10228.htm" TargetMode="External"/><Relationship Id="rId112" Type="http://schemas.openxmlformats.org/officeDocument/2006/relationships/hyperlink" Target="https://www.sec.gov/Archives/edgar/data/927628/000119312514073467/d637300dex1073.htm" TargetMode="External"/><Relationship Id="rId16" Type="http://schemas.openxmlformats.org/officeDocument/2006/relationships/hyperlink" Target="https://www.sec.gov/Archives/edgar/data/927628/000119312519243010/d766839dex41.htm" TargetMode="External"/><Relationship Id="rId107" Type="http://schemas.openxmlformats.org/officeDocument/2006/relationships/hyperlink" Target="https://www.sec.gov/Archives/edgar/data/927628/000119312512086138/d258810dex106.htm" TargetMode="External"/><Relationship Id="rId11" Type="http://schemas.openxmlformats.org/officeDocument/2006/relationships/hyperlink" Target="https://www.sec.gov/Archives/edgar/data/0000927628/000095010321008647/dp152438_ex0301.htm" TargetMode="External"/><Relationship Id="rId32" Type="http://schemas.openxmlformats.org/officeDocument/2006/relationships/hyperlink" Target="https://www.sec.gov/Archives/edgar/data/927628/000119312520021345/d863354dex41.htm" TargetMode="External"/><Relationship Id="rId37" Type="http://schemas.openxmlformats.org/officeDocument/2006/relationships/hyperlink" Target="cof-12312022x10kxex43.htm" TargetMode="External"/><Relationship Id="rId53" Type="http://schemas.openxmlformats.org/officeDocument/2006/relationships/hyperlink" Target="https://www.sec.gov/Archives/edgar/data/927628/000092762820000102/cof-12312019x10kxex10223.htm" TargetMode="External"/><Relationship Id="rId58" Type="http://schemas.openxmlformats.org/officeDocument/2006/relationships/hyperlink" Target="https://www.sec.gov/Archives/edgar/data/927628/000092762820000102/cof-12312019x10kxex10224.htm" TargetMode="External"/><Relationship Id="rId74" Type="http://schemas.openxmlformats.org/officeDocument/2006/relationships/hyperlink" Target="https://www.sec.gov/Archives/edgar/data/927628/000092762822000106/cof-12312021x10kxex10213.htm" TargetMode="External"/><Relationship Id="rId79" Type="http://schemas.openxmlformats.org/officeDocument/2006/relationships/hyperlink" Target="https://www.sec.gov/Archives/edgar/data/927628/000092762822000106/cof-12312021x10kxex10214.htm" TargetMode="External"/><Relationship Id="rId102" Type="http://schemas.openxmlformats.org/officeDocument/2006/relationships/hyperlink" Target="https://www.sec.gov/Archives/edgar/data/927628/000092762822000246/cof-06302022x10qxex101.htm" TargetMode="External"/><Relationship Id="rId123" Type="http://schemas.openxmlformats.org/officeDocument/2006/relationships/theme" Target="theme/theme1.xml"/><Relationship Id="rId5" Type="http://schemas.openxmlformats.org/officeDocument/2006/relationships/hyperlink" Target="https://www.sec.gov/Archives/edgar/data/927628/000092762820000189/exhibit32restatedcerti.htm" TargetMode="External"/><Relationship Id="rId90" Type="http://schemas.openxmlformats.org/officeDocument/2006/relationships/hyperlink" Target="https://www.sec.gov/Archives/edgar/data/927628/000095013303000793/w83110exv10w4.txt" TargetMode="External"/><Relationship Id="rId95" Type="http://schemas.openxmlformats.org/officeDocument/2006/relationships/hyperlink" Target="https://www.sec.gov/Archives/edgar/data/927628/000092762822000246/cof-06302022x10qxex101.htm" TargetMode="External"/><Relationship Id="rId22" Type="http://schemas.openxmlformats.org/officeDocument/2006/relationships/hyperlink" Target="https://www.sec.gov/Archives/edgar/data/927628/000119312519243010/d766839dex41.htm" TargetMode="External"/><Relationship Id="rId27" Type="http://schemas.openxmlformats.org/officeDocument/2006/relationships/hyperlink" Target="https://www.sec.gov/Archives/edgar/data/927628/000119312519243010/d766839dex41.htm" TargetMode="External"/><Relationship Id="rId43" Type="http://schemas.openxmlformats.org/officeDocument/2006/relationships/hyperlink" Target="https://www.sec.gov/Archives/edgar/data/927628/000092762816000140/cof-12312015x10xkxex10217.htm" TargetMode="External"/><Relationship Id="rId48" Type="http://schemas.openxmlformats.org/officeDocument/2006/relationships/hyperlink" Target="https://www.sec.gov/Archives/edgar/data/927628/000092762817000115/cof-12312016x10kxex10219.htm" TargetMode="External"/><Relationship Id="rId64" Type="http://schemas.openxmlformats.org/officeDocument/2006/relationships/hyperlink" Target="https://www.sec.gov/Archives/edgar/data/0000927628/000092762821000094/cof-12312020x10kxex10226.htm" TargetMode="External"/><Relationship Id="rId69" Type="http://schemas.openxmlformats.org/officeDocument/2006/relationships/hyperlink" Target="https://www.sec.gov/Archives/edgar/data/0000927628/000092762821000094/cof-12312020x10kxex10227.htm" TargetMode="External"/><Relationship Id="rId113" Type="http://schemas.openxmlformats.org/officeDocument/2006/relationships/hyperlink" Target="https://www.sec.gov/Archives/edgar/data/927628/000119312514073467/d637300dex1073.htm" TargetMode="External"/><Relationship Id="rId118" Type="http://schemas.openxmlformats.org/officeDocument/2006/relationships/hyperlink" Target="cof-12312022x10qxex311.htm" TargetMode="External"/><Relationship Id="rId80" Type="http://schemas.openxmlformats.org/officeDocument/2006/relationships/hyperlink" Target="https://www.sec.gov/Archives/edgar/data/927628/000092762822000106/cof-12312021x10kxex10214.htm" TargetMode="External"/><Relationship Id="rId85" Type="http://schemas.openxmlformats.org/officeDocument/2006/relationships/hyperlink" Target="cof-12312022x10kxex10224.htm" TargetMode="External"/><Relationship Id="rId12" Type="http://schemas.openxmlformats.org/officeDocument/2006/relationships/hyperlink" Target="https://www.sec.gov/Archives/edgar/data/0000927628/000119312521229186/d205654dex31.htm" TargetMode="External"/><Relationship Id="rId17" Type="http://schemas.openxmlformats.org/officeDocument/2006/relationships/hyperlink" Target="https://www.sec.gov/Archives/edgar/data/927628/000119312519243010/d766839dex41.htm" TargetMode="External"/><Relationship Id="rId33" Type="http://schemas.openxmlformats.org/officeDocument/2006/relationships/hyperlink" Target="https://www.sec.gov/Archives/edgar/data/927628/000119312520021345/d863354dex41.htm" TargetMode="External"/><Relationship Id="rId38" Type="http://schemas.openxmlformats.org/officeDocument/2006/relationships/hyperlink" Target="https://www.sec.gov/Archives/edgar/data/0000927628/000092762821000177/exhibit101-sixthamendedand.htm" TargetMode="External"/><Relationship Id="rId59" Type="http://schemas.openxmlformats.org/officeDocument/2006/relationships/hyperlink" Target="https://www.sec.gov/Archives/edgar/data/927628/000092762820000102/cof-12312019x10kxex10224.htm" TargetMode="External"/><Relationship Id="rId103" Type="http://schemas.openxmlformats.org/officeDocument/2006/relationships/hyperlink" Target="https://www.sec.gov/Archives/edgar/data/927628/000092762815000106/cof-09302015x10qxex101.htm" TargetMode="External"/><Relationship Id="rId108" Type="http://schemas.openxmlformats.org/officeDocument/2006/relationships/hyperlink" Target="https://www.sec.gov/Archives/edgar/data/927628/000119312513084249/d447949dex1062.htm" TargetMode="External"/><Relationship Id="rId54" Type="http://schemas.openxmlformats.org/officeDocument/2006/relationships/hyperlink" Target="https://www.sec.gov/Archives/edgar/data/927628/000092762820000102/cof-12312019x10kxex10223.htm" TargetMode="External"/><Relationship Id="rId70" Type="http://schemas.openxmlformats.org/officeDocument/2006/relationships/hyperlink" Target="https://www.sec.gov/Archives/edgar/data/927628/000092762822000106/cof-12312021x10kxex10213.htm" TargetMode="External"/><Relationship Id="rId75" Type="http://schemas.openxmlformats.org/officeDocument/2006/relationships/hyperlink" Target="https://www.sec.gov/Archives/edgar/data/927628/000092762822000106/cof-12312021x10kxex10214.htm" TargetMode="External"/><Relationship Id="rId91" Type="http://schemas.openxmlformats.org/officeDocument/2006/relationships/hyperlink" Target="https://www.sec.gov/Archives/edgar/data/927628/000119312504182855/dex103.htm" TargetMode="External"/><Relationship Id="rId96" Type="http://schemas.openxmlformats.org/officeDocument/2006/relationships/hyperlink" Target="https://www.sec.gov/Archives/edgar/data/927628/000092762822000246/cof-06302022x10qxex101.htm" TargetMode="External"/><Relationship Id="rId1" Type="http://schemas.openxmlformats.org/officeDocument/2006/relationships/styles" Target="styles.xml"/><Relationship Id="rId6" Type="http://schemas.openxmlformats.org/officeDocument/2006/relationships/hyperlink" Target="https://www.sec.gov/Archives/edgar/data/0000927628/000092762821000285/exhibit31amendedandrestate.htm" TargetMode="External"/><Relationship Id="rId23" Type="http://schemas.openxmlformats.org/officeDocument/2006/relationships/hyperlink" Target="https://www.sec.gov/Archives/edgar/data/927628/000119312519243010/d766839dex41.htm" TargetMode="External"/><Relationship Id="rId28" Type="http://schemas.openxmlformats.org/officeDocument/2006/relationships/hyperlink" Target="https://www.sec.gov/Archives/edgar/data/927628/000119312519243010/d766839dex41.htm" TargetMode="External"/><Relationship Id="rId49" Type="http://schemas.openxmlformats.org/officeDocument/2006/relationships/hyperlink" Target="https://www.sec.gov/Archives/edgar/data/927628/000092762817000115/cof-12312016x10kxex10219.htm" TargetMode="External"/><Relationship Id="rId114" Type="http://schemas.openxmlformats.org/officeDocument/2006/relationships/hyperlink" Target="https://www.sec.gov/Archives/edgar/data/927628/000119312513084249/d447949dex109.htm" TargetMode="External"/><Relationship Id="rId119" Type="http://schemas.openxmlformats.org/officeDocument/2006/relationships/hyperlink" Target="cof-12312022x10qxex312.htm" TargetMode="External"/><Relationship Id="rId44" Type="http://schemas.openxmlformats.org/officeDocument/2006/relationships/hyperlink" Target="https://www.sec.gov/Archives/edgar/data/927628/000092762816000140/cof-12312015x10xkxex10217.htm" TargetMode="External"/><Relationship Id="rId60" Type="http://schemas.openxmlformats.org/officeDocument/2006/relationships/hyperlink" Target="https://www.sec.gov/Archives/edgar/data/0000927628/000092762821000094/cof-12312020x10kxex10225.htm" TargetMode="External"/><Relationship Id="rId65" Type="http://schemas.openxmlformats.org/officeDocument/2006/relationships/hyperlink" Target="https://www.sec.gov/Archives/edgar/data/0000927628/000092762821000094/cof-12312020x10kxex10226.htm" TargetMode="External"/><Relationship Id="rId81" Type="http://schemas.openxmlformats.org/officeDocument/2006/relationships/hyperlink" Target="https://www.sec.gov/Archives/edgar/data/927628/000092762822000106/cof-12312021x10kxex10215.htm" TargetMode="External"/><Relationship Id="rId86" Type="http://schemas.openxmlformats.org/officeDocument/2006/relationships/hyperlink" Target="cof-12312022x10kxex10225.htm" TargetMode="External"/><Relationship Id="rId4" Type="http://schemas.openxmlformats.org/officeDocument/2006/relationships/image" Target="file:///E:\projects\LLMs\new_data_collection\data_new\htm\CAPITAL%20ONE%20FINANCIAL%20CORP\cof-20221231_g1.jpg" TargetMode="External"/><Relationship Id="rId9" Type="http://schemas.openxmlformats.org/officeDocument/2006/relationships/hyperlink" Target="https://www.sec.gov/Archives/edgar/data/927628/000119312520248074/d72664dex31.htm" TargetMode="External"/><Relationship Id="rId13" Type="http://schemas.openxmlformats.org/officeDocument/2006/relationships/hyperlink" Target="https://www.sec.gov/Archives/edgar/data/927628/000119312504035097/dex41.htm" TargetMode="External"/><Relationship Id="rId18" Type="http://schemas.openxmlformats.org/officeDocument/2006/relationships/hyperlink" Target="https://www.sec.gov/Archives/edgar/data/927628/000119312519243010/d766839dex41.htm" TargetMode="External"/><Relationship Id="rId39" Type="http://schemas.openxmlformats.org/officeDocument/2006/relationships/hyperlink" Target="https://www.sec.gov/Archives/edgar/data/927628/000119312514073467/d637300dex10215.htm" TargetMode="External"/><Relationship Id="rId109" Type="http://schemas.openxmlformats.org/officeDocument/2006/relationships/hyperlink" Target="https://www.sec.gov/Archives/edgar/data/927628/000119312512086138/d258810dex1082.htm" TargetMode="External"/><Relationship Id="rId34" Type="http://schemas.openxmlformats.org/officeDocument/2006/relationships/hyperlink" Target="https://www.sec.gov/Archives/edgar/data/927628/000119312520248074/d72664dex41.htm" TargetMode="External"/><Relationship Id="rId50" Type="http://schemas.openxmlformats.org/officeDocument/2006/relationships/hyperlink" Target="https://www.sec.gov/Archives/edgar/data/927628/000092762817000115/cof-12312016x10kxex10219.htm" TargetMode="External"/><Relationship Id="rId55" Type="http://schemas.openxmlformats.org/officeDocument/2006/relationships/hyperlink" Target="https://www.sec.gov/Archives/edgar/data/927628/000092762820000102/cof-12312019x10kxex10223.htm" TargetMode="External"/><Relationship Id="rId76" Type="http://schemas.openxmlformats.org/officeDocument/2006/relationships/hyperlink" Target="https://www.sec.gov/Archives/edgar/data/927628/000092762822000106/cof-12312021x10kxex10214.htm" TargetMode="External"/><Relationship Id="rId97" Type="http://schemas.openxmlformats.org/officeDocument/2006/relationships/hyperlink" Target="https://www.sec.gov/Archives/edgar/data/927628/000092762822000246/cof-06302022x10qxex101.htm" TargetMode="External"/><Relationship Id="rId104" Type="http://schemas.openxmlformats.org/officeDocument/2006/relationships/hyperlink" Target="cof-12312022x10kxex1042.htm" TargetMode="External"/><Relationship Id="rId120" Type="http://schemas.openxmlformats.org/officeDocument/2006/relationships/hyperlink" Target="cof-12312022x10qxex321.htm" TargetMode="External"/><Relationship Id="rId7" Type="http://schemas.openxmlformats.org/officeDocument/2006/relationships/hyperlink" Target="https://www.sec.gov/Archives/edgar/data/927628/000119312519243010/d766839dex31.htm" TargetMode="External"/><Relationship Id="rId71" Type="http://schemas.openxmlformats.org/officeDocument/2006/relationships/hyperlink" Target="https://www.sec.gov/Archives/edgar/data/927628/000092762822000106/cof-12312021x10kxex10213.htm" TargetMode="External"/><Relationship Id="rId92" Type="http://schemas.openxmlformats.org/officeDocument/2006/relationships/hyperlink" Target="https://www.sec.gov/Archives/edgar/data/927628/000119312512086138/d258810dex1034.htm" TargetMode="External"/><Relationship Id="rId2" Type="http://schemas.openxmlformats.org/officeDocument/2006/relationships/settings" Target="settings.xml"/><Relationship Id="rId29" Type="http://schemas.openxmlformats.org/officeDocument/2006/relationships/hyperlink" Target="https://www.sec.gov/Archives/edgar/data/927628/000119312519243010/d766839dex41.htm" TargetMode="External"/><Relationship Id="rId24" Type="http://schemas.openxmlformats.org/officeDocument/2006/relationships/hyperlink" Target="https://www.sec.gov/Archives/edgar/data/927628/000119312519243010/d766839dex41.htm" TargetMode="External"/><Relationship Id="rId40" Type="http://schemas.openxmlformats.org/officeDocument/2006/relationships/hyperlink" Target="https://www.sec.gov/Archives/edgar/data/927628/000119312514073467/d637300dex10215.htm" TargetMode="External"/><Relationship Id="rId45" Type="http://schemas.openxmlformats.org/officeDocument/2006/relationships/hyperlink" Target="https://www.sec.gov/Archives/edgar/data/927628/000092762816000140/cof-12312015x10xkxex10217.htm" TargetMode="External"/><Relationship Id="rId66" Type="http://schemas.openxmlformats.org/officeDocument/2006/relationships/hyperlink" Target="https://www.sec.gov/Archives/edgar/data/0000927628/000092762821000094/cof-12312020x10kxex10226.htm" TargetMode="External"/><Relationship Id="rId87" Type="http://schemas.openxmlformats.org/officeDocument/2006/relationships/hyperlink" Target="cof-12312022x10kxex10226.htm" TargetMode="External"/><Relationship Id="rId110" Type="http://schemas.openxmlformats.org/officeDocument/2006/relationships/hyperlink" Target="https://www.sec.gov/Archives/edgar/data/927628/000119312513084249/d447949dex1083.htm" TargetMode="External"/><Relationship Id="rId115" Type="http://schemas.openxmlformats.org/officeDocument/2006/relationships/hyperlink" Target="cof12312022-10kxex109.htm" TargetMode="External"/><Relationship Id="rId61" Type="http://schemas.openxmlformats.org/officeDocument/2006/relationships/hyperlink" Target="https://www.sec.gov/Archives/edgar/data/0000927628/000092762821000094/cof-12312020x10kxex10225.htm" TargetMode="External"/><Relationship Id="rId82" Type="http://schemas.openxmlformats.org/officeDocument/2006/relationships/hyperlink" Target="cof12312022-10kxex10221.htm" TargetMode="External"/><Relationship Id="rId19" Type="http://schemas.openxmlformats.org/officeDocument/2006/relationships/hyperlink" Target="https://www.sec.gov/Archives/edgar/data/927628/000119312519243010/d766839dex41.htm" TargetMode="External"/><Relationship Id="rId14" Type="http://schemas.openxmlformats.org/officeDocument/2006/relationships/hyperlink" Target="https://www.sec.gov/Archives/edgar/data/927628/000119312509247098/dex41.htm" TargetMode="External"/><Relationship Id="rId30" Type="http://schemas.openxmlformats.org/officeDocument/2006/relationships/hyperlink" Target="https://www.sec.gov/Archives/edgar/data/927628/000119312519243010/d766839dex41.htm" TargetMode="External"/><Relationship Id="rId35" Type="http://schemas.openxmlformats.org/officeDocument/2006/relationships/hyperlink" Target="https://www.sec.gov/Archives/edgar/data/927628/000095010321006687/dp150414_ex0401.htm" TargetMode="External"/><Relationship Id="rId56" Type="http://schemas.openxmlformats.org/officeDocument/2006/relationships/hyperlink" Target="https://www.sec.gov/Archives/edgar/data/927628/000092762820000102/cof-12312019x10kxex10224.htm" TargetMode="External"/><Relationship Id="rId77" Type="http://schemas.openxmlformats.org/officeDocument/2006/relationships/hyperlink" Target="https://www.sec.gov/Archives/edgar/data/927628/000092762822000106/cof-12312021x10kxex10214.htm" TargetMode="External"/><Relationship Id="rId100" Type="http://schemas.openxmlformats.org/officeDocument/2006/relationships/hyperlink" Target="https://www.sec.gov/Archives/edgar/data/927628/000092762822000246/cof-06302022x10qxex101.htm" TargetMode="External"/><Relationship Id="rId105" Type="http://schemas.openxmlformats.org/officeDocument/2006/relationships/hyperlink" Target="cof-12312022x10kxex1043.htm" TargetMode="External"/><Relationship Id="rId8" Type="http://schemas.openxmlformats.org/officeDocument/2006/relationships/hyperlink" Target="https://www.sec.gov/Archives/edgar/data/927628/000119312520021345/d863354dex31.htm" TargetMode="External"/><Relationship Id="rId51" Type="http://schemas.openxmlformats.org/officeDocument/2006/relationships/hyperlink" Target="https://www.sec.gov/Archives/edgar/data/927628/000092762817000115/cof-12312016x10kxex10219.htm" TargetMode="External"/><Relationship Id="rId72" Type="http://schemas.openxmlformats.org/officeDocument/2006/relationships/hyperlink" Target="https://www.sec.gov/Archives/edgar/data/927628/000092762822000106/cof-12312021x10kxex10213.htm" TargetMode="External"/><Relationship Id="rId93" Type="http://schemas.openxmlformats.org/officeDocument/2006/relationships/hyperlink" Target="https://www.sec.gov/Archives/edgar/data/927628/000092762818000281/cof-06302018x10qxex101.htm" TargetMode="External"/><Relationship Id="rId98" Type="http://schemas.openxmlformats.org/officeDocument/2006/relationships/hyperlink" Target="https://www.sec.gov/Archives/edgar/data/927628/000092762822000246/cof-06302022x10qxex101.htm" TargetMode="External"/><Relationship Id="rId121" Type="http://schemas.openxmlformats.org/officeDocument/2006/relationships/hyperlink" Target="cof-12312022x10qxex322.htm" TargetMode="External"/><Relationship Id="rId3" Type="http://schemas.openxmlformats.org/officeDocument/2006/relationships/webSettings" Target="webSettings.xml"/><Relationship Id="rId25" Type="http://schemas.openxmlformats.org/officeDocument/2006/relationships/hyperlink" Target="https://www.sec.gov/Archives/edgar/data/927628/000119312519243010/d766839dex41.htm" TargetMode="External"/><Relationship Id="rId46" Type="http://schemas.openxmlformats.org/officeDocument/2006/relationships/hyperlink" Target="https://www.sec.gov/Archives/edgar/data/927628/000092762816000140/cof-12312015x10xkxex10217.htm" TargetMode="External"/><Relationship Id="rId67" Type="http://schemas.openxmlformats.org/officeDocument/2006/relationships/hyperlink" Target="https://www.sec.gov/Archives/edgar/data/0000927628/000092762821000094/cof-12312020x10kxex10226.htm" TargetMode="External"/><Relationship Id="rId116" Type="http://schemas.openxmlformats.org/officeDocument/2006/relationships/hyperlink" Target="cof-12312022x10kxex21.htm" TargetMode="External"/><Relationship Id="rId20" Type="http://schemas.openxmlformats.org/officeDocument/2006/relationships/hyperlink" Target="https://www.sec.gov/Archives/edgar/data/927628/000119312519243010/d766839dex41.htm" TargetMode="External"/><Relationship Id="rId41" Type="http://schemas.openxmlformats.org/officeDocument/2006/relationships/hyperlink" Target="https://www.sec.gov/Archives/edgar/data/927628/000119312514073467/d637300dex10215.htm" TargetMode="External"/><Relationship Id="rId62" Type="http://schemas.openxmlformats.org/officeDocument/2006/relationships/hyperlink" Target="https://www.sec.gov/Archives/edgar/data/0000927628/000092762821000094/cof-12312020x10kxex10225.htm" TargetMode="External"/><Relationship Id="rId83" Type="http://schemas.openxmlformats.org/officeDocument/2006/relationships/hyperlink" Target="cof12312022-10kxex10222.htm" TargetMode="External"/><Relationship Id="rId88" Type="http://schemas.openxmlformats.org/officeDocument/2006/relationships/hyperlink" Target="cof-12312022x10kxex10227.htm" TargetMode="External"/><Relationship Id="rId111" Type="http://schemas.openxmlformats.org/officeDocument/2006/relationships/hyperlink" Target="https://www.sec.gov/Archives/edgar/data/927628/000119312514073467/d637300dex1073.htm" TargetMode="External"/><Relationship Id="rId15" Type="http://schemas.openxmlformats.org/officeDocument/2006/relationships/hyperlink" Target="https://www.sec.gov/Archives/edgar/data/927628/000119312519243010/d766839dex41.htm" TargetMode="External"/><Relationship Id="rId36" Type="http://schemas.openxmlformats.org/officeDocument/2006/relationships/hyperlink" Target="https://www.sec.gov/Archives/edgar/data/927628/000119312521229186/d205654dex41.htm" TargetMode="External"/><Relationship Id="rId57" Type="http://schemas.openxmlformats.org/officeDocument/2006/relationships/hyperlink" Target="https://www.sec.gov/Archives/edgar/data/927628/000092762820000102/cof-12312019x10kxex10224.htm" TargetMode="External"/><Relationship Id="rId106" Type="http://schemas.openxmlformats.org/officeDocument/2006/relationships/hyperlink" Target="https://www.sec.gov/Archives/edgar/data/927628/000119312512086138/d258810dex105.htm" TargetMode="External"/><Relationship Id="rId10" Type="http://schemas.openxmlformats.org/officeDocument/2006/relationships/hyperlink" Target="https://www.sec.gov/Archives/edgar/data/0000927628/000095010321006687/dp150414_ex0301.htm" TargetMode="External"/><Relationship Id="rId31" Type="http://schemas.openxmlformats.org/officeDocument/2006/relationships/hyperlink" Target="https://www.sec.gov/Archives/edgar/data/927628/000119312519243010/d766839dex41.htm" TargetMode="External"/><Relationship Id="rId52" Type="http://schemas.openxmlformats.org/officeDocument/2006/relationships/hyperlink" Target="https://www.sec.gov/Archives/edgar/data/927628/000092762820000102/cof-12312019x10kxex10223.htm" TargetMode="External"/><Relationship Id="rId73" Type="http://schemas.openxmlformats.org/officeDocument/2006/relationships/hyperlink" Target="https://www.sec.gov/Archives/edgar/data/927628/000092762822000106/cof-12312021x10kxex10213.htm" TargetMode="External"/><Relationship Id="rId78" Type="http://schemas.openxmlformats.org/officeDocument/2006/relationships/hyperlink" Target="https://www.sec.gov/Archives/edgar/data/927628/000092762822000106/cof-12312021x10kxex10214.htm" TargetMode="External"/><Relationship Id="rId94" Type="http://schemas.openxmlformats.org/officeDocument/2006/relationships/hyperlink" Target="https://www.sec.gov/Archives/edgar/data/927628/000092762819000274/cof-06302019x10qxex102.htm" TargetMode="External"/><Relationship Id="rId99" Type="http://schemas.openxmlformats.org/officeDocument/2006/relationships/hyperlink" Target="https://www.sec.gov/Archives/edgar/data/927628/000092762822000246/cof-06302022x10qxex101.htm" TargetMode="External"/><Relationship Id="rId101" Type="http://schemas.openxmlformats.org/officeDocument/2006/relationships/hyperlink" Target="https://www.sec.gov/Archives/edgar/data/927628/000092762822000246/cof-06302022x10qxex101.htm" TargetMode="External"/><Relationship Id="rId1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136210</Words>
  <Characters>776402</Characters>
  <Application>Microsoft Office Word</Application>
  <DocSecurity>0</DocSecurity>
  <Lines>6470</Lines>
  <Paragraphs>1821</Paragraphs>
  <ScaleCrop>false</ScaleCrop>
  <Company/>
  <LinksUpToDate>false</LinksUpToDate>
  <CharactersWithSpaces>910791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cof-20221231</dc:title>
  <dc:subject/>
  <dc:creator>Chongjian.Yue</dc:creator>
  <cp:keywords/>
  <dc:description/>
  <cp:lastModifiedBy>Yue Chongjian</cp:lastModifiedBy>
  <cp:revision>1</cp:revision>
  <dcterms:created xsi:type="dcterms:W3CDTF">2024-01-04T15:36:00Z</dcterms:created>
  <dcterms:modified xsi:type="dcterms:W3CDTF">2024-01-04T15:36:00Z</dcterms:modified>
</cp:coreProperties>
</file>